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663"/>
        <w:gridCol w:w="2976"/>
      </w:tblGrid>
      <w:tr w:rsidR="00DC3802" w:rsidRPr="00815738" w14:paraId="66362562" w14:textId="77777777" w:rsidTr="00141B71">
        <w:tc>
          <w:tcPr>
            <w:tcW w:w="6663" w:type="dxa"/>
          </w:tcPr>
          <w:p w14:paraId="7C179B5B" w14:textId="77777777" w:rsidR="00DC3802" w:rsidRPr="00AC2883" w:rsidRDefault="00DC3802" w:rsidP="00AC2883">
            <w:r w:rsidRPr="00D250C5">
              <w:rPr>
                <w:noProof/>
              </w:rPr>
              <w:drawing>
                <wp:inline distT="0" distB="0" distL="0" distR="0" wp14:anchorId="6554DB52" wp14:editId="036ECD7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2976" w:type="dxa"/>
          </w:tcPr>
          <w:p w14:paraId="30AFE021" w14:textId="77777777" w:rsidR="00DC3802" w:rsidRPr="007C1D92" w:rsidRDefault="00DC3802" w:rsidP="00AC2883">
            <w:pPr>
              <w:pStyle w:val="Lettrine"/>
            </w:pPr>
            <w:r w:rsidRPr="00172084">
              <w:t>E</w:t>
            </w:r>
          </w:p>
        </w:tc>
      </w:tr>
      <w:tr w:rsidR="00DC3802" w:rsidRPr="00DA4973" w14:paraId="1B92C54E" w14:textId="77777777" w:rsidTr="00141B71">
        <w:trPr>
          <w:trHeight w:val="219"/>
        </w:trPr>
        <w:tc>
          <w:tcPr>
            <w:tcW w:w="6663" w:type="dxa"/>
          </w:tcPr>
          <w:p w14:paraId="464500CF" w14:textId="77777777" w:rsidR="00DC3802" w:rsidRPr="00AC2883" w:rsidRDefault="00DC3802" w:rsidP="00AC2883">
            <w:pPr>
              <w:pStyle w:val="upove"/>
            </w:pPr>
            <w:r w:rsidRPr="00AC2883">
              <w:t>International Union for the Protection of New Varieties of Plants</w:t>
            </w:r>
          </w:p>
        </w:tc>
        <w:tc>
          <w:tcPr>
            <w:tcW w:w="2976" w:type="dxa"/>
          </w:tcPr>
          <w:p w14:paraId="603CE7BA" w14:textId="77777777" w:rsidR="00DC3802" w:rsidRPr="00DA4973" w:rsidRDefault="00DC3802" w:rsidP="00DA4973"/>
        </w:tc>
      </w:tr>
    </w:tbl>
    <w:p w14:paraId="68A8090A" w14:textId="77777777" w:rsidR="00DC3802" w:rsidRDefault="00DC3802" w:rsidP="00DC3802"/>
    <w:p w14:paraId="116FBE52" w14:textId="77777777"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663"/>
        <w:gridCol w:w="2976"/>
      </w:tblGrid>
      <w:tr w:rsidR="00C437A3" w:rsidRPr="00C5280D" w14:paraId="40E781C0" w14:textId="77777777" w:rsidTr="00141B71">
        <w:tc>
          <w:tcPr>
            <w:tcW w:w="6663" w:type="dxa"/>
          </w:tcPr>
          <w:p w14:paraId="06E502AB" w14:textId="77777777" w:rsidR="000224B0" w:rsidRPr="00F56A7F" w:rsidRDefault="000224B0" w:rsidP="000224B0">
            <w:pPr>
              <w:pStyle w:val="Sessiontwp"/>
            </w:pPr>
            <w:r w:rsidRPr="00F56A7F">
              <w:t>Technical Working Party for Ornamental Plants and Forest Trees</w:t>
            </w:r>
          </w:p>
          <w:p w14:paraId="1AA41A6A" w14:textId="77777777" w:rsidR="000224B0" w:rsidRPr="00141B71" w:rsidRDefault="000224B0" w:rsidP="000224B0">
            <w:pPr>
              <w:pStyle w:val="Sessiontwpplacedate"/>
              <w:rPr>
                <w:spacing w:val="-2"/>
              </w:rPr>
            </w:pPr>
            <w:r w:rsidRPr="00141B71">
              <w:rPr>
                <w:spacing w:val="-2"/>
              </w:rPr>
              <w:t>Fifty-Seventh Session</w:t>
            </w:r>
          </w:p>
          <w:p w14:paraId="24960224" w14:textId="77777777" w:rsidR="000224B0" w:rsidRPr="00141B71" w:rsidRDefault="000224B0" w:rsidP="000224B0">
            <w:pPr>
              <w:rPr>
                <w:spacing w:val="-2"/>
              </w:rPr>
            </w:pPr>
            <w:r w:rsidRPr="00141B71">
              <w:rPr>
                <w:spacing w:val="-2"/>
              </w:rPr>
              <w:t>Roelofarendsveen, Kingdom of the Netherlands, March 31 to April 3, 2025</w:t>
            </w:r>
          </w:p>
          <w:p w14:paraId="29DCEA4F" w14:textId="77777777" w:rsidR="000224B0" w:rsidRPr="00F56A7F" w:rsidRDefault="000224B0" w:rsidP="000224B0"/>
          <w:p w14:paraId="1B159A44" w14:textId="77777777" w:rsidR="000B2834" w:rsidRPr="00F56A7F" w:rsidRDefault="000B2834" w:rsidP="000B2834">
            <w:pPr>
              <w:pStyle w:val="Sessiontwp"/>
            </w:pPr>
            <w:r w:rsidRPr="00F56A7F">
              <w:t>Technical Working Party on Testing Methods and Techniques</w:t>
            </w:r>
          </w:p>
          <w:p w14:paraId="26CBD3B5" w14:textId="77777777" w:rsidR="000B2834" w:rsidRPr="00F56A7F" w:rsidRDefault="00BC5048" w:rsidP="000B2834">
            <w:pPr>
              <w:pStyle w:val="Sessiontwpplacedate"/>
            </w:pPr>
            <w:r>
              <w:t>Third</w:t>
            </w:r>
            <w:r w:rsidR="000B2834" w:rsidRPr="00F56A7F">
              <w:t xml:space="preserve"> Session</w:t>
            </w:r>
          </w:p>
          <w:p w14:paraId="748598A6" w14:textId="77777777" w:rsidR="000B2834" w:rsidRPr="00F56A7F" w:rsidRDefault="00BC5048" w:rsidP="000B2834">
            <w:pPr>
              <w:pStyle w:val="Sessiontwpplacedate"/>
            </w:pPr>
            <w:r>
              <w:t>Beijing, China</w:t>
            </w:r>
            <w:r w:rsidR="000B2834" w:rsidRPr="00F56A7F">
              <w:t xml:space="preserve">, </w:t>
            </w:r>
            <w:r w:rsidRPr="0083644E">
              <w:rPr>
                <w:rFonts w:cs="Arial"/>
              </w:rPr>
              <w:t xml:space="preserve">April </w:t>
            </w:r>
            <w:r>
              <w:rPr>
                <w:rFonts w:cs="Arial"/>
              </w:rPr>
              <w:t>2</w:t>
            </w:r>
            <w:r w:rsidRPr="0083644E">
              <w:rPr>
                <w:rFonts w:cs="Arial"/>
              </w:rPr>
              <w:t xml:space="preserve">8 to </w:t>
            </w:r>
            <w:r>
              <w:rPr>
                <w:rFonts w:cs="Arial"/>
              </w:rPr>
              <w:t>May 1, 2025</w:t>
            </w:r>
          </w:p>
          <w:p w14:paraId="443E0699" w14:textId="77777777" w:rsidR="000B2834" w:rsidRPr="00F56A7F" w:rsidRDefault="000B2834" w:rsidP="000B2834">
            <w:pPr>
              <w:pStyle w:val="Sessiontwp"/>
            </w:pPr>
          </w:p>
          <w:p w14:paraId="1A9003CF" w14:textId="77777777" w:rsidR="000B2834" w:rsidRPr="00F56A7F" w:rsidRDefault="000B2834" w:rsidP="000B2834">
            <w:pPr>
              <w:pStyle w:val="Sessiontwp"/>
            </w:pPr>
            <w:r w:rsidRPr="00F56A7F">
              <w:t>Technical Working Party for Vegetables</w:t>
            </w:r>
          </w:p>
          <w:p w14:paraId="21EEE914" w14:textId="77777777" w:rsidR="000B2834" w:rsidRPr="00F56A7F" w:rsidRDefault="000B2834" w:rsidP="000B2834">
            <w:pPr>
              <w:pStyle w:val="Sessiontwpplacedate"/>
            </w:pPr>
            <w:r w:rsidRPr="00F56A7F">
              <w:t>Fifty-</w:t>
            </w:r>
            <w:r w:rsidR="00BC5048">
              <w:t>Ninth</w:t>
            </w:r>
            <w:r w:rsidRPr="00F56A7F">
              <w:t xml:space="preserve"> Session</w:t>
            </w:r>
          </w:p>
          <w:p w14:paraId="657065AD" w14:textId="77777777" w:rsidR="000B2834" w:rsidRPr="00F56A7F" w:rsidRDefault="000B2834" w:rsidP="000B2834">
            <w:pPr>
              <w:pStyle w:val="Sessiontwpplacedate"/>
            </w:pPr>
            <w:r w:rsidRPr="00F56A7F">
              <w:t xml:space="preserve">Virtual meeting, </w:t>
            </w:r>
            <w:r w:rsidR="00BC5048">
              <w:t xml:space="preserve">May 5 </w:t>
            </w:r>
            <w:r w:rsidRPr="00F56A7F">
              <w:t xml:space="preserve">to </w:t>
            </w:r>
            <w:r w:rsidR="00BC5048">
              <w:t>8</w:t>
            </w:r>
            <w:r w:rsidRPr="00F56A7F">
              <w:t>, 202</w:t>
            </w:r>
            <w:r w:rsidR="00BC5048">
              <w:t>5</w:t>
            </w:r>
          </w:p>
          <w:p w14:paraId="23F98DA5" w14:textId="77777777" w:rsidR="000B2834" w:rsidRPr="00F56A7F" w:rsidRDefault="000B2834" w:rsidP="000B2834"/>
          <w:p w14:paraId="37BBA6B8" w14:textId="77777777" w:rsidR="000B2834" w:rsidRPr="00F56A7F" w:rsidRDefault="000B2834" w:rsidP="000B2834">
            <w:pPr>
              <w:pStyle w:val="Sessiontwp"/>
            </w:pPr>
            <w:r w:rsidRPr="00F56A7F">
              <w:t>Technical Working Party for Agricultural Crops</w:t>
            </w:r>
          </w:p>
          <w:p w14:paraId="34F7A807" w14:textId="77777777" w:rsidR="000B2834" w:rsidRPr="00F56A7F" w:rsidRDefault="000B2834" w:rsidP="000B2834">
            <w:pPr>
              <w:pStyle w:val="Sessiontwpplacedate"/>
            </w:pPr>
            <w:r w:rsidRPr="00F56A7F">
              <w:t>Fifty-</w:t>
            </w:r>
            <w:r w:rsidR="00C71281">
              <w:t>Fourth</w:t>
            </w:r>
            <w:r w:rsidRPr="00F56A7F">
              <w:t xml:space="preserve"> Session</w:t>
            </w:r>
          </w:p>
          <w:p w14:paraId="1BF5DD73" w14:textId="77777777" w:rsidR="000B2834" w:rsidRPr="00F56A7F" w:rsidRDefault="00C71281" w:rsidP="000B2834">
            <w:pPr>
              <w:pStyle w:val="Sessiontwpplacedate"/>
            </w:pPr>
            <w:r>
              <w:t>Arusha, United Republic of Tanzania</w:t>
            </w:r>
            <w:r w:rsidR="000B2834" w:rsidRPr="00F56A7F">
              <w:t xml:space="preserve">, May </w:t>
            </w:r>
            <w:r>
              <w:t>19</w:t>
            </w:r>
            <w:r w:rsidR="000B2834" w:rsidRPr="00F56A7F">
              <w:t xml:space="preserve"> to </w:t>
            </w:r>
            <w:r>
              <w:t>22</w:t>
            </w:r>
            <w:r w:rsidR="000B2834" w:rsidRPr="00F56A7F">
              <w:t>, 202</w:t>
            </w:r>
            <w:r>
              <w:t>5</w:t>
            </w:r>
          </w:p>
          <w:p w14:paraId="423D5480" w14:textId="77777777" w:rsidR="000B2834" w:rsidRPr="00F56A7F" w:rsidRDefault="000B2834" w:rsidP="000B2834"/>
          <w:p w14:paraId="45DF9687" w14:textId="77777777" w:rsidR="000B2834" w:rsidRPr="00F56A7F" w:rsidRDefault="000B2834" w:rsidP="000B2834">
            <w:pPr>
              <w:pStyle w:val="Sessiontwp"/>
            </w:pPr>
            <w:r w:rsidRPr="00F56A7F">
              <w:t>Technical Working Party for Fruit Crops</w:t>
            </w:r>
          </w:p>
          <w:p w14:paraId="2D9EA5B1" w14:textId="77777777" w:rsidR="000B2834" w:rsidRPr="00F56A7F" w:rsidRDefault="000B2834" w:rsidP="000B2834">
            <w:pPr>
              <w:pStyle w:val="Sessiontwpplacedate"/>
            </w:pPr>
            <w:r w:rsidRPr="00F56A7F">
              <w:t>Fifty-</w:t>
            </w:r>
            <w:r w:rsidR="00C71281">
              <w:t>Six</w:t>
            </w:r>
            <w:r w:rsidRPr="00F56A7F">
              <w:t>th Session</w:t>
            </w:r>
          </w:p>
          <w:p w14:paraId="3A473950" w14:textId="77777777" w:rsidR="00C437A3" w:rsidRPr="00F66083" w:rsidRDefault="00E53166" w:rsidP="000B2834">
            <w:r>
              <w:t>Bursa</w:t>
            </w:r>
            <w:r w:rsidR="00C71281">
              <w:t>, Türkiye</w:t>
            </w:r>
            <w:r w:rsidR="000B2834" w:rsidRPr="00F56A7F">
              <w:t xml:space="preserve">, June </w:t>
            </w:r>
            <w:r w:rsidR="00C71281">
              <w:t>2</w:t>
            </w:r>
            <w:r w:rsidR="000B2834" w:rsidRPr="00F56A7F">
              <w:t xml:space="preserve">3 to </w:t>
            </w:r>
            <w:r w:rsidR="00C71281">
              <w:t>2</w:t>
            </w:r>
            <w:r w:rsidR="000B2834">
              <w:t>6</w:t>
            </w:r>
            <w:r w:rsidR="000B2834" w:rsidRPr="00F56A7F">
              <w:t>, 202</w:t>
            </w:r>
            <w:r w:rsidR="00C71281">
              <w:t>5</w:t>
            </w:r>
          </w:p>
        </w:tc>
        <w:tc>
          <w:tcPr>
            <w:tcW w:w="2976" w:type="dxa"/>
          </w:tcPr>
          <w:p w14:paraId="596E8CE0" w14:textId="7FF5EAB3" w:rsidR="00C437A3" w:rsidRPr="00F875E6" w:rsidRDefault="001D0FC4" w:rsidP="004226CC">
            <w:pPr>
              <w:pStyle w:val="Doccode"/>
            </w:pPr>
            <w:r>
              <w:t>TWP/9/4</w:t>
            </w:r>
          </w:p>
          <w:p w14:paraId="011F4CEA" w14:textId="77777777" w:rsidR="00C437A3" w:rsidRPr="003C7FBE" w:rsidRDefault="00C437A3" w:rsidP="004226CC">
            <w:pPr>
              <w:pStyle w:val="Docoriginal"/>
            </w:pPr>
            <w:r w:rsidRPr="00AC2883">
              <w:t>Original:</w:t>
            </w:r>
            <w:r w:rsidRPr="000E636A">
              <w:rPr>
                <w:b w:val="0"/>
                <w:spacing w:val="0"/>
              </w:rPr>
              <w:t xml:space="preserve">  English</w:t>
            </w:r>
          </w:p>
          <w:p w14:paraId="28D650D3" w14:textId="68355422" w:rsidR="00C437A3" w:rsidRPr="007C1D92" w:rsidRDefault="00C437A3" w:rsidP="00A85F2F">
            <w:pPr>
              <w:pStyle w:val="Docoriginal"/>
            </w:pPr>
            <w:r w:rsidRPr="00AC2883">
              <w:t>Date:</w:t>
            </w:r>
            <w:r w:rsidRPr="000E636A">
              <w:rPr>
                <w:b w:val="0"/>
                <w:spacing w:val="0"/>
              </w:rPr>
              <w:t xml:space="preserve">  </w:t>
            </w:r>
            <w:r w:rsidR="001D0FC4" w:rsidRPr="00F8579F">
              <w:rPr>
                <w:b w:val="0"/>
                <w:spacing w:val="0"/>
              </w:rPr>
              <w:t xml:space="preserve">February </w:t>
            </w:r>
            <w:r w:rsidR="00F8579F" w:rsidRPr="00F8579F">
              <w:rPr>
                <w:b w:val="0"/>
                <w:spacing w:val="0"/>
              </w:rPr>
              <w:t>24</w:t>
            </w:r>
            <w:r w:rsidR="001D0FC4" w:rsidRPr="00F8579F">
              <w:rPr>
                <w:b w:val="0"/>
                <w:spacing w:val="0"/>
              </w:rPr>
              <w:t>, 2025</w:t>
            </w:r>
          </w:p>
        </w:tc>
      </w:tr>
    </w:tbl>
    <w:p w14:paraId="730A6175" w14:textId="77777777" w:rsidR="001D0FC4" w:rsidRPr="00214FF8" w:rsidRDefault="001D0FC4" w:rsidP="001D0FC4">
      <w:pPr>
        <w:pStyle w:val="Titleofdoc0"/>
      </w:pPr>
      <w:bookmarkStart w:id="0" w:name="_Hlk190367062"/>
      <w:r w:rsidRPr="00214FF8">
        <w:rPr>
          <w:bCs/>
        </w:rPr>
        <w:t>Guidelines for the validation of a new characteristic-specific molecular marker protocol as an alternative method for observation</w:t>
      </w:r>
    </w:p>
    <w:p w14:paraId="7049BAD7" w14:textId="77777777" w:rsidR="001D0FC4" w:rsidRPr="00214FF8" w:rsidRDefault="001D0FC4" w:rsidP="001D0FC4">
      <w:pPr>
        <w:pStyle w:val="preparedby1"/>
      </w:pPr>
      <w:bookmarkStart w:id="1" w:name="Prepared"/>
      <w:bookmarkEnd w:id="1"/>
      <w:bookmarkEnd w:id="0"/>
      <w:r w:rsidRPr="00214FF8">
        <w:t>Document prepared by experts from France, Italy and the Kingdom of the Netherlands</w:t>
      </w:r>
    </w:p>
    <w:p w14:paraId="5791B554" w14:textId="77777777" w:rsidR="001D0FC4" w:rsidRPr="00214FF8" w:rsidRDefault="001D0FC4" w:rsidP="001D0FC4">
      <w:pPr>
        <w:pStyle w:val="Disclaimer"/>
      </w:pPr>
      <w:r w:rsidRPr="00214FF8">
        <w:t>Disclaimer:  this document does not represent UPOV policies or guidance</w:t>
      </w:r>
    </w:p>
    <w:sdt>
      <w:sdtPr>
        <w:id w:val="732351385"/>
        <w:docPartObj>
          <w:docPartGallery w:val="Table of Contents"/>
          <w:docPartUnique/>
        </w:docPartObj>
      </w:sdtPr>
      <w:sdtEndPr>
        <w:rPr>
          <w:rFonts w:cs="Arial"/>
          <w:lang w:eastAsia="fr-FR"/>
        </w:rPr>
      </w:sdtEndPr>
      <w:sdtContent>
        <w:p w14:paraId="0BE62EA9" w14:textId="77777777" w:rsidR="001D0FC4" w:rsidRPr="00214FF8" w:rsidRDefault="001D0FC4" w:rsidP="001D0FC4">
          <w:pPr>
            <w:spacing w:after="120"/>
          </w:pPr>
          <w:r w:rsidRPr="00171D58">
            <w:rPr>
              <w:u w:val="single"/>
            </w:rPr>
            <w:t>Table of Contents</w:t>
          </w:r>
          <w:r>
            <w:t>:</w:t>
          </w:r>
        </w:p>
        <w:p w14:paraId="3F6F25AD" w14:textId="2A51E1C0" w:rsidR="00CA22A9" w:rsidRDefault="001D0FC4">
          <w:pPr>
            <w:pStyle w:val="TOC1"/>
            <w:rPr>
              <w:rFonts w:asciiTheme="minorHAnsi" w:eastAsiaTheme="minorEastAsia" w:hAnsiTheme="minorHAnsi" w:cstheme="minorBidi"/>
              <w:bCs w:val="0"/>
              <w:caps w:val="0"/>
              <w:kern w:val="2"/>
              <w:sz w:val="24"/>
              <w:szCs w:val="24"/>
              <w:lang w:val="en-GB" w:eastAsia="en-GB"/>
              <w14:ligatures w14:val="standardContextual"/>
            </w:rPr>
          </w:pPr>
          <w:r w:rsidRPr="00214FF8">
            <w:rPr>
              <w:sz w:val="20"/>
              <w:lang w:eastAsia="fr-FR"/>
            </w:rPr>
            <w:fldChar w:fldCharType="begin"/>
          </w:r>
          <w:r w:rsidRPr="00214FF8">
            <w:rPr>
              <w:sz w:val="20"/>
              <w:lang w:eastAsia="fr-FR"/>
            </w:rPr>
            <w:instrText xml:space="preserve"> TOC \o "1-3" \h \z \u </w:instrText>
          </w:r>
          <w:r w:rsidRPr="00214FF8">
            <w:rPr>
              <w:sz w:val="20"/>
              <w:lang w:eastAsia="fr-FR"/>
            </w:rPr>
            <w:fldChar w:fldCharType="separate"/>
          </w:r>
          <w:hyperlink w:anchor="_Toc189576551" w:history="1">
            <w:r w:rsidR="00CA22A9" w:rsidRPr="00203C1F">
              <w:rPr>
                <w:rStyle w:val="Hyperlink"/>
                <w:lang w:val="en-GB"/>
              </w:rPr>
              <w:t>Associated documents</w:t>
            </w:r>
            <w:r w:rsidR="00CA22A9">
              <w:rPr>
                <w:webHidden/>
              </w:rPr>
              <w:tab/>
            </w:r>
            <w:r w:rsidR="00CA22A9">
              <w:rPr>
                <w:webHidden/>
              </w:rPr>
              <w:fldChar w:fldCharType="begin"/>
            </w:r>
            <w:r w:rsidR="00CA22A9">
              <w:rPr>
                <w:webHidden/>
              </w:rPr>
              <w:instrText xml:space="preserve"> PAGEREF _Toc189576551 \h </w:instrText>
            </w:r>
            <w:r w:rsidR="00CA22A9">
              <w:rPr>
                <w:webHidden/>
              </w:rPr>
            </w:r>
            <w:r w:rsidR="00CA22A9">
              <w:rPr>
                <w:webHidden/>
              </w:rPr>
              <w:fldChar w:fldCharType="separate"/>
            </w:r>
            <w:r w:rsidR="00343380">
              <w:rPr>
                <w:webHidden/>
              </w:rPr>
              <w:t>2</w:t>
            </w:r>
            <w:r w:rsidR="00CA22A9">
              <w:rPr>
                <w:webHidden/>
              </w:rPr>
              <w:fldChar w:fldCharType="end"/>
            </w:r>
          </w:hyperlink>
        </w:p>
        <w:p w14:paraId="26052435" w14:textId="335CBD5D" w:rsidR="00CA22A9" w:rsidRDefault="00CA22A9">
          <w:pPr>
            <w:pStyle w:val="TOC1"/>
            <w:tabs>
              <w:tab w:val="left" w:pos="567"/>
            </w:tabs>
            <w:rPr>
              <w:rFonts w:asciiTheme="minorHAnsi" w:eastAsiaTheme="minorEastAsia" w:hAnsiTheme="minorHAnsi" w:cstheme="minorBidi"/>
              <w:bCs w:val="0"/>
              <w:caps w:val="0"/>
              <w:kern w:val="2"/>
              <w:sz w:val="24"/>
              <w:szCs w:val="24"/>
              <w:lang w:val="en-GB" w:eastAsia="en-GB"/>
              <w14:ligatures w14:val="standardContextual"/>
            </w:rPr>
          </w:pPr>
          <w:hyperlink w:anchor="_Toc189576552" w:history="1">
            <w:r w:rsidRPr="00203C1F">
              <w:rPr>
                <w:rStyle w:val="Hyperlink"/>
                <w:lang w:val="en-GB"/>
              </w:rPr>
              <w:t>I.</w:t>
            </w:r>
            <w:r>
              <w:rPr>
                <w:rFonts w:asciiTheme="minorHAnsi" w:eastAsiaTheme="minorEastAsia" w:hAnsiTheme="minorHAnsi" w:cstheme="minorBidi"/>
                <w:bCs w:val="0"/>
                <w:caps w:val="0"/>
                <w:kern w:val="2"/>
                <w:sz w:val="24"/>
                <w:szCs w:val="24"/>
                <w:lang w:val="en-GB" w:eastAsia="en-GB"/>
                <w14:ligatures w14:val="standardContextual"/>
              </w:rPr>
              <w:tab/>
            </w:r>
            <w:r w:rsidRPr="00203C1F">
              <w:rPr>
                <w:rStyle w:val="Hyperlink"/>
                <w:lang w:val="en-GB"/>
              </w:rPr>
              <w:t>Objectives of these guidelines</w:t>
            </w:r>
            <w:r>
              <w:rPr>
                <w:webHidden/>
              </w:rPr>
              <w:tab/>
            </w:r>
            <w:r>
              <w:rPr>
                <w:webHidden/>
              </w:rPr>
              <w:fldChar w:fldCharType="begin"/>
            </w:r>
            <w:r>
              <w:rPr>
                <w:webHidden/>
              </w:rPr>
              <w:instrText xml:space="preserve"> PAGEREF _Toc189576552 \h </w:instrText>
            </w:r>
            <w:r>
              <w:rPr>
                <w:webHidden/>
              </w:rPr>
            </w:r>
            <w:r>
              <w:rPr>
                <w:webHidden/>
              </w:rPr>
              <w:fldChar w:fldCharType="separate"/>
            </w:r>
            <w:r w:rsidR="00343380">
              <w:rPr>
                <w:webHidden/>
              </w:rPr>
              <w:t>2</w:t>
            </w:r>
            <w:r>
              <w:rPr>
                <w:webHidden/>
              </w:rPr>
              <w:fldChar w:fldCharType="end"/>
            </w:r>
          </w:hyperlink>
        </w:p>
        <w:p w14:paraId="2E4ACE3C" w14:textId="3C2ED460" w:rsidR="00CA22A9" w:rsidRDefault="00CA22A9">
          <w:pPr>
            <w:pStyle w:val="TOC1"/>
            <w:tabs>
              <w:tab w:val="left" w:pos="567"/>
            </w:tabs>
            <w:rPr>
              <w:rFonts w:asciiTheme="minorHAnsi" w:eastAsiaTheme="minorEastAsia" w:hAnsiTheme="minorHAnsi" w:cstheme="minorBidi"/>
              <w:bCs w:val="0"/>
              <w:caps w:val="0"/>
              <w:kern w:val="2"/>
              <w:sz w:val="24"/>
              <w:szCs w:val="24"/>
              <w:lang w:val="en-GB" w:eastAsia="en-GB"/>
              <w14:ligatures w14:val="standardContextual"/>
            </w:rPr>
          </w:pPr>
          <w:hyperlink w:anchor="_Toc189576553" w:history="1">
            <w:r w:rsidRPr="00203C1F">
              <w:rPr>
                <w:rStyle w:val="Hyperlink"/>
                <w:lang w:val="en-GB"/>
              </w:rPr>
              <w:t>II.</w:t>
            </w:r>
            <w:r>
              <w:rPr>
                <w:rFonts w:asciiTheme="minorHAnsi" w:eastAsiaTheme="minorEastAsia" w:hAnsiTheme="minorHAnsi" w:cstheme="minorBidi"/>
                <w:bCs w:val="0"/>
                <w:caps w:val="0"/>
                <w:kern w:val="2"/>
                <w:sz w:val="24"/>
                <w:szCs w:val="24"/>
                <w:lang w:val="en-GB" w:eastAsia="en-GB"/>
                <w14:ligatures w14:val="standardContextual"/>
              </w:rPr>
              <w:tab/>
            </w:r>
            <w:r w:rsidRPr="00203C1F">
              <w:rPr>
                <w:rStyle w:val="Hyperlink"/>
                <w:lang w:val="en-GB"/>
              </w:rPr>
              <w:t>Scope of these guidelines</w:t>
            </w:r>
            <w:r>
              <w:rPr>
                <w:webHidden/>
              </w:rPr>
              <w:tab/>
            </w:r>
            <w:r>
              <w:rPr>
                <w:webHidden/>
              </w:rPr>
              <w:fldChar w:fldCharType="begin"/>
            </w:r>
            <w:r>
              <w:rPr>
                <w:webHidden/>
              </w:rPr>
              <w:instrText xml:space="preserve"> PAGEREF _Toc189576553 \h </w:instrText>
            </w:r>
            <w:r>
              <w:rPr>
                <w:webHidden/>
              </w:rPr>
            </w:r>
            <w:r>
              <w:rPr>
                <w:webHidden/>
              </w:rPr>
              <w:fldChar w:fldCharType="separate"/>
            </w:r>
            <w:r w:rsidR="00343380">
              <w:rPr>
                <w:webHidden/>
              </w:rPr>
              <w:t>2</w:t>
            </w:r>
            <w:r>
              <w:rPr>
                <w:webHidden/>
              </w:rPr>
              <w:fldChar w:fldCharType="end"/>
            </w:r>
          </w:hyperlink>
        </w:p>
        <w:p w14:paraId="06D6AA7E" w14:textId="7D20EAF4" w:rsidR="00CA22A9" w:rsidRDefault="00CA22A9">
          <w:pPr>
            <w:pStyle w:val="TOC1"/>
            <w:tabs>
              <w:tab w:val="left" w:pos="567"/>
            </w:tabs>
            <w:rPr>
              <w:rFonts w:asciiTheme="minorHAnsi" w:eastAsiaTheme="minorEastAsia" w:hAnsiTheme="minorHAnsi" w:cstheme="minorBidi"/>
              <w:bCs w:val="0"/>
              <w:caps w:val="0"/>
              <w:kern w:val="2"/>
              <w:sz w:val="24"/>
              <w:szCs w:val="24"/>
              <w:lang w:val="en-GB" w:eastAsia="en-GB"/>
              <w14:ligatures w14:val="standardContextual"/>
            </w:rPr>
          </w:pPr>
          <w:hyperlink w:anchor="_Toc189576554" w:history="1">
            <w:r w:rsidRPr="00203C1F">
              <w:rPr>
                <w:rStyle w:val="Hyperlink"/>
                <w:lang w:val="en-GB"/>
              </w:rPr>
              <w:t>III.</w:t>
            </w:r>
            <w:r>
              <w:rPr>
                <w:rFonts w:asciiTheme="minorHAnsi" w:eastAsiaTheme="minorEastAsia" w:hAnsiTheme="minorHAnsi" w:cstheme="minorBidi"/>
                <w:bCs w:val="0"/>
                <w:caps w:val="0"/>
                <w:kern w:val="2"/>
                <w:sz w:val="24"/>
                <w:szCs w:val="24"/>
                <w:lang w:val="en-GB" w:eastAsia="en-GB"/>
                <w14:ligatures w14:val="standardContextual"/>
              </w:rPr>
              <w:tab/>
            </w:r>
            <w:r w:rsidRPr="00203C1F">
              <w:rPr>
                <w:rStyle w:val="Hyperlink"/>
                <w:lang w:val="en-GB"/>
              </w:rPr>
              <w:t>Performance criteria for a new molecular marker based protocol</w:t>
            </w:r>
            <w:r>
              <w:rPr>
                <w:webHidden/>
              </w:rPr>
              <w:tab/>
            </w:r>
            <w:r>
              <w:rPr>
                <w:webHidden/>
              </w:rPr>
              <w:fldChar w:fldCharType="begin"/>
            </w:r>
            <w:r>
              <w:rPr>
                <w:webHidden/>
              </w:rPr>
              <w:instrText xml:space="preserve"> PAGEREF _Toc189576554 \h </w:instrText>
            </w:r>
            <w:r>
              <w:rPr>
                <w:webHidden/>
              </w:rPr>
            </w:r>
            <w:r>
              <w:rPr>
                <w:webHidden/>
              </w:rPr>
              <w:fldChar w:fldCharType="separate"/>
            </w:r>
            <w:r w:rsidR="00343380">
              <w:rPr>
                <w:webHidden/>
              </w:rPr>
              <w:t>2</w:t>
            </w:r>
            <w:r>
              <w:rPr>
                <w:webHidden/>
              </w:rPr>
              <w:fldChar w:fldCharType="end"/>
            </w:r>
          </w:hyperlink>
        </w:p>
        <w:p w14:paraId="74575D51" w14:textId="7700530B" w:rsidR="00CA22A9" w:rsidRDefault="00CA22A9">
          <w:pPr>
            <w:pStyle w:val="TOC2"/>
            <w:rPr>
              <w:rFonts w:asciiTheme="minorHAnsi" w:eastAsiaTheme="minorEastAsia" w:hAnsiTheme="minorHAnsi" w:cstheme="minorBidi"/>
              <w:kern w:val="2"/>
              <w:sz w:val="24"/>
              <w:szCs w:val="24"/>
              <w:lang w:val="en-GB" w:eastAsia="en-GB"/>
              <w14:ligatures w14:val="standardContextual"/>
            </w:rPr>
          </w:pPr>
          <w:hyperlink w:anchor="_Toc189576555" w:history="1">
            <w:r w:rsidRPr="00203C1F">
              <w:rPr>
                <w:rStyle w:val="Hyperlink"/>
              </w:rPr>
              <w:t>Specificity</w:t>
            </w:r>
            <w:r>
              <w:rPr>
                <w:webHidden/>
              </w:rPr>
              <w:tab/>
            </w:r>
            <w:r>
              <w:rPr>
                <w:webHidden/>
              </w:rPr>
              <w:fldChar w:fldCharType="begin"/>
            </w:r>
            <w:r>
              <w:rPr>
                <w:webHidden/>
              </w:rPr>
              <w:instrText xml:space="preserve"> PAGEREF _Toc189576555 \h </w:instrText>
            </w:r>
            <w:r>
              <w:rPr>
                <w:webHidden/>
              </w:rPr>
            </w:r>
            <w:r>
              <w:rPr>
                <w:webHidden/>
              </w:rPr>
              <w:fldChar w:fldCharType="separate"/>
            </w:r>
            <w:r w:rsidR="00343380">
              <w:rPr>
                <w:webHidden/>
              </w:rPr>
              <w:t>2</w:t>
            </w:r>
            <w:r>
              <w:rPr>
                <w:webHidden/>
              </w:rPr>
              <w:fldChar w:fldCharType="end"/>
            </w:r>
          </w:hyperlink>
        </w:p>
        <w:p w14:paraId="56A3D972" w14:textId="3467FCBA" w:rsidR="00CA22A9" w:rsidRDefault="00CA22A9">
          <w:pPr>
            <w:pStyle w:val="TOC3"/>
            <w:rPr>
              <w:rFonts w:asciiTheme="minorHAnsi" w:eastAsiaTheme="minorEastAsia" w:hAnsiTheme="minorHAnsi" w:cstheme="minorBidi"/>
              <w:i w:val="0"/>
              <w:kern w:val="2"/>
              <w:sz w:val="24"/>
              <w:szCs w:val="24"/>
              <w:lang w:val="en-GB" w:eastAsia="en-GB"/>
              <w14:ligatures w14:val="standardContextual"/>
            </w:rPr>
          </w:pPr>
          <w:hyperlink w:anchor="_Toc189576556" w:history="1">
            <w:r w:rsidRPr="00203C1F">
              <w:rPr>
                <w:rStyle w:val="Hyperlink"/>
                <w:lang w:eastAsia="fr-FR"/>
              </w:rPr>
              <w:t>Definition</w:t>
            </w:r>
            <w:r>
              <w:rPr>
                <w:webHidden/>
              </w:rPr>
              <w:tab/>
            </w:r>
            <w:r>
              <w:rPr>
                <w:webHidden/>
              </w:rPr>
              <w:fldChar w:fldCharType="begin"/>
            </w:r>
            <w:r>
              <w:rPr>
                <w:webHidden/>
              </w:rPr>
              <w:instrText xml:space="preserve"> PAGEREF _Toc189576556 \h </w:instrText>
            </w:r>
            <w:r>
              <w:rPr>
                <w:webHidden/>
              </w:rPr>
            </w:r>
            <w:r>
              <w:rPr>
                <w:webHidden/>
              </w:rPr>
              <w:fldChar w:fldCharType="separate"/>
            </w:r>
            <w:r w:rsidR="00343380">
              <w:rPr>
                <w:webHidden/>
              </w:rPr>
              <w:t>2</w:t>
            </w:r>
            <w:r>
              <w:rPr>
                <w:webHidden/>
              </w:rPr>
              <w:fldChar w:fldCharType="end"/>
            </w:r>
          </w:hyperlink>
        </w:p>
        <w:p w14:paraId="66D9CF57" w14:textId="6F45EA66" w:rsidR="00CA22A9" w:rsidRDefault="00CA22A9">
          <w:pPr>
            <w:pStyle w:val="TOC3"/>
            <w:rPr>
              <w:rFonts w:asciiTheme="minorHAnsi" w:eastAsiaTheme="minorEastAsia" w:hAnsiTheme="minorHAnsi" w:cstheme="minorBidi"/>
              <w:i w:val="0"/>
              <w:kern w:val="2"/>
              <w:sz w:val="24"/>
              <w:szCs w:val="24"/>
              <w:lang w:val="en-GB" w:eastAsia="en-GB"/>
              <w14:ligatures w14:val="standardContextual"/>
            </w:rPr>
          </w:pPr>
          <w:hyperlink w:anchor="_Toc189576557" w:history="1">
            <w:r w:rsidRPr="00203C1F">
              <w:rPr>
                <w:rStyle w:val="Hyperlink"/>
                <w:lang w:eastAsia="fr-FR"/>
              </w:rPr>
              <w:t>Requirement</w:t>
            </w:r>
            <w:r>
              <w:rPr>
                <w:webHidden/>
              </w:rPr>
              <w:tab/>
            </w:r>
            <w:r>
              <w:rPr>
                <w:webHidden/>
              </w:rPr>
              <w:fldChar w:fldCharType="begin"/>
            </w:r>
            <w:r>
              <w:rPr>
                <w:webHidden/>
              </w:rPr>
              <w:instrText xml:space="preserve"> PAGEREF _Toc189576557 \h </w:instrText>
            </w:r>
            <w:r>
              <w:rPr>
                <w:webHidden/>
              </w:rPr>
            </w:r>
            <w:r>
              <w:rPr>
                <w:webHidden/>
              </w:rPr>
              <w:fldChar w:fldCharType="separate"/>
            </w:r>
            <w:r w:rsidR="00343380">
              <w:rPr>
                <w:webHidden/>
              </w:rPr>
              <w:t>2</w:t>
            </w:r>
            <w:r>
              <w:rPr>
                <w:webHidden/>
              </w:rPr>
              <w:fldChar w:fldCharType="end"/>
            </w:r>
          </w:hyperlink>
        </w:p>
        <w:p w14:paraId="4CF43025" w14:textId="34310A52" w:rsidR="00CA22A9" w:rsidRDefault="00CA22A9">
          <w:pPr>
            <w:pStyle w:val="TOC2"/>
            <w:rPr>
              <w:rFonts w:asciiTheme="minorHAnsi" w:eastAsiaTheme="minorEastAsia" w:hAnsiTheme="minorHAnsi" w:cstheme="minorBidi"/>
              <w:kern w:val="2"/>
              <w:sz w:val="24"/>
              <w:szCs w:val="24"/>
              <w:lang w:val="en-GB" w:eastAsia="en-GB"/>
              <w14:ligatures w14:val="standardContextual"/>
            </w:rPr>
          </w:pPr>
          <w:hyperlink w:anchor="_Toc189576558" w:history="1">
            <w:r w:rsidRPr="00203C1F">
              <w:rPr>
                <w:rStyle w:val="Hyperlink"/>
              </w:rPr>
              <w:t>Sensitivity and limit of detection</w:t>
            </w:r>
            <w:r>
              <w:rPr>
                <w:webHidden/>
              </w:rPr>
              <w:tab/>
            </w:r>
            <w:r>
              <w:rPr>
                <w:webHidden/>
              </w:rPr>
              <w:fldChar w:fldCharType="begin"/>
            </w:r>
            <w:r>
              <w:rPr>
                <w:webHidden/>
              </w:rPr>
              <w:instrText xml:space="preserve"> PAGEREF _Toc189576558 \h </w:instrText>
            </w:r>
            <w:r>
              <w:rPr>
                <w:webHidden/>
              </w:rPr>
            </w:r>
            <w:r>
              <w:rPr>
                <w:webHidden/>
              </w:rPr>
              <w:fldChar w:fldCharType="separate"/>
            </w:r>
            <w:r w:rsidR="00343380">
              <w:rPr>
                <w:webHidden/>
              </w:rPr>
              <w:t>3</w:t>
            </w:r>
            <w:r>
              <w:rPr>
                <w:webHidden/>
              </w:rPr>
              <w:fldChar w:fldCharType="end"/>
            </w:r>
          </w:hyperlink>
        </w:p>
        <w:p w14:paraId="4EE7D8BA" w14:textId="50E03FBE" w:rsidR="00CA22A9" w:rsidRDefault="00CA22A9">
          <w:pPr>
            <w:pStyle w:val="TOC3"/>
            <w:rPr>
              <w:rFonts w:asciiTheme="minorHAnsi" w:eastAsiaTheme="minorEastAsia" w:hAnsiTheme="minorHAnsi" w:cstheme="minorBidi"/>
              <w:i w:val="0"/>
              <w:kern w:val="2"/>
              <w:sz w:val="24"/>
              <w:szCs w:val="24"/>
              <w:lang w:val="en-GB" w:eastAsia="en-GB"/>
              <w14:ligatures w14:val="standardContextual"/>
            </w:rPr>
          </w:pPr>
          <w:hyperlink w:anchor="_Toc189576559" w:history="1">
            <w:r w:rsidRPr="00203C1F">
              <w:rPr>
                <w:rStyle w:val="Hyperlink"/>
                <w:lang w:eastAsia="fr-FR"/>
              </w:rPr>
              <w:t>Definition</w:t>
            </w:r>
            <w:r>
              <w:rPr>
                <w:webHidden/>
              </w:rPr>
              <w:tab/>
            </w:r>
            <w:r>
              <w:rPr>
                <w:webHidden/>
              </w:rPr>
              <w:fldChar w:fldCharType="begin"/>
            </w:r>
            <w:r>
              <w:rPr>
                <w:webHidden/>
              </w:rPr>
              <w:instrText xml:space="preserve"> PAGEREF _Toc189576559 \h </w:instrText>
            </w:r>
            <w:r>
              <w:rPr>
                <w:webHidden/>
              </w:rPr>
            </w:r>
            <w:r>
              <w:rPr>
                <w:webHidden/>
              </w:rPr>
              <w:fldChar w:fldCharType="separate"/>
            </w:r>
            <w:r w:rsidR="00343380">
              <w:rPr>
                <w:webHidden/>
              </w:rPr>
              <w:t>3</w:t>
            </w:r>
            <w:r>
              <w:rPr>
                <w:webHidden/>
              </w:rPr>
              <w:fldChar w:fldCharType="end"/>
            </w:r>
          </w:hyperlink>
        </w:p>
        <w:p w14:paraId="2F7236E1" w14:textId="2961A2EF" w:rsidR="00CA22A9" w:rsidRDefault="00CA22A9">
          <w:pPr>
            <w:pStyle w:val="TOC3"/>
            <w:rPr>
              <w:rFonts w:asciiTheme="minorHAnsi" w:eastAsiaTheme="minorEastAsia" w:hAnsiTheme="minorHAnsi" w:cstheme="minorBidi"/>
              <w:i w:val="0"/>
              <w:kern w:val="2"/>
              <w:sz w:val="24"/>
              <w:szCs w:val="24"/>
              <w:lang w:val="en-GB" w:eastAsia="en-GB"/>
              <w14:ligatures w14:val="standardContextual"/>
            </w:rPr>
          </w:pPr>
          <w:hyperlink w:anchor="_Toc189576560" w:history="1">
            <w:r w:rsidRPr="00203C1F">
              <w:rPr>
                <w:rStyle w:val="Hyperlink"/>
                <w:lang w:eastAsia="fr-FR"/>
              </w:rPr>
              <w:t>Requirement</w:t>
            </w:r>
            <w:r>
              <w:rPr>
                <w:webHidden/>
              </w:rPr>
              <w:tab/>
            </w:r>
            <w:r>
              <w:rPr>
                <w:webHidden/>
              </w:rPr>
              <w:fldChar w:fldCharType="begin"/>
            </w:r>
            <w:r>
              <w:rPr>
                <w:webHidden/>
              </w:rPr>
              <w:instrText xml:space="preserve"> PAGEREF _Toc189576560 \h </w:instrText>
            </w:r>
            <w:r>
              <w:rPr>
                <w:webHidden/>
              </w:rPr>
            </w:r>
            <w:r>
              <w:rPr>
                <w:webHidden/>
              </w:rPr>
              <w:fldChar w:fldCharType="separate"/>
            </w:r>
            <w:r w:rsidR="00343380">
              <w:rPr>
                <w:webHidden/>
              </w:rPr>
              <w:t>3</w:t>
            </w:r>
            <w:r>
              <w:rPr>
                <w:webHidden/>
              </w:rPr>
              <w:fldChar w:fldCharType="end"/>
            </w:r>
          </w:hyperlink>
        </w:p>
        <w:p w14:paraId="4BB03160" w14:textId="24DC64BC" w:rsidR="00CA22A9" w:rsidRDefault="00CA22A9">
          <w:pPr>
            <w:pStyle w:val="TOC3"/>
            <w:rPr>
              <w:rFonts w:asciiTheme="minorHAnsi" w:eastAsiaTheme="minorEastAsia" w:hAnsiTheme="minorHAnsi" w:cstheme="minorBidi"/>
              <w:i w:val="0"/>
              <w:kern w:val="2"/>
              <w:sz w:val="24"/>
              <w:szCs w:val="24"/>
              <w:lang w:val="en-GB" w:eastAsia="en-GB"/>
              <w14:ligatures w14:val="standardContextual"/>
            </w:rPr>
          </w:pPr>
          <w:hyperlink w:anchor="_Toc189576561" w:history="1">
            <w:r w:rsidRPr="00203C1F">
              <w:rPr>
                <w:rStyle w:val="Hyperlink"/>
                <w:lang w:eastAsia="fr-FR"/>
              </w:rPr>
              <w:t>How to evaluate it?</w:t>
            </w:r>
            <w:r>
              <w:rPr>
                <w:webHidden/>
              </w:rPr>
              <w:tab/>
            </w:r>
            <w:r>
              <w:rPr>
                <w:webHidden/>
              </w:rPr>
              <w:fldChar w:fldCharType="begin"/>
            </w:r>
            <w:r>
              <w:rPr>
                <w:webHidden/>
              </w:rPr>
              <w:instrText xml:space="preserve"> PAGEREF _Toc189576561 \h </w:instrText>
            </w:r>
            <w:r>
              <w:rPr>
                <w:webHidden/>
              </w:rPr>
            </w:r>
            <w:r>
              <w:rPr>
                <w:webHidden/>
              </w:rPr>
              <w:fldChar w:fldCharType="separate"/>
            </w:r>
            <w:r w:rsidR="00343380">
              <w:rPr>
                <w:webHidden/>
              </w:rPr>
              <w:t>3</w:t>
            </w:r>
            <w:r>
              <w:rPr>
                <w:webHidden/>
              </w:rPr>
              <w:fldChar w:fldCharType="end"/>
            </w:r>
          </w:hyperlink>
        </w:p>
        <w:p w14:paraId="41630F55" w14:textId="4F3DCA9B" w:rsidR="00CA22A9" w:rsidRPr="00D6789C" w:rsidRDefault="00CA22A9">
          <w:pPr>
            <w:pStyle w:val="TOC2"/>
            <w:rPr>
              <w:rFonts w:asciiTheme="minorHAnsi" w:eastAsiaTheme="minorEastAsia" w:hAnsiTheme="minorHAnsi" w:cstheme="minorBidi"/>
              <w:kern w:val="2"/>
              <w:sz w:val="24"/>
              <w:szCs w:val="24"/>
              <w:lang w:val="en-GB" w:eastAsia="en-GB"/>
              <w14:ligatures w14:val="standardContextual"/>
            </w:rPr>
          </w:pPr>
          <w:hyperlink w:anchor="_Toc189576562" w:history="1">
            <w:r w:rsidRPr="00D6789C">
              <w:rPr>
                <w:rStyle w:val="Hyperlink"/>
              </w:rPr>
              <w:t>Repeatability</w:t>
            </w:r>
            <w:r w:rsidRPr="00D6789C">
              <w:rPr>
                <w:webHidden/>
              </w:rPr>
              <w:tab/>
            </w:r>
            <w:r w:rsidRPr="00D6789C">
              <w:rPr>
                <w:webHidden/>
              </w:rPr>
              <w:fldChar w:fldCharType="begin"/>
            </w:r>
            <w:r w:rsidRPr="00D6789C">
              <w:rPr>
                <w:webHidden/>
              </w:rPr>
              <w:instrText xml:space="preserve"> PAGEREF _Toc189576562 \h </w:instrText>
            </w:r>
            <w:r w:rsidRPr="00D6789C">
              <w:rPr>
                <w:webHidden/>
              </w:rPr>
            </w:r>
            <w:r w:rsidRPr="00D6789C">
              <w:rPr>
                <w:webHidden/>
              </w:rPr>
              <w:fldChar w:fldCharType="separate"/>
            </w:r>
            <w:r w:rsidR="00343380">
              <w:rPr>
                <w:webHidden/>
              </w:rPr>
              <w:t>3</w:t>
            </w:r>
            <w:r w:rsidRPr="00D6789C">
              <w:rPr>
                <w:webHidden/>
              </w:rPr>
              <w:fldChar w:fldCharType="end"/>
            </w:r>
          </w:hyperlink>
        </w:p>
        <w:p w14:paraId="10501975" w14:textId="6012E739" w:rsidR="00CA22A9" w:rsidRDefault="00CA22A9">
          <w:pPr>
            <w:pStyle w:val="TOC3"/>
            <w:rPr>
              <w:rFonts w:asciiTheme="minorHAnsi" w:eastAsiaTheme="minorEastAsia" w:hAnsiTheme="minorHAnsi" w:cstheme="minorBidi"/>
              <w:i w:val="0"/>
              <w:kern w:val="2"/>
              <w:sz w:val="24"/>
              <w:szCs w:val="24"/>
              <w:lang w:val="en-GB" w:eastAsia="en-GB"/>
              <w14:ligatures w14:val="standardContextual"/>
            </w:rPr>
          </w:pPr>
          <w:hyperlink w:anchor="_Toc189576563" w:history="1">
            <w:r w:rsidRPr="00D6789C">
              <w:rPr>
                <w:rStyle w:val="Hyperlink"/>
                <w:lang w:eastAsia="fr-FR"/>
              </w:rPr>
              <w:t>Definition (based on ISO 16 577:2016; reference to UPOV/INF/17)</w:t>
            </w:r>
            <w:r w:rsidRPr="00D6789C">
              <w:rPr>
                <w:webHidden/>
              </w:rPr>
              <w:tab/>
            </w:r>
            <w:r w:rsidRPr="00D6789C">
              <w:rPr>
                <w:webHidden/>
              </w:rPr>
              <w:fldChar w:fldCharType="begin"/>
            </w:r>
            <w:r w:rsidRPr="00D6789C">
              <w:rPr>
                <w:webHidden/>
              </w:rPr>
              <w:instrText xml:space="preserve"> PAGEREF _Toc189576563 \h </w:instrText>
            </w:r>
            <w:r w:rsidRPr="00D6789C">
              <w:rPr>
                <w:webHidden/>
              </w:rPr>
            </w:r>
            <w:r w:rsidRPr="00D6789C">
              <w:rPr>
                <w:webHidden/>
              </w:rPr>
              <w:fldChar w:fldCharType="separate"/>
            </w:r>
            <w:r w:rsidR="00343380">
              <w:rPr>
                <w:webHidden/>
              </w:rPr>
              <w:t>3</w:t>
            </w:r>
            <w:r w:rsidRPr="00D6789C">
              <w:rPr>
                <w:webHidden/>
              </w:rPr>
              <w:fldChar w:fldCharType="end"/>
            </w:r>
          </w:hyperlink>
        </w:p>
        <w:p w14:paraId="6BED4E5B" w14:textId="5C2CD381" w:rsidR="00CA22A9" w:rsidRDefault="00CA22A9">
          <w:pPr>
            <w:pStyle w:val="TOC3"/>
            <w:rPr>
              <w:rFonts w:asciiTheme="minorHAnsi" w:eastAsiaTheme="minorEastAsia" w:hAnsiTheme="minorHAnsi" w:cstheme="minorBidi"/>
              <w:i w:val="0"/>
              <w:kern w:val="2"/>
              <w:sz w:val="24"/>
              <w:szCs w:val="24"/>
              <w:lang w:val="en-GB" w:eastAsia="en-GB"/>
              <w14:ligatures w14:val="standardContextual"/>
            </w:rPr>
          </w:pPr>
          <w:hyperlink w:anchor="_Toc189576564" w:history="1">
            <w:r w:rsidRPr="00203C1F">
              <w:rPr>
                <w:rStyle w:val="Hyperlink"/>
                <w:lang w:eastAsia="fr-FR"/>
              </w:rPr>
              <w:t>Requirement</w:t>
            </w:r>
            <w:r>
              <w:rPr>
                <w:webHidden/>
              </w:rPr>
              <w:tab/>
            </w:r>
            <w:r>
              <w:rPr>
                <w:webHidden/>
              </w:rPr>
              <w:fldChar w:fldCharType="begin"/>
            </w:r>
            <w:r>
              <w:rPr>
                <w:webHidden/>
              </w:rPr>
              <w:instrText xml:space="preserve"> PAGEREF _Toc189576564 \h </w:instrText>
            </w:r>
            <w:r>
              <w:rPr>
                <w:webHidden/>
              </w:rPr>
            </w:r>
            <w:r>
              <w:rPr>
                <w:webHidden/>
              </w:rPr>
              <w:fldChar w:fldCharType="separate"/>
            </w:r>
            <w:r w:rsidR="00343380">
              <w:rPr>
                <w:webHidden/>
              </w:rPr>
              <w:t>3</w:t>
            </w:r>
            <w:r>
              <w:rPr>
                <w:webHidden/>
              </w:rPr>
              <w:fldChar w:fldCharType="end"/>
            </w:r>
          </w:hyperlink>
        </w:p>
        <w:p w14:paraId="09E3E363" w14:textId="20A24C32" w:rsidR="00CA22A9" w:rsidRDefault="00CA22A9">
          <w:pPr>
            <w:pStyle w:val="TOC3"/>
            <w:rPr>
              <w:rFonts w:asciiTheme="minorHAnsi" w:eastAsiaTheme="minorEastAsia" w:hAnsiTheme="minorHAnsi" w:cstheme="minorBidi"/>
              <w:i w:val="0"/>
              <w:kern w:val="2"/>
              <w:sz w:val="24"/>
              <w:szCs w:val="24"/>
              <w:lang w:val="en-GB" w:eastAsia="en-GB"/>
              <w14:ligatures w14:val="standardContextual"/>
            </w:rPr>
          </w:pPr>
          <w:hyperlink w:anchor="_Toc189576565" w:history="1">
            <w:r w:rsidRPr="00203C1F">
              <w:rPr>
                <w:rStyle w:val="Hyperlink"/>
                <w:lang w:eastAsia="fr-FR"/>
              </w:rPr>
              <w:t>How to evaluate it?</w:t>
            </w:r>
            <w:r>
              <w:rPr>
                <w:webHidden/>
              </w:rPr>
              <w:tab/>
            </w:r>
            <w:r>
              <w:rPr>
                <w:webHidden/>
              </w:rPr>
              <w:fldChar w:fldCharType="begin"/>
            </w:r>
            <w:r>
              <w:rPr>
                <w:webHidden/>
              </w:rPr>
              <w:instrText xml:space="preserve"> PAGEREF _Toc189576565 \h </w:instrText>
            </w:r>
            <w:r>
              <w:rPr>
                <w:webHidden/>
              </w:rPr>
            </w:r>
            <w:r>
              <w:rPr>
                <w:webHidden/>
              </w:rPr>
              <w:fldChar w:fldCharType="separate"/>
            </w:r>
            <w:r w:rsidR="00343380">
              <w:rPr>
                <w:webHidden/>
              </w:rPr>
              <w:t>3</w:t>
            </w:r>
            <w:r>
              <w:rPr>
                <w:webHidden/>
              </w:rPr>
              <w:fldChar w:fldCharType="end"/>
            </w:r>
          </w:hyperlink>
        </w:p>
        <w:p w14:paraId="0696F6DB" w14:textId="16D7B7EA" w:rsidR="00CA22A9" w:rsidRDefault="00CA22A9">
          <w:pPr>
            <w:pStyle w:val="TOC2"/>
            <w:rPr>
              <w:rFonts w:asciiTheme="minorHAnsi" w:eastAsiaTheme="minorEastAsia" w:hAnsiTheme="minorHAnsi" w:cstheme="minorBidi"/>
              <w:kern w:val="2"/>
              <w:sz w:val="24"/>
              <w:szCs w:val="24"/>
              <w:lang w:val="en-GB" w:eastAsia="en-GB"/>
              <w14:ligatures w14:val="standardContextual"/>
            </w:rPr>
          </w:pPr>
          <w:hyperlink w:anchor="_Toc189576566" w:history="1">
            <w:r w:rsidRPr="00203C1F">
              <w:rPr>
                <w:rStyle w:val="Hyperlink"/>
              </w:rPr>
              <w:t>Reproducibility</w:t>
            </w:r>
            <w:r>
              <w:rPr>
                <w:webHidden/>
              </w:rPr>
              <w:tab/>
            </w:r>
            <w:r>
              <w:rPr>
                <w:webHidden/>
              </w:rPr>
              <w:fldChar w:fldCharType="begin"/>
            </w:r>
            <w:r>
              <w:rPr>
                <w:webHidden/>
              </w:rPr>
              <w:instrText xml:space="preserve"> PAGEREF _Toc189576566 \h </w:instrText>
            </w:r>
            <w:r>
              <w:rPr>
                <w:webHidden/>
              </w:rPr>
            </w:r>
            <w:r>
              <w:rPr>
                <w:webHidden/>
              </w:rPr>
              <w:fldChar w:fldCharType="separate"/>
            </w:r>
            <w:r w:rsidR="00343380">
              <w:rPr>
                <w:webHidden/>
              </w:rPr>
              <w:t>3</w:t>
            </w:r>
            <w:r>
              <w:rPr>
                <w:webHidden/>
              </w:rPr>
              <w:fldChar w:fldCharType="end"/>
            </w:r>
          </w:hyperlink>
        </w:p>
        <w:p w14:paraId="6888D146" w14:textId="5135B9BD" w:rsidR="00CA22A9" w:rsidRDefault="00CA22A9">
          <w:pPr>
            <w:pStyle w:val="TOC3"/>
            <w:rPr>
              <w:rFonts w:asciiTheme="minorHAnsi" w:eastAsiaTheme="minorEastAsia" w:hAnsiTheme="minorHAnsi" w:cstheme="minorBidi"/>
              <w:i w:val="0"/>
              <w:kern w:val="2"/>
              <w:sz w:val="24"/>
              <w:szCs w:val="24"/>
              <w:lang w:val="en-GB" w:eastAsia="en-GB"/>
              <w14:ligatures w14:val="standardContextual"/>
            </w:rPr>
          </w:pPr>
          <w:hyperlink w:anchor="_Toc189576567" w:history="1">
            <w:r w:rsidRPr="00203C1F">
              <w:rPr>
                <w:rStyle w:val="Hyperlink"/>
                <w:lang w:eastAsia="fr-FR"/>
              </w:rPr>
              <w:t xml:space="preserve">Definition (based on ISO 16 577:2016; </w:t>
            </w:r>
            <w:r w:rsidRPr="00D6789C">
              <w:rPr>
                <w:rStyle w:val="Hyperlink"/>
                <w:lang w:eastAsia="fr-FR"/>
              </w:rPr>
              <w:t>reference to UPOV/INF/17)</w:t>
            </w:r>
            <w:r>
              <w:rPr>
                <w:webHidden/>
              </w:rPr>
              <w:tab/>
            </w:r>
            <w:r>
              <w:rPr>
                <w:webHidden/>
              </w:rPr>
              <w:fldChar w:fldCharType="begin"/>
            </w:r>
            <w:r>
              <w:rPr>
                <w:webHidden/>
              </w:rPr>
              <w:instrText xml:space="preserve"> PAGEREF _Toc189576567 \h </w:instrText>
            </w:r>
            <w:r>
              <w:rPr>
                <w:webHidden/>
              </w:rPr>
            </w:r>
            <w:r>
              <w:rPr>
                <w:webHidden/>
              </w:rPr>
              <w:fldChar w:fldCharType="separate"/>
            </w:r>
            <w:r w:rsidR="00343380">
              <w:rPr>
                <w:webHidden/>
              </w:rPr>
              <w:t>3</w:t>
            </w:r>
            <w:r>
              <w:rPr>
                <w:webHidden/>
              </w:rPr>
              <w:fldChar w:fldCharType="end"/>
            </w:r>
          </w:hyperlink>
        </w:p>
        <w:p w14:paraId="63D16097" w14:textId="0A29741F" w:rsidR="00CA22A9" w:rsidRDefault="00CA22A9">
          <w:pPr>
            <w:pStyle w:val="TOC3"/>
            <w:rPr>
              <w:rFonts w:asciiTheme="minorHAnsi" w:eastAsiaTheme="minorEastAsia" w:hAnsiTheme="minorHAnsi" w:cstheme="minorBidi"/>
              <w:i w:val="0"/>
              <w:kern w:val="2"/>
              <w:sz w:val="24"/>
              <w:szCs w:val="24"/>
              <w:lang w:val="en-GB" w:eastAsia="en-GB"/>
              <w14:ligatures w14:val="standardContextual"/>
            </w:rPr>
          </w:pPr>
          <w:hyperlink w:anchor="_Toc189576568" w:history="1">
            <w:r w:rsidRPr="00203C1F">
              <w:rPr>
                <w:rStyle w:val="Hyperlink"/>
                <w:lang w:eastAsia="fr-FR"/>
              </w:rPr>
              <w:t>Requirement</w:t>
            </w:r>
            <w:r>
              <w:rPr>
                <w:webHidden/>
              </w:rPr>
              <w:tab/>
            </w:r>
            <w:r>
              <w:rPr>
                <w:webHidden/>
              </w:rPr>
              <w:fldChar w:fldCharType="begin"/>
            </w:r>
            <w:r>
              <w:rPr>
                <w:webHidden/>
              </w:rPr>
              <w:instrText xml:space="preserve"> PAGEREF _Toc189576568 \h </w:instrText>
            </w:r>
            <w:r>
              <w:rPr>
                <w:webHidden/>
              </w:rPr>
            </w:r>
            <w:r>
              <w:rPr>
                <w:webHidden/>
              </w:rPr>
              <w:fldChar w:fldCharType="separate"/>
            </w:r>
            <w:r w:rsidR="00343380">
              <w:rPr>
                <w:webHidden/>
              </w:rPr>
              <w:t>3</w:t>
            </w:r>
            <w:r>
              <w:rPr>
                <w:webHidden/>
              </w:rPr>
              <w:fldChar w:fldCharType="end"/>
            </w:r>
          </w:hyperlink>
        </w:p>
        <w:p w14:paraId="72736BDA" w14:textId="2768114C" w:rsidR="00CA22A9" w:rsidRDefault="00CA22A9">
          <w:pPr>
            <w:pStyle w:val="TOC3"/>
            <w:rPr>
              <w:rFonts w:asciiTheme="minorHAnsi" w:eastAsiaTheme="minorEastAsia" w:hAnsiTheme="minorHAnsi" w:cstheme="minorBidi"/>
              <w:i w:val="0"/>
              <w:kern w:val="2"/>
              <w:sz w:val="24"/>
              <w:szCs w:val="24"/>
              <w:lang w:val="en-GB" w:eastAsia="en-GB"/>
              <w14:ligatures w14:val="standardContextual"/>
            </w:rPr>
          </w:pPr>
          <w:hyperlink w:anchor="_Toc189576569" w:history="1">
            <w:r w:rsidRPr="00203C1F">
              <w:rPr>
                <w:rStyle w:val="Hyperlink"/>
                <w:lang w:eastAsia="fr-FR"/>
              </w:rPr>
              <w:t>How to evaluate it?</w:t>
            </w:r>
            <w:r>
              <w:rPr>
                <w:webHidden/>
              </w:rPr>
              <w:tab/>
            </w:r>
            <w:r>
              <w:rPr>
                <w:webHidden/>
              </w:rPr>
              <w:fldChar w:fldCharType="begin"/>
            </w:r>
            <w:r>
              <w:rPr>
                <w:webHidden/>
              </w:rPr>
              <w:instrText xml:space="preserve"> PAGEREF _Toc189576569 \h </w:instrText>
            </w:r>
            <w:r>
              <w:rPr>
                <w:webHidden/>
              </w:rPr>
            </w:r>
            <w:r>
              <w:rPr>
                <w:webHidden/>
              </w:rPr>
              <w:fldChar w:fldCharType="separate"/>
            </w:r>
            <w:r w:rsidR="00343380">
              <w:rPr>
                <w:webHidden/>
              </w:rPr>
              <w:t>3</w:t>
            </w:r>
            <w:r>
              <w:rPr>
                <w:webHidden/>
              </w:rPr>
              <w:fldChar w:fldCharType="end"/>
            </w:r>
          </w:hyperlink>
        </w:p>
        <w:p w14:paraId="50FD72B8" w14:textId="7BB343B2" w:rsidR="00CA22A9" w:rsidRDefault="00CA22A9">
          <w:pPr>
            <w:pStyle w:val="TOC2"/>
            <w:rPr>
              <w:rFonts w:asciiTheme="minorHAnsi" w:eastAsiaTheme="minorEastAsia" w:hAnsiTheme="minorHAnsi" w:cstheme="minorBidi"/>
              <w:kern w:val="2"/>
              <w:sz w:val="24"/>
              <w:szCs w:val="24"/>
              <w:lang w:val="en-GB" w:eastAsia="en-GB"/>
              <w14:ligatures w14:val="standardContextual"/>
            </w:rPr>
          </w:pPr>
          <w:hyperlink w:anchor="_Toc189576570" w:history="1">
            <w:r w:rsidRPr="00203C1F">
              <w:rPr>
                <w:rStyle w:val="Hyperlink"/>
              </w:rPr>
              <w:t>Robustness</w:t>
            </w:r>
            <w:bookmarkStart w:id="2" w:name="_Hlk189815004"/>
            <w:r>
              <w:rPr>
                <w:webHidden/>
              </w:rPr>
              <w:tab/>
            </w:r>
            <w:bookmarkEnd w:id="2"/>
            <w:r>
              <w:rPr>
                <w:webHidden/>
              </w:rPr>
              <w:fldChar w:fldCharType="begin"/>
            </w:r>
            <w:r>
              <w:rPr>
                <w:webHidden/>
              </w:rPr>
              <w:instrText xml:space="preserve"> PAGEREF _Toc189576570 \h </w:instrText>
            </w:r>
            <w:r>
              <w:rPr>
                <w:webHidden/>
              </w:rPr>
            </w:r>
            <w:r>
              <w:rPr>
                <w:webHidden/>
              </w:rPr>
              <w:fldChar w:fldCharType="separate"/>
            </w:r>
            <w:r w:rsidR="00343380">
              <w:rPr>
                <w:webHidden/>
              </w:rPr>
              <w:t>4</w:t>
            </w:r>
            <w:r>
              <w:rPr>
                <w:webHidden/>
              </w:rPr>
              <w:fldChar w:fldCharType="end"/>
            </w:r>
          </w:hyperlink>
        </w:p>
        <w:p w14:paraId="2626E5AC" w14:textId="4DCF9601" w:rsidR="00CA22A9" w:rsidRDefault="00CA22A9">
          <w:pPr>
            <w:pStyle w:val="TOC3"/>
            <w:rPr>
              <w:rFonts w:asciiTheme="minorHAnsi" w:eastAsiaTheme="minorEastAsia" w:hAnsiTheme="minorHAnsi" w:cstheme="minorBidi"/>
              <w:i w:val="0"/>
              <w:kern w:val="2"/>
              <w:sz w:val="24"/>
              <w:szCs w:val="24"/>
              <w:lang w:val="en-GB" w:eastAsia="en-GB"/>
              <w14:ligatures w14:val="standardContextual"/>
            </w:rPr>
          </w:pPr>
          <w:hyperlink w:anchor="_Toc189576571" w:history="1">
            <w:r w:rsidRPr="00203C1F">
              <w:rPr>
                <w:rStyle w:val="Hyperlink"/>
                <w:lang w:eastAsia="fr-FR"/>
              </w:rPr>
              <w:t>Definition</w:t>
            </w:r>
            <w:r>
              <w:rPr>
                <w:webHidden/>
              </w:rPr>
              <w:tab/>
            </w:r>
            <w:r>
              <w:rPr>
                <w:webHidden/>
              </w:rPr>
              <w:fldChar w:fldCharType="begin"/>
            </w:r>
            <w:r>
              <w:rPr>
                <w:webHidden/>
              </w:rPr>
              <w:instrText xml:space="preserve"> PAGEREF _Toc189576571 \h </w:instrText>
            </w:r>
            <w:r>
              <w:rPr>
                <w:webHidden/>
              </w:rPr>
            </w:r>
            <w:r>
              <w:rPr>
                <w:webHidden/>
              </w:rPr>
              <w:fldChar w:fldCharType="separate"/>
            </w:r>
            <w:r w:rsidR="00343380">
              <w:rPr>
                <w:webHidden/>
              </w:rPr>
              <w:t>4</w:t>
            </w:r>
            <w:r>
              <w:rPr>
                <w:webHidden/>
              </w:rPr>
              <w:fldChar w:fldCharType="end"/>
            </w:r>
          </w:hyperlink>
        </w:p>
        <w:p w14:paraId="3D45AF62" w14:textId="1FF5C929" w:rsidR="00CA22A9" w:rsidRDefault="00CA22A9">
          <w:pPr>
            <w:pStyle w:val="TOC3"/>
            <w:rPr>
              <w:rFonts w:asciiTheme="minorHAnsi" w:eastAsiaTheme="minorEastAsia" w:hAnsiTheme="minorHAnsi" w:cstheme="minorBidi"/>
              <w:i w:val="0"/>
              <w:kern w:val="2"/>
              <w:sz w:val="24"/>
              <w:szCs w:val="24"/>
              <w:lang w:val="en-GB" w:eastAsia="en-GB"/>
              <w14:ligatures w14:val="standardContextual"/>
            </w:rPr>
          </w:pPr>
          <w:hyperlink w:anchor="_Toc189576572" w:history="1">
            <w:r w:rsidRPr="00203C1F">
              <w:rPr>
                <w:rStyle w:val="Hyperlink"/>
                <w:lang w:eastAsia="fr-FR"/>
              </w:rPr>
              <w:t>Requirement</w:t>
            </w:r>
            <w:r>
              <w:rPr>
                <w:webHidden/>
              </w:rPr>
              <w:tab/>
            </w:r>
            <w:r>
              <w:rPr>
                <w:webHidden/>
              </w:rPr>
              <w:fldChar w:fldCharType="begin"/>
            </w:r>
            <w:r>
              <w:rPr>
                <w:webHidden/>
              </w:rPr>
              <w:instrText xml:space="preserve"> PAGEREF _Toc189576572 \h </w:instrText>
            </w:r>
            <w:r>
              <w:rPr>
                <w:webHidden/>
              </w:rPr>
            </w:r>
            <w:r>
              <w:rPr>
                <w:webHidden/>
              </w:rPr>
              <w:fldChar w:fldCharType="separate"/>
            </w:r>
            <w:r w:rsidR="00343380">
              <w:rPr>
                <w:webHidden/>
              </w:rPr>
              <w:t>4</w:t>
            </w:r>
            <w:r>
              <w:rPr>
                <w:webHidden/>
              </w:rPr>
              <w:fldChar w:fldCharType="end"/>
            </w:r>
          </w:hyperlink>
        </w:p>
        <w:p w14:paraId="35660969" w14:textId="44125846" w:rsidR="00CA22A9" w:rsidRDefault="00CA22A9">
          <w:pPr>
            <w:pStyle w:val="TOC3"/>
            <w:rPr>
              <w:rFonts w:asciiTheme="minorHAnsi" w:eastAsiaTheme="minorEastAsia" w:hAnsiTheme="minorHAnsi" w:cstheme="minorBidi"/>
              <w:i w:val="0"/>
              <w:kern w:val="2"/>
              <w:sz w:val="24"/>
              <w:szCs w:val="24"/>
              <w:lang w:val="en-GB" w:eastAsia="en-GB"/>
              <w14:ligatures w14:val="standardContextual"/>
            </w:rPr>
          </w:pPr>
          <w:hyperlink w:anchor="_Toc189576573" w:history="1">
            <w:r w:rsidRPr="00203C1F">
              <w:rPr>
                <w:rStyle w:val="Hyperlink"/>
                <w:lang w:eastAsia="fr-FR"/>
              </w:rPr>
              <w:t>How to evaluate it?</w:t>
            </w:r>
            <w:r>
              <w:rPr>
                <w:webHidden/>
              </w:rPr>
              <w:tab/>
            </w:r>
            <w:r>
              <w:rPr>
                <w:webHidden/>
              </w:rPr>
              <w:fldChar w:fldCharType="begin"/>
            </w:r>
            <w:r>
              <w:rPr>
                <w:webHidden/>
              </w:rPr>
              <w:instrText xml:space="preserve"> PAGEREF _Toc189576573 \h </w:instrText>
            </w:r>
            <w:r>
              <w:rPr>
                <w:webHidden/>
              </w:rPr>
            </w:r>
            <w:r>
              <w:rPr>
                <w:webHidden/>
              </w:rPr>
              <w:fldChar w:fldCharType="separate"/>
            </w:r>
            <w:r w:rsidR="00343380">
              <w:rPr>
                <w:webHidden/>
              </w:rPr>
              <w:t>4</w:t>
            </w:r>
            <w:r>
              <w:rPr>
                <w:webHidden/>
              </w:rPr>
              <w:fldChar w:fldCharType="end"/>
            </w:r>
          </w:hyperlink>
        </w:p>
        <w:p w14:paraId="2683CD93" w14:textId="10A9A6EC" w:rsidR="00CA22A9" w:rsidRDefault="00CA22A9">
          <w:pPr>
            <w:pStyle w:val="TOC1"/>
            <w:tabs>
              <w:tab w:val="left" w:pos="567"/>
            </w:tabs>
            <w:rPr>
              <w:rFonts w:asciiTheme="minorHAnsi" w:eastAsiaTheme="minorEastAsia" w:hAnsiTheme="minorHAnsi" w:cstheme="minorBidi"/>
              <w:bCs w:val="0"/>
              <w:caps w:val="0"/>
              <w:kern w:val="2"/>
              <w:sz w:val="24"/>
              <w:szCs w:val="24"/>
              <w:lang w:val="en-GB" w:eastAsia="en-GB"/>
              <w14:ligatures w14:val="standardContextual"/>
            </w:rPr>
          </w:pPr>
          <w:hyperlink w:anchor="_Toc189576574" w:history="1">
            <w:r w:rsidRPr="00203C1F">
              <w:rPr>
                <w:rStyle w:val="Hyperlink"/>
                <w:lang w:val="en-GB"/>
              </w:rPr>
              <w:t>IV.</w:t>
            </w:r>
            <w:r>
              <w:rPr>
                <w:rFonts w:asciiTheme="minorHAnsi" w:eastAsiaTheme="minorEastAsia" w:hAnsiTheme="minorHAnsi" w:cstheme="minorBidi"/>
                <w:bCs w:val="0"/>
                <w:caps w:val="0"/>
                <w:kern w:val="2"/>
                <w:sz w:val="24"/>
                <w:szCs w:val="24"/>
                <w:lang w:val="en-GB" w:eastAsia="en-GB"/>
                <w14:ligatures w14:val="standardContextual"/>
              </w:rPr>
              <w:tab/>
            </w:r>
            <w:r w:rsidRPr="00203C1F">
              <w:rPr>
                <w:rStyle w:val="Hyperlink"/>
                <w:lang w:val="en-GB"/>
              </w:rPr>
              <w:t>Validation report</w:t>
            </w:r>
            <w:r>
              <w:rPr>
                <w:webHidden/>
              </w:rPr>
              <w:tab/>
            </w:r>
            <w:r>
              <w:rPr>
                <w:webHidden/>
              </w:rPr>
              <w:fldChar w:fldCharType="begin"/>
            </w:r>
            <w:r>
              <w:rPr>
                <w:webHidden/>
              </w:rPr>
              <w:instrText xml:space="preserve"> PAGEREF _Toc189576574 \h </w:instrText>
            </w:r>
            <w:r>
              <w:rPr>
                <w:webHidden/>
              </w:rPr>
            </w:r>
            <w:r>
              <w:rPr>
                <w:webHidden/>
              </w:rPr>
              <w:fldChar w:fldCharType="separate"/>
            </w:r>
            <w:r w:rsidR="00343380">
              <w:rPr>
                <w:webHidden/>
              </w:rPr>
              <w:t>4</w:t>
            </w:r>
            <w:r>
              <w:rPr>
                <w:webHidden/>
              </w:rPr>
              <w:fldChar w:fldCharType="end"/>
            </w:r>
          </w:hyperlink>
        </w:p>
        <w:p w14:paraId="29723E5F" w14:textId="4B0F2098" w:rsidR="00CA22A9" w:rsidRDefault="00CA22A9">
          <w:pPr>
            <w:pStyle w:val="TOC1"/>
            <w:tabs>
              <w:tab w:val="left" w:pos="567"/>
            </w:tabs>
            <w:rPr>
              <w:rFonts w:asciiTheme="minorHAnsi" w:eastAsiaTheme="minorEastAsia" w:hAnsiTheme="minorHAnsi" w:cstheme="minorBidi"/>
              <w:bCs w:val="0"/>
              <w:caps w:val="0"/>
              <w:kern w:val="2"/>
              <w:sz w:val="24"/>
              <w:szCs w:val="24"/>
              <w:lang w:val="en-GB" w:eastAsia="en-GB"/>
              <w14:ligatures w14:val="standardContextual"/>
            </w:rPr>
          </w:pPr>
          <w:hyperlink w:anchor="_Toc189576575" w:history="1">
            <w:r w:rsidRPr="00203C1F">
              <w:rPr>
                <w:rStyle w:val="Hyperlink"/>
                <w:lang w:val="en-GB"/>
              </w:rPr>
              <w:t>V.</w:t>
            </w:r>
            <w:r>
              <w:rPr>
                <w:rFonts w:asciiTheme="minorHAnsi" w:eastAsiaTheme="minorEastAsia" w:hAnsiTheme="minorHAnsi" w:cstheme="minorBidi"/>
                <w:bCs w:val="0"/>
                <w:caps w:val="0"/>
                <w:kern w:val="2"/>
                <w:sz w:val="24"/>
                <w:szCs w:val="24"/>
                <w:lang w:val="en-GB" w:eastAsia="en-GB"/>
                <w14:ligatures w14:val="standardContextual"/>
              </w:rPr>
              <w:tab/>
            </w:r>
            <w:r w:rsidRPr="00203C1F">
              <w:rPr>
                <w:rStyle w:val="Hyperlink"/>
                <w:lang w:val="en-GB"/>
              </w:rPr>
              <w:t>Standard Protocol for characteristic-specific molecular marker protocol</w:t>
            </w:r>
            <w:r>
              <w:rPr>
                <w:webHidden/>
              </w:rPr>
              <w:tab/>
            </w:r>
            <w:r>
              <w:rPr>
                <w:webHidden/>
              </w:rPr>
              <w:fldChar w:fldCharType="begin"/>
            </w:r>
            <w:r>
              <w:rPr>
                <w:webHidden/>
              </w:rPr>
              <w:instrText xml:space="preserve"> PAGEREF _Toc189576575 \h </w:instrText>
            </w:r>
            <w:r>
              <w:rPr>
                <w:webHidden/>
              </w:rPr>
            </w:r>
            <w:r>
              <w:rPr>
                <w:webHidden/>
              </w:rPr>
              <w:fldChar w:fldCharType="separate"/>
            </w:r>
            <w:r w:rsidR="00343380">
              <w:rPr>
                <w:webHidden/>
              </w:rPr>
              <w:t>5</w:t>
            </w:r>
            <w:r>
              <w:rPr>
                <w:webHidden/>
              </w:rPr>
              <w:fldChar w:fldCharType="end"/>
            </w:r>
          </w:hyperlink>
        </w:p>
        <w:p w14:paraId="1ECF7E4F" w14:textId="398F17D2" w:rsidR="00CA22A9" w:rsidRDefault="00CA22A9">
          <w:pPr>
            <w:pStyle w:val="TOC1"/>
            <w:tabs>
              <w:tab w:val="left" w:pos="567"/>
            </w:tabs>
          </w:pPr>
          <w:hyperlink w:anchor="_Toc189576576" w:history="1">
            <w:r w:rsidRPr="00203C1F">
              <w:rPr>
                <w:rStyle w:val="Hyperlink"/>
                <w:lang w:val="en-GB"/>
              </w:rPr>
              <w:t>VI.</w:t>
            </w:r>
            <w:r>
              <w:rPr>
                <w:rFonts w:asciiTheme="minorHAnsi" w:eastAsiaTheme="minorEastAsia" w:hAnsiTheme="minorHAnsi" w:cstheme="minorBidi"/>
                <w:bCs w:val="0"/>
                <w:caps w:val="0"/>
                <w:kern w:val="2"/>
                <w:sz w:val="24"/>
                <w:szCs w:val="24"/>
                <w:lang w:val="en-GB" w:eastAsia="en-GB"/>
                <w14:ligatures w14:val="standardContextual"/>
              </w:rPr>
              <w:tab/>
            </w:r>
            <w:r w:rsidRPr="00203C1F">
              <w:rPr>
                <w:rStyle w:val="Hyperlink"/>
                <w:lang w:val="en-GB"/>
              </w:rPr>
              <w:t>Follow-up survey after approval</w:t>
            </w:r>
            <w:r>
              <w:rPr>
                <w:webHidden/>
              </w:rPr>
              <w:tab/>
            </w:r>
            <w:r>
              <w:rPr>
                <w:webHidden/>
              </w:rPr>
              <w:fldChar w:fldCharType="begin"/>
            </w:r>
            <w:r>
              <w:rPr>
                <w:webHidden/>
              </w:rPr>
              <w:instrText xml:space="preserve"> PAGEREF _Toc189576576 \h </w:instrText>
            </w:r>
            <w:r>
              <w:rPr>
                <w:webHidden/>
              </w:rPr>
            </w:r>
            <w:r>
              <w:rPr>
                <w:webHidden/>
              </w:rPr>
              <w:fldChar w:fldCharType="separate"/>
            </w:r>
            <w:r w:rsidR="00343380">
              <w:rPr>
                <w:webHidden/>
              </w:rPr>
              <w:t>7</w:t>
            </w:r>
            <w:r>
              <w:rPr>
                <w:webHidden/>
              </w:rPr>
              <w:fldChar w:fldCharType="end"/>
            </w:r>
          </w:hyperlink>
        </w:p>
        <w:p w14:paraId="54E454C4" w14:textId="58023D9E" w:rsidR="00507C29" w:rsidRPr="00507C29" w:rsidRDefault="00507C29" w:rsidP="00507C29">
          <w:pPr>
            <w:rPr>
              <w:rFonts w:eastAsiaTheme="minorEastAsia"/>
              <w:noProof/>
            </w:rPr>
          </w:pPr>
          <w:r>
            <w:rPr>
              <w:rFonts w:eastAsiaTheme="minorEastAsia"/>
              <w:noProof/>
            </w:rPr>
            <w:t>VII</w:t>
          </w:r>
          <w:r>
            <w:rPr>
              <w:rFonts w:eastAsiaTheme="minorEastAsia"/>
              <w:noProof/>
            </w:rPr>
            <w:tab/>
            <w:t>L</w:t>
          </w:r>
          <w:r w:rsidR="00FE7C90">
            <w:rPr>
              <w:rFonts w:eastAsiaTheme="minorEastAsia"/>
              <w:noProof/>
            </w:rPr>
            <w:t>ITERATURE</w:t>
          </w:r>
          <w:r w:rsidR="00343380" w:rsidRPr="00343380">
            <w:rPr>
              <w:rFonts w:eastAsiaTheme="minorEastAsia"/>
              <w:noProof/>
            </w:rPr>
            <w:t>..............................................................................................................................</w:t>
          </w:r>
          <w:r w:rsidR="00343380">
            <w:rPr>
              <w:rFonts w:eastAsiaTheme="minorEastAsia"/>
              <w:noProof/>
            </w:rPr>
            <w:t>...........</w:t>
          </w:r>
          <w:r w:rsidR="00343380" w:rsidRPr="00343380">
            <w:rPr>
              <w:rFonts w:eastAsiaTheme="minorEastAsia"/>
              <w:noProof/>
            </w:rPr>
            <w:t>.</w:t>
          </w:r>
          <w:r w:rsidR="00FE7C90">
            <w:rPr>
              <w:rFonts w:eastAsiaTheme="minorEastAsia"/>
              <w:noProof/>
            </w:rPr>
            <w:t>7</w:t>
          </w:r>
        </w:p>
        <w:p w14:paraId="0F7F1CAF" w14:textId="192D4E3B" w:rsidR="001D0FC4" w:rsidRPr="00214FF8" w:rsidRDefault="001D0FC4" w:rsidP="001D0FC4">
          <w:pPr>
            <w:rPr>
              <w:rFonts w:cs="Arial"/>
              <w:lang w:eastAsia="fr-FR"/>
            </w:rPr>
          </w:pPr>
          <w:r w:rsidRPr="00214FF8">
            <w:rPr>
              <w:rFonts w:cs="Arial"/>
              <w:lang w:eastAsia="fr-FR"/>
            </w:rPr>
            <w:fldChar w:fldCharType="end"/>
          </w:r>
        </w:p>
      </w:sdtContent>
    </w:sdt>
    <w:p w14:paraId="30B2CA38" w14:textId="77777777" w:rsidR="001D0FC4" w:rsidRPr="00890C47" w:rsidRDefault="001D0FC4" w:rsidP="001D0FC4">
      <w:pPr>
        <w:pStyle w:val="Heading1"/>
        <w:rPr>
          <w:lang w:val="en-GB"/>
        </w:rPr>
      </w:pPr>
      <w:bookmarkStart w:id="3" w:name="_Toc189576551"/>
      <w:r w:rsidRPr="00890C47">
        <w:rPr>
          <w:lang w:val="en-GB"/>
        </w:rPr>
        <w:lastRenderedPageBreak/>
        <w:t>Associated documents</w:t>
      </w:r>
      <w:bookmarkEnd w:id="3"/>
    </w:p>
    <w:p w14:paraId="0A962A07" w14:textId="77777777" w:rsidR="001D0FC4" w:rsidRPr="00B3623A" w:rsidRDefault="001D0FC4" w:rsidP="001D0FC4">
      <w:pPr>
        <w:rPr>
          <w:rFonts w:cs="Arial"/>
          <w:lang w:eastAsia="fr-FR"/>
        </w:rPr>
      </w:pPr>
    </w:p>
    <w:p w14:paraId="3DD70AC9" w14:textId="77777777" w:rsidR="001D0FC4" w:rsidRPr="00214FF8" w:rsidRDefault="001D0FC4" w:rsidP="001D0FC4">
      <w:pPr>
        <w:numPr>
          <w:ilvl w:val="0"/>
          <w:numId w:val="3"/>
        </w:numPr>
        <w:tabs>
          <w:tab w:val="left" w:pos="567"/>
        </w:tabs>
        <w:spacing w:after="60"/>
        <w:ind w:left="2268" w:hanging="1911"/>
        <w:rPr>
          <w:rFonts w:eastAsia="Calibri" w:cs="Arial"/>
        </w:rPr>
      </w:pPr>
      <w:r w:rsidRPr="00214FF8">
        <w:rPr>
          <w:rFonts w:eastAsia="Calibri" w:cs="Arial"/>
        </w:rPr>
        <w:t>TG/1/3:</w:t>
      </w:r>
      <w:r w:rsidRPr="00214FF8">
        <w:rPr>
          <w:rFonts w:eastAsia="Calibri" w:cs="Arial"/>
        </w:rPr>
        <w:tab/>
        <w:t>General Introduction to the Examination of Distinctness, Uniformity and Stability and the Development of Harmonized Descriptions of new Varieties of Plants</w:t>
      </w:r>
    </w:p>
    <w:p w14:paraId="7DC59C5B" w14:textId="77777777" w:rsidR="001D0FC4" w:rsidRDefault="001D0FC4" w:rsidP="001D0FC4">
      <w:pPr>
        <w:numPr>
          <w:ilvl w:val="0"/>
          <w:numId w:val="3"/>
        </w:numPr>
        <w:tabs>
          <w:tab w:val="left" w:pos="567"/>
        </w:tabs>
        <w:spacing w:after="60"/>
        <w:ind w:left="2268" w:hanging="1911"/>
        <w:rPr>
          <w:rFonts w:eastAsia="Calibri" w:cs="Arial"/>
        </w:rPr>
      </w:pPr>
      <w:r w:rsidRPr="00214FF8">
        <w:rPr>
          <w:rFonts w:eastAsia="Calibri" w:cs="Arial"/>
        </w:rPr>
        <w:t>TG/44:</w:t>
      </w:r>
      <w:r w:rsidRPr="00214FF8">
        <w:rPr>
          <w:rFonts w:eastAsia="Calibri" w:cs="Arial"/>
        </w:rPr>
        <w:tab/>
        <w:t>Guidelines for the conduct of tests for distinctness, uniformity and stability for Tomato</w:t>
      </w:r>
    </w:p>
    <w:p w14:paraId="5596EB4E" w14:textId="7A04847E" w:rsidR="00673EC1" w:rsidRDefault="00673EC1" w:rsidP="001D0FC4">
      <w:pPr>
        <w:numPr>
          <w:ilvl w:val="0"/>
          <w:numId w:val="3"/>
        </w:numPr>
        <w:tabs>
          <w:tab w:val="left" w:pos="567"/>
        </w:tabs>
        <w:spacing w:after="60"/>
        <w:ind w:left="2268" w:hanging="1911"/>
        <w:rPr>
          <w:rFonts w:eastAsia="Calibri" w:cs="Arial"/>
        </w:rPr>
      </w:pPr>
      <w:r>
        <w:rPr>
          <w:rFonts w:eastAsia="Calibri" w:cs="Arial"/>
        </w:rPr>
        <w:t>TGP/9:</w:t>
      </w:r>
      <w:r>
        <w:rPr>
          <w:rFonts w:eastAsia="Calibri" w:cs="Arial"/>
        </w:rPr>
        <w:tab/>
        <w:t>Examining distinctness</w:t>
      </w:r>
    </w:p>
    <w:p w14:paraId="2618D9C7" w14:textId="50BCB697" w:rsidR="00673EC1" w:rsidRPr="00214FF8" w:rsidRDefault="00673EC1" w:rsidP="001D0FC4">
      <w:pPr>
        <w:numPr>
          <w:ilvl w:val="0"/>
          <w:numId w:val="3"/>
        </w:numPr>
        <w:tabs>
          <w:tab w:val="left" w:pos="567"/>
        </w:tabs>
        <w:spacing w:after="60"/>
        <w:ind w:left="2268" w:hanging="1911"/>
        <w:rPr>
          <w:rFonts w:eastAsia="Calibri" w:cs="Arial"/>
        </w:rPr>
      </w:pPr>
      <w:r>
        <w:rPr>
          <w:rFonts w:eastAsia="Calibri" w:cs="Arial"/>
        </w:rPr>
        <w:t>TGP/10:</w:t>
      </w:r>
      <w:r>
        <w:rPr>
          <w:rFonts w:eastAsia="Calibri" w:cs="Arial"/>
        </w:rPr>
        <w:tab/>
        <w:t>Examining uniformity</w:t>
      </w:r>
    </w:p>
    <w:p w14:paraId="210C3902" w14:textId="77777777" w:rsidR="001D0FC4" w:rsidRPr="00171D58" w:rsidRDefault="001D0FC4" w:rsidP="001D0FC4">
      <w:pPr>
        <w:numPr>
          <w:ilvl w:val="0"/>
          <w:numId w:val="3"/>
        </w:numPr>
        <w:tabs>
          <w:tab w:val="left" w:pos="567"/>
        </w:tabs>
        <w:spacing w:after="60"/>
        <w:ind w:left="2268" w:hanging="1911"/>
        <w:rPr>
          <w:rFonts w:eastAsia="Calibri" w:cs="Arial"/>
        </w:rPr>
      </w:pPr>
      <w:r w:rsidRPr="00171D58">
        <w:rPr>
          <w:rFonts w:eastAsia="Calibri" w:cs="Arial"/>
        </w:rPr>
        <w:t>TGP/12:</w:t>
      </w:r>
      <w:r w:rsidRPr="00171D58">
        <w:rPr>
          <w:rFonts w:eastAsia="Calibri" w:cs="Arial"/>
        </w:rPr>
        <w:tab/>
        <w:t>Guidance on Certain Physiological Characteristics</w:t>
      </w:r>
    </w:p>
    <w:p w14:paraId="6CF3D592" w14:textId="77777777" w:rsidR="001D0FC4" w:rsidRPr="00214FF8" w:rsidRDefault="001D0FC4" w:rsidP="001D0FC4">
      <w:pPr>
        <w:numPr>
          <w:ilvl w:val="0"/>
          <w:numId w:val="3"/>
        </w:numPr>
        <w:tabs>
          <w:tab w:val="left" w:pos="567"/>
        </w:tabs>
        <w:spacing w:after="60"/>
        <w:ind w:left="2268" w:hanging="1911"/>
        <w:rPr>
          <w:rFonts w:eastAsia="Calibri" w:cs="Arial"/>
          <w:b/>
          <w:bCs/>
        </w:rPr>
      </w:pPr>
      <w:r w:rsidRPr="00214FF8">
        <w:rPr>
          <w:rFonts w:eastAsia="Calibri" w:cs="Arial"/>
        </w:rPr>
        <w:t>TGP/15:</w:t>
      </w:r>
      <w:r w:rsidRPr="00214FF8">
        <w:rPr>
          <w:rFonts w:eastAsia="Calibri" w:cs="Arial"/>
        </w:rPr>
        <w:tab/>
        <w:t>Guidance on the Use of Biochemical and Molecular Markers in the Examination of Distinctness, Uniformity and Stability (DUS)</w:t>
      </w:r>
    </w:p>
    <w:p w14:paraId="615525B1" w14:textId="77777777" w:rsidR="001D0FC4" w:rsidRPr="00F00420" w:rsidRDefault="001D0FC4" w:rsidP="001D0FC4">
      <w:pPr>
        <w:numPr>
          <w:ilvl w:val="0"/>
          <w:numId w:val="3"/>
        </w:numPr>
        <w:tabs>
          <w:tab w:val="left" w:pos="567"/>
        </w:tabs>
        <w:spacing w:after="60"/>
        <w:ind w:left="2268" w:hanging="1911"/>
        <w:rPr>
          <w:rFonts w:eastAsia="Calibri" w:cs="Arial"/>
        </w:rPr>
      </w:pPr>
      <w:r w:rsidRPr="00F00420">
        <w:rPr>
          <w:rFonts w:eastAsia="Calibri" w:cs="Arial"/>
        </w:rPr>
        <w:t>UPOV/INF/17</w:t>
      </w:r>
      <w:r w:rsidRPr="00F00420">
        <w:rPr>
          <w:rFonts w:eastAsia="Calibri" w:cs="Arial"/>
        </w:rPr>
        <w:tab/>
        <w:t xml:space="preserve">Guidelines for DNA-Profiling: Molecular Marker Selection and Database Construction </w:t>
      </w:r>
    </w:p>
    <w:p w14:paraId="1A93E79F" w14:textId="77777777" w:rsidR="001D0FC4" w:rsidRPr="00214FF8" w:rsidRDefault="001D0FC4" w:rsidP="001D0FC4">
      <w:pPr>
        <w:numPr>
          <w:ilvl w:val="0"/>
          <w:numId w:val="3"/>
        </w:numPr>
        <w:tabs>
          <w:tab w:val="left" w:pos="567"/>
        </w:tabs>
        <w:spacing w:after="60"/>
        <w:ind w:left="2268" w:hanging="1911"/>
        <w:rPr>
          <w:rFonts w:eastAsia="Calibri" w:cs="Arial"/>
          <w:b/>
          <w:bCs/>
        </w:rPr>
      </w:pPr>
      <w:r w:rsidRPr="00F7015D">
        <w:rPr>
          <w:rFonts w:eastAsia="Calibri" w:cs="Arial"/>
        </w:rPr>
        <w:t>UPOV/INF/18</w:t>
      </w:r>
      <w:r w:rsidRPr="00F7015D">
        <w:rPr>
          <w:rFonts w:eastAsia="Calibri" w:cs="Arial"/>
        </w:rPr>
        <w:tab/>
      </w:r>
      <w:r w:rsidRPr="00214FF8">
        <w:rPr>
          <w:rFonts w:eastAsia="Calibri" w:cs="Arial"/>
        </w:rPr>
        <w:t>Possible use of Molecular Markers in the Examination of Distinctness, Uniformity and Stability (DUS)</w:t>
      </w:r>
    </w:p>
    <w:p w14:paraId="37297CF4" w14:textId="77777777" w:rsidR="001D0FC4" w:rsidRPr="00F935AB" w:rsidRDefault="001D0FC4" w:rsidP="001D0FC4">
      <w:pPr>
        <w:numPr>
          <w:ilvl w:val="0"/>
          <w:numId w:val="3"/>
        </w:numPr>
        <w:tabs>
          <w:tab w:val="left" w:pos="567"/>
        </w:tabs>
        <w:spacing w:after="200" w:line="276" w:lineRule="auto"/>
        <w:ind w:left="2268" w:hanging="1911"/>
        <w:contextualSpacing/>
        <w:rPr>
          <w:rFonts w:eastAsia="Calibri" w:cs="Arial"/>
        </w:rPr>
      </w:pPr>
      <w:r w:rsidRPr="00F935AB">
        <w:rPr>
          <w:rFonts w:eastAsia="Calibri" w:cs="Arial"/>
        </w:rPr>
        <w:t>TWV/54/7 + Add</w:t>
      </w:r>
      <w:r w:rsidRPr="00F935AB">
        <w:rPr>
          <w:rFonts w:eastAsia="Calibri" w:cs="Arial"/>
        </w:rPr>
        <w:tab/>
        <w:t>Use of molecular techniques in DUS examination</w:t>
      </w:r>
    </w:p>
    <w:p w14:paraId="4DAB6D56" w14:textId="77777777" w:rsidR="001D0FC4" w:rsidRDefault="001D0FC4" w:rsidP="001D0FC4">
      <w:pPr>
        <w:rPr>
          <w:rFonts w:eastAsia="Calibri"/>
          <w:highlight w:val="darkCyan"/>
        </w:rPr>
      </w:pPr>
    </w:p>
    <w:p w14:paraId="448E6E22" w14:textId="77777777" w:rsidR="001D0FC4" w:rsidRPr="00214FF8" w:rsidRDefault="001D0FC4" w:rsidP="001D0FC4">
      <w:pPr>
        <w:rPr>
          <w:rFonts w:eastAsia="Calibri"/>
          <w:highlight w:val="darkCyan"/>
        </w:rPr>
      </w:pPr>
    </w:p>
    <w:p w14:paraId="2723EBCA" w14:textId="77777777" w:rsidR="001D0FC4" w:rsidRPr="00890C47" w:rsidRDefault="001D0FC4" w:rsidP="001D0FC4">
      <w:pPr>
        <w:pStyle w:val="Heading1"/>
        <w:rPr>
          <w:lang w:val="en-GB"/>
        </w:rPr>
      </w:pPr>
      <w:bookmarkStart w:id="4" w:name="_Toc189576552"/>
      <w:r w:rsidRPr="00890C47">
        <w:rPr>
          <w:lang w:val="en-GB"/>
        </w:rPr>
        <w:t>I.</w:t>
      </w:r>
      <w:r w:rsidRPr="00890C47">
        <w:rPr>
          <w:lang w:val="en-GB"/>
        </w:rPr>
        <w:tab/>
        <w:t>Objectives of these guidelines</w:t>
      </w:r>
      <w:bookmarkEnd w:id="4"/>
    </w:p>
    <w:p w14:paraId="28196B44" w14:textId="77777777" w:rsidR="001D0FC4" w:rsidRPr="00214FF8" w:rsidRDefault="001D0FC4" w:rsidP="001D0FC4">
      <w:pPr>
        <w:keepNext/>
        <w:rPr>
          <w:lang w:eastAsia="fr-FR"/>
        </w:rPr>
      </w:pPr>
    </w:p>
    <w:p w14:paraId="7234E318" w14:textId="77777777"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 xml:space="preserve">The purpose of these guidelines is to elaborate the principles contained in the General Introduction (document TG/1/3), and its associated TGP documents, into detailed practical guidance for the harmonized validation of a new method based on </w:t>
      </w:r>
      <w:r w:rsidRPr="00D6789C">
        <w:rPr>
          <w:lang w:eastAsia="fr-FR"/>
        </w:rPr>
        <w:t>characteristic-specific</w:t>
      </w:r>
      <w:r w:rsidRPr="00344454">
        <w:rPr>
          <w:lang w:eastAsia="fr-FR"/>
        </w:rPr>
        <w:t xml:space="preserve"> </w:t>
      </w:r>
      <w:r w:rsidRPr="00214FF8">
        <w:rPr>
          <w:lang w:eastAsia="fr-FR"/>
        </w:rPr>
        <w:t>molecular marker before its use as an alternative test.  Performance criteria required for the validation are described and guidance on their assessment is given. These guidelines also describe a standard protocol with mandatory and optional chapters. Survey after acceptance is also described.</w:t>
      </w:r>
    </w:p>
    <w:p w14:paraId="71F9164A" w14:textId="77777777" w:rsidR="001D0FC4" w:rsidRPr="00214FF8" w:rsidRDefault="001D0FC4" w:rsidP="001D0FC4">
      <w:pPr>
        <w:rPr>
          <w:lang w:eastAsia="fr-FR"/>
        </w:rPr>
      </w:pPr>
    </w:p>
    <w:p w14:paraId="7BD8F769" w14:textId="77777777"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If a different technique is used, the laboratory must validate its method in comparison to the reference method (to show that the alternative technique gives the same results).</w:t>
      </w:r>
    </w:p>
    <w:p w14:paraId="4D9871F4" w14:textId="77777777" w:rsidR="001D0FC4" w:rsidRDefault="001D0FC4" w:rsidP="001D0FC4">
      <w:pPr>
        <w:rPr>
          <w:lang w:eastAsia="fr-FR"/>
        </w:rPr>
      </w:pPr>
    </w:p>
    <w:p w14:paraId="6C586C63" w14:textId="77777777" w:rsidR="001D0FC4" w:rsidRPr="00214FF8" w:rsidRDefault="001D0FC4" w:rsidP="001D0FC4">
      <w:pPr>
        <w:rPr>
          <w:lang w:eastAsia="fr-FR"/>
        </w:rPr>
      </w:pPr>
    </w:p>
    <w:p w14:paraId="17430E80" w14:textId="77777777" w:rsidR="001D0FC4" w:rsidRPr="00890C47" w:rsidRDefault="001D0FC4" w:rsidP="001D0FC4">
      <w:pPr>
        <w:pStyle w:val="Heading1"/>
        <w:rPr>
          <w:lang w:val="en-GB"/>
        </w:rPr>
      </w:pPr>
      <w:bookmarkStart w:id="5" w:name="_Toc189576553"/>
      <w:r w:rsidRPr="00890C47">
        <w:rPr>
          <w:lang w:val="en-GB"/>
        </w:rPr>
        <w:t>II.</w:t>
      </w:r>
      <w:r w:rsidRPr="00890C47">
        <w:rPr>
          <w:lang w:val="en-GB"/>
        </w:rPr>
        <w:tab/>
        <w:t>Scope of these guidelines</w:t>
      </w:r>
      <w:bookmarkEnd w:id="5"/>
    </w:p>
    <w:p w14:paraId="028FF3C9" w14:textId="77777777" w:rsidR="001D0FC4" w:rsidRPr="00214FF8" w:rsidRDefault="001D0FC4" w:rsidP="001D0FC4">
      <w:pPr>
        <w:rPr>
          <w:lang w:eastAsia="fr-FR"/>
        </w:rPr>
      </w:pPr>
    </w:p>
    <w:p w14:paraId="67880ABB" w14:textId="77777777" w:rsidR="001D0FC4" w:rsidRPr="00214FF8" w:rsidRDefault="001D0FC4" w:rsidP="001D0FC4">
      <w:pPr>
        <w:rPr>
          <w:lang w:eastAsia="fr-FR"/>
        </w:rPr>
      </w:pPr>
      <w:r w:rsidRPr="00214FF8">
        <w:rPr>
          <w:lang w:eastAsia="fr-FR"/>
        </w:rPr>
        <w:t>All crops</w:t>
      </w:r>
    </w:p>
    <w:p w14:paraId="6910A849" w14:textId="77777777" w:rsidR="001D0FC4" w:rsidRPr="00214FF8" w:rsidRDefault="001D0FC4" w:rsidP="001D0FC4">
      <w:pPr>
        <w:rPr>
          <w:lang w:eastAsia="fr-FR"/>
        </w:rPr>
      </w:pPr>
      <w:r w:rsidRPr="00214FF8">
        <w:rPr>
          <w:lang w:eastAsia="fr-FR"/>
        </w:rPr>
        <w:t>Characteristic-Specific Molecular Markers</w:t>
      </w:r>
    </w:p>
    <w:p w14:paraId="3F14EF22" w14:textId="77777777" w:rsidR="001D0FC4" w:rsidRPr="00214FF8" w:rsidRDefault="001D0FC4" w:rsidP="001D0FC4">
      <w:pPr>
        <w:rPr>
          <w:lang w:eastAsia="fr-FR"/>
        </w:rPr>
      </w:pPr>
      <w:r w:rsidRPr="00214FF8">
        <w:rPr>
          <w:lang w:eastAsia="fr-FR"/>
        </w:rPr>
        <w:t>For the examination of Distinctness, Uniformity, and Stability (DUS).</w:t>
      </w:r>
    </w:p>
    <w:p w14:paraId="2126B36F" w14:textId="77777777" w:rsidR="001D0FC4" w:rsidRDefault="001D0FC4" w:rsidP="001D0FC4">
      <w:pPr>
        <w:rPr>
          <w:lang w:eastAsia="fr-FR"/>
        </w:rPr>
      </w:pPr>
    </w:p>
    <w:p w14:paraId="64BE791F" w14:textId="77777777" w:rsidR="001D0FC4" w:rsidRPr="00214FF8" w:rsidRDefault="001D0FC4" w:rsidP="001D0FC4">
      <w:pPr>
        <w:rPr>
          <w:lang w:eastAsia="fr-FR"/>
        </w:rPr>
      </w:pPr>
    </w:p>
    <w:p w14:paraId="7A398542" w14:textId="77777777" w:rsidR="001D0FC4" w:rsidRPr="00890C47" w:rsidRDefault="001D0FC4" w:rsidP="001D0FC4">
      <w:pPr>
        <w:pStyle w:val="Heading1"/>
        <w:rPr>
          <w:lang w:val="en-GB"/>
        </w:rPr>
      </w:pPr>
      <w:bookmarkStart w:id="6" w:name="_Toc189576554"/>
      <w:r w:rsidRPr="00890C47">
        <w:rPr>
          <w:lang w:val="en-GB"/>
        </w:rPr>
        <w:t>III.</w:t>
      </w:r>
      <w:r w:rsidRPr="00890C47">
        <w:rPr>
          <w:lang w:val="en-GB"/>
        </w:rPr>
        <w:tab/>
        <w:t>Performance criteria for a new molecular marker based protocol</w:t>
      </w:r>
      <w:bookmarkEnd w:id="6"/>
    </w:p>
    <w:p w14:paraId="0BBA1D81" w14:textId="77777777" w:rsidR="001D0FC4" w:rsidRPr="00214FF8" w:rsidRDefault="001D0FC4" w:rsidP="001D0FC4">
      <w:pPr>
        <w:rPr>
          <w:lang w:eastAsia="fr-FR"/>
        </w:rPr>
      </w:pPr>
    </w:p>
    <w:p w14:paraId="7E0AA052" w14:textId="77777777" w:rsidR="001D0FC4" w:rsidRPr="00214FF8" w:rsidRDefault="001D0FC4" w:rsidP="001D0FC4">
      <w:pPr>
        <w:pStyle w:val="Heading2"/>
      </w:pPr>
      <w:bookmarkStart w:id="7" w:name="_Toc189576555"/>
      <w:r w:rsidRPr="00214FF8">
        <w:t>Specificity</w:t>
      </w:r>
      <w:bookmarkEnd w:id="7"/>
    </w:p>
    <w:p w14:paraId="78B56E69" w14:textId="77777777" w:rsidR="001D0FC4" w:rsidRPr="00214FF8" w:rsidRDefault="001D0FC4" w:rsidP="001D0FC4">
      <w:pPr>
        <w:rPr>
          <w:lang w:eastAsia="fr-FR"/>
        </w:rPr>
      </w:pPr>
    </w:p>
    <w:p w14:paraId="63599F77" w14:textId="77777777" w:rsidR="001D0FC4" w:rsidRDefault="001D0FC4" w:rsidP="001D0FC4">
      <w:pPr>
        <w:pStyle w:val="Heading3"/>
        <w:rPr>
          <w:lang w:eastAsia="fr-FR"/>
        </w:rPr>
      </w:pPr>
      <w:bookmarkStart w:id="8" w:name="_Toc189576556"/>
      <w:r w:rsidRPr="00EF767F">
        <w:rPr>
          <w:lang w:eastAsia="fr-FR"/>
        </w:rPr>
        <w:t>Definition</w:t>
      </w:r>
      <w:bookmarkEnd w:id="8"/>
    </w:p>
    <w:p w14:paraId="004772AC" w14:textId="77777777" w:rsidR="001D0FC4" w:rsidRPr="00EF767F" w:rsidRDefault="001D0FC4" w:rsidP="001D0FC4">
      <w:pPr>
        <w:rPr>
          <w:u w:val="single"/>
          <w:lang w:eastAsia="fr-FR"/>
        </w:rPr>
      </w:pPr>
    </w:p>
    <w:p w14:paraId="5006ED2D" w14:textId="77777777"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 xml:space="preserve">Correlation between the genotype and the phenotype, </w:t>
      </w:r>
      <w:r w:rsidRPr="00214FF8">
        <w:rPr>
          <w:i/>
          <w:iCs/>
          <w:lang w:eastAsia="fr-FR"/>
        </w:rPr>
        <w:t xml:space="preserve">i.e. </w:t>
      </w:r>
      <w:r w:rsidRPr="00214FF8">
        <w:rPr>
          <w:lang w:eastAsia="fr-FR"/>
        </w:rPr>
        <w:t>reliability of the link between the marker and the characteristic.</w:t>
      </w:r>
    </w:p>
    <w:p w14:paraId="34C5B622" w14:textId="77777777" w:rsidR="001D0FC4" w:rsidRPr="00214FF8" w:rsidRDefault="001D0FC4" w:rsidP="001D0FC4">
      <w:pPr>
        <w:rPr>
          <w:lang w:eastAsia="fr-FR"/>
        </w:rPr>
      </w:pPr>
    </w:p>
    <w:p w14:paraId="1FE915F6" w14:textId="77777777" w:rsidR="001D0FC4" w:rsidRDefault="001D0FC4" w:rsidP="001D0FC4">
      <w:pPr>
        <w:pStyle w:val="Heading3"/>
        <w:rPr>
          <w:lang w:eastAsia="fr-FR"/>
        </w:rPr>
      </w:pPr>
      <w:bookmarkStart w:id="9" w:name="_Toc189576557"/>
      <w:r w:rsidRPr="00214FF8">
        <w:rPr>
          <w:lang w:eastAsia="fr-FR"/>
        </w:rPr>
        <w:t>Requirement</w:t>
      </w:r>
      <w:bookmarkEnd w:id="9"/>
    </w:p>
    <w:p w14:paraId="4BFC4F84" w14:textId="77777777" w:rsidR="001D0FC4" w:rsidRPr="00214FF8" w:rsidRDefault="001D0FC4" w:rsidP="001D0FC4">
      <w:pPr>
        <w:rPr>
          <w:u w:val="single"/>
          <w:lang w:eastAsia="fr-FR"/>
        </w:rPr>
      </w:pPr>
    </w:p>
    <w:p w14:paraId="2CB7F42C" w14:textId="465EB7FF" w:rsidR="001D0FC4"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In principle 100% of correlation between the genotype and the phenotype. If the correlation is less than 100% a follow-up test(s) should be performed to ensure the reliability of the results. A decision rule can be used in that case. Less than 100% correlation can be caused by other genetics</w:t>
      </w:r>
      <w:r w:rsidR="00D6789C">
        <w:rPr>
          <w:lang w:eastAsia="fr-FR"/>
        </w:rPr>
        <w:t>.</w:t>
      </w:r>
    </w:p>
    <w:p w14:paraId="477ED940" w14:textId="77777777" w:rsidR="00D6789C" w:rsidRPr="00214FF8" w:rsidRDefault="00D6789C" w:rsidP="001D0FC4">
      <w:pPr>
        <w:rPr>
          <w:lang w:eastAsia="fr-FR"/>
        </w:rPr>
      </w:pPr>
    </w:p>
    <w:p w14:paraId="281F051E" w14:textId="3CBCA223" w:rsidR="001D0FC4" w:rsidRPr="0065412E" w:rsidRDefault="001D0FC4" w:rsidP="001D0FC4">
      <w:pPr>
        <w:rPr>
          <w:i/>
          <w:iCs/>
          <w:lang w:eastAsia="fr-FR"/>
        </w:rPr>
      </w:pPr>
      <w:r w:rsidRPr="0065412E">
        <w:rPr>
          <w:i/>
          <w:iCs/>
          <w:lang w:eastAsia="fr-FR"/>
        </w:rPr>
        <w:t>How to evaluate it</w:t>
      </w:r>
      <w:r w:rsidR="00447248" w:rsidRPr="0065412E">
        <w:rPr>
          <w:i/>
          <w:iCs/>
          <w:lang w:eastAsia="fr-FR"/>
        </w:rPr>
        <w:t>?</w:t>
      </w:r>
    </w:p>
    <w:p w14:paraId="49140E2A" w14:textId="77777777" w:rsidR="001D0FC4" w:rsidRPr="00214FF8" w:rsidRDefault="001D0FC4" w:rsidP="001D0FC4">
      <w:pPr>
        <w:rPr>
          <w:u w:val="single"/>
          <w:lang w:eastAsia="fr-FR"/>
        </w:rPr>
      </w:pPr>
    </w:p>
    <w:p w14:paraId="217038ED" w14:textId="03D111E9" w:rsidR="001D0FC4" w:rsidRPr="00CB22AB" w:rsidRDefault="001D0FC4" w:rsidP="001D0FC4">
      <w:pPr>
        <w:rPr>
          <w:lang w:eastAsia="fr-FR"/>
        </w:rPr>
      </w:pPr>
      <w:r w:rsidRPr="00F00420">
        <w:rPr>
          <w:lang w:eastAsia="fr-FR"/>
        </w:rPr>
        <w:fldChar w:fldCharType="begin"/>
      </w:r>
      <w:r w:rsidRPr="00F00420">
        <w:rPr>
          <w:lang w:eastAsia="fr-FR"/>
        </w:rPr>
        <w:instrText xml:space="preserve"> AUTONUM  </w:instrText>
      </w:r>
      <w:r w:rsidRPr="00F00420">
        <w:rPr>
          <w:lang w:eastAsia="fr-FR"/>
        </w:rPr>
        <w:fldChar w:fldCharType="end"/>
      </w:r>
      <w:r w:rsidRPr="00F00420">
        <w:rPr>
          <w:lang w:eastAsia="fr-FR"/>
        </w:rPr>
        <w:tab/>
        <w:t>Number of varieties:</w:t>
      </w:r>
      <w:r w:rsidR="00CB22AB">
        <w:rPr>
          <w:lang w:eastAsia="fr-FR"/>
        </w:rPr>
        <w:t xml:space="preserve"> </w:t>
      </w:r>
      <w:r w:rsidRPr="00CB22AB">
        <w:rPr>
          <w:lang w:eastAsia="fr-FR"/>
        </w:rPr>
        <w:t xml:space="preserve">To start the marker selection process an appropriate number of varieties (development set) is needed to reflect at the most the diversity observed within the group/crop/species/type for which the markers are intended to be discriminative. </w:t>
      </w:r>
    </w:p>
    <w:p w14:paraId="6944A381" w14:textId="77777777" w:rsidR="001D0FC4" w:rsidRPr="00214FF8" w:rsidRDefault="001D0FC4" w:rsidP="001D0FC4">
      <w:pPr>
        <w:rPr>
          <w:lang w:eastAsia="fr-FR"/>
        </w:rPr>
      </w:pPr>
    </w:p>
    <w:p w14:paraId="094169AD" w14:textId="302E0918" w:rsidR="001D0FC4" w:rsidRPr="00214FF8" w:rsidRDefault="001D0FC4" w:rsidP="001D0FC4">
      <w:pPr>
        <w:keepLines/>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 xml:space="preserve">Varieties should represent the different states of expression (if known varieties with heterozygous and homozygous </w:t>
      </w:r>
      <w:r w:rsidRPr="00D93AE1">
        <w:rPr>
          <w:lang w:eastAsia="fr-FR"/>
        </w:rPr>
        <w:t>state),</w:t>
      </w:r>
      <w:r w:rsidRPr="00214FF8">
        <w:rPr>
          <w:lang w:eastAsia="fr-FR"/>
        </w:rPr>
        <w:t xml:space="preserve"> coming from different </w:t>
      </w:r>
      <w:r w:rsidR="00CB22AB" w:rsidRPr="00CB22AB">
        <w:rPr>
          <w:lang w:eastAsia="fr-FR"/>
        </w:rPr>
        <w:t>plant breeders</w:t>
      </w:r>
      <w:r w:rsidRPr="00214FF8">
        <w:rPr>
          <w:lang w:eastAsia="fr-FR"/>
        </w:rPr>
        <w:t>, with different genetic background of the characteristic and different types. Well phenotypically characterized varieties for the trait of interest should be used when available.</w:t>
      </w:r>
    </w:p>
    <w:p w14:paraId="2D7FD536" w14:textId="77777777" w:rsidR="001D0FC4" w:rsidRPr="00214FF8" w:rsidRDefault="001D0FC4" w:rsidP="001D0FC4">
      <w:pPr>
        <w:rPr>
          <w:lang w:eastAsia="fr-FR"/>
        </w:rPr>
      </w:pPr>
    </w:p>
    <w:p w14:paraId="1C233769" w14:textId="67D72CEB"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 xml:space="preserve">Number of plants per variety: At least one plant per variety if </w:t>
      </w:r>
      <w:r w:rsidR="009E4279">
        <w:rPr>
          <w:lang w:eastAsia="fr-FR"/>
        </w:rPr>
        <w:t xml:space="preserve">available varieties are </w:t>
      </w:r>
      <w:r w:rsidRPr="00214FF8">
        <w:rPr>
          <w:lang w:eastAsia="fr-FR"/>
        </w:rPr>
        <w:t xml:space="preserve">phenotypically </w:t>
      </w:r>
      <w:r w:rsidR="009E4279">
        <w:rPr>
          <w:lang w:eastAsia="fr-FR"/>
        </w:rPr>
        <w:t xml:space="preserve">well </w:t>
      </w:r>
      <w:r w:rsidRPr="00214FF8">
        <w:rPr>
          <w:lang w:eastAsia="fr-FR"/>
        </w:rPr>
        <w:t xml:space="preserve">characterized. If not, the number of plants </w:t>
      </w:r>
      <w:r w:rsidR="009E4279">
        <w:rPr>
          <w:lang w:eastAsia="fr-FR"/>
        </w:rPr>
        <w:t>should</w:t>
      </w:r>
      <w:r w:rsidRPr="00214FF8">
        <w:rPr>
          <w:lang w:eastAsia="fr-FR"/>
        </w:rPr>
        <w:t xml:space="preserve"> be the same as for the morphological observation described in the UPOV </w:t>
      </w:r>
      <w:r w:rsidR="004814B2">
        <w:rPr>
          <w:lang w:eastAsia="fr-FR"/>
        </w:rPr>
        <w:t>Test G</w:t>
      </w:r>
      <w:r w:rsidRPr="00214FF8">
        <w:rPr>
          <w:lang w:eastAsia="fr-FR"/>
        </w:rPr>
        <w:t>uideline</w:t>
      </w:r>
      <w:r w:rsidR="004814B2">
        <w:rPr>
          <w:lang w:eastAsia="fr-FR"/>
        </w:rPr>
        <w:t>s</w:t>
      </w:r>
      <w:r w:rsidRPr="00214FF8">
        <w:rPr>
          <w:lang w:eastAsia="fr-FR"/>
        </w:rPr>
        <w:t>.</w:t>
      </w:r>
    </w:p>
    <w:p w14:paraId="0E1172DE" w14:textId="77777777" w:rsidR="001D0FC4" w:rsidRPr="00214FF8" w:rsidRDefault="001D0FC4" w:rsidP="001D0FC4">
      <w:pPr>
        <w:rPr>
          <w:lang w:eastAsia="fr-FR"/>
        </w:rPr>
      </w:pPr>
    </w:p>
    <w:p w14:paraId="4E705935" w14:textId="77777777"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The specificity can be assessed within one laboratory.</w:t>
      </w:r>
    </w:p>
    <w:p w14:paraId="471B26B0" w14:textId="77777777" w:rsidR="001D0FC4" w:rsidRPr="00214FF8" w:rsidRDefault="001D0FC4" w:rsidP="001D0FC4">
      <w:pPr>
        <w:rPr>
          <w:lang w:eastAsia="fr-FR"/>
        </w:rPr>
      </w:pPr>
    </w:p>
    <w:p w14:paraId="77A7FF02" w14:textId="77777777" w:rsidR="001D0FC4" w:rsidRPr="00214FF8" w:rsidRDefault="001D0FC4" w:rsidP="001D0FC4">
      <w:pPr>
        <w:pStyle w:val="Heading2"/>
      </w:pPr>
      <w:bookmarkStart w:id="10" w:name="_Toc189576558"/>
      <w:r w:rsidRPr="00214FF8">
        <w:t>Sensitivity and limit of detection</w:t>
      </w:r>
      <w:bookmarkEnd w:id="10"/>
    </w:p>
    <w:p w14:paraId="02EEDE1A" w14:textId="77777777" w:rsidR="001D0FC4" w:rsidRPr="00214FF8" w:rsidRDefault="001D0FC4" w:rsidP="001D0FC4">
      <w:pPr>
        <w:rPr>
          <w:lang w:eastAsia="fr-FR"/>
        </w:rPr>
      </w:pPr>
    </w:p>
    <w:p w14:paraId="20CB2DFD" w14:textId="77777777" w:rsidR="001D0FC4" w:rsidRDefault="001D0FC4" w:rsidP="001D0FC4">
      <w:pPr>
        <w:pStyle w:val="Heading3"/>
        <w:rPr>
          <w:lang w:eastAsia="fr-FR"/>
        </w:rPr>
      </w:pPr>
      <w:bookmarkStart w:id="11" w:name="_Toc189576559"/>
      <w:r w:rsidRPr="00214FF8">
        <w:rPr>
          <w:lang w:eastAsia="fr-FR"/>
        </w:rPr>
        <w:t>Definition</w:t>
      </w:r>
      <w:bookmarkEnd w:id="11"/>
    </w:p>
    <w:p w14:paraId="2DB012A3" w14:textId="77777777" w:rsidR="001D0FC4" w:rsidRPr="00214FF8" w:rsidRDefault="001D0FC4" w:rsidP="001D0FC4">
      <w:pPr>
        <w:rPr>
          <w:u w:val="single"/>
          <w:lang w:eastAsia="fr-FR"/>
        </w:rPr>
      </w:pPr>
    </w:p>
    <w:p w14:paraId="56C7CBE2" w14:textId="77777777"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The limit of detection is defined as the minimal quantity of the target that can be reliably detected.</w:t>
      </w:r>
    </w:p>
    <w:p w14:paraId="49E580AE" w14:textId="77777777" w:rsidR="001D0FC4" w:rsidRDefault="001D0FC4" w:rsidP="001D0FC4">
      <w:pPr>
        <w:rPr>
          <w:lang w:eastAsia="fr-FR"/>
        </w:rPr>
      </w:pPr>
    </w:p>
    <w:p w14:paraId="04867C6A" w14:textId="77777777"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In case of analyses performed on bulk samples (</w:t>
      </w:r>
      <w:r w:rsidRPr="00214FF8">
        <w:rPr>
          <w:i/>
          <w:iCs/>
          <w:lang w:eastAsia="fr-FR"/>
        </w:rPr>
        <w:t>e.g.</w:t>
      </w:r>
      <w:r w:rsidRPr="00214FF8">
        <w:rPr>
          <w:lang w:eastAsia="fr-FR"/>
        </w:rPr>
        <w:t xml:space="preserve"> pool of different plants of the same variety) the sensitivity is critical and must be assessed. For the use on individual plants, the quantity of the target is not critical and this performance criterium is optional.</w:t>
      </w:r>
    </w:p>
    <w:p w14:paraId="365FA2E2" w14:textId="77777777" w:rsidR="001D0FC4" w:rsidRPr="00214FF8" w:rsidRDefault="001D0FC4" w:rsidP="001D0FC4">
      <w:pPr>
        <w:rPr>
          <w:lang w:eastAsia="fr-FR"/>
        </w:rPr>
      </w:pPr>
    </w:p>
    <w:p w14:paraId="0DF890AC" w14:textId="77777777" w:rsidR="001D0FC4" w:rsidRPr="00214FF8" w:rsidRDefault="001D0FC4" w:rsidP="001D0FC4">
      <w:pPr>
        <w:pStyle w:val="Heading3"/>
        <w:rPr>
          <w:lang w:eastAsia="fr-FR"/>
        </w:rPr>
      </w:pPr>
      <w:bookmarkStart w:id="12" w:name="_Toc189576560"/>
      <w:r w:rsidRPr="00214FF8">
        <w:rPr>
          <w:lang w:eastAsia="fr-FR"/>
        </w:rPr>
        <w:t>Requirement</w:t>
      </w:r>
      <w:bookmarkEnd w:id="12"/>
    </w:p>
    <w:p w14:paraId="13D2BE6D" w14:textId="77777777" w:rsidR="001D0FC4" w:rsidRDefault="001D0FC4" w:rsidP="001D0FC4">
      <w:pPr>
        <w:rPr>
          <w:lang w:eastAsia="fr-FR"/>
        </w:rPr>
      </w:pPr>
    </w:p>
    <w:p w14:paraId="16E007F5" w14:textId="77777777"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In the case of the pool, the requirement would be to detect at least one off-type in the pool.</w:t>
      </w:r>
    </w:p>
    <w:p w14:paraId="2B9E09DD" w14:textId="77777777" w:rsidR="001D0FC4" w:rsidRPr="00214FF8" w:rsidRDefault="001D0FC4" w:rsidP="001D0FC4">
      <w:pPr>
        <w:rPr>
          <w:lang w:eastAsia="fr-FR"/>
        </w:rPr>
      </w:pPr>
    </w:p>
    <w:p w14:paraId="68ED1E2D" w14:textId="77777777" w:rsidR="001D0FC4" w:rsidRPr="00214FF8" w:rsidRDefault="001D0FC4" w:rsidP="001D0FC4">
      <w:pPr>
        <w:pStyle w:val="Heading3"/>
        <w:rPr>
          <w:lang w:eastAsia="fr-FR"/>
        </w:rPr>
      </w:pPr>
      <w:bookmarkStart w:id="13" w:name="_Toc189576561"/>
      <w:r w:rsidRPr="00214FF8">
        <w:rPr>
          <w:lang w:eastAsia="fr-FR"/>
        </w:rPr>
        <w:t>How to evaluate it?</w:t>
      </w:r>
      <w:bookmarkEnd w:id="13"/>
    </w:p>
    <w:p w14:paraId="6BAB9BB5" w14:textId="77777777" w:rsidR="001D0FC4" w:rsidRDefault="001D0FC4" w:rsidP="001D0FC4">
      <w:pPr>
        <w:rPr>
          <w:lang w:eastAsia="fr-FR"/>
        </w:rPr>
      </w:pPr>
    </w:p>
    <w:p w14:paraId="31815628" w14:textId="77777777"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 xml:space="preserve">To use artificial samples by mixing one off-type to a pool to check the sensitivity of the detection. </w:t>
      </w:r>
    </w:p>
    <w:p w14:paraId="49D3097B" w14:textId="77777777" w:rsidR="001D0FC4" w:rsidRPr="00214FF8" w:rsidRDefault="001D0FC4" w:rsidP="001D0FC4">
      <w:pPr>
        <w:rPr>
          <w:lang w:eastAsia="fr-FR"/>
        </w:rPr>
      </w:pPr>
    </w:p>
    <w:p w14:paraId="401FA26E" w14:textId="77777777" w:rsidR="001D0FC4" w:rsidRPr="00214FF8" w:rsidRDefault="001D0FC4" w:rsidP="001D0FC4">
      <w:pPr>
        <w:pStyle w:val="Heading2"/>
      </w:pPr>
      <w:bookmarkStart w:id="14" w:name="_Toc189576562"/>
      <w:r w:rsidRPr="00214FF8">
        <w:t>Repeatability</w:t>
      </w:r>
      <w:bookmarkEnd w:id="14"/>
    </w:p>
    <w:p w14:paraId="18A71B46" w14:textId="77777777" w:rsidR="001D0FC4" w:rsidRPr="00214FF8" w:rsidRDefault="001D0FC4" w:rsidP="001D0FC4">
      <w:pPr>
        <w:keepNext/>
        <w:rPr>
          <w:lang w:eastAsia="fr-FR"/>
        </w:rPr>
      </w:pPr>
    </w:p>
    <w:p w14:paraId="5DCE0094" w14:textId="77777777" w:rsidR="001D0FC4" w:rsidRPr="00F00420" w:rsidRDefault="001D0FC4" w:rsidP="001D0FC4">
      <w:pPr>
        <w:pStyle w:val="Heading3"/>
        <w:rPr>
          <w:lang w:eastAsia="fr-FR"/>
        </w:rPr>
      </w:pPr>
      <w:bookmarkStart w:id="15" w:name="_Toc189576563"/>
      <w:r w:rsidRPr="00214FF8">
        <w:rPr>
          <w:lang w:eastAsia="fr-FR"/>
        </w:rPr>
        <w:t xml:space="preserve">Definition </w:t>
      </w:r>
      <w:r w:rsidRPr="00F00420">
        <w:rPr>
          <w:lang w:eastAsia="fr-FR"/>
        </w:rPr>
        <w:t>(based on ISO 16 577:2016</w:t>
      </w:r>
      <w:r w:rsidRPr="00D93AE1">
        <w:rPr>
          <w:lang w:eastAsia="fr-FR"/>
        </w:rPr>
        <w:t>; reference to UPOV/INF/17</w:t>
      </w:r>
      <w:r w:rsidRPr="00F00420">
        <w:rPr>
          <w:lang w:eastAsia="fr-FR"/>
        </w:rPr>
        <w:t>)</w:t>
      </w:r>
      <w:bookmarkEnd w:id="15"/>
    </w:p>
    <w:p w14:paraId="42F917CA" w14:textId="77777777" w:rsidR="001D0FC4" w:rsidRPr="00F00420" w:rsidRDefault="001D0FC4" w:rsidP="001D0FC4">
      <w:pPr>
        <w:rPr>
          <w:lang w:eastAsia="fr-FR"/>
        </w:rPr>
      </w:pPr>
    </w:p>
    <w:p w14:paraId="69127B0B" w14:textId="77777777" w:rsidR="001D0FC4" w:rsidRPr="00214FF8" w:rsidRDefault="001D0FC4" w:rsidP="001D0FC4">
      <w:pPr>
        <w:rPr>
          <w:lang w:eastAsia="fr-FR"/>
        </w:rPr>
      </w:pPr>
      <w:r w:rsidRPr="00F00420">
        <w:rPr>
          <w:lang w:eastAsia="fr-FR"/>
        </w:rPr>
        <w:fldChar w:fldCharType="begin"/>
      </w:r>
      <w:r w:rsidRPr="00F00420">
        <w:rPr>
          <w:lang w:eastAsia="fr-FR"/>
        </w:rPr>
        <w:instrText xml:space="preserve"> AUTONUM  </w:instrText>
      </w:r>
      <w:r w:rsidRPr="00F00420">
        <w:rPr>
          <w:lang w:eastAsia="fr-FR"/>
        </w:rPr>
        <w:fldChar w:fldCharType="end"/>
      </w:r>
      <w:r w:rsidRPr="00F00420">
        <w:rPr>
          <w:lang w:eastAsia="fr-FR"/>
        </w:rPr>
        <w:tab/>
        <w:t>“</w:t>
      </w:r>
      <w:r w:rsidRPr="00F00420">
        <w:rPr>
          <w:i/>
          <w:iCs/>
          <w:lang w:eastAsia="fr-FR"/>
        </w:rPr>
        <w:t>Repeatability;</w:t>
      </w:r>
      <w:r w:rsidRPr="00F00420" w:rsidDel="00102729">
        <w:rPr>
          <w:i/>
          <w:iCs/>
          <w:lang w:eastAsia="fr-FR"/>
        </w:rPr>
        <w:t xml:space="preserve"> </w:t>
      </w:r>
      <w:r w:rsidRPr="00F00420">
        <w:rPr>
          <w:i/>
          <w:iCs/>
          <w:lang w:eastAsia="fr-FR"/>
        </w:rPr>
        <w:t>where identical test results are obtained with the same method, on identical test items, in the same laboratory, by the same operator, using the same equipment within short intervals of time.”</w:t>
      </w:r>
    </w:p>
    <w:p w14:paraId="05074CF6" w14:textId="77777777" w:rsidR="001D0FC4" w:rsidRDefault="001D0FC4" w:rsidP="001D0FC4">
      <w:pPr>
        <w:rPr>
          <w:lang w:eastAsia="fr-FR"/>
        </w:rPr>
      </w:pPr>
    </w:p>
    <w:p w14:paraId="0420256E" w14:textId="77777777"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 xml:space="preserve">For qualitative methods, accordance is equivalent to the repeatability of quantitative methods (Langton </w:t>
      </w:r>
      <w:r w:rsidRPr="00171D58">
        <w:rPr>
          <w:i/>
          <w:iCs/>
          <w:lang w:eastAsia="fr-FR"/>
        </w:rPr>
        <w:t>et al</w:t>
      </w:r>
      <w:r w:rsidRPr="00214FF8">
        <w:rPr>
          <w:lang w:eastAsia="fr-FR"/>
        </w:rPr>
        <w:t>., 2002).</w:t>
      </w:r>
    </w:p>
    <w:p w14:paraId="604898F1" w14:textId="77777777" w:rsidR="001D0FC4" w:rsidRPr="00214FF8" w:rsidRDefault="001D0FC4" w:rsidP="001D0FC4">
      <w:pPr>
        <w:rPr>
          <w:u w:val="single"/>
          <w:lang w:eastAsia="fr-FR"/>
        </w:rPr>
      </w:pPr>
    </w:p>
    <w:p w14:paraId="5C20474A" w14:textId="77777777" w:rsidR="001D0FC4" w:rsidRPr="00214FF8" w:rsidRDefault="001D0FC4" w:rsidP="001D0FC4">
      <w:pPr>
        <w:pStyle w:val="Heading3"/>
        <w:rPr>
          <w:lang w:eastAsia="fr-FR"/>
        </w:rPr>
      </w:pPr>
      <w:bookmarkStart w:id="16" w:name="_Toc189576564"/>
      <w:r w:rsidRPr="00214FF8">
        <w:rPr>
          <w:lang w:eastAsia="fr-FR"/>
        </w:rPr>
        <w:t>Requirement</w:t>
      </w:r>
      <w:bookmarkEnd w:id="16"/>
    </w:p>
    <w:p w14:paraId="5D5BD7BE" w14:textId="77777777" w:rsidR="001D0FC4" w:rsidRDefault="001D0FC4" w:rsidP="001D0FC4">
      <w:pPr>
        <w:rPr>
          <w:lang w:eastAsia="fr-FR"/>
        </w:rPr>
      </w:pPr>
    </w:p>
    <w:p w14:paraId="27708983" w14:textId="77777777"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 xml:space="preserve">Ideally 100%, a performance ≥90% is generally accepted. If the repeatability of the reference method is published the repeatability of the alternative method should be at least equivalent. </w:t>
      </w:r>
    </w:p>
    <w:p w14:paraId="2358393D" w14:textId="77777777" w:rsidR="001D0FC4" w:rsidRPr="00214FF8" w:rsidRDefault="001D0FC4" w:rsidP="001D0FC4">
      <w:pPr>
        <w:rPr>
          <w:lang w:eastAsia="fr-FR"/>
        </w:rPr>
      </w:pPr>
    </w:p>
    <w:p w14:paraId="0A989A0D" w14:textId="77777777" w:rsidR="001D0FC4" w:rsidRPr="00214FF8" w:rsidRDefault="001D0FC4" w:rsidP="001D0FC4">
      <w:pPr>
        <w:pStyle w:val="Heading3"/>
        <w:rPr>
          <w:lang w:eastAsia="fr-FR"/>
        </w:rPr>
      </w:pPr>
      <w:bookmarkStart w:id="17" w:name="_Toc189576565"/>
      <w:r w:rsidRPr="00214FF8">
        <w:rPr>
          <w:lang w:eastAsia="fr-FR"/>
        </w:rPr>
        <w:t>How to evaluate it?</w:t>
      </w:r>
      <w:bookmarkEnd w:id="17"/>
    </w:p>
    <w:p w14:paraId="1B5AA3BD" w14:textId="77777777" w:rsidR="001D0FC4" w:rsidRDefault="001D0FC4" w:rsidP="001D0FC4">
      <w:pPr>
        <w:rPr>
          <w:lang w:eastAsia="fr-FR"/>
        </w:rPr>
      </w:pPr>
    </w:p>
    <w:p w14:paraId="7F485A48" w14:textId="77777777"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The repeatability can be evaluated within one laboratory.</w:t>
      </w:r>
    </w:p>
    <w:p w14:paraId="15BC6715" w14:textId="77777777" w:rsidR="001D0FC4" w:rsidRDefault="001D0FC4" w:rsidP="001D0FC4">
      <w:pPr>
        <w:rPr>
          <w:lang w:eastAsia="fr-FR"/>
        </w:rPr>
      </w:pPr>
    </w:p>
    <w:p w14:paraId="77CB4BE5" w14:textId="77777777"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 xml:space="preserve">At least three technical replicates drawn from a same plant (three independent DNA extractions). To include at least all expected types of </w:t>
      </w:r>
      <w:proofErr w:type="gramStart"/>
      <w:r w:rsidRPr="00214FF8">
        <w:rPr>
          <w:lang w:eastAsia="fr-FR"/>
        </w:rPr>
        <w:t>genotype</w:t>
      </w:r>
      <w:proofErr w:type="gramEnd"/>
      <w:r w:rsidRPr="00214FF8">
        <w:rPr>
          <w:lang w:eastAsia="fr-FR"/>
        </w:rPr>
        <w:t>.</w:t>
      </w:r>
    </w:p>
    <w:p w14:paraId="4D2B8408" w14:textId="77777777" w:rsidR="001D0FC4" w:rsidRPr="00214FF8" w:rsidRDefault="001D0FC4" w:rsidP="001D0FC4">
      <w:pPr>
        <w:rPr>
          <w:lang w:eastAsia="fr-FR"/>
        </w:rPr>
      </w:pPr>
    </w:p>
    <w:p w14:paraId="1974F9DB" w14:textId="77777777" w:rsidR="001D0FC4" w:rsidRPr="00214FF8" w:rsidRDefault="001D0FC4" w:rsidP="001D0FC4">
      <w:pPr>
        <w:pStyle w:val="Heading2"/>
      </w:pPr>
      <w:bookmarkStart w:id="18" w:name="_Toc189576566"/>
      <w:r w:rsidRPr="00214FF8">
        <w:t>Reproducibility</w:t>
      </w:r>
      <w:bookmarkEnd w:id="18"/>
    </w:p>
    <w:p w14:paraId="37A1FCF5" w14:textId="77777777" w:rsidR="001D0FC4" w:rsidRPr="00214FF8" w:rsidRDefault="001D0FC4" w:rsidP="001D0FC4">
      <w:pPr>
        <w:rPr>
          <w:lang w:eastAsia="fr-FR"/>
        </w:rPr>
      </w:pPr>
    </w:p>
    <w:p w14:paraId="5C7217E5" w14:textId="77777777" w:rsidR="001D0FC4" w:rsidRPr="005429FD" w:rsidRDefault="001D0FC4" w:rsidP="001D0FC4">
      <w:pPr>
        <w:pStyle w:val="Heading3"/>
        <w:rPr>
          <w:lang w:eastAsia="fr-FR"/>
        </w:rPr>
      </w:pPr>
      <w:bookmarkStart w:id="19" w:name="_Toc189576567"/>
      <w:r w:rsidRPr="00214FF8">
        <w:rPr>
          <w:lang w:eastAsia="fr-FR"/>
        </w:rPr>
        <w:t xml:space="preserve">Definition </w:t>
      </w:r>
      <w:r w:rsidRPr="002B56C2">
        <w:rPr>
          <w:lang w:eastAsia="fr-FR"/>
        </w:rPr>
        <w:t>(</w:t>
      </w:r>
      <w:r w:rsidRPr="00F00420">
        <w:rPr>
          <w:lang w:eastAsia="fr-FR"/>
        </w:rPr>
        <w:t>based on ISO 16 577:2016</w:t>
      </w:r>
      <w:r w:rsidRPr="005429FD">
        <w:rPr>
          <w:lang w:eastAsia="fr-FR"/>
        </w:rPr>
        <w:t>; reference to UPOV/INF/17)</w:t>
      </w:r>
      <w:bookmarkEnd w:id="19"/>
    </w:p>
    <w:p w14:paraId="200BA4AE" w14:textId="77777777" w:rsidR="001D0FC4" w:rsidRPr="00F00420" w:rsidRDefault="001D0FC4" w:rsidP="001D0FC4">
      <w:pPr>
        <w:rPr>
          <w:lang w:eastAsia="fr-FR"/>
        </w:rPr>
      </w:pPr>
    </w:p>
    <w:p w14:paraId="79B95DAE" w14:textId="77777777" w:rsidR="001D0FC4" w:rsidRPr="00214FF8" w:rsidRDefault="001D0FC4" w:rsidP="001D0FC4">
      <w:pPr>
        <w:rPr>
          <w:lang w:eastAsia="fr-FR"/>
        </w:rPr>
      </w:pPr>
      <w:r w:rsidRPr="00F00420">
        <w:rPr>
          <w:lang w:eastAsia="fr-FR"/>
        </w:rPr>
        <w:fldChar w:fldCharType="begin"/>
      </w:r>
      <w:r w:rsidRPr="00F00420">
        <w:rPr>
          <w:lang w:eastAsia="fr-FR"/>
        </w:rPr>
        <w:instrText xml:space="preserve"> AUTONUM  </w:instrText>
      </w:r>
      <w:r w:rsidRPr="00F00420">
        <w:rPr>
          <w:lang w:eastAsia="fr-FR"/>
        </w:rPr>
        <w:fldChar w:fldCharType="end"/>
      </w:r>
      <w:r w:rsidRPr="00F00420">
        <w:rPr>
          <w:lang w:eastAsia="fr-FR"/>
        </w:rPr>
        <w:tab/>
        <w:t>“</w:t>
      </w:r>
      <w:r w:rsidRPr="00F00420">
        <w:rPr>
          <w:i/>
          <w:iCs/>
          <w:lang w:eastAsia="fr-FR"/>
        </w:rPr>
        <w:t>Reproducibility; where test results are obtained with the same method, on identical test items, within the same laboratory or between different laboratories, with different operators, using different equipment</w:t>
      </w:r>
      <w:r w:rsidRPr="00F00420">
        <w:rPr>
          <w:lang w:eastAsia="fr-FR"/>
        </w:rPr>
        <w:t>” at</w:t>
      </w:r>
      <w:r w:rsidRPr="00214FF8">
        <w:rPr>
          <w:lang w:eastAsia="fr-FR"/>
        </w:rPr>
        <w:t xml:space="preserve"> different times.</w:t>
      </w:r>
    </w:p>
    <w:p w14:paraId="574BDE6F" w14:textId="77777777" w:rsidR="001D0FC4" w:rsidRDefault="001D0FC4" w:rsidP="001D0FC4">
      <w:pPr>
        <w:rPr>
          <w:lang w:eastAsia="fr-FR"/>
        </w:rPr>
      </w:pPr>
    </w:p>
    <w:p w14:paraId="14A13CD7" w14:textId="77777777"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 xml:space="preserve">For qualitative methods, concordance is equivalent to the reproducibility of quantitative methods (Langton </w:t>
      </w:r>
      <w:r w:rsidRPr="00171D58">
        <w:rPr>
          <w:i/>
          <w:iCs/>
          <w:lang w:eastAsia="fr-FR"/>
        </w:rPr>
        <w:t>et al</w:t>
      </w:r>
      <w:r w:rsidRPr="00214FF8">
        <w:rPr>
          <w:lang w:eastAsia="fr-FR"/>
        </w:rPr>
        <w:t>., 2002).</w:t>
      </w:r>
    </w:p>
    <w:p w14:paraId="08A7C8E5" w14:textId="77777777" w:rsidR="001D0FC4" w:rsidRPr="00214FF8" w:rsidRDefault="001D0FC4" w:rsidP="001D0FC4">
      <w:pPr>
        <w:rPr>
          <w:u w:val="single"/>
          <w:lang w:eastAsia="fr-FR"/>
        </w:rPr>
      </w:pPr>
    </w:p>
    <w:p w14:paraId="27D2A2EE" w14:textId="77777777" w:rsidR="001D0FC4" w:rsidRPr="00214FF8" w:rsidRDefault="001D0FC4" w:rsidP="001D0FC4">
      <w:pPr>
        <w:pStyle w:val="Heading3"/>
        <w:rPr>
          <w:lang w:eastAsia="fr-FR"/>
        </w:rPr>
      </w:pPr>
      <w:bookmarkStart w:id="20" w:name="_Toc189576568"/>
      <w:r w:rsidRPr="00214FF8">
        <w:rPr>
          <w:lang w:eastAsia="fr-FR"/>
        </w:rPr>
        <w:t>Requirement</w:t>
      </w:r>
      <w:bookmarkEnd w:id="20"/>
    </w:p>
    <w:p w14:paraId="56C13E9B" w14:textId="77777777" w:rsidR="001D0FC4" w:rsidRDefault="001D0FC4" w:rsidP="001D0FC4">
      <w:pPr>
        <w:keepNext/>
        <w:rPr>
          <w:lang w:eastAsia="fr-FR"/>
        </w:rPr>
      </w:pPr>
    </w:p>
    <w:p w14:paraId="4E8B9859" w14:textId="77777777" w:rsidR="001D0FC4" w:rsidRPr="00214FF8" w:rsidRDefault="001D0FC4" w:rsidP="001D0FC4">
      <w:pPr>
        <w:keepNext/>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 xml:space="preserve">Ideally 100%, a performance ≥90% is generally accepted. If the reproducibility of the reference method is published the reproducibility of the alternative method should be at least equivalent. </w:t>
      </w:r>
    </w:p>
    <w:p w14:paraId="5C607894" w14:textId="77777777" w:rsidR="001D0FC4" w:rsidRPr="00214FF8" w:rsidRDefault="001D0FC4" w:rsidP="001D0FC4">
      <w:pPr>
        <w:rPr>
          <w:lang w:eastAsia="fr-FR"/>
        </w:rPr>
      </w:pPr>
    </w:p>
    <w:p w14:paraId="7BFEB555" w14:textId="77777777" w:rsidR="001D0FC4" w:rsidRPr="00214FF8" w:rsidRDefault="001D0FC4" w:rsidP="001D0FC4">
      <w:pPr>
        <w:pStyle w:val="Heading3"/>
        <w:rPr>
          <w:lang w:eastAsia="fr-FR"/>
        </w:rPr>
      </w:pPr>
      <w:bookmarkStart w:id="21" w:name="_Toc189576569"/>
      <w:r w:rsidRPr="00214FF8">
        <w:rPr>
          <w:lang w:eastAsia="fr-FR"/>
        </w:rPr>
        <w:lastRenderedPageBreak/>
        <w:t>How to evaluate it?</w:t>
      </w:r>
      <w:bookmarkEnd w:id="21"/>
    </w:p>
    <w:p w14:paraId="757F6979" w14:textId="77777777" w:rsidR="001D0FC4" w:rsidRDefault="001D0FC4" w:rsidP="001D0FC4">
      <w:pPr>
        <w:rPr>
          <w:lang w:eastAsia="fr-FR"/>
        </w:rPr>
      </w:pPr>
    </w:p>
    <w:p w14:paraId="33FE40DE" w14:textId="77777777"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 xml:space="preserve">Reproducibility should be assessed between different laboratories by an interlaboratory validation study (Ring-test) with coded samples of known genotypes. All expected types of </w:t>
      </w:r>
      <w:proofErr w:type="gramStart"/>
      <w:r w:rsidRPr="00214FF8">
        <w:rPr>
          <w:lang w:eastAsia="fr-FR"/>
        </w:rPr>
        <w:t>genotype</w:t>
      </w:r>
      <w:proofErr w:type="gramEnd"/>
      <w:r w:rsidRPr="00214FF8">
        <w:rPr>
          <w:lang w:eastAsia="fr-FR"/>
        </w:rPr>
        <w:t xml:space="preserve"> should be included.</w:t>
      </w:r>
    </w:p>
    <w:p w14:paraId="1882D21F" w14:textId="4F44EA56" w:rsidR="001D0FC4" w:rsidRPr="00CF7BB9" w:rsidRDefault="001D0FC4" w:rsidP="0065412E">
      <w:pPr>
        <w:pStyle w:val="pf0"/>
        <w:jc w:val="both"/>
        <w:rPr>
          <w:rFonts w:ascii="Arial" w:hAnsi="Arial" w:cs="Arial"/>
          <w:sz w:val="20"/>
          <w:szCs w:val="20"/>
        </w:rPr>
      </w:pPr>
      <w:r w:rsidRPr="005429FD">
        <w:rPr>
          <w:rFonts w:ascii="Arial" w:hAnsi="Arial" w:cs="Arial"/>
          <w:sz w:val="20"/>
          <w:szCs w:val="20"/>
          <w:lang w:eastAsia="fr-FR"/>
        </w:rPr>
        <w:fldChar w:fldCharType="begin"/>
      </w:r>
      <w:r w:rsidRPr="005429FD">
        <w:rPr>
          <w:rFonts w:ascii="Arial" w:hAnsi="Arial" w:cs="Arial"/>
          <w:sz w:val="20"/>
          <w:szCs w:val="20"/>
          <w:lang w:eastAsia="fr-FR"/>
        </w:rPr>
        <w:instrText xml:space="preserve"> AUTONUM  </w:instrText>
      </w:r>
      <w:r w:rsidRPr="005429FD">
        <w:rPr>
          <w:rFonts w:ascii="Arial" w:hAnsi="Arial" w:cs="Arial"/>
          <w:sz w:val="20"/>
          <w:szCs w:val="20"/>
          <w:lang w:eastAsia="fr-FR"/>
        </w:rPr>
        <w:fldChar w:fldCharType="end"/>
      </w:r>
      <w:r w:rsidRPr="005429FD">
        <w:rPr>
          <w:rFonts w:ascii="Arial" w:hAnsi="Arial" w:cs="Arial"/>
          <w:sz w:val="20"/>
          <w:szCs w:val="20"/>
          <w:lang w:eastAsia="fr-FR"/>
        </w:rPr>
        <w:tab/>
        <w:t>The ring-test should involve at least, three different laboratories including at least two different examination offices (</w:t>
      </w:r>
      <w:r w:rsidRPr="005429FD">
        <w:rPr>
          <w:rFonts w:ascii="Arial" w:hAnsi="Arial" w:cs="Arial"/>
          <w:i/>
          <w:iCs/>
          <w:sz w:val="20"/>
          <w:szCs w:val="20"/>
          <w:lang w:eastAsia="fr-FR"/>
        </w:rPr>
        <w:t>e.g.</w:t>
      </w:r>
      <w:r w:rsidRPr="005429FD">
        <w:rPr>
          <w:rFonts w:ascii="Arial" w:hAnsi="Arial" w:cs="Arial"/>
          <w:sz w:val="20"/>
          <w:szCs w:val="20"/>
          <w:lang w:eastAsia="fr-FR"/>
        </w:rPr>
        <w:t xml:space="preserve"> in INVITE </w:t>
      </w:r>
      <w:r w:rsidR="005429FD" w:rsidRPr="005429FD">
        <w:rPr>
          <w:rStyle w:val="cf01"/>
          <w:rFonts w:ascii="Arial" w:hAnsi="Arial" w:cs="Arial"/>
          <w:sz w:val="20"/>
          <w:szCs w:val="20"/>
        </w:rPr>
        <w:t xml:space="preserve">EU-project </w:t>
      </w:r>
      <w:r w:rsidR="005429FD" w:rsidRPr="005429FD">
        <w:rPr>
          <w:rStyle w:val="cf11"/>
          <w:rFonts w:ascii="Arial" w:hAnsi="Arial" w:cs="Arial"/>
          <w:sz w:val="20"/>
          <w:szCs w:val="20"/>
        </w:rPr>
        <w:t>817970</w:t>
      </w:r>
      <w:r w:rsidR="005429FD" w:rsidRPr="005429FD">
        <w:rPr>
          <w:rStyle w:val="cf01"/>
          <w:rFonts w:ascii="Arial" w:hAnsi="Arial" w:cs="Arial"/>
          <w:sz w:val="20"/>
          <w:szCs w:val="20"/>
        </w:rPr>
        <w:t xml:space="preserve"> DOI</w:t>
      </w:r>
      <w:r w:rsidR="005429FD">
        <w:rPr>
          <w:rStyle w:val="cf01"/>
        </w:rPr>
        <w:t xml:space="preserve"> </w:t>
      </w:r>
      <w:hyperlink r:id="rId9" w:history="1">
        <w:r w:rsidR="005429FD">
          <w:rPr>
            <w:rStyle w:val="cf01"/>
            <w:color w:val="0000FF"/>
            <w:u w:val="single"/>
          </w:rPr>
          <w:t>10.3030/817970</w:t>
        </w:r>
      </w:hyperlink>
      <w:r w:rsidR="00CF7BB9">
        <w:rPr>
          <w:rStyle w:val="cf01"/>
        </w:rPr>
        <w:t>,</w:t>
      </w:r>
      <w:r w:rsidRPr="00214FF8">
        <w:rPr>
          <w:lang w:eastAsia="fr-FR"/>
        </w:rPr>
        <w:t xml:space="preserve"> </w:t>
      </w:r>
      <w:r w:rsidRPr="00CF7BB9">
        <w:rPr>
          <w:rFonts w:ascii="Arial" w:hAnsi="Arial" w:cs="Arial"/>
          <w:sz w:val="20"/>
          <w:szCs w:val="20"/>
          <w:lang w:eastAsia="fr-FR"/>
        </w:rPr>
        <w:t>3 examination offices were involved in the validation test). If possible, experienced laboratories familiar with the species and the technique should be involved. If not, a training can be organized ahead of the ring-test with un-coded samples. Laboratories can participate in a ring</w:t>
      </w:r>
      <w:r w:rsidRPr="00CF7BB9">
        <w:rPr>
          <w:rFonts w:ascii="Arial" w:hAnsi="Arial" w:cs="Arial"/>
          <w:sz w:val="20"/>
          <w:szCs w:val="20"/>
          <w:lang w:eastAsia="fr-FR"/>
        </w:rPr>
        <w:noBreakHyphen/>
        <w:t xml:space="preserve">test on voluntary basis. In case there are no volunteers, </w:t>
      </w:r>
      <w:r w:rsidR="008E6043" w:rsidRPr="00CF7BB9">
        <w:rPr>
          <w:rFonts w:ascii="Arial" w:hAnsi="Arial" w:cs="Arial"/>
          <w:sz w:val="20"/>
          <w:szCs w:val="20"/>
          <w:lang w:eastAsia="fr-FR"/>
        </w:rPr>
        <w:t xml:space="preserve">then an intra-laboratory reproducibility </w:t>
      </w:r>
      <w:r w:rsidR="004943B6">
        <w:rPr>
          <w:rFonts w:ascii="Arial" w:hAnsi="Arial" w:cs="Arial"/>
          <w:sz w:val="20"/>
          <w:szCs w:val="20"/>
          <w:lang w:eastAsia="fr-FR"/>
        </w:rPr>
        <w:t xml:space="preserve">assesment </w:t>
      </w:r>
      <w:r w:rsidR="008E6043" w:rsidRPr="00CF7BB9">
        <w:rPr>
          <w:rFonts w:ascii="Arial" w:hAnsi="Arial" w:cs="Arial"/>
          <w:sz w:val="20"/>
          <w:szCs w:val="20"/>
          <w:lang w:eastAsia="fr-FR"/>
        </w:rPr>
        <w:t>will be possible with different operators.</w:t>
      </w:r>
    </w:p>
    <w:p w14:paraId="09B38B62" w14:textId="0FB22103"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 xml:space="preserve">All laboratories must follow the protocol to be validated. In the protocol compulsory and optional parts can be defined by the validation team. </w:t>
      </w:r>
    </w:p>
    <w:p w14:paraId="47F6D531" w14:textId="77777777" w:rsidR="001D0FC4" w:rsidRDefault="001D0FC4" w:rsidP="001D0FC4">
      <w:pPr>
        <w:rPr>
          <w:lang w:eastAsia="fr-FR"/>
        </w:rPr>
      </w:pPr>
    </w:p>
    <w:p w14:paraId="635D812E" w14:textId="77777777"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 xml:space="preserve">Number of varieties: To include at least all expected types of </w:t>
      </w:r>
      <w:proofErr w:type="gramStart"/>
      <w:r w:rsidRPr="00214FF8">
        <w:rPr>
          <w:lang w:eastAsia="fr-FR"/>
        </w:rPr>
        <w:t>genotype</w:t>
      </w:r>
      <w:proofErr w:type="gramEnd"/>
      <w:r w:rsidRPr="00214FF8">
        <w:rPr>
          <w:lang w:eastAsia="fr-FR"/>
        </w:rPr>
        <w:t>.</w:t>
      </w:r>
    </w:p>
    <w:p w14:paraId="1531AD63" w14:textId="77777777" w:rsidR="001D0FC4" w:rsidRDefault="001D0FC4" w:rsidP="001D0FC4">
      <w:pPr>
        <w:rPr>
          <w:rFonts w:cs="Arial"/>
          <w:lang w:eastAsia="fr-FR"/>
        </w:rPr>
      </w:pPr>
    </w:p>
    <w:p w14:paraId="2DD5631E" w14:textId="000A624C" w:rsidR="001D0FC4" w:rsidRPr="00214FF8" w:rsidRDefault="001D0FC4" w:rsidP="001D0FC4">
      <w:pPr>
        <w:rPr>
          <w:rFonts w:cs="Arial"/>
          <w:lang w:eastAsia="fr-FR"/>
        </w:rPr>
      </w:pPr>
      <w:r>
        <w:rPr>
          <w:rFonts w:cs="Arial"/>
          <w:lang w:eastAsia="fr-FR"/>
        </w:rPr>
        <w:fldChar w:fldCharType="begin"/>
      </w:r>
      <w:r>
        <w:rPr>
          <w:rFonts w:cs="Arial"/>
          <w:lang w:eastAsia="fr-FR"/>
        </w:rPr>
        <w:instrText xml:space="preserve"> AUTONUM  </w:instrText>
      </w:r>
      <w:r>
        <w:rPr>
          <w:rFonts w:cs="Arial"/>
          <w:lang w:eastAsia="fr-FR"/>
        </w:rPr>
        <w:fldChar w:fldCharType="end"/>
      </w:r>
      <w:r>
        <w:rPr>
          <w:rFonts w:cs="Arial"/>
          <w:lang w:eastAsia="fr-FR"/>
        </w:rPr>
        <w:tab/>
      </w:r>
      <w:r w:rsidRPr="00214FF8">
        <w:rPr>
          <w:rFonts w:cs="Arial"/>
          <w:lang w:eastAsia="fr-FR"/>
        </w:rPr>
        <w:t xml:space="preserve">Guidelines/Norms on interlaboratory studies can be followed: ISO 13495 </w:t>
      </w:r>
      <w:r w:rsidRPr="00214FF8">
        <w:rPr>
          <w:rFonts w:cs="Arial"/>
          <w:i/>
          <w:iCs/>
          <w:lang w:eastAsia="fr-FR"/>
        </w:rPr>
        <w:t>Foodstuffs - Principles of selection and criteria of validation for varietal identification methods u</w:t>
      </w:r>
      <w:r w:rsidR="005429FD">
        <w:rPr>
          <w:rFonts w:cs="Arial"/>
          <w:i/>
          <w:iCs/>
          <w:lang w:eastAsia="fr-FR"/>
        </w:rPr>
        <w:t xml:space="preserve"> </w:t>
      </w:r>
      <w:r w:rsidRPr="00214FF8">
        <w:rPr>
          <w:rFonts w:cs="Arial"/>
          <w:i/>
          <w:iCs/>
          <w:lang w:eastAsia="fr-FR"/>
        </w:rPr>
        <w:t>sing specific nucleic acid</w:t>
      </w:r>
      <w:r w:rsidRPr="00214FF8">
        <w:rPr>
          <w:rFonts w:cs="Arial"/>
          <w:lang w:eastAsia="fr-FR"/>
        </w:rPr>
        <w:t xml:space="preserve">, ISO 17043 </w:t>
      </w:r>
      <w:r w:rsidRPr="00214FF8">
        <w:rPr>
          <w:rFonts w:cs="Arial"/>
          <w:i/>
          <w:iCs/>
          <w:lang w:eastAsia="fr-FR"/>
        </w:rPr>
        <w:t>Conformity assessment - General requirements for proficiency testing</w:t>
      </w:r>
      <w:r w:rsidRPr="00214FF8">
        <w:rPr>
          <w:rFonts w:cs="Arial"/>
          <w:lang w:eastAsia="fr-FR"/>
        </w:rPr>
        <w:t xml:space="preserve">, EPPO pm7-122-2 </w:t>
      </w:r>
      <w:r w:rsidRPr="00214FF8">
        <w:rPr>
          <w:rFonts w:cs="Arial"/>
          <w:i/>
          <w:iCs/>
          <w:lang w:eastAsia="fr-FR"/>
        </w:rPr>
        <w:t>Guidelines for the organization of interlaboratory comparisons by plant pest diagnostic laboratories</w:t>
      </w:r>
      <w:r w:rsidRPr="00214FF8">
        <w:rPr>
          <w:rFonts w:cs="Arial"/>
          <w:lang w:eastAsia="fr-FR"/>
        </w:rPr>
        <w:t>, ISTA TCOM-P-10-</w:t>
      </w:r>
      <w:r w:rsidRPr="00214FF8">
        <w:rPr>
          <w:rFonts w:cs="Arial"/>
          <w:i/>
          <w:iCs/>
          <w:lang w:eastAsia="fr-FR"/>
        </w:rPr>
        <w:t>Validation of seed health methods and organization and analysis of interlaboratory comparative tests (CT)</w:t>
      </w:r>
      <w:r w:rsidRPr="00214FF8">
        <w:rPr>
          <w:rFonts w:cs="Arial"/>
          <w:lang w:eastAsia="fr-FR"/>
        </w:rPr>
        <w:t>… The validation team can cite the followed guidelines in its report.</w:t>
      </w:r>
    </w:p>
    <w:p w14:paraId="6E48398E" w14:textId="768A7CC6" w:rsidR="001D0FC4" w:rsidRPr="00214FF8" w:rsidRDefault="008E6043" w:rsidP="001D0FC4">
      <w:pPr>
        <w:rPr>
          <w:lang w:eastAsia="fr-FR"/>
        </w:rPr>
      </w:pPr>
      <w:r>
        <w:rPr>
          <w:lang w:eastAsia="fr-FR"/>
        </w:rPr>
        <w:t xml:space="preserve"> </w:t>
      </w:r>
    </w:p>
    <w:p w14:paraId="63D4FD9C" w14:textId="77777777" w:rsidR="001D0FC4" w:rsidRPr="00214FF8" w:rsidRDefault="001D0FC4" w:rsidP="001D0FC4">
      <w:pPr>
        <w:pStyle w:val="Heading2"/>
      </w:pPr>
      <w:bookmarkStart w:id="22" w:name="_Toc189576570"/>
      <w:r w:rsidRPr="00214FF8">
        <w:t>Robustness</w:t>
      </w:r>
      <w:bookmarkEnd w:id="22"/>
    </w:p>
    <w:p w14:paraId="7D1241C7" w14:textId="77777777" w:rsidR="001D0FC4" w:rsidRPr="00214FF8" w:rsidRDefault="001D0FC4" w:rsidP="001D0FC4">
      <w:pPr>
        <w:rPr>
          <w:lang w:eastAsia="fr-FR"/>
        </w:rPr>
      </w:pPr>
    </w:p>
    <w:p w14:paraId="40727604" w14:textId="17B43952" w:rsidR="001D0FC4" w:rsidRPr="00214FF8" w:rsidRDefault="001D0FC4" w:rsidP="001D0FC4">
      <w:pPr>
        <w:pStyle w:val="Heading3"/>
        <w:rPr>
          <w:lang w:eastAsia="fr-FR"/>
        </w:rPr>
      </w:pPr>
      <w:bookmarkStart w:id="23" w:name="_Toc189576571"/>
      <w:r w:rsidRPr="00214FF8">
        <w:rPr>
          <w:lang w:eastAsia="fr-FR"/>
        </w:rPr>
        <w:t>Definition</w:t>
      </w:r>
      <w:bookmarkEnd w:id="23"/>
      <w:r w:rsidR="004D658E" w:rsidRPr="00214FF8">
        <w:rPr>
          <w:lang w:eastAsia="fr-FR"/>
        </w:rPr>
        <w:t xml:space="preserve"> </w:t>
      </w:r>
      <w:r w:rsidR="004D658E" w:rsidRPr="00F00420">
        <w:rPr>
          <w:lang w:eastAsia="fr-FR"/>
        </w:rPr>
        <w:t>(based on ISO 16 577:2016</w:t>
      </w:r>
      <w:r w:rsidR="004D658E" w:rsidRPr="00D93AE1">
        <w:rPr>
          <w:lang w:eastAsia="fr-FR"/>
        </w:rPr>
        <w:t>; reference to UPOV/INF/17</w:t>
      </w:r>
      <w:r w:rsidR="004D658E" w:rsidRPr="00F00420">
        <w:rPr>
          <w:lang w:eastAsia="fr-FR"/>
        </w:rPr>
        <w:t>)</w:t>
      </w:r>
    </w:p>
    <w:p w14:paraId="022641B6" w14:textId="77777777" w:rsidR="001D0FC4" w:rsidRDefault="001D0FC4" w:rsidP="001D0FC4">
      <w:pPr>
        <w:rPr>
          <w:highlight w:val="yellow"/>
          <w:lang w:eastAsia="fr-FR"/>
        </w:rPr>
      </w:pPr>
    </w:p>
    <w:p w14:paraId="10B396D2" w14:textId="77777777" w:rsidR="001D0FC4" w:rsidRPr="00F00420" w:rsidRDefault="001D0FC4" w:rsidP="001D0FC4">
      <w:pPr>
        <w:rPr>
          <w:lang w:eastAsia="fr-FR"/>
        </w:rPr>
      </w:pPr>
      <w:r w:rsidRPr="00171D58">
        <w:rPr>
          <w:lang w:eastAsia="fr-FR"/>
        </w:rPr>
        <w:fldChar w:fldCharType="begin"/>
      </w:r>
      <w:r w:rsidRPr="00171D58">
        <w:rPr>
          <w:lang w:eastAsia="fr-FR"/>
        </w:rPr>
        <w:instrText xml:space="preserve"> AUTONUM  </w:instrText>
      </w:r>
      <w:r w:rsidRPr="00171D58">
        <w:rPr>
          <w:lang w:eastAsia="fr-FR"/>
        </w:rPr>
        <w:fldChar w:fldCharType="end"/>
      </w:r>
      <w:r w:rsidRPr="00171D58">
        <w:rPr>
          <w:lang w:eastAsia="fr-FR"/>
        </w:rPr>
        <w:tab/>
      </w:r>
      <w:r w:rsidRPr="00F00420">
        <w:rPr>
          <w:lang w:eastAsia="fr-FR"/>
        </w:rPr>
        <w:t>“</w:t>
      </w:r>
      <w:r w:rsidRPr="00F00420">
        <w:rPr>
          <w:i/>
          <w:iCs/>
          <w:lang w:eastAsia="fr-FR"/>
        </w:rPr>
        <w:t>Robustness;</w:t>
      </w:r>
      <w:r w:rsidRPr="00F00420" w:rsidDel="0038405F">
        <w:rPr>
          <w:i/>
          <w:iCs/>
          <w:lang w:eastAsia="fr-FR"/>
        </w:rPr>
        <w:t xml:space="preserve"> </w:t>
      </w:r>
      <w:r w:rsidRPr="00F00420">
        <w:rPr>
          <w:i/>
          <w:iCs/>
          <w:lang w:eastAsia="fr-FR"/>
        </w:rPr>
        <w:t>a measure of its capacity to remain unaffected by small, but deliberate deviations from the experimental conditions described in the procedure parameters and provides an indication of its reliability during normal usage”</w:t>
      </w:r>
      <w:r w:rsidRPr="00F00420" w:rsidDel="00D90DCE">
        <w:rPr>
          <w:lang w:eastAsia="fr-FR"/>
        </w:rPr>
        <w:t xml:space="preserve"> </w:t>
      </w:r>
      <w:r w:rsidRPr="00F00420">
        <w:rPr>
          <w:lang w:eastAsia="fr-FR"/>
        </w:rPr>
        <w:t>(</w:t>
      </w:r>
      <w:r w:rsidRPr="00F00420">
        <w:rPr>
          <w:i/>
          <w:iCs/>
          <w:lang w:eastAsia="fr-FR"/>
        </w:rPr>
        <w:t>e.g.</w:t>
      </w:r>
      <w:r w:rsidRPr="00F00420">
        <w:rPr>
          <w:lang w:eastAsia="fr-FR"/>
        </w:rPr>
        <w:t xml:space="preserve"> change of DNA extraction method or change of real time machine).</w:t>
      </w:r>
    </w:p>
    <w:p w14:paraId="54ADB681" w14:textId="77777777" w:rsidR="001D0FC4" w:rsidRPr="00F00420" w:rsidRDefault="001D0FC4" w:rsidP="001D0FC4">
      <w:pPr>
        <w:rPr>
          <w:lang w:eastAsia="fr-FR"/>
        </w:rPr>
      </w:pPr>
    </w:p>
    <w:p w14:paraId="273F56E5" w14:textId="77777777" w:rsidR="001D0FC4" w:rsidRPr="00214FF8" w:rsidRDefault="001D0FC4" w:rsidP="001D0FC4">
      <w:pPr>
        <w:pStyle w:val="Heading3"/>
        <w:rPr>
          <w:lang w:eastAsia="fr-FR"/>
        </w:rPr>
      </w:pPr>
      <w:bookmarkStart w:id="24" w:name="_Toc189576572"/>
      <w:r w:rsidRPr="00F00420">
        <w:rPr>
          <w:lang w:eastAsia="fr-FR"/>
        </w:rPr>
        <w:t>Requirement</w:t>
      </w:r>
      <w:bookmarkEnd w:id="24"/>
    </w:p>
    <w:p w14:paraId="43F55579" w14:textId="77777777" w:rsidR="001D0FC4" w:rsidRDefault="001D0FC4" w:rsidP="001D0FC4">
      <w:pPr>
        <w:rPr>
          <w:lang w:eastAsia="fr-FR"/>
        </w:rPr>
      </w:pPr>
    </w:p>
    <w:p w14:paraId="35DCEB55" w14:textId="20F480E7"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 xml:space="preserve">Ideally 100%, if less that means that the method is not robust to a change of one </w:t>
      </w:r>
      <w:proofErr w:type="gramStart"/>
      <w:r w:rsidRPr="00214FF8">
        <w:rPr>
          <w:lang w:eastAsia="fr-FR"/>
        </w:rPr>
        <w:t>parameter</w:t>
      </w:r>
      <w:proofErr w:type="gramEnd"/>
      <w:r w:rsidRPr="00214FF8">
        <w:rPr>
          <w:lang w:eastAsia="fr-FR"/>
        </w:rPr>
        <w:t xml:space="preserve"> and this should be indicated in the protocol as a mandatory step (</w:t>
      </w:r>
      <w:r w:rsidRPr="00214FF8">
        <w:rPr>
          <w:i/>
          <w:iCs/>
          <w:lang w:eastAsia="fr-FR"/>
        </w:rPr>
        <w:t>e.g.</w:t>
      </w:r>
      <w:r w:rsidRPr="00214FF8">
        <w:rPr>
          <w:lang w:eastAsia="fr-FR"/>
        </w:rPr>
        <w:t xml:space="preserve"> a change of a </w:t>
      </w:r>
      <w:proofErr w:type="spellStart"/>
      <w:r w:rsidRPr="00214FF8">
        <w:rPr>
          <w:lang w:eastAsia="fr-FR"/>
        </w:rPr>
        <w:t>mastermix</w:t>
      </w:r>
      <w:proofErr w:type="spellEnd"/>
      <w:r w:rsidRPr="00214FF8">
        <w:rPr>
          <w:lang w:eastAsia="fr-FR"/>
        </w:rPr>
        <w:t xml:space="preserve"> that would be critical).</w:t>
      </w:r>
    </w:p>
    <w:p w14:paraId="773CF6B0" w14:textId="77777777" w:rsidR="001D0FC4" w:rsidRPr="00214FF8" w:rsidRDefault="001D0FC4" w:rsidP="001D0FC4">
      <w:pPr>
        <w:rPr>
          <w:lang w:eastAsia="fr-FR"/>
        </w:rPr>
      </w:pPr>
    </w:p>
    <w:p w14:paraId="78D0C3D5" w14:textId="77777777" w:rsidR="001D0FC4" w:rsidRPr="00214FF8" w:rsidRDefault="001D0FC4" w:rsidP="001D0FC4">
      <w:pPr>
        <w:pStyle w:val="Heading3"/>
        <w:rPr>
          <w:lang w:eastAsia="fr-FR"/>
        </w:rPr>
      </w:pPr>
      <w:bookmarkStart w:id="25" w:name="_Toc189576573"/>
      <w:r w:rsidRPr="00214FF8">
        <w:rPr>
          <w:lang w:eastAsia="fr-FR"/>
        </w:rPr>
        <w:t>How to evaluate it?</w:t>
      </w:r>
      <w:bookmarkEnd w:id="25"/>
    </w:p>
    <w:p w14:paraId="7BF5B2FE" w14:textId="77777777" w:rsidR="001D0FC4" w:rsidRDefault="001D0FC4" w:rsidP="001D0FC4">
      <w:pPr>
        <w:rPr>
          <w:lang w:eastAsia="fr-FR"/>
        </w:rPr>
      </w:pPr>
    </w:p>
    <w:p w14:paraId="1BE0BAC7" w14:textId="77777777"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It is optional to assess, and robustness is evaluated partially during the ring test (reproducibility), (different laboratories, equipment, machinery, persons, etc.).</w:t>
      </w:r>
    </w:p>
    <w:p w14:paraId="176A2B8D" w14:textId="77777777" w:rsidR="001D0FC4" w:rsidRDefault="001D0FC4" w:rsidP="001D0FC4">
      <w:pPr>
        <w:rPr>
          <w:lang w:eastAsia="fr-FR"/>
        </w:rPr>
      </w:pPr>
    </w:p>
    <w:p w14:paraId="5F159018" w14:textId="77777777" w:rsidR="001D0FC4" w:rsidRPr="00214FF8" w:rsidRDefault="001D0FC4" w:rsidP="001D0FC4">
      <w:pPr>
        <w:rPr>
          <w:lang w:eastAsia="fr-FR"/>
        </w:rPr>
      </w:pPr>
    </w:p>
    <w:p w14:paraId="5945DAAF" w14:textId="77777777" w:rsidR="001D0FC4" w:rsidRPr="00890C47" w:rsidRDefault="001D0FC4" w:rsidP="001D0FC4">
      <w:pPr>
        <w:pStyle w:val="Heading1"/>
        <w:rPr>
          <w:lang w:val="en-GB"/>
        </w:rPr>
      </w:pPr>
      <w:bookmarkStart w:id="26" w:name="_Toc189576574"/>
      <w:r w:rsidRPr="00890C47">
        <w:rPr>
          <w:lang w:val="en-GB"/>
        </w:rPr>
        <w:t>IV.</w:t>
      </w:r>
      <w:r w:rsidRPr="00890C47">
        <w:rPr>
          <w:lang w:val="en-GB"/>
        </w:rPr>
        <w:tab/>
        <w:t>Validation report</w:t>
      </w:r>
      <w:bookmarkEnd w:id="26"/>
    </w:p>
    <w:p w14:paraId="67E34FFA" w14:textId="77777777" w:rsidR="001D0FC4" w:rsidRPr="00214FF8" w:rsidRDefault="001D0FC4" w:rsidP="001D0FC4">
      <w:pPr>
        <w:rPr>
          <w:lang w:eastAsia="fr-FR"/>
        </w:rPr>
      </w:pPr>
    </w:p>
    <w:p w14:paraId="168012F3" w14:textId="2AC36C56" w:rsidR="001D0FC4" w:rsidRDefault="001D0FC4" w:rsidP="001D0FC4">
      <w:pPr>
        <w:rPr>
          <w:rFonts w:eastAsia="Arial"/>
        </w:rPr>
      </w:pPr>
      <w:r>
        <w:rPr>
          <w:szCs w:val="24"/>
          <w:lang w:eastAsia="fr-FR"/>
        </w:rPr>
        <w:fldChar w:fldCharType="begin"/>
      </w:r>
      <w:r>
        <w:rPr>
          <w:szCs w:val="24"/>
          <w:lang w:eastAsia="fr-FR"/>
        </w:rPr>
        <w:instrText xml:space="preserve"> AUTONUM  </w:instrText>
      </w:r>
      <w:r>
        <w:rPr>
          <w:szCs w:val="24"/>
          <w:lang w:eastAsia="fr-FR"/>
        </w:rPr>
        <w:fldChar w:fldCharType="end"/>
      </w:r>
      <w:r>
        <w:rPr>
          <w:szCs w:val="24"/>
          <w:lang w:eastAsia="fr-FR"/>
        </w:rPr>
        <w:tab/>
      </w:r>
      <w:r w:rsidRPr="00214FF8">
        <w:rPr>
          <w:szCs w:val="24"/>
          <w:lang w:eastAsia="fr-FR"/>
        </w:rPr>
        <w:t xml:space="preserve">The validation report </w:t>
      </w:r>
      <w:r w:rsidRPr="00214FF8">
        <w:rPr>
          <w:rFonts w:eastAsia="Arial"/>
        </w:rPr>
        <w:t xml:space="preserve">and results must be peer-reviewed by two (preferably 3 if the reproducibility was done within one laboratory) of the </w:t>
      </w:r>
      <w:r w:rsidR="00F86CC6">
        <w:rPr>
          <w:rFonts w:eastAsia="Arial"/>
        </w:rPr>
        <w:t xml:space="preserve">responsible bodies. </w:t>
      </w:r>
      <w:r w:rsidRPr="00214FF8">
        <w:rPr>
          <w:rFonts w:eastAsia="Arial"/>
        </w:rPr>
        <w:t>Reviewing is on voluntary basis but preferably perform review by laboratory familiar with the species and the method.</w:t>
      </w:r>
    </w:p>
    <w:p w14:paraId="4A63A1AF" w14:textId="77777777" w:rsidR="001D0FC4" w:rsidRPr="00214FF8" w:rsidRDefault="001D0FC4" w:rsidP="001D0FC4">
      <w:pPr>
        <w:rPr>
          <w:rFonts w:eastAsia="Arial"/>
        </w:rPr>
      </w:pPr>
    </w:p>
    <w:p w14:paraId="6B3E9342" w14:textId="77777777" w:rsidR="001D0FC4" w:rsidRPr="00DE0518" w:rsidRDefault="001D0FC4" w:rsidP="001D0FC4">
      <w:pPr>
        <w:rPr>
          <w:rFonts w:eastAsia="Arial"/>
        </w:rPr>
      </w:pPr>
      <w:r w:rsidRPr="00DE0518">
        <w:rPr>
          <w:rFonts w:eastAsia="Arial"/>
        </w:rPr>
        <w:fldChar w:fldCharType="begin"/>
      </w:r>
      <w:r w:rsidRPr="00DE0518">
        <w:rPr>
          <w:rFonts w:eastAsia="Arial"/>
        </w:rPr>
        <w:instrText xml:space="preserve"> AUTONUM  </w:instrText>
      </w:r>
      <w:r w:rsidRPr="00DE0518">
        <w:rPr>
          <w:rFonts w:eastAsia="Arial"/>
        </w:rPr>
        <w:fldChar w:fldCharType="end"/>
      </w:r>
      <w:r w:rsidRPr="00DE0518">
        <w:rPr>
          <w:rFonts w:eastAsia="Arial"/>
        </w:rPr>
        <w:tab/>
        <w:t>During the reviewing process, the reviewers can require extra validation data in concertation with the validation team.</w:t>
      </w:r>
    </w:p>
    <w:p w14:paraId="5AA43F44" w14:textId="77777777" w:rsidR="001D0FC4" w:rsidRPr="00214FF8" w:rsidRDefault="001D0FC4" w:rsidP="001D0FC4">
      <w:pPr>
        <w:rPr>
          <w:szCs w:val="24"/>
          <w:u w:val="single"/>
          <w:lang w:eastAsia="fr-FR"/>
        </w:rPr>
      </w:pPr>
    </w:p>
    <w:p w14:paraId="6A1BE9F1" w14:textId="77777777" w:rsidR="001D0FC4" w:rsidRDefault="001D0FC4" w:rsidP="001D0FC4">
      <w:pPr>
        <w:keepNext/>
        <w:rPr>
          <w:u w:val="single"/>
          <w:lang w:eastAsia="fr-FR"/>
        </w:rPr>
      </w:pPr>
      <w:r w:rsidRPr="00214FF8">
        <w:rPr>
          <w:u w:val="single"/>
          <w:lang w:eastAsia="fr-FR"/>
        </w:rPr>
        <w:t>Content of the validation report</w:t>
      </w:r>
    </w:p>
    <w:p w14:paraId="4BEAC560" w14:textId="77777777" w:rsidR="001D0FC4" w:rsidRPr="00214FF8" w:rsidRDefault="001D0FC4" w:rsidP="001D0FC4">
      <w:pPr>
        <w:keepNext/>
        <w:rPr>
          <w:u w:val="single"/>
          <w:lang w:eastAsia="fr-FR"/>
        </w:rPr>
      </w:pPr>
    </w:p>
    <w:p w14:paraId="08A2D343" w14:textId="77777777" w:rsidR="001D0FC4" w:rsidRPr="00214FF8" w:rsidRDefault="001D0FC4" w:rsidP="001D0FC4">
      <w:pPr>
        <w:keepNext/>
        <w:numPr>
          <w:ilvl w:val="0"/>
          <w:numId w:val="2"/>
        </w:numPr>
        <w:spacing w:after="200" w:line="276" w:lineRule="auto"/>
        <w:contextualSpacing/>
        <w:rPr>
          <w:rFonts w:eastAsia="Calibri" w:cs="Arial"/>
        </w:rPr>
      </w:pPr>
      <w:r w:rsidRPr="00214FF8">
        <w:rPr>
          <w:rFonts w:eastAsia="Calibri" w:cs="Arial"/>
        </w:rPr>
        <w:t>Raw data generated during the different steps of the validation process</w:t>
      </w:r>
    </w:p>
    <w:p w14:paraId="698F6D94" w14:textId="77777777" w:rsidR="001D0FC4" w:rsidRPr="00214FF8" w:rsidRDefault="001D0FC4" w:rsidP="001D0FC4">
      <w:pPr>
        <w:keepNext/>
        <w:numPr>
          <w:ilvl w:val="0"/>
          <w:numId w:val="2"/>
        </w:numPr>
        <w:spacing w:after="200" w:line="276" w:lineRule="auto"/>
        <w:contextualSpacing/>
        <w:rPr>
          <w:rFonts w:eastAsia="Calibri" w:cs="Arial"/>
        </w:rPr>
      </w:pPr>
      <w:r w:rsidRPr="00214FF8">
        <w:rPr>
          <w:rFonts w:eastAsia="Calibri" w:cs="Arial"/>
        </w:rPr>
        <w:t>Detail protocol with optional and compulsory steps defined</w:t>
      </w:r>
    </w:p>
    <w:p w14:paraId="3E6BC878" w14:textId="77777777" w:rsidR="001D0FC4" w:rsidRPr="00214FF8" w:rsidRDefault="001D0FC4" w:rsidP="001D0FC4">
      <w:pPr>
        <w:keepNext/>
        <w:numPr>
          <w:ilvl w:val="0"/>
          <w:numId w:val="2"/>
        </w:numPr>
        <w:spacing w:after="200" w:line="276" w:lineRule="auto"/>
        <w:contextualSpacing/>
        <w:rPr>
          <w:rFonts w:eastAsia="Calibri" w:cs="Arial"/>
        </w:rPr>
      </w:pPr>
      <w:r w:rsidRPr="00214FF8">
        <w:rPr>
          <w:rFonts w:eastAsia="Calibri" w:cs="Arial"/>
        </w:rPr>
        <w:t>Performance criteria assessment</w:t>
      </w:r>
    </w:p>
    <w:p w14:paraId="47F6672E" w14:textId="77777777" w:rsidR="001D0FC4" w:rsidRPr="00214FF8" w:rsidRDefault="001D0FC4" w:rsidP="001D0FC4">
      <w:pPr>
        <w:numPr>
          <w:ilvl w:val="0"/>
          <w:numId w:val="2"/>
        </w:numPr>
        <w:spacing w:after="200" w:line="276" w:lineRule="auto"/>
        <w:contextualSpacing/>
        <w:rPr>
          <w:rFonts w:eastAsia="Calibri" w:cs="Arial"/>
        </w:rPr>
      </w:pPr>
      <w:r w:rsidRPr="00214FF8">
        <w:rPr>
          <w:rFonts w:eastAsia="Calibri" w:cs="Arial"/>
        </w:rPr>
        <w:t>Conclusion</w:t>
      </w:r>
    </w:p>
    <w:p w14:paraId="52E12368" w14:textId="77777777" w:rsidR="001D0FC4" w:rsidRPr="00214FF8" w:rsidRDefault="001D0FC4" w:rsidP="001D0FC4">
      <w:pPr>
        <w:rPr>
          <w:rFonts w:eastAsia="Calibri"/>
        </w:rPr>
      </w:pPr>
    </w:p>
    <w:p w14:paraId="22182280" w14:textId="77777777" w:rsidR="001D0FC4" w:rsidRDefault="001D0FC4" w:rsidP="001D0FC4">
      <w:pPr>
        <w:keepNext/>
        <w:rPr>
          <w:lang w:eastAsia="fr-FR"/>
        </w:rPr>
      </w:pPr>
      <w:r w:rsidRPr="00214FF8">
        <w:rPr>
          <w:u w:val="single"/>
          <w:lang w:eastAsia="fr-FR"/>
        </w:rPr>
        <w:t>Publicity</w:t>
      </w:r>
    </w:p>
    <w:p w14:paraId="12F05A8D" w14:textId="77777777" w:rsidR="001D0FC4" w:rsidRPr="00171D58" w:rsidRDefault="001D0FC4" w:rsidP="001D0FC4">
      <w:pPr>
        <w:keepNext/>
        <w:rPr>
          <w:lang w:eastAsia="fr-FR"/>
        </w:rPr>
      </w:pPr>
    </w:p>
    <w:p w14:paraId="7279F98D" w14:textId="143E8FD8" w:rsidR="001D0FC4"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 xml:space="preserve">The validation report should be available upon request. In the new protocol the validation process should be mentioned with the contact </w:t>
      </w:r>
      <w:r w:rsidRPr="001F2D50">
        <w:rPr>
          <w:lang w:eastAsia="fr-FR"/>
        </w:rPr>
        <w:t>examination office</w:t>
      </w:r>
      <w:r w:rsidRPr="00214FF8">
        <w:rPr>
          <w:lang w:eastAsia="fr-FR"/>
        </w:rPr>
        <w:t xml:space="preserve">. In some particular cases, </w:t>
      </w:r>
      <w:r w:rsidRPr="00214FF8">
        <w:rPr>
          <w:i/>
          <w:lang w:eastAsia="fr-FR"/>
        </w:rPr>
        <w:t>e.g.</w:t>
      </w:r>
      <w:r w:rsidRPr="00214FF8">
        <w:rPr>
          <w:lang w:eastAsia="fr-FR"/>
        </w:rPr>
        <w:t xml:space="preserve"> a “trade secret protocol” </w:t>
      </w:r>
      <w:r w:rsidRPr="00214FF8">
        <w:rPr>
          <w:lang w:eastAsia="fr-FR"/>
        </w:rPr>
        <w:lastRenderedPageBreak/>
        <w:t xml:space="preserve">(cytoplasmic male sterility in cabbage), the protocol and the validation report could not be shared outside of the </w:t>
      </w:r>
      <w:r w:rsidRPr="001F2D50">
        <w:rPr>
          <w:lang w:eastAsia="fr-FR"/>
        </w:rPr>
        <w:t>examination offices</w:t>
      </w:r>
      <w:r w:rsidRPr="00214FF8">
        <w:rPr>
          <w:lang w:eastAsia="fr-FR"/>
        </w:rPr>
        <w:t>.</w:t>
      </w:r>
    </w:p>
    <w:p w14:paraId="4C678A36" w14:textId="77777777" w:rsidR="001D0FC4" w:rsidRPr="00214FF8" w:rsidRDefault="001D0FC4" w:rsidP="001D0FC4">
      <w:pPr>
        <w:rPr>
          <w:lang w:eastAsia="fr-FR"/>
        </w:rPr>
      </w:pPr>
    </w:p>
    <w:p w14:paraId="3B2E1A5A" w14:textId="77777777" w:rsidR="001D0FC4" w:rsidRPr="00890C47" w:rsidRDefault="001D0FC4" w:rsidP="001D0FC4">
      <w:pPr>
        <w:pStyle w:val="Heading1"/>
        <w:rPr>
          <w:lang w:val="en-GB"/>
        </w:rPr>
      </w:pPr>
      <w:bookmarkStart w:id="27" w:name="_Toc189576575"/>
      <w:r w:rsidRPr="00890C47">
        <w:rPr>
          <w:lang w:val="en-GB"/>
        </w:rPr>
        <w:t>V.</w:t>
      </w:r>
      <w:r w:rsidRPr="00890C47">
        <w:rPr>
          <w:lang w:val="en-GB"/>
        </w:rPr>
        <w:tab/>
        <w:t>Standard Protocol for characteristic-specific molecular marker protocol</w:t>
      </w:r>
      <w:bookmarkEnd w:id="27"/>
    </w:p>
    <w:p w14:paraId="72B5B546" w14:textId="77777777" w:rsidR="001D0FC4" w:rsidRPr="00214FF8" w:rsidRDefault="001D0FC4" w:rsidP="001D0FC4">
      <w:pPr>
        <w:rPr>
          <w:lang w:eastAsia="fr-FR"/>
        </w:rPr>
      </w:pPr>
    </w:p>
    <w:p w14:paraId="3FF842AE" w14:textId="77777777"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 xml:space="preserve">Compulsory elements are indicated in the column “essential information”, the other elements may be used depending on the characteristic test protocol. If a laboratory wants to adapt/modify/change a mandatory chapter or element of a mandatory </w:t>
      </w:r>
      <w:proofErr w:type="gramStart"/>
      <w:r w:rsidRPr="00214FF8">
        <w:rPr>
          <w:lang w:eastAsia="fr-FR"/>
        </w:rPr>
        <w:t>chapter</w:t>
      </w:r>
      <w:proofErr w:type="gramEnd"/>
      <w:r w:rsidRPr="00214FF8">
        <w:rPr>
          <w:lang w:eastAsia="fr-FR"/>
        </w:rPr>
        <w:t xml:space="preserve"> it must validate its method in comparison to the reference method (to show that you obtain the same results as the published method).</w:t>
      </w:r>
    </w:p>
    <w:p w14:paraId="3222D79E" w14:textId="77777777" w:rsidR="001D0FC4" w:rsidRPr="00214FF8" w:rsidRDefault="001D0FC4" w:rsidP="001D0FC4">
      <w:pPr>
        <w:rPr>
          <w:lang w:eastAsia="fr-FR"/>
        </w:rPr>
      </w:pPr>
    </w:p>
    <w:p w14:paraId="7DB68A08" w14:textId="77777777" w:rsidR="001D0FC4" w:rsidRPr="00214FF8" w:rsidRDefault="001D0FC4" w:rsidP="001D0FC4">
      <w:pPr>
        <w:keepNext/>
        <w:jc w:val="center"/>
        <w:rPr>
          <w:lang w:eastAsia="fr-FR"/>
        </w:rPr>
      </w:pPr>
      <w:r w:rsidRPr="00F935AB">
        <w:rPr>
          <w:rFonts w:eastAsia="Calibri" w:cs="Arial"/>
        </w:rPr>
        <w:t>Table 1</w:t>
      </w:r>
      <w:r w:rsidRPr="00F935AB">
        <w:rPr>
          <w:lang w:eastAsia="fr-FR"/>
        </w:rPr>
        <w:t>:</w:t>
      </w:r>
      <w:r w:rsidRPr="00214FF8">
        <w:rPr>
          <w:lang w:eastAsia="fr-FR"/>
        </w:rPr>
        <w:t xml:space="preserve"> Standard characteristic-specific molecular marker protocol (see document TWV/54/7 “Use of molecular techniques in DUS examination”. Modifications are </w:t>
      </w:r>
      <w:r w:rsidRPr="00FC5251">
        <w:rPr>
          <w:highlight w:val="lightGray"/>
          <w:lang w:eastAsia="fr-FR"/>
        </w:rPr>
        <w:t>highlighted in grey</w:t>
      </w:r>
      <w:r w:rsidRPr="00214FF8">
        <w:rPr>
          <w:lang w:eastAsia="fr-FR"/>
        </w:rPr>
        <w:t>)</w:t>
      </w:r>
    </w:p>
    <w:p w14:paraId="5EDA599A" w14:textId="77777777" w:rsidR="001D0FC4" w:rsidRPr="00214FF8" w:rsidRDefault="001D0FC4" w:rsidP="001D0FC4">
      <w:pPr>
        <w:keepNext/>
        <w:rPr>
          <w:lang w:eastAsia="fr-FR"/>
        </w:rPr>
      </w:pPr>
    </w:p>
    <w:tbl>
      <w:tblPr>
        <w:tblW w:w="5078" w:type="pct"/>
        <w:tblLayout w:type="fixed"/>
        <w:tblCellMar>
          <w:top w:w="15" w:type="dxa"/>
          <w:left w:w="28" w:type="dxa"/>
          <w:right w:w="28" w:type="dxa"/>
        </w:tblCellMar>
        <w:tblLook w:val="04A0" w:firstRow="1" w:lastRow="0" w:firstColumn="1" w:lastColumn="0" w:noHBand="0" w:noVBand="1"/>
      </w:tblPr>
      <w:tblGrid>
        <w:gridCol w:w="699"/>
        <w:gridCol w:w="1563"/>
        <w:gridCol w:w="2413"/>
        <w:gridCol w:w="985"/>
        <w:gridCol w:w="3949"/>
        <w:gridCol w:w="160"/>
      </w:tblGrid>
      <w:tr w:rsidR="001D0FC4" w:rsidRPr="00214FF8" w14:paraId="03B9C44E" w14:textId="77777777" w:rsidTr="00CA22A9">
        <w:trPr>
          <w:gridAfter w:val="1"/>
          <w:wAfter w:w="82" w:type="pct"/>
          <w:trHeight w:val="810"/>
          <w:tblHeader/>
        </w:trPr>
        <w:tc>
          <w:tcPr>
            <w:tcW w:w="358"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79AC5D28"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Chapter</w:t>
            </w:r>
          </w:p>
        </w:tc>
        <w:tc>
          <w:tcPr>
            <w:tcW w:w="800" w:type="pct"/>
            <w:tcBorders>
              <w:top w:val="single" w:sz="8" w:space="0" w:color="auto"/>
              <w:left w:val="nil"/>
              <w:bottom w:val="single" w:sz="8" w:space="0" w:color="auto"/>
              <w:right w:val="single" w:sz="8" w:space="0" w:color="auto"/>
            </w:tcBorders>
            <w:shd w:val="clear" w:color="000000" w:fill="BFBFBF"/>
            <w:vAlign w:val="center"/>
            <w:hideMark/>
          </w:tcPr>
          <w:p w14:paraId="647EBD2B"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Elements in a Standard characteristic-specific molecular marker protocol</w:t>
            </w:r>
          </w:p>
        </w:tc>
        <w:tc>
          <w:tcPr>
            <w:tcW w:w="1235" w:type="pct"/>
            <w:tcBorders>
              <w:top w:val="single" w:sz="8" w:space="0" w:color="auto"/>
              <w:left w:val="nil"/>
              <w:bottom w:val="single" w:sz="8" w:space="0" w:color="auto"/>
              <w:right w:val="single" w:sz="8" w:space="0" w:color="auto"/>
            </w:tcBorders>
            <w:shd w:val="clear" w:color="000000" w:fill="BFBFBF"/>
            <w:vAlign w:val="center"/>
            <w:hideMark/>
          </w:tcPr>
          <w:p w14:paraId="6D2BFB5A"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Example</w:t>
            </w:r>
          </w:p>
        </w:tc>
        <w:tc>
          <w:tcPr>
            <w:tcW w:w="504" w:type="pct"/>
            <w:tcBorders>
              <w:top w:val="single" w:sz="8" w:space="0" w:color="auto"/>
              <w:left w:val="nil"/>
              <w:bottom w:val="single" w:sz="8" w:space="0" w:color="auto"/>
              <w:right w:val="single" w:sz="8" w:space="0" w:color="auto"/>
            </w:tcBorders>
            <w:shd w:val="clear" w:color="000000" w:fill="BFBFBF"/>
            <w:vAlign w:val="center"/>
            <w:hideMark/>
          </w:tcPr>
          <w:p w14:paraId="4B5698A4"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 xml:space="preserve">Essential information for </w:t>
            </w:r>
            <w:proofErr w:type="spellStart"/>
            <w:r w:rsidRPr="001D0FC4">
              <w:rPr>
                <w:rFonts w:cs="Arial"/>
                <w:color w:val="000000"/>
                <w:sz w:val="18"/>
                <w:szCs w:val="18"/>
                <w:lang w:eastAsia="nl-NL"/>
              </w:rPr>
              <w:t>harmoni-zation</w:t>
            </w:r>
            <w:proofErr w:type="spellEnd"/>
          </w:p>
        </w:tc>
        <w:tc>
          <w:tcPr>
            <w:tcW w:w="2021" w:type="pct"/>
            <w:tcBorders>
              <w:top w:val="single" w:sz="8" w:space="0" w:color="auto"/>
              <w:left w:val="nil"/>
              <w:bottom w:val="single" w:sz="8" w:space="0" w:color="auto"/>
              <w:right w:val="single" w:sz="8" w:space="0" w:color="auto"/>
            </w:tcBorders>
            <w:shd w:val="clear" w:color="000000" w:fill="BFBFBF"/>
            <w:vAlign w:val="center"/>
            <w:hideMark/>
          </w:tcPr>
          <w:p w14:paraId="542AA99D"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Remark</w:t>
            </w:r>
          </w:p>
        </w:tc>
      </w:tr>
      <w:tr w:rsidR="001D0FC4" w:rsidRPr="00214FF8" w14:paraId="2E6997E1" w14:textId="77777777" w:rsidTr="00CA22A9">
        <w:trPr>
          <w:gridAfter w:val="1"/>
          <w:wAfter w:w="82" w:type="pct"/>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08AC96C4"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1</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60209A0B"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characteristic</w:t>
            </w:r>
          </w:p>
        </w:tc>
        <w:tc>
          <w:tcPr>
            <w:tcW w:w="1235" w:type="pct"/>
            <w:tcBorders>
              <w:top w:val="nil"/>
              <w:left w:val="nil"/>
              <w:bottom w:val="nil"/>
              <w:right w:val="single" w:sz="8" w:space="0" w:color="auto"/>
            </w:tcBorders>
            <w:shd w:val="clear" w:color="auto" w:fill="auto"/>
            <w:vAlign w:val="center"/>
            <w:hideMark/>
          </w:tcPr>
          <w:p w14:paraId="5DC284B7"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Resistance to Tomato mosaic virus (</w:t>
            </w:r>
            <w:proofErr w:type="spellStart"/>
            <w:r w:rsidRPr="001D0FC4">
              <w:rPr>
                <w:rFonts w:cs="Arial"/>
                <w:color w:val="000000"/>
                <w:sz w:val="18"/>
                <w:szCs w:val="18"/>
                <w:lang w:eastAsia="nl-NL"/>
              </w:rPr>
              <w:t>ToMV</w:t>
            </w:r>
            <w:proofErr w:type="spellEnd"/>
            <w:r w:rsidRPr="001D0FC4">
              <w:rPr>
                <w:rFonts w:cs="Arial"/>
                <w:color w:val="000000"/>
                <w:sz w:val="18"/>
                <w:szCs w:val="18"/>
                <w:lang w:eastAsia="nl-NL"/>
              </w:rPr>
              <w:t>)</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0A6A4FD4"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YES</w:t>
            </w:r>
          </w:p>
        </w:tc>
        <w:tc>
          <w:tcPr>
            <w:tcW w:w="2021" w:type="pct"/>
            <w:vMerge w:val="restart"/>
            <w:tcBorders>
              <w:top w:val="nil"/>
              <w:left w:val="single" w:sz="8" w:space="0" w:color="auto"/>
              <w:bottom w:val="single" w:sz="8" w:space="0" w:color="000000"/>
              <w:right w:val="single" w:sz="8" w:space="0" w:color="auto"/>
            </w:tcBorders>
            <w:shd w:val="clear" w:color="auto" w:fill="auto"/>
            <w:vAlign w:val="center"/>
            <w:hideMark/>
          </w:tcPr>
          <w:p w14:paraId="2B852859"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 </w:t>
            </w:r>
          </w:p>
        </w:tc>
      </w:tr>
      <w:tr w:rsidR="001D0FC4" w:rsidRPr="00214FF8" w14:paraId="0EFCABDE" w14:textId="77777777" w:rsidTr="00CA22A9">
        <w:trPr>
          <w:gridAfter w:val="1"/>
          <w:wAfter w:w="82" w:type="pct"/>
          <w:cantSplit/>
          <w:trHeight w:val="315"/>
        </w:trPr>
        <w:tc>
          <w:tcPr>
            <w:tcW w:w="358" w:type="pct"/>
            <w:vMerge/>
            <w:tcBorders>
              <w:top w:val="nil"/>
              <w:left w:val="single" w:sz="8" w:space="0" w:color="auto"/>
              <w:bottom w:val="single" w:sz="8" w:space="0" w:color="000000"/>
              <w:right w:val="single" w:sz="8" w:space="0" w:color="auto"/>
            </w:tcBorders>
            <w:vAlign w:val="center"/>
            <w:hideMark/>
          </w:tcPr>
          <w:p w14:paraId="23F45966" w14:textId="77777777" w:rsidR="001D0FC4" w:rsidRPr="001D0FC4" w:rsidRDefault="001D0FC4" w:rsidP="007C4D8F">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70165C8B" w14:textId="77777777" w:rsidR="001D0FC4" w:rsidRPr="001D0FC4" w:rsidRDefault="001D0FC4" w:rsidP="007C4D8F">
            <w:pPr>
              <w:jc w:val="left"/>
              <w:rPr>
                <w:rFonts w:cs="Arial"/>
                <w:color w:val="000000"/>
                <w:sz w:val="18"/>
                <w:szCs w:val="18"/>
                <w:lang w:eastAsia="fr-FR"/>
              </w:rPr>
            </w:pPr>
          </w:p>
        </w:tc>
        <w:tc>
          <w:tcPr>
            <w:tcW w:w="1235" w:type="pct"/>
            <w:tcBorders>
              <w:top w:val="nil"/>
              <w:left w:val="nil"/>
              <w:bottom w:val="single" w:sz="8" w:space="0" w:color="auto"/>
              <w:right w:val="single" w:sz="8" w:space="0" w:color="auto"/>
            </w:tcBorders>
            <w:shd w:val="clear" w:color="auto" w:fill="auto"/>
            <w:vAlign w:val="center"/>
            <w:hideMark/>
          </w:tcPr>
          <w:p w14:paraId="24E92D12" w14:textId="77777777" w:rsidR="001D0FC4" w:rsidRPr="001D0FC4" w:rsidRDefault="001D0FC4" w:rsidP="007C4D8F">
            <w:pPr>
              <w:jc w:val="left"/>
              <w:rPr>
                <w:rFonts w:cs="Arial"/>
                <w:i/>
                <w:iCs/>
                <w:color w:val="000000"/>
                <w:sz w:val="18"/>
                <w:szCs w:val="18"/>
                <w:lang w:eastAsia="fr-FR"/>
              </w:rPr>
            </w:pPr>
            <w:r w:rsidRPr="001D0FC4">
              <w:rPr>
                <w:rFonts w:cs="Arial"/>
                <w:i/>
                <w:iCs/>
                <w:color w:val="000000"/>
                <w:sz w:val="18"/>
                <w:szCs w:val="18"/>
                <w:lang w:eastAsia="fr-FR"/>
              </w:rPr>
              <w:t xml:space="preserve">See TG/44/11/rev3 – Ad 51: ii DNA marker test </w:t>
            </w:r>
          </w:p>
        </w:tc>
        <w:tc>
          <w:tcPr>
            <w:tcW w:w="504" w:type="pct"/>
            <w:vMerge/>
            <w:tcBorders>
              <w:top w:val="nil"/>
              <w:left w:val="single" w:sz="8" w:space="0" w:color="auto"/>
              <w:bottom w:val="single" w:sz="8" w:space="0" w:color="000000"/>
              <w:right w:val="single" w:sz="8" w:space="0" w:color="auto"/>
            </w:tcBorders>
            <w:vAlign w:val="center"/>
            <w:hideMark/>
          </w:tcPr>
          <w:p w14:paraId="2072C6A9" w14:textId="77777777" w:rsidR="001D0FC4" w:rsidRPr="001D0FC4" w:rsidRDefault="001D0FC4" w:rsidP="007C4D8F">
            <w:pPr>
              <w:jc w:val="left"/>
              <w:rPr>
                <w:rFonts w:cs="Arial"/>
                <w:color w:val="000000"/>
                <w:sz w:val="18"/>
                <w:szCs w:val="18"/>
                <w:lang w:eastAsia="fr-FR"/>
              </w:rPr>
            </w:pPr>
          </w:p>
        </w:tc>
        <w:tc>
          <w:tcPr>
            <w:tcW w:w="2021" w:type="pct"/>
            <w:vMerge/>
            <w:tcBorders>
              <w:top w:val="nil"/>
              <w:left w:val="single" w:sz="8" w:space="0" w:color="auto"/>
              <w:bottom w:val="single" w:sz="8" w:space="0" w:color="000000"/>
              <w:right w:val="single" w:sz="8" w:space="0" w:color="auto"/>
            </w:tcBorders>
            <w:vAlign w:val="center"/>
            <w:hideMark/>
          </w:tcPr>
          <w:p w14:paraId="6E3C00EE" w14:textId="77777777" w:rsidR="001D0FC4" w:rsidRPr="001D0FC4" w:rsidRDefault="001D0FC4" w:rsidP="007C4D8F">
            <w:pPr>
              <w:jc w:val="left"/>
              <w:rPr>
                <w:rFonts w:cs="Arial"/>
                <w:color w:val="000000"/>
                <w:sz w:val="18"/>
                <w:szCs w:val="18"/>
                <w:lang w:eastAsia="fr-FR"/>
              </w:rPr>
            </w:pPr>
          </w:p>
        </w:tc>
      </w:tr>
      <w:tr w:rsidR="001D0FC4" w:rsidRPr="00214FF8" w14:paraId="092E183B" w14:textId="77777777" w:rsidTr="00CA22A9">
        <w:trPr>
          <w:gridAfter w:val="1"/>
          <w:wAfter w:w="82" w:type="pct"/>
          <w:cantSplit/>
          <w:trHeight w:val="5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0E5A0B70"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2</w:t>
            </w:r>
          </w:p>
        </w:tc>
        <w:tc>
          <w:tcPr>
            <w:tcW w:w="800" w:type="pct"/>
            <w:tcBorders>
              <w:top w:val="nil"/>
              <w:left w:val="nil"/>
              <w:bottom w:val="single" w:sz="8" w:space="0" w:color="auto"/>
              <w:right w:val="single" w:sz="8" w:space="0" w:color="auto"/>
            </w:tcBorders>
            <w:shd w:val="clear" w:color="auto" w:fill="auto"/>
            <w:vAlign w:val="center"/>
            <w:hideMark/>
          </w:tcPr>
          <w:p w14:paraId="2F758C79"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Genes and alleles</w:t>
            </w:r>
          </w:p>
        </w:tc>
        <w:tc>
          <w:tcPr>
            <w:tcW w:w="1235" w:type="pct"/>
            <w:tcBorders>
              <w:top w:val="nil"/>
              <w:left w:val="nil"/>
              <w:bottom w:val="single" w:sz="8" w:space="0" w:color="auto"/>
              <w:right w:val="single" w:sz="8" w:space="0" w:color="auto"/>
            </w:tcBorders>
            <w:shd w:val="clear" w:color="auto" w:fill="auto"/>
            <w:vAlign w:val="center"/>
            <w:hideMark/>
          </w:tcPr>
          <w:p w14:paraId="4B9ACE0E" w14:textId="77777777" w:rsidR="001D0FC4" w:rsidRPr="001D0FC4" w:rsidRDefault="001D0FC4" w:rsidP="007C4D8F">
            <w:pPr>
              <w:jc w:val="left"/>
              <w:rPr>
                <w:rFonts w:cs="Arial"/>
                <w:i/>
                <w:iCs/>
                <w:color w:val="000000"/>
                <w:sz w:val="18"/>
                <w:szCs w:val="18"/>
                <w:lang w:eastAsia="fr-FR"/>
              </w:rPr>
            </w:pPr>
            <w:r w:rsidRPr="001D0FC4">
              <w:rPr>
                <w:rFonts w:cs="Arial"/>
                <w:i/>
                <w:iCs/>
                <w:color w:val="000000"/>
                <w:sz w:val="18"/>
                <w:szCs w:val="18"/>
                <w:lang w:eastAsia="fr-FR"/>
              </w:rPr>
              <w:t>See TG/44/11/rev3 – Ad 51: ii DNA marker test add 2</w:t>
            </w:r>
          </w:p>
        </w:tc>
        <w:tc>
          <w:tcPr>
            <w:tcW w:w="504" w:type="pct"/>
            <w:tcBorders>
              <w:top w:val="nil"/>
              <w:left w:val="nil"/>
              <w:bottom w:val="single" w:sz="8" w:space="0" w:color="auto"/>
              <w:right w:val="single" w:sz="8" w:space="0" w:color="auto"/>
            </w:tcBorders>
            <w:shd w:val="clear" w:color="auto" w:fill="auto"/>
            <w:vAlign w:val="center"/>
            <w:hideMark/>
          </w:tcPr>
          <w:p w14:paraId="0CDFCF99"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YES</w:t>
            </w:r>
          </w:p>
        </w:tc>
        <w:tc>
          <w:tcPr>
            <w:tcW w:w="2021" w:type="pct"/>
            <w:tcBorders>
              <w:top w:val="nil"/>
              <w:left w:val="nil"/>
              <w:bottom w:val="single" w:sz="8" w:space="0" w:color="auto"/>
              <w:right w:val="single" w:sz="8" w:space="0" w:color="auto"/>
            </w:tcBorders>
            <w:shd w:val="clear" w:color="auto" w:fill="auto"/>
            <w:vAlign w:val="center"/>
            <w:hideMark/>
          </w:tcPr>
          <w:p w14:paraId="012BD243"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Need to avoid dominant marker or presence/absence marker otherwise the robustness should be assessed</w:t>
            </w:r>
          </w:p>
        </w:tc>
      </w:tr>
      <w:tr w:rsidR="001D0FC4" w:rsidRPr="00214FF8" w14:paraId="15CBF886" w14:textId="77777777" w:rsidTr="00CA22A9">
        <w:trPr>
          <w:gridAfter w:val="1"/>
          <w:wAfter w:w="82"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48643247"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2.1</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46E99E87"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Targeted gene(s)</w:t>
            </w:r>
          </w:p>
        </w:tc>
        <w:tc>
          <w:tcPr>
            <w:tcW w:w="1235" w:type="pct"/>
            <w:tcBorders>
              <w:top w:val="nil"/>
              <w:left w:val="nil"/>
              <w:bottom w:val="nil"/>
              <w:right w:val="single" w:sz="8" w:space="0" w:color="auto"/>
            </w:tcBorders>
            <w:shd w:val="clear" w:color="auto" w:fill="auto"/>
            <w:vAlign w:val="center"/>
            <w:hideMark/>
          </w:tcPr>
          <w:p w14:paraId="0B738334"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Resistance Gene Tm2</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697D136B"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YES</w:t>
            </w:r>
          </w:p>
        </w:tc>
        <w:tc>
          <w:tcPr>
            <w:tcW w:w="2021" w:type="pct"/>
            <w:tcBorders>
              <w:top w:val="nil"/>
              <w:left w:val="nil"/>
              <w:bottom w:val="nil"/>
              <w:right w:val="single" w:sz="8" w:space="0" w:color="auto"/>
            </w:tcBorders>
            <w:shd w:val="clear" w:color="auto" w:fill="auto"/>
            <w:vAlign w:val="center"/>
            <w:hideMark/>
          </w:tcPr>
          <w:p w14:paraId="7E5ECC2E"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 xml:space="preserve">a) file(s) containing the DNA sequence information (order of nucleotides) </w:t>
            </w:r>
          </w:p>
        </w:tc>
      </w:tr>
      <w:tr w:rsidR="001D0FC4" w:rsidRPr="00214FF8" w14:paraId="6E6170B4" w14:textId="77777777" w:rsidTr="00CA22A9">
        <w:trPr>
          <w:gridAfter w:val="1"/>
          <w:wAfter w:w="82" w:type="pct"/>
          <w:cantSplit/>
          <w:trHeight w:val="510"/>
        </w:trPr>
        <w:tc>
          <w:tcPr>
            <w:tcW w:w="358" w:type="pct"/>
            <w:vMerge/>
            <w:tcBorders>
              <w:top w:val="nil"/>
              <w:left w:val="single" w:sz="8" w:space="0" w:color="auto"/>
              <w:bottom w:val="single" w:sz="8" w:space="0" w:color="000000"/>
              <w:right w:val="single" w:sz="8" w:space="0" w:color="auto"/>
            </w:tcBorders>
            <w:vAlign w:val="center"/>
            <w:hideMark/>
          </w:tcPr>
          <w:p w14:paraId="4D09F13D" w14:textId="77777777" w:rsidR="001D0FC4" w:rsidRPr="001D0FC4" w:rsidRDefault="001D0FC4" w:rsidP="007C4D8F">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117892B8" w14:textId="77777777" w:rsidR="001D0FC4" w:rsidRPr="001D0FC4" w:rsidRDefault="001D0FC4" w:rsidP="007C4D8F">
            <w:pPr>
              <w:jc w:val="left"/>
              <w:rPr>
                <w:rFonts w:cs="Arial"/>
                <w:color w:val="000000"/>
                <w:sz w:val="18"/>
                <w:szCs w:val="18"/>
                <w:lang w:eastAsia="fr-FR"/>
              </w:rPr>
            </w:pPr>
          </w:p>
        </w:tc>
        <w:tc>
          <w:tcPr>
            <w:tcW w:w="1235" w:type="pct"/>
            <w:tcBorders>
              <w:top w:val="nil"/>
              <w:left w:val="nil"/>
              <w:bottom w:val="nil"/>
              <w:right w:val="single" w:sz="8" w:space="0" w:color="auto"/>
            </w:tcBorders>
            <w:shd w:val="clear" w:color="auto" w:fill="auto"/>
            <w:vAlign w:val="center"/>
            <w:hideMark/>
          </w:tcPr>
          <w:p w14:paraId="59A1635A"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fr-FR"/>
              </w:rPr>
              <w:t>Arens, P. et al (2010)</w:t>
            </w:r>
          </w:p>
        </w:tc>
        <w:tc>
          <w:tcPr>
            <w:tcW w:w="504" w:type="pct"/>
            <w:vMerge/>
            <w:tcBorders>
              <w:top w:val="nil"/>
              <w:left w:val="single" w:sz="8" w:space="0" w:color="auto"/>
              <w:bottom w:val="single" w:sz="8" w:space="0" w:color="000000"/>
              <w:right w:val="single" w:sz="8" w:space="0" w:color="auto"/>
            </w:tcBorders>
            <w:vAlign w:val="center"/>
            <w:hideMark/>
          </w:tcPr>
          <w:p w14:paraId="1F6D4A9D" w14:textId="77777777" w:rsidR="001D0FC4" w:rsidRPr="001D0FC4" w:rsidRDefault="001D0FC4" w:rsidP="007C4D8F">
            <w:pPr>
              <w:jc w:val="left"/>
              <w:rPr>
                <w:rFonts w:cs="Arial"/>
                <w:color w:val="000000"/>
                <w:sz w:val="18"/>
                <w:szCs w:val="18"/>
                <w:lang w:eastAsia="fr-FR"/>
              </w:rPr>
            </w:pPr>
          </w:p>
        </w:tc>
        <w:tc>
          <w:tcPr>
            <w:tcW w:w="2021" w:type="pct"/>
            <w:tcBorders>
              <w:top w:val="nil"/>
              <w:left w:val="nil"/>
              <w:bottom w:val="nil"/>
              <w:right w:val="single" w:sz="8" w:space="0" w:color="auto"/>
            </w:tcBorders>
            <w:shd w:val="clear" w:color="auto" w:fill="auto"/>
            <w:vAlign w:val="center"/>
            <w:hideMark/>
          </w:tcPr>
          <w:p w14:paraId="3ED4377C" w14:textId="5F01E686"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 xml:space="preserve">b) reference to DNA information in public databases (like </w:t>
            </w:r>
            <w:proofErr w:type="spellStart"/>
            <w:r w:rsidRPr="001D0FC4">
              <w:rPr>
                <w:rFonts w:cs="Arial"/>
                <w:color w:val="000000"/>
                <w:sz w:val="18"/>
                <w:szCs w:val="18"/>
                <w:lang w:eastAsia="nl-NL"/>
              </w:rPr>
              <w:t>GeneBank</w:t>
            </w:r>
            <w:proofErr w:type="spellEnd"/>
            <w:r w:rsidRPr="001D0FC4">
              <w:rPr>
                <w:rFonts w:cs="Arial"/>
                <w:color w:val="000000"/>
                <w:sz w:val="18"/>
                <w:szCs w:val="18"/>
                <w:lang w:eastAsia="nl-NL"/>
              </w:rPr>
              <w:t>)</w:t>
            </w:r>
          </w:p>
        </w:tc>
      </w:tr>
      <w:tr w:rsidR="001D0FC4" w:rsidRPr="00214FF8" w14:paraId="474EF4D7" w14:textId="77777777" w:rsidTr="00CA22A9">
        <w:trPr>
          <w:gridAfter w:val="1"/>
          <w:wAfter w:w="82" w:type="pct"/>
          <w:cantSplit/>
          <w:trHeight w:val="765"/>
        </w:trPr>
        <w:tc>
          <w:tcPr>
            <w:tcW w:w="358" w:type="pct"/>
            <w:vMerge/>
            <w:tcBorders>
              <w:top w:val="nil"/>
              <w:left w:val="single" w:sz="8" w:space="0" w:color="auto"/>
              <w:bottom w:val="single" w:sz="8" w:space="0" w:color="000000"/>
              <w:right w:val="single" w:sz="8" w:space="0" w:color="auto"/>
            </w:tcBorders>
            <w:vAlign w:val="center"/>
            <w:hideMark/>
          </w:tcPr>
          <w:p w14:paraId="2B2D8F5F" w14:textId="77777777" w:rsidR="001D0FC4" w:rsidRPr="001D0FC4" w:rsidRDefault="001D0FC4" w:rsidP="007C4D8F">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0DE1EB3C" w14:textId="77777777" w:rsidR="001D0FC4" w:rsidRPr="001D0FC4" w:rsidRDefault="001D0FC4" w:rsidP="007C4D8F">
            <w:pPr>
              <w:jc w:val="left"/>
              <w:rPr>
                <w:rFonts w:cs="Arial"/>
                <w:color w:val="000000"/>
                <w:sz w:val="18"/>
                <w:szCs w:val="18"/>
                <w:lang w:eastAsia="fr-FR"/>
              </w:rPr>
            </w:pPr>
          </w:p>
        </w:tc>
        <w:tc>
          <w:tcPr>
            <w:tcW w:w="1235" w:type="pct"/>
            <w:tcBorders>
              <w:top w:val="nil"/>
              <w:left w:val="nil"/>
              <w:bottom w:val="nil"/>
              <w:right w:val="single" w:sz="8" w:space="0" w:color="auto"/>
            </w:tcBorders>
            <w:shd w:val="clear" w:color="auto" w:fill="auto"/>
            <w:vAlign w:val="center"/>
            <w:hideMark/>
          </w:tcPr>
          <w:p w14:paraId="2F0A075C" w14:textId="77777777" w:rsidR="001D0FC4" w:rsidRPr="001D0FC4" w:rsidRDefault="001D0FC4" w:rsidP="007C4D8F">
            <w:pPr>
              <w:jc w:val="left"/>
              <w:rPr>
                <w:rFonts w:cs="Arial"/>
                <w:i/>
                <w:iCs/>
                <w:color w:val="000000"/>
                <w:sz w:val="18"/>
                <w:szCs w:val="18"/>
                <w:lang w:eastAsia="fr-FR"/>
              </w:rPr>
            </w:pPr>
            <w:r w:rsidRPr="001D0FC4">
              <w:rPr>
                <w:rFonts w:cs="Arial"/>
                <w:i/>
                <w:iCs/>
                <w:color w:val="000000"/>
                <w:sz w:val="18"/>
                <w:szCs w:val="18"/>
                <w:lang w:eastAsia="nl-NL"/>
              </w:rPr>
              <w:t> </w:t>
            </w:r>
          </w:p>
        </w:tc>
        <w:tc>
          <w:tcPr>
            <w:tcW w:w="504" w:type="pct"/>
            <w:vMerge/>
            <w:tcBorders>
              <w:top w:val="nil"/>
              <w:left w:val="single" w:sz="8" w:space="0" w:color="auto"/>
              <w:bottom w:val="single" w:sz="8" w:space="0" w:color="000000"/>
              <w:right w:val="single" w:sz="8" w:space="0" w:color="auto"/>
            </w:tcBorders>
            <w:vAlign w:val="center"/>
            <w:hideMark/>
          </w:tcPr>
          <w:p w14:paraId="2EC90E7E" w14:textId="77777777" w:rsidR="001D0FC4" w:rsidRPr="001D0FC4" w:rsidRDefault="001D0FC4" w:rsidP="007C4D8F">
            <w:pPr>
              <w:jc w:val="left"/>
              <w:rPr>
                <w:rFonts w:cs="Arial"/>
                <w:color w:val="000000"/>
                <w:sz w:val="18"/>
                <w:szCs w:val="18"/>
                <w:lang w:eastAsia="fr-FR"/>
              </w:rPr>
            </w:pPr>
          </w:p>
        </w:tc>
        <w:tc>
          <w:tcPr>
            <w:tcW w:w="2021" w:type="pct"/>
            <w:tcBorders>
              <w:top w:val="nil"/>
              <w:left w:val="nil"/>
              <w:bottom w:val="nil"/>
              <w:right w:val="single" w:sz="8" w:space="0" w:color="auto"/>
            </w:tcBorders>
            <w:shd w:val="clear" w:color="auto" w:fill="auto"/>
            <w:vAlign w:val="center"/>
            <w:hideMark/>
          </w:tcPr>
          <w:p w14:paraId="723DC8D8"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c) reference to (scientific) publications in which the DNA sequence information of the states of expression of the characteristic is revealed.</w:t>
            </w:r>
          </w:p>
        </w:tc>
      </w:tr>
      <w:tr w:rsidR="001D0FC4" w:rsidRPr="00214FF8" w14:paraId="28B47715" w14:textId="77777777" w:rsidTr="00CA22A9">
        <w:trPr>
          <w:gridAfter w:val="1"/>
          <w:wAfter w:w="82" w:type="pct"/>
          <w:cantSplit/>
          <w:trHeight w:val="525"/>
        </w:trPr>
        <w:tc>
          <w:tcPr>
            <w:tcW w:w="358" w:type="pct"/>
            <w:vMerge/>
            <w:tcBorders>
              <w:top w:val="nil"/>
              <w:left w:val="single" w:sz="8" w:space="0" w:color="auto"/>
              <w:bottom w:val="single" w:sz="8" w:space="0" w:color="000000"/>
              <w:right w:val="single" w:sz="8" w:space="0" w:color="auto"/>
            </w:tcBorders>
            <w:vAlign w:val="center"/>
            <w:hideMark/>
          </w:tcPr>
          <w:p w14:paraId="3B13A503" w14:textId="77777777" w:rsidR="001D0FC4" w:rsidRPr="001D0FC4" w:rsidRDefault="001D0FC4" w:rsidP="007C4D8F">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7BAE33CF" w14:textId="77777777" w:rsidR="001D0FC4" w:rsidRPr="001D0FC4" w:rsidRDefault="001D0FC4" w:rsidP="007C4D8F">
            <w:pPr>
              <w:jc w:val="left"/>
              <w:rPr>
                <w:rFonts w:cs="Arial"/>
                <w:color w:val="000000"/>
                <w:sz w:val="18"/>
                <w:szCs w:val="18"/>
                <w:lang w:eastAsia="fr-FR"/>
              </w:rPr>
            </w:pPr>
          </w:p>
        </w:tc>
        <w:tc>
          <w:tcPr>
            <w:tcW w:w="1235" w:type="pct"/>
            <w:tcBorders>
              <w:top w:val="nil"/>
              <w:left w:val="nil"/>
              <w:bottom w:val="single" w:sz="8" w:space="0" w:color="auto"/>
              <w:right w:val="single" w:sz="8" w:space="0" w:color="auto"/>
            </w:tcBorders>
            <w:shd w:val="clear" w:color="auto" w:fill="auto"/>
            <w:hideMark/>
          </w:tcPr>
          <w:p w14:paraId="65069697"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fr-FR"/>
              </w:rPr>
              <w:t> </w:t>
            </w:r>
          </w:p>
        </w:tc>
        <w:tc>
          <w:tcPr>
            <w:tcW w:w="504" w:type="pct"/>
            <w:vMerge/>
            <w:tcBorders>
              <w:top w:val="nil"/>
              <w:left w:val="single" w:sz="8" w:space="0" w:color="auto"/>
              <w:bottom w:val="single" w:sz="8" w:space="0" w:color="000000"/>
              <w:right w:val="single" w:sz="8" w:space="0" w:color="auto"/>
            </w:tcBorders>
            <w:vAlign w:val="center"/>
            <w:hideMark/>
          </w:tcPr>
          <w:p w14:paraId="48CC0B94" w14:textId="77777777" w:rsidR="001D0FC4" w:rsidRPr="001D0FC4" w:rsidRDefault="001D0FC4" w:rsidP="007C4D8F">
            <w:pPr>
              <w:jc w:val="left"/>
              <w:rPr>
                <w:rFonts w:cs="Arial"/>
                <w:color w:val="000000"/>
                <w:sz w:val="18"/>
                <w:szCs w:val="18"/>
                <w:lang w:eastAsia="fr-FR"/>
              </w:rPr>
            </w:pPr>
          </w:p>
        </w:tc>
        <w:tc>
          <w:tcPr>
            <w:tcW w:w="2021" w:type="pct"/>
            <w:tcBorders>
              <w:top w:val="nil"/>
              <w:left w:val="nil"/>
              <w:bottom w:val="single" w:sz="8" w:space="0" w:color="auto"/>
              <w:right w:val="single" w:sz="8" w:space="0" w:color="auto"/>
            </w:tcBorders>
            <w:shd w:val="clear" w:color="auto" w:fill="auto"/>
            <w:vAlign w:val="center"/>
            <w:hideMark/>
          </w:tcPr>
          <w:p w14:paraId="56E4F5BF" w14:textId="77777777" w:rsidR="001D0FC4" w:rsidRPr="001D0FC4" w:rsidRDefault="001D0FC4" w:rsidP="007C4D8F">
            <w:pPr>
              <w:jc w:val="left"/>
              <w:rPr>
                <w:rFonts w:cs="Arial"/>
                <w:color w:val="000000"/>
                <w:sz w:val="18"/>
                <w:szCs w:val="18"/>
                <w:lang w:eastAsia="fr-FR"/>
              </w:rPr>
            </w:pPr>
            <w:r w:rsidRPr="001D0FC4">
              <w:rPr>
                <w:rFonts w:cs="Arial"/>
                <w:color w:val="000000"/>
                <w:sz w:val="18"/>
                <w:szCs w:val="18"/>
                <w:lang w:eastAsia="nl-NL"/>
              </w:rPr>
              <w:t>d) reference to a particular position on the published reference genome version.</w:t>
            </w:r>
          </w:p>
        </w:tc>
      </w:tr>
      <w:tr w:rsidR="001677CB" w:rsidRPr="00214FF8" w14:paraId="4F7C916C" w14:textId="77777777" w:rsidTr="00CA22A9">
        <w:trPr>
          <w:gridAfter w:val="1"/>
          <w:wAfter w:w="82"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2E491A2D"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2.2</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457DF701" w14:textId="71D5918A"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Allele corresponding to</w:t>
            </w:r>
            <w:r>
              <w:rPr>
                <w:rFonts w:cs="Arial"/>
                <w:color w:val="000000"/>
                <w:sz w:val="18"/>
                <w:szCs w:val="18"/>
                <w:lang w:eastAsia="nl-NL"/>
              </w:rPr>
              <w:t xml:space="preserve"> expression </w:t>
            </w:r>
            <w:r w:rsidRPr="001D0FC4">
              <w:rPr>
                <w:rFonts w:cs="Arial"/>
                <w:color w:val="000000"/>
                <w:sz w:val="18"/>
                <w:szCs w:val="18"/>
                <w:lang w:eastAsia="nl-NL"/>
              </w:rPr>
              <w:t xml:space="preserve">state 1 </w:t>
            </w:r>
          </w:p>
        </w:tc>
        <w:tc>
          <w:tcPr>
            <w:tcW w:w="1235" w:type="pct"/>
            <w:tcBorders>
              <w:top w:val="nil"/>
              <w:left w:val="nil"/>
              <w:bottom w:val="nil"/>
              <w:right w:val="single" w:sz="8" w:space="0" w:color="auto"/>
            </w:tcBorders>
            <w:shd w:val="clear" w:color="auto" w:fill="auto"/>
            <w:vAlign w:val="center"/>
            <w:hideMark/>
          </w:tcPr>
          <w:p w14:paraId="0C79C638" w14:textId="44F53DA2"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tm2</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36B6188D"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YES</w:t>
            </w:r>
          </w:p>
        </w:tc>
        <w:tc>
          <w:tcPr>
            <w:tcW w:w="2021" w:type="pct"/>
            <w:tcBorders>
              <w:top w:val="nil"/>
              <w:left w:val="nil"/>
              <w:bottom w:val="nil"/>
              <w:right w:val="single" w:sz="8" w:space="0" w:color="auto"/>
            </w:tcBorders>
            <w:shd w:val="clear" w:color="auto" w:fill="auto"/>
            <w:vAlign w:val="center"/>
            <w:hideMark/>
          </w:tcPr>
          <w:p w14:paraId="02D8BAA2"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 xml:space="preserve">a) file(s) containing the DNA sequence information (order of nucleotides) </w:t>
            </w:r>
          </w:p>
        </w:tc>
      </w:tr>
      <w:tr w:rsidR="001677CB" w:rsidRPr="00214FF8" w14:paraId="1D0A4D3C" w14:textId="77777777" w:rsidTr="00CA22A9">
        <w:trPr>
          <w:gridAfter w:val="1"/>
          <w:wAfter w:w="82" w:type="pct"/>
          <w:cantSplit/>
          <w:trHeight w:val="510"/>
        </w:trPr>
        <w:tc>
          <w:tcPr>
            <w:tcW w:w="358" w:type="pct"/>
            <w:vMerge/>
            <w:tcBorders>
              <w:top w:val="nil"/>
              <w:left w:val="single" w:sz="8" w:space="0" w:color="auto"/>
              <w:bottom w:val="single" w:sz="8" w:space="0" w:color="000000"/>
              <w:right w:val="single" w:sz="8" w:space="0" w:color="auto"/>
            </w:tcBorders>
            <w:vAlign w:val="center"/>
            <w:hideMark/>
          </w:tcPr>
          <w:p w14:paraId="78E3BB64" w14:textId="77777777" w:rsidR="001677CB" w:rsidRPr="001D0FC4" w:rsidRDefault="001677CB" w:rsidP="001677CB">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5398F665" w14:textId="77777777" w:rsidR="001677CB" w:rsidRPr="001D0FC4" w:rsidRDefault="001677CB" w:rsidP="001677CB">
            <w:pPr>
              <w:jc w:val="left"/>
              <w:rPr>
                <w:rFonts w:cs="Arial"/>
                <w:color w:val="000000"/>
                <w:sz w:val="18"/>
                <w:szCs w:val="18"/>
                <w:lang w:eastAsia="fr-FR"/>
              </w:rPr>
            </w:pPr>
          </w:p>
        </w:tc>
        <w:tc>
          <w:tcPr>
            <w:tcW w:w="1235" w:type="pct"/>
            <w:tcBorders>
              <w:top w:val="nil"/>
              <w:left w:val="nil"/>
              <w:bottom w:val="nil"/>
              <w:right w:val="single" w:sz="8" w:space="0" w:color="auto"/>
            </w:tcBorders>
            <w:shd w:val="clear" w:color="auto" w:fill="auto"/>
            <w:vAlign w:val="center"/>
            <w:hideMark/>
          </w:tcPr>
          <w:p w14:paraId="2E315F54" w14:textId="0F4A3C6E"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fr-FR"/>
              </w:rPr>
              <w:t>Arens, P. et al (2010)</w:t>
            </w:r>
          </w:p>
        </w:tc>
        <w:tc>
          <w:tcPr>
            <w:tcW w:w="504" w:type="pct"/>
            <w:vMerge/>
            <w:tcBorders>
              <w:top w:val="nil"/>
              <w:left w:val="single" w:sz="8" w:space="0" w:color="auto"/>
              <w:bottom w:val="single" w:sz="8" w:space="0" w:color="000000"/>
              <w:right w:val="single" w:sz="8" w:space="0" w:color="auto"/>
            </w:tcBorders>
            <w:vAlign w:val="center"/>
            <w:hideMark/>
          </w:tcPr>
          <w:p w14:paraId="3722DCCD" w14:textId="77777777" w:rsidR="001677CB" w:rsidRPr="001D0FC4" w:rsidRDefault="001677CB" w:rsidP="001677CB">
            <w:pPr>
              <w:jc w:val="left"/>
              <w:rPr>
                <w:rFonts w:cs="Arial"/>
                <w:color w:val="000000"/>
                <w:sz w:val="18"/>
                <w:szCs w:val="18"/>
                <w:lang w:eastAsia="fr-FR"/>
              </w:rPr>
            </w:pPr>
          </w:p>
        </w:tc>
        <w:tc>
          <w:tcPr>
            <w:tcW w:w="2021" w:type="pct"/>
            <w:tcBorders>
              <w:top w:val="nil"/>
              <w:left w:val="nil"/>
              <w:bottom w:val="nil"/>
              <w:right w:val="single" w:sz="8" w:space="0" w:color="auto"/>
            </w:tcBorders>
            <w:shd w:val="clear" w:color="auto" w:fill="auto"/>
            <w:vAlign w:val="center"/>
            <w:hideMark/>
          </w:tcPr>
          <w:p w14:paraId="4F7D82A8" w14:textId="66F57CE4"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 xml:space="preserve">b) reference to DNA information in public databases (like </w:t>
            </w:r>
            <w:proofErr w:type="spellStart"/>
            <w:r w:rsidRPr="001D0FC4">
              <w:rPr>
                <w:rFonts w:cs="Arial"/>
                <w:color w:val="000000"/>
                <w:sz w:val="18"/>
                <w:szCs w:val="18"/>
                <w:lang w:eastAsia="nl-NL"/>
              </w:rPr>
              <w:t>GeneBank</w:t>
            </w:r>
            <w:proofErr w:type="spellEnd"/>
            <w:r w:rsidRPr="001D0FC4">
              <w:rPr>
                <w:rFonts w:cs="Arial"/>
                <w:color w:val="000000"/>
                <w:sz w:val="18"/>
                <w:szCs w:val="18"/>
                <w:lang w:eastAsia="nl-NL"/>
              </w:rPr>
              <w:t>)</w:t>
            </w:r>
          </w:p>
        </w:tc>
      </w:tr>
      <w:tr w:rsidR="001677CB" w:rsidRPr="00214FF8" w14:paraId="12C36783" w14:textId="77777777" w:rsidTr="00CA22A9">
        <w:trPr>
          <w:gridAfter w:val="1"/>
          <w:wAfter w:w="82" w:type="pct"/>
          <w:cantSplit/>
          <w:trHeight w:val="765"/>
        </w:trPr>
        <w:tc>
          <w:tcPr>
            <w:tcW w:w="358" w:type="pct"/>
            <w:vMerge/>
            <w:tcBorders>
              <w:top w:val="nil"/>
              <w:left w:val="single" w:sz="8" w:space="0" w:color="auto"/>
              <w:bottom w:val="single" w:sz="8" w:space="0" w:color="000000"/>
              <w:right w:val="single" w:sz="8" w:space="0" w:color="auto"/>
            </w:tcBorders>
            <w:vAlign w:val="center"/>
            <w:hideMark/>
          </w:tcPr>
          <w:p w14:paraId="2F41C759" w14:textId="77777777" w:rsidR="001677CB" w:rsidRPr="001D0FC4" w:rsidRDefault="001677CB" w:rsidP="001677CB">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09895EED" w14:textId="77777777" w:rsidR="001677CB" w:rsidRPr="001D0FC4" w:rsidRDefault="001677CB" w:rsidP="001677CB">
            <w:pPr>
              <w:jc w:val="left"/>
              <w:rPr>
                <w:rFonts w:cs="Arial"/>
                <w:color w:val="000000"/>
                <w:sz w:val="18"/>
                <w:szCs w:val="18"/>
                <w:lang w:eastAsia="fr-FR"/>
              </w:rPr>
            </w:pPr>
          </w:p>
        </w:tc>
        <w:tc>
          <w:tcPr>
            <w:tcW w:w="1235" w:type="pct"/>
            <w:tcBorders>
              <w:top w:val="nil"/>
              <w:left w:val="nil"/>
              <w:bottom w:val="nil"/>
              <w:right w:val="single" w:sz="8" w:space="0" w:color="auto"/>
            </w:tcBorders>
            <w:shd w:val="clear" w:color="auto" w:fill="auto"/>
            <w:vAlign w:val="center"/>
            <w:hideMark/>
          </w:tcPr>
          <w:p w14:paraId="760B6969"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 </w:t>
            </w:r>
          </w:p>
        </w:tc>
        <w:tc>
          <w:tcPr>
            <w:tcW w:w="504" w:type="pct"/>
            <w:vMerge/>
            <w:tcBorders>
              <w:top w:val="nil"/>
              <w:left w:val="single" w:sz="8" w:space="0" w:color="auto"/>
              <w:bottom w:val="single" w:sz="8" w:space="0" w:color="000000"/>
              <w:right w:val="single" w:sz="8" w:space="0" w:color="auto"/>
            </w:tcBorders>
            <w:vAlign w:val="center"/>
            <w:hideMark/>
          </w:tcPr>
          <w:p w14:paraId="2ED7CDA4" w14:textId="77777777" w:rsidR="001677CB" w:rsidRPr="001D0FC4" w:rsidRDefault="001677CB" w:rsidP="001677CB">
            <w:pPr>
              <w:jc w:val="left"/>
              <w:rPr>
                <w:rFonts w:cs="Arial"/>
                <w:color w:val="000000"/>
                <w:sz w:val="18"/>
                <w:szCs w:val="18"/>
                <w:lang w:eastAsia="fr-FR"/>
              </w:rPr>
            </w:pPr>
          </w:p>
        </w:tc>
        <w:tc>
          <w:tcPr>
            <w:tcW w:w="2021" w:type="pct"/>
            <w:tcBorders>
              <w:top w:val="nil"/>
              <w:left w:val="nil"/>
              <w:bottom w:val="nil"/>
              <w:right w:val="single" w:sz="8" w:space="0" w:color="auto"/>
            </w:tcBorders>
            <w:shd w:val="clear" w:color="auto" w:fill="auto"/>
            <w:vAlign w:val="center"/>
            <w:hideMark/>
          </w:tcPr>
          <w:p w14:paraId="27F8E705"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c) reference to (scientific) publications in which the DNA sequence information of the states of expression of the characteristic is revealed.</w:t>
            </w:r>
          </w:p>
        </w:tc>
      </w:tr>
      <w:tr w:rsidR="001677CB" w:rsidRPr="00214FF8" w14:paraId="21738092" w14:textId="77777777" w:rsidTr="00CA22A9">
        <w:trPr>
          <w:gridAfter w:val="1"/>
          <w:wAfter w:w="82" w:type="pct"/>
          <w:cantSplit/>
          <w:trHeight w:val="1035"/>
        </w:trPr>
        <w:tc>
          <w:tcPr>
            <w:tcW w:w="358" w:type="pct"/>
            <w:vMerge/>
            <w:tcBorders>
              <w:top w:val="nil"/>
              <w:left w:val="single" w:sz="8" w:space="0" w:color="auto"/>
              <w:bottom w:val="single" w:sz="8" w:space="0" w:color="000000"/>
              <w:right w:val="single" w:sz="8" w:space="0" w:color="auto"/>
            </w:tcBorders>
            <w:vAlign w:val="center"/>
            <w:hideMark/>
          </w:tcPr>
          <w:p w14:paraId="6D66C502" w14:textId="77777777" w:rsidR="001677CB" w:rsidRPr="001D0FC4" w:rsidRDefault="001677CB" w:rsidP="001677CB">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1AA0D551" w14:textId="77777777" w:rsidR="001677CB" w:rsidRPr="001D0FC4" w:rsidRDefault="001677CB" w:rsidP="001677CB">
            <w:pPr>
              <w:jc w:val="left"/>
              <w:rPr>
                <w:rFonts w:cs="Arial"/>
                <w:color w:val="000000"/>
                <w:sz w:val="18"/>
                <w:szCs w:val="18"/>
                <w:lang w:eastAsia="fr-FR"/>
              </w:rPr>
            </w:pPr>
          </w:p>
        </w:tc>
        <w:tc>
          <w:tcPr>
            <w:tcW w:w="1235" w:type="pct"/>
            <w:tcBorders>
              <w:top w:val="nil"/>
              <w:left w:val="nil"/>
              <w:bottom w:val="single" w:sz="8" w:space="0" w:color="auto"/>
              <w:right w:val="single" w:sz="8" w:space="0" w:color="auto"/>
            </w:tcBorders>
            <w:shd w:val="clear" w:color="auto" w:fill="auto"/>
            <w:hideMark/>
          </w:tcPr>
          <w:p w14:paraId="27243402"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fr-FR"/>
              </w:rPr>
              <w:t> </w:t>
            </w:r>
          </w:p>
        </w:tc>
        <w:tc>
          <w:tcPr>
            <w:tcW w:w="504" w:type="pct"/>
            <w:vMerge/>
            <w:tcBorders>
              <w:top w:val="nil"/>
              <w:left w:val="single" w:sz="8" w:space="0" w:color="auto"/>
              <w:bottom w:val="single" w:sz="8" w:space="0" w:color="000000"/>
              <w:right w:val="single" w:sz="8" w:space="0" w:color="auto"/>
            </w:tcBorders>
            <w:vAlign w:val="center"/>
            <w:hideMark/>
          </w:tcPr>
          <w:p w14:paraId="32EBF151" w14:textId="77777777" w:rsidR="001677CB" w:rsidRPr="001D0FC4" w:rsidRDefault="001677CB" w:rsidP="001677CB">
            <w:pPr>
              <w:jc w:val="left"/>
              <w:rPr>
                <w:rFonts w:cs="Arial"/>
                <w:color w:val="000000"/>
                <w:sz w:val="18"/>
                <w:szCs w:val="18"/>
                <w:lang w:eastAsia="fr-FR"/>
              </w:rPr>
            </w:pPr>
          </w:p>
        </w:tc>
        <w:tc>
          <w:tcPr>
            <w:tcW w:w="2021" w:type="pct"/>
            <w:tcBorders>
              <w:top w:val="nil"/>
              <w:left w:val="nil"/>
              <w:bottom w:val="single" w:sz="8" w:space="0" w:color="auto"/>
              <w:right w:val="single" w:sz="8" w:space="0" w:color="auto"/>
            </w:tcBorders>
            <w:shd w:val="clear" w:color="auto" w:fill="auto"/>
            <w:vAlign w:val="center"/>
            <w:hideMark/>
          </w:tcPr>
          <w:p w14:paraId="209579EF"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d) reference to a particular position on the published reference genome version in combination with the SNP or INDEL that is responsible for the state of expression.</w:t>
            </w:r>
          </w:p>
        </w:tc>
      </w:tr>
      <w:tr w:rsidR="001677CB" w:rsidRPr="00214FF8" w14:paraId="46863FD3" w14:textId="77777777" w:rsidTr="00CA22A9">
        <w:trPr>
          <w:gridAfter w:val="1"/>
          <w:wAfter w:w="82"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67182419" w14:textId="77777777" w:rsidR="001677CB" w:rsidRPr="001D0FC4" w:rsidRDefault="001677CB" w:rsidP="001677CB">
            <w:pPr>
              <w:keepNext/>
              <w:jc w:val="left"/>
              <w:rPr>
                <w:rFonts w:cs="Arial"/>
                <w:color w:val="000000"/>
                <w:sz w:val="18"/>
                <w:szCs w:val="18"/>
                <w:lang w:eastAsia="fr-FR"/>
              </w:rPr>
            </w:pPr>
            <w:r w:rsidRPr="001D0FC4">
              <w:rPr>
                <w:rFonts w:cs="Arial"/>
                <w:color w:val="000000"/>
                <w:sz w:val="18"/>
                <w:szCs w:val="18"/>
                <w:lang w:eastAsia="nl-NL"/>
              </w:rPr>
              <w:t>2.3</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242DC2BA" w14:textId="77777777" w:rsidR="001677CB" w:rsidRPr="001D0FC4" w:rsidRDefault="001677CB" w:rsidP="001677CB">
            <w:pPr>
              <w:keepNext/>
              <w:jc w:val="left"/>
              <w:rPr>
                <w:rFonts w:cs="Arial"/>
                <w:color w:val="000000"/>
                <w:sz w:val="18"/>
                <w:szCs w:val="18"/>
                <w:lang w:eastAsia="fr-FR"/>
              </w:rPr>
            </w:pPr>
            <w:r w:rsidRPr="001D0FC4">
              <w:rPr>
                <w:rFonts w:cs="Arial"/>
                <w:color w:val="000000"/>
                <w:sz w:val="18"/>
                <w:szCs w:val="18"/>
                <w:lang w:eastAsia="nl-NL"/>
              </w:rPr>
              <w:t xml:space="preserve">Allele corresponding to expression state n </w:t>
            </w:r>
          </w:p>
        </w:tc>
        <w:tc>
          <w:tcPr>
            <w:tcW w:w="1235" w:type="pct"/>
            <w:tcBorders>
              <w:top w:val="nil"/>
              <w:left w:val="nil"/>
              <w:bottom w:val="nil"/>
              <w:right w:val="single" w:sz="8" w:space="0" w:color="auto"/>
            </w:tcBorders>
            <w:shd w:val="clear" w:color="auto" w:fill="auto"/>
            <w:vAlign w:val="center"/>
            <w:hideMark/>
          </w:tcPr>
          <w:p w14:paraId="0A9425C7" w14:textId="6E496AB1" w:rsidR="001677CB" w:rsidRPr="001D0FC4" w:rsidRDefault="00F158D9" w:rsidP="001677CB">
            <w:pPr>
              <w:keepNext/>
              <w:jc w:val="left"/>
              <w:rPr>
                <w:rFonts w:cs="Arial"/>
                <w:color w:val="000000"/>
                <w:sz w:val="18"/>
                <w:szCs w:val="18"/>
                <w:lang w:eastAsia="fr-FR"/>
              </w:rPr>
            </w:pPr>
            <w:r w:rsidRPr="001D0FC4">
              <w:rPr>
                <w:rFonts w:cs="Arial"/>
                <w:color w:val="000000"/>
                <w:sz w:val="18"/>
                <w:szCs w:val="18"/>
                <w:lang w:eastAsia="nl-NL"/>
              </w:rPr>
              <w:t>Tm2 and Tm2</w:t>
            </w:r>
            <w:r w:rsidRPr="001D0FC4">
              <w:rPr>
                <w:rFonts w:cs="Arial"/>
                <w:color w:val="000000"/>
                <w:sz w:val="18"/>
                <w:szCs w:val="18"/>
                <w:vertAlign w:val="superscript"/>
                <w:lang w:eastAsia="nl-NL"/>
              </w:rPr>
              <w:t>2</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7079EC5A" w14:textId="77777777" w:rsidR="001677CB" w:rsidRPr="001D0FC4" w:rsidRDefault="001677CB" w:rsidP="001677CB">
            <w:pPr>
              <w:keepNext/>
              <w:jc w:val="left"/>
              <w:rPr>
                <w:rFonts w:cs="Arial"/>
                <w:color w:val="000000"/>
                <w:sz w:val="18"/>
                <w:szCs w:val="18"/>
                <w:lang w:eastAsia="fr-FR"/>
              </w:rPr>
            </w:pPr>
            <w:r w:rsidRPr="001D0FC4">
              <w:rPr>
                <w:rFonts w:cs="Arial"/>
                <w:color w:val="000000"/>
                <w:sz w:val="18"/>
                <w:szCs w:val="18"/>
                <w:lang w:eastAsia="nl-NL"/>
              </w:rPr>
              <w:t>YES</w:t>
            </w:r>
          </w:p>
        </w:tc>
        <w:tc>
          <w:tcPr>
            <w:tcW w:w="2021" w:type="pct"/>
            <w:tcBorders>
              <w:top w:val="nil"/>
              <w:left w:val="nil"/>
              <w:bottom w:val="nil"/>
              <w:right w:val="single" w:sz="8" w:space="0" w:color="auto"/>
            </w:tcBorders>
            <w:shd w:val="clear" w:color="auto" w:fill="auto"/>
            <w:vAlign w:val="center"/>
            <w:hideMark/>
          </w:tcPr>
          <w:p w14:paraId="106D2738" w14:textId="77777777" w:rsidR="001677CB" w:rsidRPr="001D0FC4" w:rsidRDefault="001677CB" w:rsidP="001677CB">
            <w:pPr>
              <w:keepNext/>
              <w:jc w:val="left"/>
              <w:rPr>
                <w:rFonts w:cs="Arial"/>
                <w:color w:val="000000"/>
                <w:sz w:val="18"/>
                <w:szCs w:val="18"/>
                <w:lang w:eastAsia="fr-FR"/>
              </w:rPr>
            </w:pPr>
            <w:r w:rsidRPr="001D0FC4">
              <w:rPr>
                <w:rFonts w:cs="Arial"/>
                <w:color w:val="000000"/>
                <w:sz w:val="18"/>
                <w:szCs w:val="18"/>
                <w:lang w:eastAsia="nl-NL"/>
              </w:rPr>
              <w:t xml:space="preserve">a) file(s) containing the DNA sequence information (order of nucleotides) </w:t>
            </w:r>
          </w:p>
        </w:tc>
      </w:tr>
      <w:tr w:rsidR="001677CB" w:rsidRPr="00214FF8" w14:paraId="79163F93" w14:textId="77777777" w:rsidTr="00CA22A9">
        <w:trPr>
          <w:gridAfter w:val="1"/>
          <w:wAfter w:w="82" w:type="pct"/>
          <w:cantSplit/>
          <w:trHeight w:val="510"/>
        </w:trPr>
        <w:tc>
          <w:tcPr>
            <w:tcW w:w="358" w:type="pct"/>
            <w:vMerge/>
            <w:tcBorders>
              <w:top w:val="nil"/>
              <w:left w:val="single" w:sz="8" w:space="0" w:color="auto"/>
              <w:bottom w:val="single" w:sz="8" w:space="0" w:color="000000"/>
              <w:right w:val="single" w:sz="8" w:space="0" w:color="auto"/>
            </w:tcBorders>
            <w:vAlign w:val="center"/>
            <w:hideMark/>
          </w:tcPr>
          <w:p w14:paraId="274B4923" w14:textId="77777777" w:rsidR="001677CB" w:rsidRPr="001D0FC4" w:rsidRDefault="001677CB" w:rsidP="001677CB">
            <w:pPr>
              <w:keepNext/>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0E418222" w14:textId="77777777" w:rsidR="001677CB" w:rsidRPr="001D0FC4" w:rsidRDefault="001677CB" w:rsidP="001677CB">
            <w:pPr>
              <w:keepNext/>
              <w:jc w:val="left"/>
              <w:rPr>
                <w:rFonts w:cs="Arial"/>
                <w:color w:val="000000"/>
                <w:sz w:val="18"/>
                <w:szCs w:val="18"/>
                <w:lang w:eastAsia="fr-FR"/>
              </w:rPr>
            </w:pPr>
          </w:p>
        </w:tc>
        <w:tc>
          <w:tcPr>
            <w:tcW w:w="1235" w:type="pct"/>
            <w:tcBorders>
              <w:top w:val="nil"/>
              <w:left w:val="nil"/>
              <w:bottom w:val="nil"/>
              <w:right w:val="single" w:sz="8" w:space="0" w:color="auto"/>
            </w:tcBorders>
            <w:shd w:val="clear" w:color="auto" w:fill="auto"/>
            <w:vAlign w:val="center"/>
            <w:hideMark/>
          </w:tcPr>
          <w:p w14:paraId="022A1198" w14:textId="7809143C" w:rsidR="001677CB" w:rsidRPr="001D0FC4" w:rsidRDefault="00F158D9" w:rsidP="001677CB">
            <w:pPr>
              <w:keepNext/>
              <w:jc w:val="left"/>
              <w:rPr>
                <w:rFonts w:cs="Arial"/>
                <w:color w:val="000000"/>
                <w:sz w:val="18"/>
                <w:szCs w:val="18"/>
                <w:lang w:eastAsia="fr-FR"/>
              </w:rPr>
            </w:pPr>
            <w:r w:rsidRPr="001D0FC4">
              <w:rPr>
                <w:rFonts w:cs="Arial"/>
                <w:color w:val="000000"/>
                <w:sz w:val="18"/>
                <w:szCs w:val="18"/>
                <w:lang w:eastAsia="fr-FR"/>
              </w:rPr>
              <w:t>Arens, P. et al (2010)</w:t>
            </w:r>
          </w:p>
        </w:tc>
        <w:tc>
          <w:tcPr>
            <w:tcW w:w="504" w:type="pct"/>
            <w:vMerge/>
            <w:tcBorders>
              <w:top w:val="nil"/>
              <w:left w:val="single" w:sz="8" w:space="0" w:color="auto"/>
              <w:bottom w:val="single" w:sz="8" w:space="0" w:color="000000"/>
              <w:right w:val="single" w:sz="8" w:space="0" w:color="auto"/>
            </w:tcBorders>
            <w:vAlign w:val="center"/>
            <w:hideMark/>
          </w:tcPr>
          <w:p w14:paraId="22F1B363" w14:textId="77777777" w:rsidR="001677CB" w:rsidRPr="001D0FC4" w:rsidRDefault="001677CB" w:rsidP="001677CB">
            <w:pPr>
              <w:keepNext/>
              <w:jc w:val="left"/>
              <w:rPr>
                <w:rFonts w:cs="Arial"/>
                <w:color w:val="000000"/>
                <w:sz w:val="18"/>
                <w:szCs w:val="18"/>
                <w:lang w:eastAsia="fr-FR"/>
              </w:rPr>
            </w:pPr>
          </w:p>
        </w:tc>
        <w:tc>
          <w:tcPr>
            <w:tcW w:w="2021" w:type="pct"/>
            <w:tcBorders>
              <w:top w:val="nil"/>
              <w:left w:val="nil"/>
              <w:bottom w:val="nil"/>
              <w:right w:val="single" w:sz="8" w:space="0" w:color="auto"/>
            </w:tcBorders>
            <w:shd w:val="clear" w:color="auto" w:fill="auto"/>
            <w:vAlign w:val="center"/>
            <w:hideMark/>
          </w:tcPr>
          <w:p w14:paraId="2D7B952A" w14:textId="77777777" w:rsidR="001677CB" w:rsidRPr="001D0FC4" w:rsidRDefault="001677CB" w:rsidP="001677CB">
            <w:pPr>
              <w:keepNext/>
              <w:jc w:val="left"/>
              <w:rPr>
                <w:rFonts w:cs="Arial"/>
                <w:color w:val="000000"/>
                <w:sz w:val="18"/>
                <w:szCs w:val="18"/>
                <w:lang w:eastAsia="fr-FR"/>
              </w:rPr>
            </w:pPr>
            <w:r w:rsidRPr="001D0FC4">
              <w:rPr>
                <w:rFonts w:cs="Arial"/>
                <w:color w:val="000000"/>
                <w:sz w:val="18"/>
                <w:szCs w:val="18"/>
                <w:lang w:eastAsia="nl-NL"/>
              </w:rPr>
              <w:t xml:space="preserve">b) reference to DNA information in public databases (like </w:t>
            </w:r>
            <w:proofErr w:type="spellStart"/>
            <w:r w:rsidRPr="001D0FC4">
              <w:rPr>
                <w:rFonts w:cs="Arial"/>
                <w:color w:val="000000"/>
                <w:sz w:val="18"/>
                <w:szCs w:val="18"/>
                <w:lang w:eastAsia="nl-NL"/>
              </w:rPr>
              <w:t>GeneBank</w:t>
            </w:r>
            <w:proofErr w:type="spellEnd"/>
            <w:r w:rsidRPr="001D0FC4">
              <w:rPr>
                <w:rFonts w:cs="Arial"/>
                <w:color w:val="000000"/>
                <w:sz w:val="18"/>
                <w:szCs w:val="18"/>
                <w:lang w:eastAsia="nl-NL"/>
              </w:rPr>
              <w:t>)</w:t>
            </w:r>
          </w:p>
        </w:tc>
      </w:tr>
      <w:tr w:rsidR="001677CB" w:rsidRPr="00214FF8" w14:paraId="21879A7E" w14:textId="77777777" w:rsidTr="00CA22A9">
        <w:trPr>
          <w:gridAfter w:val="1"/>
          <w:wAfter w:w="82" w:type="pct"/>
          <w:cantSplit/>
          <w:trHeight w:val="765"/>
        </w:trPr>
        <w:tc>
          <w:tcPr>
            <w:tcW w:w="358" w:type="pct"/>
            <w:vMerge/>
            <w:tcBorders>
              <w:top w:val="nil"/>
              <w:left w:val="single" w:sz="8" w:space="0" w:color="auto"/>
              <w:bottom w:val="single" w:sz="8" w:space="0" w:color="000000"/>
              <w:right w:val="single" w:sz="8" w:space="0" w:color="auto"/>
            </w:tcBorders>
            <w:vAlign w:val="center"/>
            <w:hideMark/>
          </w:tcPr>
          <w:p w14:paraId="6591EA01" w14:textId="77777777" w:rsidR="001677CB" w:rsidRPr="001D0FC4" w:rsidRDefault="001677CB" w:rsidP="001677CB">
            <w:pPr>
              <w:keepNext/>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29CB0F17" w14:textId="77777777" w:rsidR="001677CB" w:rsidRPr="001D0FC4" w:rsidRDefault="001677CB" w:rsidP="001677CB">
            <w:pPr>
              <w:keepNext/>
              <w:jc w:val="left"/>
              <w:rPr>
                <w:rFonts w:cs="Arial"/>
                <w:color w:val="000000"/>
                <w:sz w:val="18"/>
                <w:szCs w:val="18"/>
                <w:lang w:eastAsia="fr-FR"/>
              </w:rPr>
            </w:pPr>
          </w:p>
        </w:tc>
        <w:tc>
          <w:tcPr>
            <w:tcW w:w="1235" w:type="pct"/>
            <w:tcBorders>
              <w:top w:val="nil"/>
              <w:left w:val="nil"/>
              <w:bottom w:val="nil"/>
              <w:right w:val="single" w:sz="8" w:space="0" w:color="auto"/>
            </w:tcBorders>
            <w:shd w:val="clear" w:color="auto" w:fill="auto"/>
            <w:vAlign w:val="center"/>
            <w:hideMark/>
          </w:tcPr>
          <w:p w14:paraId="31587A83" w14:textId="77777777" w:rsidR="00F158D9" w:rsidRDefault="00F158D9" w:rsidP="001677CB">
            <w:pPr>
              <w:keepNext/>
              <w:jc w:val="left"/>
              <w:rPr>
                <w:rFonts w:cs="Arial"/>
                <w:color w:val="000000"/>
                <w:sz w:val="18"/>
                <w:szCs w:val="18"/>
                <w:lang w:eastAsia="nl-NL"/>
              </w:rPr>
            </w:pPr>
          </w:p>
          <w:p w14:paraId="6E0EC051" w14:textId="5710F894" w:rsidR="001677CB" w:rsidRPr="001D0FC4" w:rsidRDefault="001677CB" w:rsidP="001677CB">
            <w:pPr>
              <w:keepNext/>
              <w:jc w:val="left"/>
              <w:rPr>
                <w:rFonts w:cs="Arial"/>
                <w:color w:val="000000"/>
                <w:sz w:val="18"/>
                <w:szCs w:val="18"/>
                <w:lang w:eastAsia="fr-FR"/>
              </w:rPr>
            </w:pPr>
          </w:p>
        </w:tc>
        <w:tc>
          <w:tcPr>
            <w:tcW w:w="504" w:type="pct"/>
            <w:vMerge/>
            <w:tcBorders>
              <w:top w:val="nil"/>
              <w:left w:val="single" w:sz="8" w:space="0" w:color="auto"/>
              <w:bottom w:val="single" w:sz="8" w:space="0" w:color="000000"/>
              <w:right w:val="single" w:sz="8" w:space="0" w:color="auto"/>
            </w:tcBorders>
            <w:vAlign w:val="center"/>
            <w:hideMark/>
          </w:tcPr>
          <w:p w14:paraId="46F4D0E5" w14:textId="77777777" w:rsidR="001677CB" w:rsidRPr="001D0FC4" w:rsidRDefault="001677CB" w:rsidP="001677CB">
            <w:pPr>
              <w:keepNext/>
              <w:jc w:val="left"/>
              <w:rPr>
                <w:rFonts w:cs="Arial"/>
                <w:color w:val="000000"/>
                <w:sz w:val="18"/>
                <w:szCs w:val="18"/>
                <w:lang w:eastAsia="fr-FR"/>
              </w:rPr>
            </w:pPr>
          </w:p>
        </w:tc>
        <w:tc>
          <w:tcPr>
            <w:tcW w:w="2021" w:type="pct"/>
            <w:tcBorders>
              <w:top w:val="nil"/>
              <w:left w:val="nil"/>
              <w:bottom w:val="nil"/>
              <w:right w:val="single" w:sz="8" w:space="0" w:color="auto"/>
            </w:tcBorders>
            <w:shd w:val="clear" w:color="auto" w:fill="auto"/>
            <w:vAlign w:val="center"/>
            <w:hideMark/>
          </w:tcPr>
          <w:p w14:paraId="38FEC991" w14:textId="77777777" w:rsidR="001677CB" w:rsidRPr="001D0FC4" w:rsidRDefault="001677CB" w:rsidP="001677CB">
            <w:pPr>
              <w:keepNext/>
              <w:jc w:val="left"/>
              <w:rPr>
                <w:rFonts w:cs="Arial"/>
                <w:color w:val="000000"/>
                <w:sz w:val="18"/>
                <w:szCs w:val="18"/>
                <w:lang w:eastAsia="fr-FR"/>
              </w:rPr>
            </w:pPr>
            <w:r w:rsidRPr="001D0FC4">
              <w:rPr>
                <w:rFonts w:cs="Arial"/>
                <w:color w:val="000000"/>
                <w:sz w:val="18"/>
                <w:szCs w:val="18"/>
                <w:lang w:eastAsia="nl-NL"/>
              </w:rPr>
              <w:t>c) reference to (scientific) publications in which the DNA sequence information of the states of expression of the characteristic is revealed.</w:t>
            </w:r>
          </w:p>
        </w:tc>
      </w:tr>
      <w:tr w:rsidR="001677CB" w:rsidRPr="00214FF8" w14:paraId="3EB47209" w14:textId="77777777" w:rsidTr="00C50136">
        <w:trPr>
          <w:gridAfter w:val="1"/>
          <w:wAfter w:w="82" w:type="pct"/>
          <w:cantSplit/>
          <w:trHeight w:val="1035"/>
        </w:trPr>
        <w:tc>
          <w:tcPr>
            <w:tcW w:w="358" w:type="pct"/>
            <w:vMerge/>
            <w:tcBorders>
              <w:top w:val="nil"/>
              <w:left w:val="single" w:sz="8" w:space="0" w:color="auto"/>
              <w:bottom w:val="single" w:sz="8" w:space="0" w:color="000000"/>
              <w:right w:val="single" w:sz="8" w:space="0" w:color="auto"/>
            </w:tcBorders>
            <w:vAlign w:val="center"/>
            <w:hideMark/>
          </w:tcPr>
          <w:p w14:paraId="6A3E8CF1" w14:textId="77777777" w:rsidR="001677CB" w:rsidRPr="001D0FC4" w:rsidRDefault="001677CB" w:rsidP="001677CB">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7CB1EA17" w14:textId="77777777" w:rsidR="001677CB" w:rsidRPr="001D0FC4" w:rsidRDefault="001677CB" w:rsidP="001677CB">
            <w:pPr>
              <w:jc w:val="left"/>
              <w:rPr>
                <w:rFonts w:cs="Arial"/>
                <w:color w:val="000000"/>
                <w:sz w:val="18"/>
                <w:szCs w:val="18"/>
                <w:lang w:eastAsia="fr-FR"/>
              </w:rPr>
            </w:pPr>
          </w:p>
        </w:tc>
        <w:tc>
          <w:tcPr>
            <w:tcW w:w="1235" w:type="pct"/>
            <w:tcBorders>
              <w:top w:val="nil"/>
              <w:left w:val="nil"/>
              <w:bottom w:val="single" w:sz="8" w:space="0" w:color="auto"/>
              <w:right w:val="single" w:sz="8" w:space="0" w:color="auto"/>
            </w:tcBorders>
            <w:shd w:val="clear" w:color="auto" w:fill="auto"/>
            <w:vAlign w:val="center"/>
            <w:hideMark/>
          </w:tcPr>
          <w:p w14:paraId="506E6DD0" w14:textId="544F6E77" w:rsidR="001677CB" w:rsidRPr="001D0FC4" w:rsidRDefault="001677CB" w:rsidP="001677CB">
            <w:pPr>
              <w:jc w:val="left"/>
              <w:rPr>
                <w:rFonts w:cs="Arial"/>
                <w:color w:val="000000"/>
                <w:sz w:val="18"/>
                <w:szCs w:val="18"/>
                <w:lang w:eastAsia="fr-FR"/>
              </w:rPr>
            </w:pPr>
          </w:p>
        </w:tc>
        <w:tc>
          <w:tcPr>
            <w:tcW w:w="504" w:type="pct"/>
            <w:vMerge/>
            <w:tcBorders>
              <w:top w:val="nil"/>
              <w:left w:val="single" w:sz="8" w:space="0" w:color="auto"/>
              <w:bottom w:val="single" w:sz="8" w:space="0" w:color="000000"/>
              <w:right w:val="single" w:sz="8" w:space="0" w:color="auto"/>
            </w:tcBorders>
            <w:vAlign w:val="center"/>
            <w:hideMark/>
          </w:tcPr>
          <w:p w14:paraId="3777AF56" w14:textId="77777777" w:rsidR="001677CB" w:rsidRPr="001D0FC4" w:rsidRDefault="001677CB" w:rsidP="001677CB">
            <w:pPr>
              <w:jc w:val="left"/>
              <w:rPr>
                <w:rFonts w:cs="Arial"/>
                <w:color w:val="000000"/>
                <w:sz w:val="18"/>
                <w:szCs w:val="18"/>
                <w:lang w:eastAsia="fr-FR"/>
              </w:rPr>
            </w:pPr>
          </w:p>
        </w:tc>
        <w:tc>
          <w:tcPr>
            <w:tcW w:w="2021" w:type="pct"/>
            <w:tcBorders>
              <w:top w:val="nil"/>
              <w:left w:val="nil"/>
              <w:bottom w:val="single" w:sz="8" w:space="0" w:color="auto"/>
              <w:right w:val="single" w:sz="8" w:space="0" w:color="auto"/>
            </w:tcBorders>
            <w:shd w:val="clear" w:color="auto" w:fill="auto"/>
            <w:vAlign w:val="center"/>
            <w:hideMark/>
          </w:tcPr>
          <w:p w14:paraId="058E49DE"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d) reference to a particular position on the published reference genome version in combination with the SNP or INDEL that is responsible for the state of expression.</w:t>
            </w:r>
          </w:p>
        </w:tc>
      </w:tr>
      <w:tr w:rsidR="001677CB" w:rsidRPr="00214FF8" w14:paraId="4ABE2983" w14:textId="77777777" w:rsidTr="00CA22A9">
        <w:trPr>
          <w:gridAfter w:val="1"/>
          <w:wAfter w:w="82" w:type="pct"/>
          <w:cantSplit/>
          <w:trHeight w:val="780"/>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2B879970"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3</w:t>
            </w:r>
          </w:p>
        </w:tc>
        <w:tc>
          <w:tcPr>
            <w:tcW w:w="800" w:type="pct"/>
            <w:tcBorders>
              <w:top w:val="nil"/>
              <w:left w:val="nil"/>
              <w:bottom w:val="single" w:sz="8" w:space="0" w:color="auto"/>
              <w:right w:val="single" w:sz="8" w:space="0" w:color="auto"/>
            </w:tcBorders>
            <w:shd w:val="clear" w:color="auto" w:fill="auto"/>
            <w:vAlign w:val="center"/>
            <w:hideMark/>
          </w:tcPr>
          <w:p w14:paraId="0C16332F"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 xml:space="preserve">Primers </w:t>
            </w:r>
            <w:r w:rsidRPr="00C67C15">
              <w:rPr>
                <w:rFonts w:cs="Arial"/>
                <w:color w:val="000000"/>
                <w:sz w:val="18"/>
                <w:szCs w:val="18"/>
                <w:lang w:eastAsia="nl-NL"/>
              </w:rPr>
              <w:t>(and probes</w:t>
            </w:r>
            <w:r w:rsidRPr="00C67C15">
              <w:rPr>
                <w:rFonts w:cs="Arial"/>
                <w:color w:val="000000"/>
                <w:sz w:val="18"/>
                <w:szCs w:val="18"/>
                <w:highlight w:val="lightGray"/>
                <w:lang w:eastAsia="nl-NL"/>
              </w:rPr>
              <w:t>)</w:t>
            </w:r>
          </w:p>
        </w:tc>
        <w:tc>
          <w:tcPr>
            <w:tcW w:w="1235" w:type="pct"/>
            <w:tcBorders>
              <w:top w:val="nil"/>
              <w:left w:val="nil"/>
              <w:bottom w:val="single" w:sz="8" w:space="0" w:color="auto"/>
              <w:right w:val="single" w:sz="8" w:space="0" w:color="auto"/>
            </w:tcBorders>
            <w:shd w:val="clear" w:color="auto" w:fill="auto"/>
            <w:vAlign w:val="center"/>
            <w:hideMark/>
          </w:tcPr>
          <w:p w14:paraId="4AB64F37" w14:textId="77777777" w:rsidR="001677CB" w:rsidRPr="001D0FC4" w:rsidRDefault="001677CB" w:rsidP="001677CB">
            <w:pPr>
              <w:jc w:val="left"/>
              <w:rPr>
                <w:rFonts w:cs="Arial"/>
                <w:i/>
                <w:iCs/>
                <w:color w:val="000000"/>
                <w:sz w:val="18"/>
                <w:szCs w:val="18"/>
                <w:lang w:eastAsia="fr-FR"/>
              </w:rPr>
            </w:pPr>
            <w:r w:rsidRPr="001D0FC4">
              <w:rPr>
                <w:rFonts w:cs="Arial"/>
                <w:i/>
                <w:iCs/>
                <w:color w:val="000000"/>
                <w:sz w:val="18"/>
                <w:szCs w:val="18"/>
                <w:lang w:eastAsia="fr-FR"/>
              </w:rPr>
              <w:t>See TG/44/11/rev3 – Ad 51: ii DNA marker test add 3, 3.1 and 3.2</w:t>
            </w:r>
          </w:p>
        </w:tc>
        <w:tc>
          <w:tcPr>
            <w:tcW w:w="504" w:type="pct"/>
            <w:tcBorders>
              <w:top w:val="nil"/>
              <w:left w:val="nil"/>
              <w:bottom w:val="single" w:sz="8" w:space="0" w:color="auto"/>
              <w:right w:val="single" w:sz="8" w:space="0" w:color="auto"/>
            </w:tcBorders>
            <w:shd w:val="clear" w:color="auto" w:fill="auto"/>
            <w:vAlign w:val="center"/>
            <w:hideMark/>
          </w:tcPr>
          <w:p w14:paraId="4F09D336"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YES</w:t>
            </w:r>
          </w:p>
        </w:tc>
        <w:tc>
          <w:tcPr>
            <w:tcW w:w="2021" w:type="pct"/>
            <w:tcBorders>
              <w:top w:val="nil"/>
              <w:left w:val="nil"/>
              <w:bottom w:val="single" w:sz="8" w:space="0" w:color="auto"/>
              <w:right w:val="single" w:sz="8" w:space="0" w:color="auto"/>
            </w:tcBorders>
            <w:shd w:val="clear" w:color="auto" w:fill="auto"/>
            <w:vAlign w:val="center"/>
            <w:hideMark/>
          </w:tcPr>
          <w:p w14:paraId="46F89D7A"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Primer and probe sequences, reference to accessions and sequences in public databases (</w:t>
            </w:r>
            <w:proofErr w:type="spellStart"/>
            <w:r w:rsidRPr="001D0FC4">
              <w:rPr>
                <w:rFonts w:cs="Arial"/>
                <w:color w:val="000000"/>
                <w:sz w:val="18"/>
                <w:szCs w:val="18"/>
                <w:lang w:eastAsia="nl-NL"/>
              </w:rPr>
              <w:t>Genebank</w:t>
            </w:r>
            <w:proofErr w:type="spellEnd"/>
            <w:r w:rsidRPr="001D0FC4">
              <w:rPr>
                <w:rFonts w:cs="Arial"/>
                <w:color w:val="000000"/>
                <w:sz w:val="18"/>
                <w:szCs w:val="18"/>
                <w:lang w:eastAsia="nl-NL"/>
              </w:rPr>
              <w:t xml:space="preserve"> numbers), literature</w:t>
            </w:r>
          </w:p>
        </w:tc>
      </w:tr>
      <w:tr w:rsidR="001677CB" w:rsidRPr="00214FF8" w14:paraId="718DC5F1" w14:textId="77777777" w:rsidTr="00CA22A9">
        <w:trPr>
          <w:gridAfter w:val="1"/>
          <w:wAfter w:w="82" w:type="pct"/>
          <w:cantSplit/>
          <w:trHeight w:val="5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7C4B5868"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lastRenderedPageBreak/>
              <w:t>3.1</w:t>
            </w:r>
          </w:p>
        </w:tc>
        <w:tc>
          <w:tcPr>
            <w:tcW w:w="800" w:type="pct"/>
            <w:tcBorders>
              <w:top w:val="nil"/>
              <w:left w:val="nil"/>
              <w:bottom w:val="single" w:sz="8" w:space="0" w:color="auto"/>
              <w:right w:val="single" w:sz="8" w:space="0" w:color="auto"/>
            </w:tcBorders>
            <w:shd w:val="clear" w:color="auto" w:fill="auto"/>
            <w:vAlign w:val="center"/>
            <w:hideMark/>
          </w:tcPr>
          <w:p w14:paraId="718B9B78" w14:textId="77777777" w:rsidR="001677CB" w:rsidRPr="00A2258C" w:rsidRDefault="001677CB" w:rsidP="001677CB">
            <w:pPr>
              <w:jc w:val="left"/>
              <w:rPr>
                <w:rFonts w:cs="Arial"/>
                <w:color w:val="000000"/>
                <w:sz w:val="18"/>
                <w:szCs w:val="18"/>
                <w:lang w:eastAsia="fr-FR"/>
              </w:rPr>
            </w:pPr>
            <w:r w:rsidRPr="00A2258C">
              <w:rPr>
                <w:rFonts w:cs="Arial"/>
                <w:color w:val="000000"/>
                <w:sz w:val="18"/>
                <w:szCs w:val="18"/>
                <w:lang w:eastAsia="nl-NL"/>
              </w:rPr>
              <w:t>Primers (</w:t>
            </w:r>
            <w:r w:rsidRPr="00C67C15">
              <w:rPr>
                <w:rFonts w:cs="Arial"/>
                <w:color w:val="000000"/>
                <w:sz w:val="18"/>
                <w:szCs w:val="18"/>
                <w:highlight w:val="lightGray"/>
                <w:lang w:eastAsia="nl-NL"/>
              </w:rPr>
              <w:t>and probes</w:t>
            </w:r>
            <w:r w:rsidRPr="00A2258C">
              <w:rPr>
                <w:rFonts w:cs="Arial"/>
                <w:color w:val="000000"/>
                <w:sz w:val="18"/>
                <w:szCs w:val="18"/>
                <w:lang w:eastAsia="nl-NL"/>
              </w:rPr>
              <w:t>) to detect allele ‘9’</w:t>
            </w:r>
          </w:p>
        </w:tc>
        <w:tc>
          <w:tcPr>
            <w:tcW w:w="1235" w:type="pct"/>
            <w:tcBorders>
              <w:top w:val="nil"/>
              <w:left w:val="nil"/>
              <w:bottom w:val="single" w:sz="8" w:space="0" w:color="auto"/>
              <w:right w:val="single" w:sz="8" w:space="0" w:color="auto"/>
            </w:tcBorders>
            <w:shd w:val="clear" w:color="auto" w:fill="auto"/>
            <w:vAlign w:val="center"/>
            <w:hideMark/>
          </w:tcPr>
          <w:p w14:paraId="13D83705"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 </w:t>
            </w:r>
          </w:p>
        </w:tc>
        <w:tc>
          <w:tcPr>
            <w:tcW w:w="504" w:type="pct"/>
            <w:tcBorders>
              <w:top w:val="nil"/>
              <w:left w:val="nil"/>
              <w:bottom w:val="single" w:sz="8" w:space="0" w:color="auto"/>
              <w:right w:val="single" w:sz="8" w:space="0" w:color="auto"/>
            </w:tcBorders>
            <w:shd w:val="clear" w:color="auto" w:fill="auto"/>
            <w:vAlign w:val="center"/>
            <w:hideMark/>
          </w:tcPr>
          <w:p w14:paraId="68C367FF"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YES</w:t>
            </w:r>
          </w:p>
        </w:tc>
        <w:tc>
          <w:tcPr>
            <w:tcW w:w="2021" w:type="pct"/>
            <w:tcBorders>
              <w:top w:val="nil"/>
              <w:left w:val="nil"/>
              <w:bottom w:val="single" w:sz="8" w:space="0" w:color="auto"/>
              <w:right w:val="single" w:sz="8" w:space="0" w:color="auto"/>
            </w:tcBorders>
            <w:shd w:val="clear" w:color="auto" w:fill="auto"/>
            <w:vAlign w:val="center"/>
            <w:hideMark/>
          </w:tcPr>
          <w:p w14:paraId="2B798FC8"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Primer Sequences corresponding to allele(s) for expression ‘9’ (resistance)</w:t>
            </w:r>
          </w:p>
        </w:tc>
      </w:tr>
      <w:tr w:rsidR="001677CB" w:rsidRPr="00214FF8" w14:paraId="249A0294" w14:textId="77777777" w:rsidTr="00CA22A9">
        <w:trPr>
          <w:gridAfter w:val="1"/>
          <w:wAfter w:w="82" w:type="pct"/>
          <w:cantSplit/>
          <w:trHeight w:val="5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66EFAA08"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3.2</w:t>
            </w:r>
          </w:p>
        </w:tc>
        <w:tc>
          <w:tcPr>
            <w:tcW w:w="800" w:type="pct"/>
            <w:tcBorders>
              <w:top w:val="nil"/>
              <w:left w:val="nil"/>
              <w:bottom w:val="single" w:sz="8" w:space="0" w:color="auto"/>
              <w:right w:val="single" w:sz="8" w:space="0" w:color="auto"/>
            </w:tcBorders>
            <w:shd w:val="clear" w:color="auto" w:fill="auto"/>
            <w:vAlign w:val="center"/>
            <w:hideMark/>
          </w:tcPr>
          <w:p w14:paraId="135ADBF0" w14:textId="77777777" w:rsidR="001677CB" w:rsidRPr="00A2258C" w:rsidRDefault="001677CB" w:rsidP="001677CB">
            <w:pPr>
              <w:jc w:val="left"/>
              <w:rPr>
                <w:rFonts w:cs="Arial"/>
                <w:color w:val="000000"/>
                <w:sz w:val="18"/>
                <w:szCs w:val="18"/>
                <w:lang w:eastAsia="fr-FR"/>
              </w:rPr>
            </w:pPr>
            <w:r w:rsidRPr="00A2258C">
              <w:rPr>
                <w:rFonts w:cs="Arial"/>
                <w:color w:val="000000"/>
                <w:sz w:val="18"/>
                <w:szCs w:val="18"/>
                <w:lang w:eastAsia="nl-NL"/>
              </w:rPr>
              <w:t>Primers (</w:t>
            </w:r>
            <w:r w:rsidRPr="00C67C15">
              <w:rPr>
                <w:rFonts w:cs="Arial"/>
                <w:color w:val="000000"/>
                <w:sz w:val="18"/>
                <w:szCs w:val="18"/>
                <w:highlight w:val="lightGray"/>
                <w:lang w:eastAsia="nl-NL"/>
              </w:rPr>
              <w:t>and probes</w:t>
            </w:r>
            <w:r w:rsidRPr="00A2258C">
              <w:rPr>
                <w:rFonts w:cs="Arial"/>
                <w:color w:val="000000"/>
                <w:sz w:val="18"/>
                <w:szCs w:val="18"/>
                <w:lang w:eastAsia="nl-NL"/>
              </w:rPr>
              <w:t>) to detect allele ‘1’</w:t>
            </w:r>
          </w:p>
        </w:tc>
        <w:tc>
          <w:tcPr>
            <w:tcW w:w="1235" w:type="pct"/>
            <w:tcBorders>
              <w:top w:val="nil"/>
              <w:left w:val="nil"/>
              <w:bottom w:val="single" w:sz="8" w:space="0" w:color="auto"/>
              <w:right w:val="single" w:sz="8" w:space="0" w:color="auto"/>
            </w:tcBorders>
            <w:shd w:val="clear" w:color="auto" w:fill="auto"/>
            <w:vAlign w:val="center"/>
            <w:hideMark/>
          </w:tcPr>
          <w:p w14:paraId="1FB4304D"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 </w:t>
            </w:r>
          </w:p>
        </w:tc>
        <w:tc>
          <w:tcPr>
            <w:tcW w:w="504" w:type="pct"/>
            <w:tcBorders>
              <w:top w:val="nil"/>
              <w:left w:val="nil"/>
              <w:bottom w:val="single" w:sz="8" w:space="0" w:color="auto"/>
              <w:right w:val="single" w:sz="8" w:space="0" w:color="auto"/>
            </w:tcBorders>
            <w:shd w:val="clear" w:color="auto" w:fill="auto"/>
            <w:vAlign w:val="center"/>
            <w:hideMark/>
          </w:tcPr>
          <w:p w14:paraId="5EADB098"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YES</w:t>
            </w:r>
          </w:p>
        </w:tc>
        <w:tc>
          <w:tcPr>
            <w:tcW w:w="2021" w:type="pct"/>
            <w:tcBorders>
              <w:top w:val="nil"/>
              <w:left w:val="nil"/>
              <w:bottom w:val="single" w:sz="8" w:space="0" w:color="auto"/>
              <w:right w:val="single" w:sz="8" w:space="0" w:color="auto"/>
            </w:tcBorders>
            <w:shd w:val="clear" w:color="auto" w:fill="auto"/>
            <w:vAlign w:val="center"/>
            <w:hideMark/>
          </w:tcPr>
          <w:p w14:paraId="485CA104"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Primer Sequences corresponding to allele(s) for expression ‘1’ (susceptibility)</w:t>
            </w:r>
          </w:p>
        </w:tc>
      </w:tr>
      <w:tr w:rsidR="001677CB" w:rsidRPr="00214FF8" w14:paraId="3CD69568" w14:textId="77777777" w:rsidTr="00CA22A9">
        <w:trPr>
          <w:gridAfter w:val="1"/>
          <w:wAfter w:w="82" w:type="pct"/>
          <w:cantSplit/>
          <w:trHeight w:val="5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43619F5D"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3.3</w:t>
            </w:r>
          </w:p>
        </w:tc>
        <w:tc>
          <w:tcPr>
            <w:tcW w:w="800" w:type="pct"/>
            <w:tcBorders>
              <w:top w:val="nil"/>
              <w:left w:val="nil"/>
              <w:bottom w:val="single" w:sz="8" w:space="0" w:color="auto"/>
              <w:right w:val="single" w:sz="8" w:space="0" w:color="auto"/>
            </w:tcBorders>
            <w:shd w:val="clear" w:color="auto" w:fill="auto"/>
            <w:vAlign w:val="center"/>
            <w:hideMark/>
          </w:tcPr>
          <w:p w14:paraId="132B8416" w14:textId="77777777" w:rsidR="001677CB" w:rsidRPr="00A2258C" w:rsidRDefault="001677CB" w:rsidP="001677CB">
            <w:pPr>
              <w:jc w:val="left"/>
              <w:rPr>
                <w:rFonts w:cs="Arial"/>
                <w:color w:val="000000"/>
                <w:sz w:val="18"/>
                <w:szCs w:val="18"/>
                <w:lang w:eastAsia="fr-FR"/>
              </w:rPr>
            </w:pPr>
            <w:r w:rsidRPr="00A2258C">
              <w:rPr>
                <w:rFonts w:cs="Arial"/>
                <w:color w:val="000000"/>
                <w:sz w:val="18"/>
                <w:szCs w:val="18"/>
                <w:lang w:eastAsia="nl-NL"/>
              </w:rPr>
              <w:t>Primers (</w:t>
            </w:r>
            <w:r w:rsidRPr="00C67C15">
              <w:rPr>
                <w:rFonts w:cs="Arial"/>
                <w:color w:val="000000"/>
                <w:sz w:val="18"/>
                <w:szCs w:val="18"/>
                <w:highlight w:val="lightGray"/>
                <w:lang w:eastAsia="nl-NL"/>
              </w:rPr>
              <w:t>and probes</w:t>
            </w:r>
            <w:r w:rsidRPr="00A2258C">
              <w:rPr>
                <w:rFonts w:cs="Arial"/>
                <w:color w:val="000000"/>
                <w:sz w:val="18"/>
                <w:szCs w:val="18"/>
                <w:lang w:eastAsia="nl-NL"/>
              </w:rPr>
              <w:t>) to detect allele ‘x’</w:t>
            </w:r>
          </w:p>
        </w:tc>
        <w:tc>
          <w:tcPr>
            <w:tcW w:w="1235" w:type="pct"/>
            <w:tcBorders>
              <w:top w:val="nil"/>
              <w:left w:val="nil"/>
              <w:bottom w:val="single" w:sz="8" w:space="0" w:color="auto"/>
              <w:right w:val="single" w:sz="8" w:space="0" w:color="auto"/>
            </w:tcBorders>
            <w:shd w:val="clear" w:color="auto" w:fill="auto"/>
            <w:vAlign w:val="center"/>
            <w:hideMark/>
          </w:tcPr>
          <w:p w14:paraId="0776F68B"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 </w:t>
            </w:r>
          </w:p>
        </w:tc>
        <w:tc>
          <w:tcPr>
            <w:tcW w:w="504" w:type="pct"/>
            <w:tcBorders>
              <w:top w:val="nil"/>
              <w:left w:val="nil"/>
              <w:bottom w:val="single" w:sz="8" w:space="0" w:color="auto"/>
              <w:right w:val="single" w:sz="8" w:space="0" w:color="auto"/>
            </w:tcBorders>
            <w:shd w:val="clear" w:color="auto" w:fill="auto"/>
            <w:vAlign w:val="center"/>
            <w:hideMark/>
          </w:tcPr>
          <w:p w14:paraId="79DCEEF6"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YES</w:t>
            </w:r>
          </w:p>
        </w:tc>
        <w:tc>
          <w:tcPr>
            <w:tcW w:w="2021" w:type="pct"/>
            <w:tcBorders>
              <w:top w:val="nil"/>
              <w:left w:val="nil"/>
              <w:bottom w:val="single" w:sz="8" w:space="0" w:color="auto"/>
              <w:right w:val="single" w:sz="8" w:space="0" w:color="auto"/>
            </w:tcBorders>
            <w:shd w:val="clear" w:color="auto" w:fill="auto"/>
            <w:vAlign w:val="center"/>
            <w:hideMark/>
          </w:tcPr>
          <w:p w14:paraId="2BC8439D"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 xml:space="preserve">Primer Sequences corresponding to allele(s) for expression ‘x’ </w:t>
            </w:r>
          </w:p>
        </w:tc>
      </w:tr>
      <w:tr w:rsidR="001677CB" w:rsidRPr="00214FF8" w14:paraId="7047B611" w14:textId="77777777" w:rsidTr="00CA22A9">
        <w:trPr>
          <w:gridAfter w:val="1"/>
          <w:wAfter w:w="82" w:type="pct"/>
          <w:cantSplit/>
          <w:trHeight w:val="31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0F2E998A"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4</w:t>
            </w:r>
          </w:p>
        </w:tc>
        <w:tc>
          <w:tcPr>
            <w:tcW w:w="800" w:type="pct"/>
            <w:tcBorders>
              <w:top w:val="nil"/>
              <w:left w:val="nil"/>
              <w:bottom w:val="single" w:sz="8" w:space="0" w:color="auto"/>
              <w:right w:val="single" w:sz="8" w:space="0" w:color="auto"/>
            </w:tcBorders>
            <w:shd w:val="clear" w:color="auto" w:fill="auto"/>
            <w:vAlign w:val="center"/>
            <w:hideMark/>
          </w:tcPr>
          <w:p w14:paraId="09C5060C"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Format of the test</w:t>
            </w:r>
          </w:p>
        </w:tc>
        <w:tc>
          <w:tcPr>
            <w:tcW w:w="1235" w:type="pct"/>
            <w:tcBorders>
              <w:top w:val="nil"/>
              <w:left w:val="nil"/>
              <w:bottom w:val="single" w:sz="8" w:space="0" w:color="auto"/>
              <w:right w:val="single" w:sz="8" w:space="0" w:color="auto"/>
            </w:tcBorders>
            <w:shd w:val="clear" w:color="auto" w:fill="auto"/>
            <w:vAlign w:val="center"/>
            <w:hideMark/>
          </w:tcPr>
          <w:p w14:paraId="6685B5B3"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 </w:t>
            </w:r>
          </w:p>
        </w:tc>
        <w:tc>
          <w:tcPr>
            <w:tcW w:w="504" w:type="pct"/>
            <w:tcBorders>
              <w:top w:val="nil"/>
              <w:left w:val="nil"/>
              <w:bottom w:val="single" w:sz="8" w:space="0" w:color="auto"/>
              <w:right w:val="single" w:sz="8" w:space="0" w:color="auto"/>
            </w:tcBorders>
            <w:shd w:val="clear" w:color="auto" w:fill="auto"/>
            <w:vAlign w:val="center"/>
            <w:hideMark/>
          </w:tcPr>
          <w:p w14:paraId="32988ED6"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 </w:t>
            </w:r>
          </w:p>
        </w:tc>
        <w:tc>
          <w:tcPr>
            <w:tcW w:w="2021" w:type="pct"/>
            <w:tcBorders>
              <w:top w:val="nil"/>
              <w:left w:val="nil"/>
              <w:bottom w:val="single" w:sz="8" w:space="0" w:color="auto"/>
              <w:right w:val="single" w:sz="8" w:space="0" w:color="auto"/>
            </w:tcBorders>
            <w:shd w:val="clear" w:color="auto" w:fill="auto"/>
            <w:vAlign w:val="center"/>
            <w:hideMark/>
          </w:tcPr>
          <w:p w14:paraId="21AC766B"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 </w:t>
            </w:r>
          </w:p>
        </w:tc>
      </w:tr>
      <w:tr w:rsidR="001677CB" w:rsidRPr="00214FF8" w14:paraId="50742416" w14:textId="77777777" w:rsidTr="00CA22A9">
        <w:trPr>
          <w:gridAfter w:val="1"/>
          <w:wAfter w:w="82" w:type="pct"/>
          <w:cantSplit/>
          <w:trHeight w:val="17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0A20AA28"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4.1</w:t>
            </w:r>
          </w:p>
        </w:tc>
        <w:tc>
          <w:tcPr>
            <w:tcW w:w="800" w:type="pct"/>
            <w:tcBorders>
              <w:top w:val="nil"/>
              <w:left w:val="nil"/>
              <w:bottom w:val="single" w:sz="8" w:space="0" w:color="auto"/>
              <w:right w:val="single" w:sz="8" w:space="0" w:color="auto"/>
            </w:tcBorders>
            <w:shd w:val="clear" w:color="auto" w:fill="auto"/>
            <w:vAlign w:val="center"/>
            <w:hideMark/>
          </w:tcPr>
          <w:p w14:paraId="222C7D4D" w14:textId="77777777" w:rsidR="001677CB" w:rsidRPr="00A2258C" w:rsidRDefault="001677CB" w:rsidP="001677CB">
            <w:pPr>
              <w:jc w:val="left"/>
              <w:rPr>
                <w:rFonts w:cs="Arial"/>
                <w:color w:val="000000"/>
                <w:sz w:val="18"/>
                <w:szCs w:val="18"/>
                <w:lang w:eastAsia="fr-FR"/>
              </w:rPr>
            </w:pPr>
            <w:r w:rsidRPr="00A2258C">
              <w:rPr>
                <w:rFonts w:cs="Arial"/>
                <w:color w:val="000000"/>
                <w:sz w:val="18"/>
                <w:szCs w:val="18"/>
                <w:lang w:eastAsia="nl-NL"/>
              </w:rPr>
              <w:t xml:space="preserve">Number of plants </w:t>
            </w:r>
            <w:r w:rsidRPr="00C67C15">
              <w:rPr>
                <w:rFonts w:cs="Arial"/>
                <w:color w:val="000000"/>
                <w:sz w:val="18"/>
                <w:szCs w:val="18"/>
                <w:highlight w:val="lightGray"/>
                <w:lang w:eastAsia="nl-NL"/>
              </w:rPr>
              <w:t>per genotype</w:t>
            </w:r>
          </w:p>
        </w:tc>
        <w:tc>
          <w:tcPr>
            <w:tcW w:w="1235" w:type="pct"/>
            <w:tcBorders>
              <w:top w:val="nil"/>
              <w:left w:val="nil"/>
              <w:bottom w:val="single" w:sz="8" w:space="0" w:color="auto"/>
              <w:right w:val="single" w:sz="8" w:space="0" w:color="auto"/>
            </w:tcBorders>
            <w:shd w:val="clear" w:color="auto" w:fill="auto"/>
            <w:vAlign w:val="center"/>
            <w:hideMark/>
          </w:tcPr>
          <w:p w14:paraId="1FCFB25D" w14:textId="366259A5" w:rsidR="001677CB" w:rsidRPr="00A2258C" w:rsidRDefault="00FB408C" w:rsidP="001677CB">
            <w:pPr>
              <w:jc w:val="left"/>
              <w:rPr>
                <w:rFonts w:cs="Arial"/>
                <w:color w:val="000000"/>
                <w:sz w:val="18"/>
                <w:szCs w:val="18"/>
                <w:lang w:eastAsia="fr-FR"/>
              </w:rPr>
            </w:pPr>
            <w:r>
              <w:rPr>
                <w:rFonts w:cs="Arial"/>
                <w:color w:val="000000"/>
                <w:sz w:val="18"/>
                <w:szCs w:val="18"/>
                <w:lang w:eastAsia="nl-NL"/>
              </w:rPr>
              <w:t>≥</w:t>
            </w:r>
            <w:r w:rsidR="001677CB" w:rsidRPr="00A2258C">
              <w:rPr>
                <w:rFonts w:cs="Arial"/>
                <w:color w:val="000000"/>
                <w:sz w:val="18"/>
                <w:szCs w:val="18"/>
                <w:lang w:eastAsia="nl-NL"/>
              </w:rPr>
              <w:t>20</w:t>
            </w:r>
          </w:p>
        </w:tc>
        <w:tc>
          <w:tcPr>
            <w:tcW w:w="504" w:type="pct"/>
            <w:tcBorders>
              <w:top w:val="nil"/>
              <w:left w:val="nil"/>
              <w:bottom w:val="single" w:sz="8" w:space="0" w:color="auto"/>
              <w:right w:val="single" w:sz="8" w:space="0" w:color="auto"/>
            </w:tcBorders>
            <w:shd w:val="clear" w:color="auto" w:fill="auto"/>
            <w:vAlign w:val="center"/>
            <w:hideMark/>
          </w:tcPr>
          <w:p w14:paraId="7DFA66E2"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YES</w:t>
            </w:r>
          </w:p>
        </w:tc>
        <w:tc>
          <w:tcPr>
            <w:tcW w:w="2021" w:type="pct"/>
            <w:tcBorders>
              <w:top w:val="nil"/>
              <w:left w:val="nil"/>
              <w:bottom w:val="single" w:sz="8" w:space="0" w:color="auto"/>
              <w:right w:val="single" w:sz="8" w:space="0" w:color="auto"/>
            </w:tcBorders>
            <w:shd w:val="clear" w:color="auto" w:fill="auto"/>
            <w:vAlign w:val="center"/>
            <w:hideMark/>
          </w:tcPr>
          <w:p w14:paraId="0A49E8C9" w14:textId="5B0EEC5B"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A minimal number of individual plants required</w:t>
            </w:r>
            <w:r w:rsidR="006420CB">
              <w:rPr>
                <w:rFonts w:cs="Arial"/>
                <w:color w:val="000000"/>
                <w:sz w:val="18"/>
                <w:szCs w:val="18"/>
                <w:lang w:eastAsia="nl-NL"/>
              </w:rPr>
              <w:t>:</w:t>
            </w:r>
            <w:r w:rsidRPr="001D0FC4">
              <w:rPr>
                <w:rFonts w:cs="Arial"/>
                <w:color w:val="000000"/>
                <w:sz w:val="18"/>
                <w:szCs w:val="18"/>
                <w:lang w:eastAsia="nl-NL"/>
              </w:rPr>
              <w:t xml:space="preserve"> the test for the marker is conducted on the same number of individual plants, with the same criteria for distinctness, uniformity and stability as for the examination of the characteristic by an observation assay (</w:t>
            </w:r>
            <w:r w:rsidR="00FB408C">
              <w:rPr>
                <w:rFonts w:cs="Arial"/>
                <w:color w:val="000000"/>
                <w:sz w:val="18"/>
                <w:szCs w:val="18"/>
                <w:lang w:eastAsia="nl-NL"/>
              </w:rPr>
              <w:t xml:space="preserve">documents </w:t>
            </w:r>
            <w:r w:rsidRPr="001D0FC4">
              <w:rPr>
                <w:rFonts w:cs="Arial"/>
                <w:color w:val="000000"/>
                <w:sz w:val="18"/>
                <w:szCs w:val="18"/>
                <w:lang w:eastAsia="nl-NL"/>
              </w:rPr>
              <w:t>TGP</w:t>
            </w:r>
            <w:r w:rsidR="006420CB">
              <w:rPr>
                <w:rFonts w:cs="Arial"/>
                <w:color w:val="000000"/>
                <w:sz w:val="18"/>
                <w:szCs w:val="18"/>
                <w:lang w:eastAsia="nl-NL"/>
              </w:rPr>
              <w:t>/9 and TGP/10</w:t>
            </w:r>
            <w:r w:rsidRPr="001D0FC4">
              <w:rPr>
                <w:rFonts w:cs="Arial"/>
                <w:color w:val="000000"/>
                <w:sz w:val="18"/>
                <w:szCs w:val="18"/>
                <w:lang w:eastAsia="nl-NL"/>
              </w:rPr>
              <w:t>)</w:t>
            </w:r>
          </w:p>
        </w:tc>
      </w:tr>
      <w:tr w:rsidR="001677CB" w:rsidRPr="00214FF8" w14:paraId="5F0BE26B" w14:textId="77777777" w:rsidTr="00CA22A9">
        <w:trPr>
          <w:gridAfter w:val="1"/>
          <w:wAfter w:w="82" w:type="pct"/>
          <w:cantSplit/>
          <w:trHeight w:val="3000"/>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12993B42"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4.2</w:t>
            </w:r>
          </w:p>
        </w:tc>
        <w:tc>
          <w:tcPr>
            <w:tcW w:w="800" w:type="pct"/>
            <w:tcBorders>
              <w:top w:val="nil"/>
              <w:left w:val="nil"/>
              <w:bottom w:val="single" w:sz="8" w:space="0" w:color="auto"/>
              <w:right w:val="single" w:sz="8" w:space="0" w:color="auto"/>
            </w:tcBorders>
            <w:shd w:val="clear" w:color="auto" w:fill="auto"/>
            <w:vAlign w:val="center"/>
            <w:hideMark/>
          </w:tcPr>
          <w:p w14:paraId="1B830F99"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Control varieties</w:t>
            </w:r>
          </w:p>
        </w:tc>
        <w:tc>
          <w:tcPr>
            <w:tcW w:w="1235" w:type="pct"/>
            <w:tcBorders>
              <w:top w:val="nil"/>
              <w:left w:val="nil"/>
              <w:bottom w:val="single" w:sz="8" w:space="0" w:color="auto"/>
              <w:right w:val="single" w:sz="8" w:space="0" w:color="auto"/>
            </w:tcBorders>
            <w:shd w:val="clear" w:color="auto" w:fill="auto"/>
            <w:vAlign w:val="center"/>
            <w:hideMark/>
          </w:tcPr>
          <w:p w14:paraId="0DFA120A" w14:textId="77777777" w:rsidR="001677CB" w:rsidRPr="001D0FC4" w:rsidRDefault="001677CB" w:rsidP="001677CB">
            <w:pPr>
              <w:jc w:val="left"/>
              <w:rPr>
                <w:rFonts w:cs="Arial"/>
                <w:i/>
                <w:iCs/>
                <w:color w:val="000000"/>
                <w:sz w:val="18"/>
                <w:szCs w:val="18"/>
                <w:lang w:eastAsia="fr-FR"/>
              </w:rPr>
            </w:pPr>
            <w:r w:rsidRPr="001D0FC4">
              <w:rPr>
                <w:rFonts w:cs="Arial"/>
                <w:i/>
                <w:iCs/>
                <w:color w:val="000000"/>
                <w:sz w:val="18"/>
                <w:szCs w:val="18"/>
                <w:lang w:eastAsia="fr-FR"/>
              </w:rPr>
              <w:t>See TG/44/11/rev3 – Ad 51: ii DNA marker test add 4.2</w:t>
            </w:r>
          </w:p>
        </w:tc>
        <w:tc>
          <w:tcPr>
            <w:tcW w:w="504" w:type="pct"/>
            <w:tcBorders>
              <w:top w:val="nil"/>
              <w:left w:val="nil"/>
              <w:bottom w:val="single" w:sz="8" w:space="0" w:color="auto"/>
              <w:right w:val="single" w:sz="8" w:space="0" w:color="auto"/>
            </w:tcBorders>
            <w:shd w:val="clear" w:color="auto" w:fill="auto"/>
            <w:vAlign w:val="center"/>
            <w:hideMark/>
          </w:tcPr>
          <w:p w14:paraId="4D92B89D"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YES</w:t>
            </w:r>
          </w:p>
        </w:tc>
        <w:tc>
          <w:tcPr>
            <w:tcW w:w="2021" w:type="pct"/>
            <w:tcBorders>
              <w:top w:val="nil"/>
              <w:left w:val="nil"/>
              <w:bottom w:val="single" w:sz="8" w:space="0" w:color="auto"/>
              <w:right w:val="single" w:sz="8" w:space="0" w:color="auto"/>
            </w:tcBorders>
            <w:shd w:val="clear" w:color="auto" w:fill="auto"/>
            <w:vAlign w:val="center"/>
            <w:hideMark/>
          </w:tcPr>
          <w:p w14:paraId="10C1349B" w14:textId="28E23721"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 xml:space="preserve">Control varieties (same as in observation assay) as standards representing all relevant combination of alleles. For </w:t>
            </w:r>
            <w:proofErr w:type="gramStart"/>
            <w:r w:rsidRPr="001D0FC4">
              <w:rPr>
                <w:rFonts w:cs="Arial"/>
                <w:color w:val="000000"/>
                <w:sz w:val="18"/>
                <w:szCs w:val="18"/>
                <w:lang w:eastAsia="nl-NL"/>
              </w:rPr>
              <w:t>example</w:t>
            </w:r>
            <w:proofErr w:type="gramEnd"/>
            <w:r w:rsidRPr="001D0FC4">
              <w:rPr>
                <w:rFonts w:cs="Arial"/>
                <w:color w:val="000000"/>
                <w:sz w:val="18"/>
                <w:szCs w:val="18"/>
                <w:lang w:eastAsia="nl-NL"/>
              </w:rPr>
              <w:t xml:space="preserve"> homozygous for Allele corresponding to expression state 9 (present), homozygous for allele corresponding to expression state 1 (</w:t>
            </w:r>
            <w:r w:rsidR="001F2E27">
              <w:rPr>
                <w:rFonts w:cs="Arial"/>
                <w:color w:val="000000"/>
                <w:sz w:val="18"/>
                <w:szCs w:val="18"/>
                <w:lang w:eastAsia="nl-NL"/>
              </w:rPr>
              <w:t>absent</w:t>
            </w:r>
            <w:r w:rsidRPr="001D0FC4">
              <w:rPr>
                <w:rFonts w:cs="Arial"/>
                <w:color w:val="000000"/>
                <w:sz w:val="18"/>
                <w:szCs w:val="18"/>
                <w:lang w:eastAsia="nl-NL"/>
              </w:rPr>
              <w:t>) and heterozygous (both alleles are present in a diploid) corresponding to either resistant, susceptib</w:t>
            </w:r>
            <w:r w:rsidR="001F2E27">
              <w:rPr>
                <w:rFonts w:cs="Arial"/>
                <w:color w:val="000000"/>
                <w:sz w:val="18"/>
                <w:szCs w:val="18"/>
                <w:lang w:eastAsia="nl-NL"/>
              </w:rPr>
              <w:t xml:space="preserve">ility </w:t>
            </w:r>
            <w:r w:rsidRPr="001D0FC4">
              <w:rPr>
                <w:rFonts w:cs="Arial"/>
                <w:color w:val="000000"/>
                <w:sz w:val="18"/>
                <w:szCs w:val="18"/>
                <w:lang w:eastAsia="nl-NL"/>
              </w:rPr>
              <w:t xml:space="preserve">or intermediate </w:t>
            </w:r>
            <w:r w:rsidR="001F2E27">
              <w:rPr>
                <w:rFonts w:cs="Arial"/>
                <w:color w:val="000000"/>
                <w:sz w:val="18"/>
                <w:szCs w:val="18"/>
                <w:lang w:eastAsia="nl-NL"/>
              </w:rPr>
              <w:t xml:space="preserve">resistance of the variety </w:t>
            </w:r>
            <w:r w:rsidRPr="001D0FC4">
              <w:rPr>
                <w:rFonts w:cs="Arial"/>
                <w:color w:val="000000"/>
                <w:sz w:val="18"/>
                <w:szCs w:val="18"/>
                <w:lang w:eastAsia="nl-NL"/>
              </w:rPr>
              <w:t>(depending on gene function; dominant - recessive</w:t>
            </w:r>
            <w:r w:rsidRPr="001F2E27">
              <w:rPr>
                <w:rFonts w:cs="Arial"/>
                <w:color w:val="000000"/>
                <w:sz w:val="18"/>
                <w:szCs w:val="18"/>
                <w:lang w:eastAsia="nl-NL"/>
              </w:rPr>
              <w:t xml:space="preserve">). </w:t>
            </w:r>
            <w:r w:rsidRPr="00C67C15">
              <w:rPr>
                <w:rFonts w:cs="Arial"/>
                <w:color w:val="000000"/>
                <w:sz w:val="18"/>
                <w:szCs w:val="18"/>
                <w:highlight w:val="lightGray"/>
                <w:lang w:eastAsia="nl-NL"/>
              </w:rPr>
              <w:t>DNA controls can be directly used.</w:t>
            </w:r>
          </w:p>
        </w:tc>
      </w:tr>
      <w:tr w:rsidR="001677CB" w:rsidRPr="00214FF8" w14:paraId="3DBAB733" w14:textId="77777777" w:rsidTr="00CA22A9">
        <w:trPr>
          <w:gridAfter w:val="1"/>
          <w:wAfter w:w="82" w:type="pct"/>
          <w:cantSplit/>
          <w:trHeight w:val="1770"/>
        </w:trPr>
        <w:tc>
          <w:tcPr>
            <w:tcW w:w="358" w:type="pct"/>
            <w:tcBorders>
              <w:top w:val="nil"/>
              <w:left w:val="single" w:sz="8" w:space="0" w:color="auto"/>
              <w:bottom w:val="single" w:sz="8" w:space="0" w:color="auto"/>
              <w:right w:val="single" w:sz="8" w:space="0" w:color="auto"/>
            </w:tcBorders>
            <w:shd w:val="clear" w:color="auto" w:fill="auto"/>
          </w:tcPr>
          <w:p w14:paraId="65FA00FB" w14:textId="77777777" w:rsidR="001677CB" w:rsidRPr="001F2E27" w:rsidRDefault="001677CB" w:rsidP="001677CB">
            <w:pPr>
              <w:jc w:val="left"/>
              <w:rPr>
                <w:rFonts w:cs="Arial"/>
                <w:color w:val="000000"/>
                <w:sz w:val="18"/>
                <w:szCs w:val="18"/>
                <w:lang w:eastAsia="nl-NL"/>
              </w:rPr>
            </w:pPr>
            <w:r w:rsidRPr="001F2E27">
              <w:rPr>
                <w:rFonts w:cs="Arial"/>
                <w:color w:val="000000"/>
                <w:sz w:val="18"/>
                <w:szCs w:val="18"/>
                <w:lang w:eastAsia="nl-NL"/>
              </w:rPr>
              <w:t>4.3</w:t>
            </w:r>
          </w:p>
        </w:tc>
        <w:tc>
          <w:tcPr>
            <w:tcW w:w="800" w:type="pct"/>
            <w:tcBorders>
              <w:top w:val="nil"/>
              <w:left w:val="nil"/>
              <w:bottom w:val="single" w:sz="8" w:space="0" w:color="auto"/>
              <w:right w:val="single" w:sz="8" w:space="0" w:color="auto"/>
            </w:tcBorders>
            <w:shd w:val="clear" w:color="auto" w:fill="auto"/>
          </w:tcPr>
          <w:p w14:paraId="43047C6B" w14:textId="77777777" w:rsidR="001677CB" w:rsidRPr="001F2E27" w:rsidRDefault="001677CB" w:rsidP="001677CB">
            <w:pPr>
              <w:jc w:val="left"/>
              <w:rPr>
                <w:rFonts w:cs="Arial"/>
                <w:color w:val="000000"/>
                <w:sz w:val="18"/>
                <w:szCs w:val="18"/>
                <w:lang w:eastAsia="nl-NL"/>
              </w:rPr>
            </w:pPr>
            <w:r w:rsidRPr="00C67C15">
              <w:rPr>
                <w:rFonts w:cs="Arial"/>
                <w:color w:val="000000"/>
                <w:sz w:val="18"/>
                <w:szCs w:val="18"/>
                <w:highlight w:val="lightGray"/>
                <w:lang w:eastAsia="nl-NL"/>
              </w:rPr>
              <w:t>Process controls</w:t>
            </w:r>
          </w:p>
        </w:tc>
        <w:tc>
          <w:tcPr>
            <w:tcW w:w="1235" w:type="pct"/>
            <w:tcBorders>
              <w:top w:val="nil"/>
              <w:left w:val="nil"/>
              <w:bottom w:val="single" w:sz="8" w:space="0" w:color="auto"/>
              <w:right w:val="single" w:sz="8" w:space="0" w:color="auto"/>
            </w:tcBorders>
            <w:shd w:val="clear" w:color="auto" w:fill="auto"/>
          </w:tcPr>
          <w:p w14:paraId="1E25E98B" w14:textId="77777777" w:rsidR="001677CB" w:rsidRPr="001F2E27" w:rsidRDefault="001677CB" w:rsidP="001677CB">
            <w:pPr>
              <w:jc w:val="left"/>
              <w:rPr>
                <w:rFonts w:cs="Arial"/>
                <w:i/>
                <w:iCs/>
                <w:color w:val="000000"/>
                <w:sz w:val="18"/>
                <w:szCs w:val="18"/>
                <w:lang w:eastAsia="fr-FR"/>
              </w:rPr>
            </w:pPr>
            <w:r w:rsidRPr="00C67C15">
              <w:rPr>
                <w:rFonts w:cs="Arial"/>
                <w:i/>
                <w:iCs/>
                <w:sz w:val="18"/>
                <w:szCs w:val="18"/>
                <w:highlight w:val="lightGray"/>
              </w:rPr>
              <w:t>e.g. buffer used for</w:t>
            </w:r>
            <w:r w:rsidRPr="001F2E27">
              <w:rPr>
                <w:rFonts w:cs="Arial"/>
                <w:i/>
                <w:iCs/>
                <w:sz w:val="18"/>
                <w:szCs w:val="18"/>
              </w:rPr>
              <w:t xml:space="preserve"> </w:t>
            </w:r>
            <w:r w:rsidRPr="00C67C15">
              <w:rPr>
                <w:rFonts w:cs="Arial"/>
                <w:i/>
                <w:iCs/>
                <w:sz w:val="18"/>
                <w:szCs w:val="18"/>
                <w:highlight w:val="lightGray"/>
              </w:rPr>
              <w:t>extraction; a marker targeting the cytochrome oxidase gene as an internal amplification marker</w:t>
            </w:r>
          </w:p>
        </w:tc>
        <w:tc>
          <w:tcPr>
            <w:tcW w:w="504" w:type="pct"/>
            <w:tcBorders>
              <w:top w:val="nil"/>
              <w:left w:val="nil"/>
              <w:bottom w:val="single" w:sz="8" w:space="0" w:color="auto"/>
              <w:right w:val="single" w:sz="8" w:space="0" w:color="auto"/>
            </w:tcBorders>
            <w:shd w:val="clear" w:color="auto" w:fill="auto"/>
          </w:tcPr>
          <w:p w14:paraId="2F7D36B7" w14:textId="77777777" w:rsidR="001677CB" w:rsidRPr="001F2E27" w:rsidRDefault="001677CB" w:rsidP="001677CB">
            <w:pPr>
              <w:jc w:val="left"/>
              <w:rPr>
                <w:rFonts w:cs="Arial"/>
                <w:color w:val="000000"/>
                <w:sz w:val="18"/>
                <w:szCs w:val="18"/>
                <w:lang w:eastAsia="nl-NL"/>
              </w:rPr>
            </w:pPr>
            <w:r w:rsidRPr="00C67C15">
              <w:rPr>
                <w:rFonts w:cs="Arial"/>
                <w:color w:val="000000"/>
                <w:sz w:val="18"/>
                <w:szCs w:val="18"/>
                <w:highlight w:val="lightGray"/>
                <w:lang w:eastAsia="nl-NL"/>
              </w:rPr>
              <w:t>YES</w:t>
            </w:r>
          </w:p>
        </w:tc>
        <w:tc>
          <w:tcPr>
            <w:tcW w:w="2021" w:type="pct"/>
            <w:tcBorders>
              <w:top w:val="nil"/>
              <w:left w:val="nil"/>
              <w:bottom w:val="single" w:sz="8" w:space="0" w:color="auto"/>
              <w:right w:val="single" w:sz="8" w:space="0" w:color="auto"/>
            </w:tcBorders>
            <w:shd w:val="clear" w:color="auto" w:fill="auto"/>
          </w:tcPr>
          <w:p w14:paraId="71A8CD50" w14:textId="77777777" w:rsidR="001677CB" w:rsidRPr="00C67C15" w:rsidRDefault="001677CB" w:rsidP="001677CB">
            <w:pPr>
              <w:numPr>
                <w:ilvl w:val="0"/>
                <w:numId w:val="4"/>
              </w:numPr>
              <w:spacing w:after="200" w:line="276" w:lineRule="auto"/>
              <w:contextualSpacing/>
              <w:jc w:val="left"/>
              <w:rPr>
                <w:rFonts w:eastAsia="Calibri" w:cs="Arial"/>
                <w:color w:val="000000"/>
                <w:sz w:val="18"/>
                <w:szCs w:val="18"/>
                <w:highlight w:val="lightGray"/>
                <w:lang w:eastAsia="nl-NL"/>
              </w:rPr>
            </w:pPr>
            <w:r w:rsidRPr="00C67C15">
              <w:rPr>
                <w:rFonts w:eastAsia="Calibri" w:cs="Arial"/>
                <w:color w:val="000000"/>
                <w:sz w:val="18"/>
                <w:szCs w:val="18"/>
                <w:highlight w:val="lightGray"/>
                <w:lang w:eastAsia="nl-NL"/>
              </w:rPr>
              <w:t>Negative process control(s)</w:t>
            </w:r>
          </w:p>
          <w:p w14:paraId="73D97729" w14:textId="77777777" w:rsidR="001677CB" w:rsidRPr="00C67C15" w:rsidRDefault="001677CB" w:rsidP="001677CB">
            <w:pPr>
              <w:numPr>
                <w:ilvl w:val="0"/>
                <w:numId w:val="4"/>
              </w:numPr>
              <w:spacing w:after="200" w:line="276" w:lineRule="auto"/>
              <w:contextualSpacing/>
              <w:jc w:val="left"/>
              <w:rPr>
                <w:rFonts w:eastAsia="Calibri" w:cs="Arial"/>
                <w:color w:val="000000"/>
                <w:sz w:val="18"/>
                <w:szCs w:val="18"/>
                <w:highlight w:val="lightGray"/>
                <w:lang w:eastAsia="nl-NL"/>
              </w:rPr>
            </w:pPr>
            <w:r w:rsidRPr="00C67C15">
              <w:rPr>
                <w:rFonts w:eastAsia="Calibri" w:cs="Arial"/>
                <w:color w:val="000000"/>
                <w:sz w:val="18"/>
                <w:szCs w:val="18"/>
                <w:highlight w:val="lightGray"/>
                <w:lang w:eastAsia="nl-NL"/>
              </w:rPr>
              <w:t>Positive DNA control(s) that can be the control varieties</w:t>
            </w:r>
          </w:p>
          <w:p w14:paraId="78BD5EE5" w14:textId="77777777" w:rsidR="001677CB" w:rsidRPr="00C67C15" w:rsidRDefault="001677CB" w:rsidP="001677CB">
            <w:pPr>
              <w:numPr>
                <w:ilvl w:val="0"/>
                <w:numId w:val="4"/>
              </w:numPr>
              <w:spacing w:after="200" w:line="276" w:lineRule="auto"/>
              <w:contextualSpacing/>
              <w:jc w:val="left"/>
              <w:rPr>
                <w:rFonts w:eastAsia="Calibri" w:cs="Arial"/>
                <w:color w:val="000000"/>
                <w:sz w:val="18"/>
                <w:szCs w:val="18"/>
                <w:highlight w:val="lightGray"/>
                <w:lang w:eastAsia="nl-NL"/>
              </w:rPr>
            </w:pPr>
            <w:r w:rsidRPr="00C67C15">
              <w:rPr>
                <w:rFonts w:eastAsia="Calibri" w:cs="Arial"/>
                <w:color w:val="000000"/>
                <w:sz w:val="18"/>
                <w:szCs w:val="18"/>
                <w:highlight w:val="lightGray"/>
                <w:lang w:eastAsia="nl-NL"/>
              </w:rPr>
              <w:t xml:space="preserve"> Internal amplification control in case of a presence/absence marker</w:t>
            </w:r>
          </w:p>
          <w:p w14:paraId="13EE72E7" w14:textId="77777777" w:rsidR="001677CB" w:rsidRPr="001F2E27" w:rsidRDefault="001677CB" w:rsidP="001677CB">
            <w:pPr>
              <w:ind w:left="360"/>
              <w:jc w:val="left"/>
              <w:rPr>
                <w:rFonts w:cs="Arial"/>
                <w:color w:val="000000"/>
                <w:sz w:val="18"/>
                <w:szCs w:val="18"/>
                <w:lang w:eastAsia="nl-NL"/>
              </w:rPr>
            </w:pPr>
          </w:p>
        </w:tc>
      </w:tr>
      <w:tr w:rsidR="001677CB" w:rsidRPr="00214FF8" w14:paraId="56405C75" w14:textId="77777777" w:rsidTr="00CA22A9">
        <w:trPr>
          <w:gridAfter w:val="1"/>
          <w:wAfter w:w="82"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3F12EA9B"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5</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53BF164C"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Preparations</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hideMark/>
          </w:tcPr>
          <w:p w14:paraId="64C74137"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 </w:t>
            </w:r>
            <w:r w:rsidRPr="001D0FC4">
              <w:rPr>
                <w:rFonts w:cs="Arial"/>
                <w:i/>
                <w:color w:val="000000"/>
                <w:sz w:val="18"/>
                <w:szCs w:val="18"/>
                <w:lang w:eastAsia="nl-NL"/>
              </w:rPr>
              <w:t>e.g.</w:t>
            </w:r>
            <w:r w:rsidRPr="001D0FC4">
              <w:rPr>
                <w:rFonts w:cs="Arial"/>
                <w:color w:val="000000"/>
                <w:sz w:val="18"/>
                <w:szCs w:val="18"/>
                <w:lang w:eastAsia="nl-NL"/>
              </w:rPr>
              <w:t xml:space="preserve"> Sampling of seedlings 4 days old followed by DNA extraction using CTAB method</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4B1DD27E"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NO</w:t>
            </w:r>
          </w:p>
        </w:tc>
        <w:tc>
          <w:tcPr>
            <w:tcW w:w="2021" w:type="pct"/>
            <w:tcBorders>
              <w:top w:val="nil"/>
              <w:left w:val="nil"/>
              <w:bottom w:val="nil"/>
              <w:right w:val="single" w:sz="8" w:space="0" w:color="auto"/>
            </w:tcBorders>
            <w:shd w:val="clear" w:color="auto" w:fill="auto"/>
            <w:vAlign w:val="center"/>
            <w:hideMark/>
          </w:tcPr>
          <w:p w14:paraId="5220FABF" w14:textId="6E076558"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 xml:space="preserve">Depending on the method used. Not in the Test Guideline. Detailed protocol(s) can be provided as an example in annex or available on request from the </w:t>
            </w:r>
            <w:r w:rsidR="002D0D20">
              <w:rPr>
                <w:rFonts w:cs="Arial"/>
                <w:color w:val="000000"/>
                <w:sz w:val="18"/>
                <w:szCs w:val="18"/>
                <w:lang w:eastAsia="nl-NL"/>
              </w:rPr>
              <w:t xml:space="preserve">organization </w:t>
            </w:r>
            <w:r w:rsidRPr="001D0FC4">
              <w:rPr>
                <w:rFonts w:cs="Arial"/>
                <w:color w:val="000000"/>
                <w:sz w:val="18"/>
                <w:szCs w:val="18"/>
                <w:lang w:eastAsia="nl-NL"/>
              </w:rPr>
              <w:t>that developed the marker</w:t>
            </w:r>
          </w:p>
        </w:tc>
      </w:tr>
      <w:tr w:rsidR="001677CB" w:rsidRPr="00214FF8" w14:paraId="3A523461" w14:textId="77777777" w:rsidTr="00CA22A9">
        <w:trPr>
          <w:gridAfter w:val="1"/>
          <w:wAfter w:w="82" w:type="pct"/>
          <w:cantSplit/>
          <w:trHeight w:val="50"/>
        </w:trPr>
        <w:tc>
          <w:tcPr>
            <w:tcW w:w="358" w:type="pct"/>
            <w:vMerge/>
            <w:tcBorders>
              <w:top w:val="nil"/>
              <w:left w:val="single" w:sz="8" w:space="0" w:color="auto"/>
              <w:bottom w:val="single" w:sz="8" w:space="0" w:color="000000"/>
              <w:right w:val="single" w:sz="8" w:space="0" w:color="auto"/>
            </w:tcBorders>
            <w:vAlign w:val="center"/>
            <w:hideMark/>
          </w:tcPr>
          <w:p w14:paraId="7E27E3FE" w14:textId="77777777" w:rsidR="001677CB" w:rsidRPr="001D0FC4" w:rsidRDefault="001677CB" w:rsidP="001677CB">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5B629244" w14:textId="77777777" w:rsidR="001677CB" w:rsidRPr="001D0FC4" w:rsidRDefault="001677CB" w:rsidP="001677CB">
            <w:pPr>
              <w:jc w:val="left"/>
              <w:rPr>
                <w:rFonts w:cs="Arial"/>
                <w:color w:val="000000"/>
                <w:sz w:val="18"/>
                <w:szCs w:val="18"/>
                <w:lang w:eastAsia="fr-FR"/>
              </w:rPr>
            </w:pPr>
          </w:p>
        </w:tc>
        <w:tc>
          <w:tcPr>
            <w:tcW w:w="1235" w:type="pct"/>
            <w:vMerge/>
            <w:tcBorders>
              <w:top w:val="nil"/>
              <w:left w:val="single" w:sz="8" w:space="0" w:color="auto"/>
              <w:bottom w:val="single" w:sz="8" w:space="0" w:color="000000"/>
              <w:right w:val="single" w:sz="8" w:space="0" w:color="auto"/>
            </w:tcBorders>
            <w:vAlign w:val="center"/>
            <w:hideMark/>
          </w:tcPr>
          <w:p w14:paraId="6F921271" w14:textId="77777777" w:rsidR="001677CB" w:rsidRPr="001D0FC4" w:rsidRDefault="001677CB" w:rsidP="001677CB">
            <w:pPr>
              <w:jc w:val="left"/>
              <w:rPr>
                <w:rFonts w:cs="Arial"/>
                <w:color w:val="000000"/>
                <w:sz w:val="18"/>
                <w:szCs w:val="18"/>
                <w:lang w:eastAsia="fr-FR"/>
              </w:rPr>
            </w:pPr>
          </w:p>
        </w:tc>
        <w:tc>
          <w:tcPr>
            <w:tcW w:w="504" w:type="pct"/>
            <w:vMerge/>
            <w:tcBorders>
              <w:top w:val="nil"/>
              <w:left w:val="single" w:sz="8" w:space="0" w:color="auto"/>
              <w:bottom w:val="single" w:sz="8" w:space="0" w:color="000000"/>
              <w:right w:val="single" w:sz="8" w:space="0" w:color="auto"/>
            </w:tcBorders>
            <w:vAlign w:val="center"/>
            <w:hideMark/>
          </w:tcPr>
          <w:p w14:paraId="51DA6DCA" w14:textId="77777777" w:rsidR="001677CB" w:rsidRPr="001D0FC4" w:rsidRDefault="001677CB" w:rsidP="001677CB">
            <w:pPr>
              <w:jc w:val="left"/>
              <w:rPr>
                <w:rFonts w:cs="Arial"/>
                <w:color w:val="000000"/>
                <w:sz w:val="18"/>
                <w:szCs w:val="18"/>
                <w:lang w:eastAsia="fr-FR"/>
              </w:rPr>
            </w:pPr>
          </w:p>
        </w:tc>
        <w:tc>
          <w:tcPr>
            <w:tcW w:w="2021" w:type="pct"/>
            <w:tcBorders>
              <w:top w:val="nil"/>
              <w:left w:val="nil"/>
              <w:bottom w:val="single" w:sz="8" w:space="0" w:color="auto"/>
              <w:right w:val="single" w:sz="8" w:space="0" w:color="auto"/>
            </w:tcBorders>
            <w:shd w:val="clear" w:color="auto" w:fill="auto"/>
            <w:vAlign w:val="center"/>
            <w:hideMark/>
          </w:tcPr>
          <w:p w14:paraId="43B2B839" w14:textId="77777777" w:rsidR="001677CB" w:rsidRPr="001D0FC4" w:rsidRDefault="001677CB" w:rsidP="001677CB">
            <w:pPr>
              <w:jc w:val="left"/>
              <w:rPr>
                <w:rFonts w:cs="Arial"/>
                <w:color w:val="000000"/>
                <w:sz w:val="18"/>
                <w:szCs w:val="18"/>
                <w:lang w:eastAsia="fr-FR"/>
              </w:rPr>
            </w:pPr>
          </w:p>
        </w:tc>
      </w:tr>
      <w:tr w:rsidR="001677CB" w:rsidRPr="00214FF8" w14:paraId="4BF2E128" w14:textId="77777777" w:rsidTr="00CA22A9">
        <w:trPr>
          <w:gridAfter w:val="1"/>
          <w:wAfter w:w="82"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7EB046A0"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6</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4B925CB7" w14:textId="6B9E5D56"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Technique of the method</w:t>
            </w:r>
          </w:p>
        </w:tc>
        <w:tc>
          <w:tcPr>
            <w:tcW w:w="1235" w:type="pct"/>
            <w:tcBorders>
              <w:top w:val="nil"/>
              <w:left w:val="nil"/>
              <w:bottom w:val="nil"/>
              <w:right w:val="single" w:sz="8" w:space="0" w:color="auto"/>
            </w:tcBorders>
            <w:shd w:val="clear" w:color="auto" w:fill="auto"/>
            <w:vAlign w:val="center"/>
            <w:hideMark/>
          </w:tcPr>
          <w:p w14:paraId="48FBA43C" w14:textId="77777777" w:rsidR="001677CB" w:rsidRPr="001D0FC4" w:rsidRDefault="001677CB" w:rsidP="001677CB">
            <w:pPr>
              <w:jc w:val="left"/>
              <w:rPr>
                <w:rFonts w:cs="Arial"/>
                <w:color w:val="000000"/>
                <w:sz w:val="18"/>
                <w:szCs w:val="18"/>
                <w:lang w:eastAsia="fr-FR"/>
              </w:rPr>
            </w:pPr>
            <w:r w:rsidRPr="001D0FC4">
              <w:rPr>
                <w:rFonts w:cs="Arial"/>
                <w:i/>
                <w:color w:val="000000"/>
                <w:sz w:val="18"/>
                <w:szCs w:val="18"/>
                <w:lang w:eastAsia="nl-NL"/>
              </w:rPr>
              <w:t>e.g.</w:t>
            </w:r>
            <w:r w:rsidRPr="001D0FC4">
              <w:rPr>
                <w:rFonts w:cs="Arial"/>
                <w:color w:val="000000"/>
                <w:sz w:val="18"/>
                <w:szCs w:val="18"/>
                <w:lang w:eastAsia="nl-NL"/>
              </w:rPr>
              <w:t xml:space="preserve"> conventional PCR, TETRA-ARMS, qPCR, KASP, amplicon sequencing </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78D85DC5" w14:textId="77777777" w:rsidR="001677CB" w:rsidRPr="001D0FC4" w:rsidRDefault="001677CB" w:rsidP="001677CB">
            <w:pPr>
              <w:jc w:val="left"/>
              <w:rPr>
                <w:rFonts w:cs="Arial"/>
                <w:color w:val="000000"/>
                <w:sz w:val="18"/>
                <w:szCs w:val="18"/>
                <w:lang w:eastAsia="fr-FR"/>
              </w:rPr>
            </w:pPr>
            <w:r w:rsidRPr="00C67C15">
              <w:rPr>
                <w:rFonts w:cs="Arial"/>
                <w:color w:val="000000"/>
                <w:sz w:val="18"/>
                <w:szCs w:val="18"/>
                <w:highlight w:val="lightGray"/>
                <w:lang w:eastAsia="nl-NL"/>
              </w:rPr>
              <w:t>YES</w:t>
            </w:r>
          </w:p>
        </w:tc>
        <w:tc>
          <w:tcPr>
            <w:tcW w:w="2021" w:type="pct"/>
            <w:vMerge w:val="restart"/>
            <w:tcBorders>
              <w:top w:val="nil"/>
              <w:left w:val="single" w:sz="8" w:space="0" w:color="auto"/>
              <w:bottom w:val="single" w:sz="8" w:space="0" w:color="000000"/>
              <w:right w:val="single" w:sz="8" w:space="0" w:color="auto"/>
            </w:tcBorders>
            <w:shd w:val="clear" w:color="auto" w:fill="auto"/>
            <w:vAlign w:val="center"/>
            <w:hideMark/>
          </w:tcPr>
          <w:p w14:paraId="1F9255D0"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 xml:space="preserve">. </w:t>
            </w:r>
          </w:p>
        </w:tc>
      </w:tr>
      <w:tr w:rsidR="001677CB" w:rsidRPr="00214FF8" w14:paraId="1195AD7F" w14:textId="77777777" w:rsidTr="00CA22A9">
        <w:trPr>
          <w:gridAfter w:val="1"/>
          <w:wAfter w:w="82" w:type="pct"/>
          <w:cantSplit/>
          <w:trHeight w:val="525"/>
        </w:trPr>
        <w:tc>
          <w:tcPr>
            <w:tcW w:w="358" w:type="pct"/>
            <w:vMerge/>
            <w:tcBorders>
              <w:top w:val="nil"/>
              <w:left w:val="single" w:sz="8" w:space="0" w:color="auto"/>
              <w:bottom w:val="single" w:sz="8" w:space="0" w:color="000000"/>
              <w:right w:val="single" w:sz="8" w:space="0" w:color="auto"/>
            </w:tcBorders>
            <w:vAlign w:val="center"/>
            <w:hideMark/>
          </w:tcPr>
          <w:p w14:paraId="3FB49825" w14:textId="77777777" w:rsidR="001677CB" w:rsidRPr="001D0FC4" w:rsidRDefault="001677CB" w:rsidP="001677CB">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0E3D8A67" w14:textId="77777777" w:rsidR="001677CB" w:rsidRPr="001D0FC4" w:rsidRDefault="001677CB" w:rsidP="001677CB">
            <w:pPr>
              <w:jc w:val="left"/>
              <w:rPr>
                <w:rFonts w:cs="Arial"/>
                <w:color w:val="000000"/>
                <w:sz w:val="18"/>
                <w:szCs w:val="18"/>
                <w:lang w:eastAsia="fr-FR"/>
              </w:rPr>
            </w:pPr>
          </w:p>
        </w:tc>
        <w:tc>
          <w:tcPr>
            <w:tcW w:w="1235" w:type="pct"/>
            <w:tcBorders>
              <w:top w:val="nil"/>
              <w:left w:val="nil"/>
              <w:bottom w:val="single" w:sz="8" w:space="0" w:color="auto"/>
              <w:right w:val="single" w:sz="8" w:space="0" w:color="auto"/>
            </w:tcBorders>
            <w:shd w:val="clear" w:color="auto" w:fill="auto"/>
            <w:vAlign w:val="center"/>
            <w:hideMark/>
          </w:tcPr>
          <w:p w14:paraId="69F3456A" w14:textId="77777777" w:rsidR="001677CB" w:rsidRPr="001D0FC4" w:rsidRDefault="001677CB" w:rsidP="001677CB">
            <w:pPr>
              <w:jc w:val="left"/>
              <w:rPr>
                <w:rFonts w:cs="Arial"/>
                <w:i/>
                <w:iCs/>
                <w:color w:val="000000"/>
                <w:sz w:val="18"/>
                <w:szCs w:val="18"/>
                <w:lang w:eastAsia="fr-FR"/>
              </w:rPr>
            </w:pPr>
            <w:r w:rsidRPr="001D0FC4">
              <w:rPr>
                <w:rFonts w:cs="Arial"/>
                <w:i/>
                <w:iCs/>
                <w:color w:val="000000"/>
                <w:sz w:val="18"/>
                <w:szCs w:val="18"/>
                <w:lang w:eastAsia="fr-FR"/>
              </w:rPr>
              <w:t>See TG/44/11/rev3 – Ad 51: ii DNA marker test add 6</w:t>
            </w:r>
          </w:p>
        </w:tc>
        <w:tc>
          <w:tcPr>
            <w:tcW w:w="504" w:type="pct"/>
            <w:vMerge/>
            <w:tcBorders>
              <w:top w:val="nil"/>
              <w:left w:val="single" w:sz="8" w:space="0" w:color="auto"/>
              <w:bottom w:val="single" w:sz="8" w:space="0" w:color="000000"/>
              <w:right w:val="single" w:sz="8" w:space="0" w:color="auto"/>
            </w:tcBorders>
            <w:vAlign w:val="center"/>
            <w:hideMark/>
          </w:tcPr>
          <w:p w14:paraId="34BAF5F5" w14:textId="77777777" w:rsidR="001677CB" w:rsidRPr="001D0FC4" w:rsidRDefault="001677CB" w:rsidP="001677CB">
            <w:pPr>
              <w:jc w:val="left"/>
              <w:rPr>
                <w:rFonts w:cs="Arial"/>
                <w:color w:val="000000"/>
                <w:sz w:val="18"/>
                <w:szCs w:val="18"/>
                <w:lang w:eastAsia="fr-FR"/>
              </w:rPr>
            </w:pPr>
          </w:p>
        </w:tc>
        <w:tc>
          <w:tcPr>
            <w:tcW w:w="2021" w:type="pct"/>
            <w:vMerge/>
            <w:tcBorders>
              <w:top w:val="nil"/>
              <w:left w:val="single" w:sz="8" w:space="0" w:color="auto"/>
              <w:bottom w:val="single" w:sz="8" w:space="0" w:color="000000"/>
              <w:right w:val="single" w:sz="8" w:space="0" w:color="auto"/>
            </w:tcBorders>
            <w:vAlign w:val="center"/>
            <w:hideMark/>
          </w:tcPr>
          <w:p w14:paraId="037A9AEA" w14:textId="77777777" w:rsidR="001677CB" w:rsidRPr="001D0FC4" w:rsidRDefault="001677CB" w:rsidP="001677CB">
            <w:pPr>
              <w:jc w:val="left"/>
              <w:rPr>
                <w:rFonts w:cs="Arial"/>
                <w:color w:val="000000"/>
                <w:sz w:val="18"/>
                <w:szCs w:val="18"/>
                <w:lang w:eastAsia="fr-FR"/>
              </w:rPr>
            </w:pPr>
          </w:p>
        </w:tc>
      </w:tr>
      <w:tr w:rsidR="001677CB" w:rsidRPr="00214FF8" w14:paraId="746887D1" w14:textId="77777777" w:rsidTr="00CA22A9">
        <w:trPr>
          <w:gridAfter w:val="1"/>
          <w:wAfter w:w="82" w:type="pct"/>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362D943D"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6.1</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0D9CBD5B"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Particular conditions</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hideMark/>
          </w:tcPr>
          <w:p w14:paraId="511913B0" w14:textId="77777777" w:rsidR="001677CB" w:rsidRPr="001D0FC4" w:rsidRDefault="001677CB" w:rsidP="001677CB">
            <w:pPr>
              <w:jc w:val="left"/>
              <w:rPr>
                <w:rFonts w:cs="Arial"/>
                <w:color w:val="000000"/>
                <w:sz w:val="18"/>
                <w:szCs w:val="18"/>
                <w:lang w:eastAsia="fr-FR"/>
              </w:rPr>
            </w:pPr>
            <w:r w:rsidRPr="001D0FC4">
              <w:rPr>
                <w:rFonts w:cs="Arial"/>
                <w:i/>
                <w:color w:val="000000"/>
                <w:sz w:val="18"/>
                <w:szCs w:val="18"/>
                <w:lang w:eastAsia="nl-NL"/>
              </w:rPr>
              <w:t>e.g.</w:t>
            </w:r>
            <w:r w:rsidRPr="001D0FC4">
              <w:rPr>
                <w:rFonts w:cs="Arial"/>
                <w:color w:val="000000"/>
                <w:sz w:val="18"/>
                <w:szCs w:val="18"/>
                <w:lang w:eastAsia="nl-NL"/>
              </w:rPr>
              <w:t xml:space="preserve"> PCR protocol describing primer, enzyme, dNTP concentrations, PCR cycle scheme </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4A1539A7"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NO</w:t>
            </w:r>
          </w:p>
        </w:tc>
        <w:tc>
          <w:tcPr>
            <w:tcW w:w="2021" w:type="pct"/>
            <w:vMerge w:val="restart"/>
            <w:tcBorders>
              <w:top w:val="nil"/>
              <w:left w:val="single" w:sz="8" w:space="0" w:color="auto"/>
              <w:bottom w:val="single" w:sz="8" w:space="0" w:color="000000"/>
              <w:right w:val="single" w:sz="8" w:space="0" w:color="auto"/>
            </w:tcBorders>
            <w:shd w:val="clear" w:color="auto" w:fill="auto"/>
            <w:vAlign w:val="center"/>
            <w:hideMark/>
          </w:tcPr>
          <w:p w14:paraId="2B519908" w14:textId="668E5212"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Depending on the method used. Not in the Test Guideline</w:t>
            </w:r>
            <w:r w:rsidR="00FB408C">
              <w:rPr>
                <w:rFonts w:cs="Arial"/>
                <w:color w:val="000000"/>
                <w:sz w:val="18"/>
                <w:szCs w:val="18"/>
                <w:lang w:eastAsia="nl-NL"/>
              </w:rPr>
              <w:t>s</w:t>
            </w:r>
            <w:r w:rsidRPr="001D0FC4">
              <w:rPr>
                <w:rFonts w:cs="Arial"/>
                <w:color w:val="000000"/>
                <w:sz w:val="18"/>
                <w:szCs w:val="18"/>
                <w:lang w:eastAsia="nl-NL"/>
              </w:rPr>
              <w:t>. Detailed protocol(s) can be provided as an example in annex or available on request from the institute that developed the marker</w:t>
            </w:r>
          </w:p>
        </w:tc>
      </w:tr>
      <w:tr w:rsidR="001677CB" w:rsidRPr="00214FF8" w14:paraId="33BFABAE" w14:textId="77777777" w:rsidTr="00CA22A9">
        <w:trPr>
          <w:cantSplit/>
          <w:trHeight w:val="1005"/>
        </w:trPr>
        <w:tc>
          <w:tcPr>
            <w:tcW w:w="358" w:type="pct"/>
            <w:vMerge/>
            <w:tcBorders>
              <w:top w:val="nil"/>
              <w:left w:val="single" w:sz="8" w:space="0" w:color="auto"/>
              <w:bottom w:val="single" w:sz="8" w:space="0" w:color="000000"/>
              <w:right w:val="single" w:sz="8" w:space="0" w:color="auto"/>
            </w:tcBorders>
            <w:vAlign w:val="center"/>
            <w:hideMark/>
          </w:tcPr>
          <w:p w14:paraId="692F5ACE" w14:textId="77777777" w:rsidR="001677CB" w:rsidRPr="001D0FC4" w:rsidRDefault="001677CB" w:rsidP="001677CB">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58BB70AB" w14:textId="77777777" w:rsidR="001677CB" w:rsidRPr="001D0FC4" w:rsidRDefault="001677CB" w:rsidP="001677CB">
            <w:pPr>
              <w:jc w:val="left"/>
              <w:rPr>
                <w:rFonts w:cs="Arial"/>
                <w:color w:val="000000"/>
                <w:sz w:val="18"/>
                <w:szCs w:val="18"/>
                <w:lang w:eastAsia="fr-FR"/>
              </w:rPr>
            </w:pPr>
          </w:p>
        </w:tc>
        <w:tc>
          <w:tcPr>
            <w:tcW w:w="1235" w:type="pct"/>
            <w:vMerge/>
            <w:tcBorders>
              <w:top w:val="nil"/>
              <w:left w:val="single" w:sz="8" w:space="0" w:color="auto"/>
              <w:bottom w:val="single" w:sz="8" w:space="0" w:color="000000"/>
              <w:right w:val="single" w:sz="8" w:space="0" w:color="auto"/>
            </w:tcBorders>
            <w:vAlign w:val="center"/>
            <w:hideMark/>
          </w:tcPr>
          <w:p w14:paraId="29DE362D" w14:textId="77777777" w:rsidR="001677CB" w:rsidRPr="001D0FC4" w:rsidRDefault="001677CB" w:rsidP="001677CB">
            <w:pPr>
              <w:jc w:val="left"/>
              <w:rPr>
                <w:rFonts w:cs="Arial"/>
                <w:color w:val="000000"/>
                <w:sz w:val="18"/>
                <w:szCs w:val="18"/>
                <w:lang w:eastAsia="fr-FR"/>
              </w:rPr>
            </w:pPr>
          </w:p>
        </w:tc>
        <w:tc>
          <w:tcPr>
            <w:tcW w:w="504" w:type="pct"/>
            <w:vMerge/>
            <w:tcBorders>
              <w:top w:val="nil"/>
              <w:left w:val="single" w:sz="8" w:space="0" w:color="auto"/>
              <w:bottom w:val="single" w:sz="8" w:space="0" w:color="000000"/>
              <w:right w:val="single" w:sz="8" w:space="0" w:color="auto"/>
            </w:tcBorders>
            <w:vAlign w:val="center"/>
            <w:hideMark/>
          </w:tcPr>
          <w:p w14:paraId="4CD11EF5" w14:textId="77777777" w:rsidR="001677CB" w:rsidRPr="001D0FC4" w:rsidRDefault="001677CB" w:rsidP="001677CB">
            <w:pPr>
              <w:jc w:val="left"/>
              <w:rPr>
                <w:rFonts w:cs="Arial"/>
                <w:color w:val="000000"/>
                <w:sz w:val="18"/>
                <w:szCs w:val="18"/>
                <w:lang w:eastAsia="fr-FR"/>
              </w:rPr>
            </w:pPr>
          </w:p>
        </w:tc>
        <w:tc>
          <w:tcPr>
            <w:tcW w:w="2021" w:type="pct"/>
            <w:vMerge/>
            <w:tcBorders>
              <w:top w:val="nil"/>
              <w:left w:val="single" w:sz="8" w:space="0" w:color="auto"/>
              <w:bottom w:val="single" w:sz="8" w:space="0" w:color="000000"/>
              <w:right w:val="single" w:sz="8" w:space="0" w:color="auto"/>
            </w:tcBorders>
            <w:vAlign w:val="center"/>
            <w:hideMark/>
          </w:tcPr>
          <w:p w14:paraId="0D9D8934" w14:textId="77777777" w:rsidR="001677CB" w:rsidRPr="001D0FC4" w:rsidRDefault="001677CB" w:rsidP="001677CB">
            <w:pPr>
              <w:jc w:val="left"/>
              <w:rPr>
                <w:rFonts w:cs="Arial"/>
                <w:color w:val="000000"/>
                <w:sz w:val="18"/>
                <w:szCs w:val="18"/>
                <w:lang w:eastAsia="fr-FR"/>
              </w:rPr>
            </w:pPr>
          </w:p>
        </w:tc>
        <w:tc>
          <w:tcPr>
            <w:tcW w:w="82" w:type="pct"/>
            <w:tcBorders>
              <w:top w:val="nil"/>
              <w:left w:val="nil"/>
              <w:bottom w:val="nil"/>
              <w:right w:val="nil"/>
            </w:tcBorders>
            <w:shd w:val="clear" w:color="auto" w:fill="auto"/>
            <w:noWrap/>
            <w:vAlign w:val="bottom"/>
            <w:hideMark/>
          </w:tcPr>
          <w:p w14:paraId="6FA54E74" w14:textId="77777777" w:rsidR="001677CB" w:rsidRPr="00214FF8" w:rsidRDefault="001677CB" w:rsidP="001677CB">
            <w:pPr>
              <w:rPr>
                <w:rFonts w:cs="Arial"/>
                <w:color w:val="000000"/>
                <w:lang w:eastAsia="fr-FR"/>
              </w:rPr>
            </w:pPr>
          </w:p>
        </w:tc>
      </w:tr>
      <w:tr w:rsidR="001677CB" w:rsidRPr="00214FF8" w14:paraId="72AA1D34" w14:textId="77777777" w:rsidTr="00CA22A9">
        <w:trPr>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5B2A0FA5" w14:textId="77777777" w:rsidR="001677CB" w:rsidRPr="001D0FC4" w:rsidRDefault="001677CB" w:rsidP="00400CE7">
            <w:pPr>
              <w:keepNext/>
              <w:jc w:val="left"/>
              <w:rPr>
                <w:rFonts w:cs="Arial"/>
                <w:color w:val="000000"/>
                <w:sz w:val="18"/>
                <w:szCs w:val="18"/>
                <w:lang w:eastAsia="fr-FR"/>
              </w:rPr>
            </w:pPr>
            <w:r w:rsidRPr="001D0FC4">
              <w:rPr>
                <w:rFonts w:cs="Arial"/>
                <w:color w:val="000000"/>
                <w:sz w:val="18"/>
                <w:szCs w:val="18"/>
                <w:lang w:eastAsia="nl-NL"/>
              </w:rPr>
              <w:lastRenderedPageBreak/>
              <w:t>6.2</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77A71A2F" w14:textId="77777777" w:rsidR="001677CB" w:rsidRPr="001D0FC4" w:rsidRDefault="001677CB" w:rsidP="00400CE7">
            <w:pPr>
              <w:keepNext/>
              <w:jc w:val="left"/>
              <w:rPr>
                <w:rFonts w:cs="Arial"/>
                <w:color w:val="000000"/>
                <w:sz w:val="18"/>
                <w:szCs w:val="18"/>
                <w:lang w:eastAsia="fr-FR"/>
              </w:rPr>
            </w:pPr>
            <w:r w:rsidRPr="001D0FC4">
              <w:rPr>
                <w:rFonts w:cs="Arial"/>
                <w:color w:val="000000"/>
                <w:sz w:val="18"/>
                <w:szCs w:val="18"/>
                <w:lang w:eastAsia="nl-NL"/>
              </w:rPr>
              <w:t>Particular hardware or infrastructure</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hideMark/>
          </w:tcPr>
          <w:p w14:paraId="60A476D5" w14:textId="77777777" w:rsidR="001677CB" w:rsidRPr="001D0FC4" w:rsidRDefault="001677CB" w:rsidP="00400CE7">
            <w:pPr>
              <w:keepNext/>
              <w:jc w:val="left"/>
              <w:rPr>
                <w:rFonts w:cs="Arial"/>
                <w:color w:val="000000"/>
                <w:sz w:val="18"/>
                <w:szCs w:val="18"/>
                <w:lang w:eastAsia="fr-FR"/>
              </w:rPr>
            </w:pPr>
            <w:r w:rsidRPr="001D0FC4">
              <w:rPr>
                <w:rFonts w:cs="Arial"/>
                <w:i/>
                <w:color w:val="000000"/>
                <w:sz w:val="18"/>
                <w:szCs w:val="18"/>
                <w:lang w:eastAsia="nl-NL"/>
              </w:rPr>
              <w:t>e.g.</w:t>
            </w:r>
            <w:r w:rsidRPr="001D0FC4">
              <w:rPr>
                <w:rFonts w:cs="Arial"/>
                <w:color w:val="000000"/>
                <w:sz w:val="18"/>
                <w:szCs w:val="18"/>
                <w:lang w:eastAsia="nl-NL"/>
              </w:rPr>
              <w:t xml:space="preserve"> machines, commercial kits, manufactures of components, lot numbers of chemicals </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206FA9AA" w14:textId="77777777" w:rsidR="001677CB" w:rsidRPr="001D0FC4" w:rsidRDefault="001677CB" w:rsidP="00400CE7">
            <w:pPr>
              <w:keepNext/>
              <w:jc w:val="left"/>
              <w:rPr>
                <w:rFonts w:cs="Arial"/>
                <w:color w:val="000000"/>
                <w:sz w:val="18"/>
                <w:szCs w:val="18"/>
                <w:lang w:eastAsia="fr-FR"/>
              </w:rPr>
            </w:pPr>
            <w:r w:rsidRPr="001D0FC4">
              <w:rPr>
                <w:rFonts w:cs="Arial"/>
                <w:color w:val="000000"/>
                <w:sz w:val="18"/>
                <w:szCs w:val="18"/>
                <w:lang w:eastAsia="nl-NL"/>
              </w:rPr>
              <w:t>NO</w:t>
            </w:r>
          </w:p>
        </w:tc>
        <w:tc>
          <w:tcPr>
            <w:tcW w:w="2021" w:type="pct"/>
            <w:vMerge w:val="restart"/>
            <w:tcBorders>
              <w:top w:val="nil"/>
              <w:left w:val="single" w:sz="8" w:space="0" w:color="auto"/>
              <w:bottom w:val="single" w:sz="8" w:space="0" w:color="000000"/>
              <w:right w:val="single" w:sz="8" w:space="0" w:color="auto"/>
            </w:tcBorders>
            <w:shd w:val="clear" w:color="auto" w:fill="auto"/>
            <w:vAlign w:val="center"/>
            <w:hideMark/>
          </w:tcPr>
          <w:p w14:paraId="76CCA1E4" w14:textId="7CEF75C5" w:rsidR="001677CB" w:rsidRPr="001D0FC4" w:rsidRDefault="001677CB" w:rsidP="00400CE7">
            <w:pPr>
              <w:keepNext/>
              <w:jc w:val="left"/>
              <w:rPr>
                <w:rFonts w:cs="Arial"/>
                <w:color w:val="000000"/>
                <w:sz w:val="18"/>
                <w:szCs w:val="18"/>
                <w:lang w:eastAsia="fr-FR"/>
              </w:rPr>
            </w:pPr>
            <w:r w:rsidRPr="001D0FC4">
              <w:rPr>
                <w:rFonts w:cs="Arial"/>
                <w:color w:val="000000"/>
                <w:sz w:val="18"/>
                <w:szCs w:val="18"/>
                <w:lang w:eastAsia="nl-NL"/>
              </w:rPr>
              <w:t>Depending on the method used. Not in the Test Guideline</w:t>
            </w:r>
            <w:r w:rsidR="00FB408C">
              <w:rPr>
                <w:rFonts w:cs="Arial"/>
                <w:color w:val="000000"/>
                <w:sz w:val="18"/>
                <w:szCs w:val="18"/>
                <w:lang w:eastAsia="nl-NL"/>
              </w:rPr>
              <w:t>s</w:t>
            </w:r>
            <w:r w:rsidRPr="001D0FC4">
              <w:rPr>
                <w:rFonts w:cs="Arial"/>
                <w:color w:val="000000"/>
                <w:sz w:val="18"/>
                <w:szCs w:val="18"/>
                <w:lang w:eastAsia="nl-NL"/>
              </w:rPr>
              <w:t>. Detailed protocol(s) can be provided as an example in annex or available on request from the institute that developed the marker</w:t>
            </w:r>
          </w:p>
        </w:tc>
        <w:tc>
          <w:tcPr>
            <w:tcW w:w="82" w:type="pct"/>
            <w:vAlign w:val="center"/>
            <w:hideMark/>
          </w:tcPr>
          <w:p w14:paraId="236B9E71" w14:textId="77777777" w:rsidR="001677CB" w:rsidRPr="00214FF8" w:rsidRDefault="001677CB" w:rsidP="00400CE7">
            <w:pPr>
              <w:keepNext/>
              <w:rPr>
                <w:rFonts w:ascii="Times New Roman" w:hAnsi="Times New Roman"/>
                <w:lang w:eastAsia="fr-FR"/>
              </w:rPr>
            </w:pPr>
          </w:p>
        </w:tc>
      </w:tr>
      <w:tr w:rsidR="001677CB" w:rsidRPr="00214FF8" w14:paraId="0F3BAC52" w14:textId="77777777" w:rsidTr="00CA22A9">
        <w:trPr>
          <w:cantSplit/>
          <w:trHeight w:val="1005"/>
        </w:trPr>
        <w:tc>
          <w:tcPr>
            <w:tcW w:w="358" w:type="pct"/>
            <w:vMerge/>
            <w:tcBorders>
              <w:top w:val="nil"/>
              <w:left w:val="single" w:sz="8" w:space="0" w:color="auto"/>
              <w:bottom w:val="single" w:sz="8" w:space="0" w:color="000000"/>
              <w:right w:val="single" w:sz="8" w:space="0" w:color="auto"/>
            </w:tcBorders>
            <w:vAlign w:val="center"/>
            <w:hideMark/>
          </w:tcPr>
          <w:p w14:paraId="032F5106" w14:textId="77777777" w:rsidR="001677CB" w:rsidRPr="001D0FC4" w:rsidRDefault="001677CB" w:rsidP="001677CB">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494413D8" w14:textId="77777777" w:rsidR="001677CB" w:rsidRPr="001D0FC4" w:rsidRDefault="001677CB" w:rsidP="001677CB">
            <w:pPr>
              <w:jc w:val="left"/>
              <w:rPr>
                <w:rFonts w:cs="Arial"/>
                <w:color w:val="000000"/>
                <w:sz w:val="18"/>
                <w:szCs w:val="18"/>
                <w:lang w:eastAsia="fr-FR"/>
              </w:rPr>
            </w:pPr>
          </w:p>
        </w:tc>
        <w:tc>
          <w:tcPr>
            <w:tcW w:w="1235" w:type="pct"/>
            <w:vMerge/>
            <w:tcBorders>
              <w:top w:val="nil"/>
              <w:left w:val="single" w:sz="8" w:space="0" w:color="auto"/>
              <w:bottom w:val="single" w:sz="8" w:space="0" w:color="000000"/>
              <w:right w:val="single" w:sz="8" w:space="0" w:color="auto"/>
            </w:tcBorders>
            <w:vAlign w:val="center"/>
            <w:hideMark/>
          </w:tcPr>
          <w:p w14:paraId="53BA15F1" w14:textId="77777777" w:rsidR="001677CB" w:rsidRPr="001D0FC4" w:rsidRDefault="001677CB" w:rsidP="001677CB">
            <w:pPr>
              <w:jc w:val="left"/>
              <w:rPr>
                <w:rFonts w:cs="Arial"/>
                <w:color w:val="000000"/>
                <w:sz w:val="18"/>
                <w:szCs w:val="18"/>
                <w:lang w:eastAsia="fr-FR"/>
              </w:rPr>
            </w:pPr>
          </w:p>
        </w:tc>
        <w:tc>
          <w:tcPr>
            <w:tcW w:w="504" w:type="pct"/>
            <w:vMerge/>
            <w:tcBorders>
              <w:top w:val="nil"/>
              <w:left w:val="single" w:sz="8" w:space="0" w:color="auto"/>
              <w:bottom w:val="single" w:sz="8" w:space="0" w:color="000000"/>
              <w:right w:val="single" w:sz="8" w:space="0" w:color="auto"/>
            </w:tcBorders>
            <w:vAlign w:val="center"/>
            <w:hideMark/>
          </w:tcPr>
          <w:p w14:paraId="24E8B28B" w14:textId="77777777" w:rsidR="001677CB" w:rsidRPr="001D0FC4" w:rsidRDefault="001677CB" w:rsidP="001677CB">
            <w:pPr>
              <w:jc w:val="left"/>
              <w:rPr>
                <w:rFonts w:cs="Arial"/>
                <w:color w:val="000000"/>
                <w:sz w:val="18"/>
                <w:szCs w:val="18"/>
                <w:lang w:eastAsia="fr-FR"/>
              </w:rPr>
            </w:pPr>
          </w:p>
        </w:tc>
        <w:tc>
          <w:tcPr>
            <w:tcW w:w="2021" w:type="pct"/>
            <w:vMerge/>
            <w:tcBorders>
              <w:top w:val="nil"/>
              <w:left w:val="single" w:sz="8" w:space="0" w:color="auto"/>
              <w:bottom w:val="single" w:sz="8" w:space="0" w:color="000000"/>
              <w:right w:val="single" w:sz="8" w:space="0" w:color="auto"/>
            </w:tcBorders>
            <w:vAlign w:val="center"/>
            <w:hideMark/>
          </w:tcPr>
          <w:p w14:paraId="0E1638DE" w14:textId="77777777" w:rsidR="001677CB" w:rsidRPr="001D0FC4" w:rsidRDefault="001677CB" w:rsidP="001677CB">
            <w:pPr>
              <w:jc w:val="left"/>
              <w:rPr>
                <w:rFonts w:cs="Arial"/>
                <w:color w:val="000000"/>
                <w:sz w:val="18"/>
                <w:szCs w:val="18"/>
                <w:lang w:eastAsia="fr-FR"/>
              </w:rPr>
            </w:pPr>
          </w:p>
        </w:tc>
        <w:tc>
          <w:tcPr>
            <w:tcW w:w="82" w:type="pct"/>
            <w:tcBorders>
              <w:top w:val="nil"/>
              <w:left w:val="nil"/>
              <w:bottom w:val="nil"/>
              <w:right w:val="nil"/>
            </w:tcBorders>
            <w:shd w:val="clear" w:color="auto" w:fill="auto"/>
            <w:noWrap/>
            <w:vAlign w:val="bottom"/>
            <w:hideMark/>
          </w:tcPr>
          <w:p w14:paraId="0590633C" w14:textId="77777777" w:rsidR="001677CB" w:rsidRPr="00214FF8" w:rsidRDefault="001677CB" w:rsidP="001677CB">
            <w:pPr>
              <w:rPr>
                <w:rFonts w:cs="Arial"/>
                <w:color w:val="000000"/>
                <w:lang w:eastAsia="fr-FR"/>
              </w:rPr>
            </w:pPr>
          </w:p>
        </w:tc>
      </w:tr>
      <w:tr w:rsidR="001677CB" w:rsidRPr="00214FF8" w14:paraId="37B1E65E" w14:textId="77777777" w:rsidTr="00CA22A9">
        <w:trPr>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7F4E901D"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7</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03FBAFEF"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Observations</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hideMark/>
          </w:tcPr>
          <w:p w14:paraId="69991FFD" w14:textId="77777777" w:rsidR="001677CB" w:rsidRPr="001D0FC4" w:rsidRDefault="001677CB" w:rsidP="001677CB">
            <w:pPr>
              <w:jc w:val="left"/>
              <w:rPr>
                <w:rFonts w:cs="Arial"/>
                <w:color w:val="000000"/>
                <w:sz w:val="18"/>
                <w:szCs w:val="18"/>
                <w:lang w:eastAsia="fr-FR"/>
              </w:rPr>
            </w:pPr>
            <w:r w:rsidRPr="001D0FC4">
              <w:rPr>
                <w:rFonts w:cs="Arial"/>
                <w:i/>
                <w:color w:val="000000"/>
                <w:sz w:val="18"/>
                <w:szCs w:val="18"/>
                <w:lang w:eastAsia="nl-NL"/>
              </w:rPr>
              <w:t>e.g.</w:t>
            </w:r>
            <w:r w:rsidRPr="001D0FC4">
              <w:rPr>
                <w:rFonts w:cs="Arial"/>
                <w:color w:val="000000"/>
                <w:sz w:val="18"/>
                <w:szCs w:val="18"/>
                <w:lang w:eastAsia="nl-NL"/>
              </w:rPr>
              <w:t xml:space="preserve"> Bands on agarose gel (conventional PCR), Ct values (qPCR) Variant call based on sequencing reads </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326D27A5" w14:textId="77777777"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NO</w:t>
            </w:r>
          </w:p>
        </w:tc>
        <w:tc>
          <w:tcPr>
            <w:tcW w:w="2021" w:type="pct"/>
            <w:vMerge w:val="restart"/>
            <w:tcBorders>
              <w:top w:val="nil"/>
              <w:left w:val="single" w:sz="8" w:space="0" w:color="auto"/>
              <w:bottom w:val="single" w:sz="8" w:space="0" w:color="000000"/>
              <w:right w:val="single" w:sz="8" w:space="0" w:color="auto"/>
            </w:tcBorders>
            <w:shd w:val="clear" w:color="auto" w:fill="auto"/>
            <w:vAlign w:val="center"/>
            <w:hideMark/>
          </w:tcPr>
          <w:p w14:paraId="2096ACA6" w14:textId="098602BA" w:rsidR="001677CB" w:rsidRPr="001D0FC4" w:rsidRDefault="001677CB" w:rsidP="001677CB">
            <w:pPr>
              <w:jc w:val="left"/>
              <w:rPr>
                <w:rFonts w:cs="Arial"/>
                <w:color w:val="000000"/>
                <w:sz w:val="18"/>
                <w:szCs w:val="18"/>
                <w:lang w:eastAsia="fr-FR"/>
              </w:rPr>
            </w:pPr>
            <w:r w:rsidRPr="001D0FC4">
              <w:rPr>
                <w:rFonts w:cs="Arial"/>
                <w:color w:val="000000"/>
                <w:sz w:val="18"/>
                <w:szCs w:val="18"/>
                <w:lang w:eastAsia="nl-NL"/>
              </w:rPr>
              <w:t>Depending on the method used. Not in the Test Guideline</w:t>
            </w:r>
            <w:r w:rsidR="00FB408C">
              <w:rPr>
                <w:rFonts w:cs="Arial"/>
                <w:color w:val="000000"/>
                <w:sz w:val="18"/>
                <w:szCs w:val="18"/>
                <w:lang w:eastAsia="nl-NL"/>
              </w:rPr>
              <w:t>s</w:t>
            </w:r>
            <w:r w:rsidRPr="001D0FC4">
              <w:rPr>
                <w:rFonts w:cs="Arial"/>
                <w:color w:val="000000"/>
                <w:sz w:val="18"/>
                <w:szCs w:val="18"/>
                <w:lang w:eastAsia="nl-NL"/>
              </w:rPr>
              <w:t>. Detailed protocol(s) can be provided as an example in annex or available on request from the institute that developed the marker</w:t>
            </w:r>
          </w:p>
        </w:tc>
        <w:tc>
          <w:tcPr>
            <w:tcW w:w="82" w:type="pct"/>
            <w:vAlign w:val="center"/>
            <w:hideMark/>
          </w:tcPr>
          <w:p w14:paraId="4F6A2FA0" w14:textId="77777777" w:rsidR="001677CB" w:rsidRPr="00214FF8" w:rsidRDefault="001677CB" w:rsidP="001677CB">
            <w:pPr>
              <w:rPr>
                <w:rFonts w:ascii="Times New Roman" w:hAnsi="Times New Roman"/>
                <w:lang w:eastAsia="fr-FR"/>
              </w:rPr>
            </w:pPr>
          </w:p>
        </w:tc>
      </w:tr>
      <w:tr w:rsidR="001677CB" w:rsidRPr="00214FF8" w14:paraId="03D6B108" w14:textId="77777777" w:rsidTr="00CA22A9">
        <w:trPr>
          <w:cantSplit/>
          <w:trHeight w:val="945"/>
        </w:trPr>
        <w:tc>
          <w:tcPr>
            <w:tcW w:w="358" w:type="pct"/>
            <w:vMerge/>
            <w:tcBorders>
              <w:top w:val="nil"/>
              <w:left w:val="single" w:sz="8" w:space="0" w:color="auto"/>
              <w:bottom w:val="single" w:sz="8" w:space="0" w:color="000000"/>
              <w:right w:val="single" w:sz="8" w:space="0" w:color="auto"/>
            </w:tcBorders>
            <w:vAlign w:val="center"/>
            <w:hideMark/>
          </w:tcPr>
          <w:p w14:paraId="3EDF6470" w14:textId="77777777" w:rsidR="001677CB" w:rsidRPr="001D0FC4" w:rsidRDefault="001677CB" w:rsidP="001677CB">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1B1CF0AF" w14:textId="77777777" w:rsidR="001677CB" w:rsidRPr="001D0FC4" w:rsidRDefault="001677CB" w:rsidP="001677CB">
            <w:pPr>
              <w:jc w:val="left"/>
              <w:rPr>
                <w:rFonts w:cs="Arial"/>
                <w:color w:val="000000"/>
                <w:sz w:val="18"/>
                <w:szCs w:val="18"/>
                <w:lang w:eastAsia="fr-FR"/>
              </w:rPr>
            </w:pPr>
          </w:p>
        </w:tc>
        <w:tc>
          <w:tcPr>
            <w:tcW w:w="1235" w:type="pct"/>
            <w:vMerge/>
            <w:tcBorders>
              <w:top w:val="nil"/>
              <w:left w:val="single" w:sz="8" w:space="0" w:color="auto"/>
              <w:bottom w:val="single" w:sz="8" w:space="0" w:color="000000"/>
              <w:right w:val="single" w:sz="8" w:space="0" w:color="auto"/>
            </w:tcBorders>
            <w:vAlign w:val="center"/>
            <w:hideMark/>
          </w:tcPr>
          <w:p w14:paraId="404A34CD" w14:textId="77777777" w:rsidR="001677CB" w:rsidRPr="001D0FC4" w:rsidRDefault="001677CB" w:rsidP="001677CB">
            <w:pPr>
              <w:jc w:val="left"/>
              <w:rPr>
                <w:rFonts w:cs="Arial"/>
                <w:color w:val="000000"/>
                <w:sz w:val="18"/>
                <w:szCs w:val="18"/>
                <w:lang w:eastAsia="fr-FR"/>
              </w:rPr>
            </w:pPr>
          </w:p>
        </w:tc>
        <w:tc>
          <w:tcPr>
            <w:tcW w:w="504" w:type="pct"/>
            <w:vMerge/>
            <w:tcBorders>
              <w:top w:val="nil"/>
              <w:left w:val="single" w:sz="8" w:space="0" w:color="auto"/>
              <w:bottom w:val="single" w:sz="8" w:space="0" w:color="000000"/>
              <w:right w:val="single" w:sz="8" w:space="0" w:color="auto"/>
            </w:tcBorders>
            <w:vAlign w:val="center"/>
            <w:hideMark/>
          </w:tcPr>
          <w:p w14:paraId="79D88465" w14:textId="77777777" w:rsidR="001677CB" w:rsidRPr="001D0FC4" w:rsidRDefault="001677CB" w:rsidP="001677CB">
            <w:pPr>
              <w:jc w:val="left"/>
              <w:rPr>
                <w:rFonts w:cs="Arial"/>
                <w:color w:val="000000"/>
                <w:sz w:val="18"/>
                <w:szCs w:val="18"/>
                <w:lang w:eastAsia="fr-FR"/>
              </w:rPr>
            </w:pPr>
          </w:p>
        </w:tc>
        <w:tc>
          <w:tcPr>
            <w:tcW w:w="2021" w:type="pct"/>
            <w:vMerge/>
            <w:tcBorders>
              <w:top w:val="nil"/>
              <w:left w:val="single" w:sz="8" w:space="0" w:color="auto"/>
              <w:bottom w:val="single" w:sz="8" w:space="0" w:color="000000"/>
              <w:right w:val="single" w:sz="8" w:space="0" w:color="auto"/>
            </w:tcBorders>
            <w:vAlign w:val="center"/>
            <w:hideMark/>
          </w:tcPr>
          <w:p w14:paraId="025C146D" w14:textId="77777777" w:rsidR="001677CB" w:rsidRPr="001D0FC4" w:rsidRDefault="001677CB" w:rsidP="001677CB">
            <w:pPr>
              <w:jc w:val="left"/>
              <w:rPr>
                <w:rFonts w:cs="Arial"/>
                <w:color w:val="000000"/>
                <w:sz w:val="18"/>
                <w:szCs w:val="18"/>
                <w:lang w:eastAsia="fr-FR"/>
              </w:rPr>
            </w:pPr>
          </w:p>
        </w:tc>
        <w:tc>
          <w:tcPr>
            <w:tcW w:w="82" w:type="pct"/>
            <w:tcBorders>
              <w:top w:val="nil"/>
              <w:left w:val="nil"/>
              <w:bottom w:val="nil"/>
              <w:right w:val="nil"/>
            </w:tcBorders>
            <w:shd w:val="clear" w:color="auto" w:fill="auto"/>
            <w:noWrap/>
            <w:vAlign w:val="bottom"/>
            <w:hideMark/>
          </w:tcPr>
          <w:p w14:paraId="21884548" w14:textId="77777777" w:rsidR="001677CB" w:rsidRPr="00214FF8" w:rsidRDefault="001677CB" w:rsidP="001677CB">
            <w:pPr>
              <w:rPr>
                <w:rFonts w:cs="Arial"/>
                <w:color w:val="000000"/>
                <w:lang w:eastAsia="fr-FR"/>
              </w:rPr>
            </w:pPr>
          </w:p>
        </w:tc>
      </w:tr>
      <w:tr w:rsidR="001677CB" w:rsidRPr="00214FF8" w14:paraId="528B59D1" w14:textId="77777777" w:rsidTr="00CA22A9">
        <w:trPr>
          <w:cantSplit/>
          <w:trHeight w:val="300"/>
        </w:trPr>
        <w:tc>
          <w:tcPr>
            <w:tcW w:w="358" w:type="pct"/>
            <w:tcBorders>
              <w:top w:val="nil"/>
              <w:left w:val="single" w:sz="8" w:space="0" w:color="auto"/>
              <w:bottom w:val="single" w:sz="8" w:space="0" w:color="000000"/>
              <w:right w:val="single" w:sz="8" w:space="0" w:color="auto"/>
            </w:tcBorders>
            <w:shd w:val="clear" w:color="auto" w:fill="auto"/>
            <w:vAlign w:val="center"/>
          </w:tcPr>
          <w:p w14:paraId="5E522A2A" w14:textId="77777777" w:rsidR="001677CB" w:rsidRPr="00A2258C" w:rsidRDefault="001677CB" w:rsidP="001677CB">
            <w:pPr>
              <w:jc w:val="left"/>
              <w:rPr>
                <w:rFonts w:cs="Arial"/>
                <w:color w:val="000000"/>
                <w:sz w:val="18"/>
                <w:szCs w:val="18"/>
                <w:lang w:eastAsia="nl-NL"/>
              </w:rPr>
            </w:pPr>
            <w:r w:rsidRPr="00C67C15">
              <w:rPr>
                <w:rFonts w:cs="Arial"/>
                <w:color w:val="000000"/>
                <w:sz w:val="18"/>
                <w:szCs w:val="18"/>
                <w:highlight w:val="lightGray"/>
                <w:lang w:eastAsia="nl-NL"/>
              </w:rPr>
              <w:t>7.1</w:t>
            </w:r>
          </w:p>
        </w:tc>
        <w:tc>
          <w:tcPr>
            <w:tcW w:w="800" w:type="pct"/>
            <w:tcBorders>
              <w:top w:val="nil"/>
              <w:left w:val="single" w:sz="8" w:space="0" w:color="auto"/>
              <w:bottom w:val="single" w:sz="8" w:space="0" w:color="000000"/>
              <w:right w:val="single" w:sz="8" w:space="0" w:color="auto"/>
            </w:tcBorders>
            <w:shd w:val="clear" w:color="auto" w:fill="auto"/>
            <w:vAlign w:val="center"/>
          </w:tcPr>
          <w:p w14:paraId="1128782F" w14:textId="77777777" w:rsidR="001677CB" w:rsidRPr="00A2258C" w:rsidRDefault="001677CB" w:rsidP="001677CB">
            <w:pPr>
              <w:jc w:val="left"/>
              <w:rPr>
                <w:rFonts w:cs="Arial"/>
                <w:color w:val="000000"/>
                <w:sz w:val="18"/>
                <w:szCs w:val="18"/>
                <w:lang w:eastAsia="nl-NL"/>
              </w:rPr>
            </w:pPr>
            <w:r w:rsidRPr="00C67C15">
              <w:rPr>
                <w:rFonts w:cs="Arial"/>
                <w:color w:val="000000"/>
                <w:sz w:val="18"/>
                <w:szCs w:val="18"/>
                <w:highlight w:val="lightGray"/>
                <w:lang w:eastAsia="nl-NL"/>
              </w:rPr>
              <w:t>Validity of the results</w:t>
            </w:r>
          </w:p>
        </w:tc>
        <w:tc>
          <w:tcPr>
            <w:tcW w:w="1235" w:type="pct"/>
            <w:tcBorders>
              <w:top w:val="nil"/>
              <w:left w:val="single" w:sz="8" w:space="0" w:color="auto"/>
              <w:bottom w:val="single" w:sz="8" w:space="0" w:color="000000"/>
              <w:right w:val="single" w:sz="8" w:space="0" w:color="auto"/>
            </w:tcBorders>
            <w:shd w:val="clear" w:color="auto" w:fill="auto"/>
            <w:vAlign w:val="center"/>
          </w:tcPr>
          <w:p w14:paraId="58975E44" w14:textId="77777777" w:rsidR="001677CB" w:rsidRPr="00C67C15" w:rsidRDefault="001677CB" w:rsidP="001677CB">
            <w:pPr>
              <w:jc w:val="left"/>
              <w:rPr>
                <w:rFonts w:cs="Arial"/>
                <w:color w:val="000000"/>
                <w:sz w:val="18"/>
                <w:szCs w:val="18"/>
                <w:highlight w:val="lightGray"/>
                <w:lang w:eastAsia="fr-FR"/>
              </w:rPr>
            </w:pPr>
            <w:r w:rsidRPr="00C67C15">
              <w:rPr>
                <w:rFonts w:cs="Arial"/>
                <w:i/>
                <w:color w:val="000000"/>
                <w:sz w:val="18"/>
                <w:szCs w:val="18"/>
                <w:highlight w:val="lightGray"/>
                <w:lang w:eastAsia="fr-FR"/>
              </w:rPr>
              <w:t>e.g.</w:t>
            </w:r>
            <w:r w:rsidRPr="00C67C15">
              <w:rPr>
                <w:rFonts w:cs="Arial"/>
                <w:color w:val="000000"/>
                <w:sz w:val="18"/>
                <w:szCs w:val="18"/>
                <w:highlight w:val="lightGray"/>
                <w:lang w:eastAsia="fr-FR"/>
              </w:rPr>
              <w:t xml:space="preserve"> for qPCR, Check for typical exponential amplification curves. Check if the controls are as expected (negative controls = no signal; positive controls = shows expected signals for all fluorophores).</w:t>
            </w:r>
          </w:p>
        </w:tc>
        <w:tc>
          <w:tcPr>
            <w:tcW w:w="504" w:type="pct"/>
            <w:tcBorders>
              <w:top w:val="nil"/>
              <w:left w:val="single" w:sz="8" w:space="0" w:color="auto"/>
              <w:bottom w:val="single" w:sz="8" w:space="0" w:color="000000"/>
              <w:right w:val="single" w:sz="8" w:space="0" w:color="auto"/>
            </w:tcBorders>
            <w:shd w:val="clear" w:color="auto" w:fill="auto"/>
            <w:vAlign w:val="center"/>
          </w:tcPr>
          <w:p w14:paraId="42084393" w14:textId="77777777" w:rsidR="001677CB" w:rsidRPr="00C67C15" w:rsidRDefault="001677CB" w:rsidP="001677CB">
            <w:pPr>
              <w:jc w:val="left"/>
              <w:rPr>
                <w:rFonts w:cs="Arial"/>
                <w:color w:val="000000"/>
                <w:sz w:val="18"/>
                <w:szCs w:val="18"/>
                <w:highlight w:val="lightGray"/>
                <w:lang w:eastAsia="nl-NL"/>
              </w:rPr>
            </w:pPr>
            <w:r w:rsidRPr="00C67C15">
              <w:rPr>
                <w:rFonts w:cs="Arial"/>
                <w:color w:val="000000"/>
                <w:sz w:val="18"/>
                <w:szCs w:val="18"/>
                <w:highlight w:val="lightGray"/>
                <w:lang w:eastAsia="nl-NL"/>
              </w:rPr>
              <w:t>YES</w:t>
            </w:r>
          </w:p>
        </w:tc>
        <w:tc>
          <w:tcPr>
            <w:tcW w:w="2021" w:type="pct"/>
            <w:tcBorders>
              <w:top w:val="nil"/>
              <w:left w:val="single" w:sz="8" w:space="0" w:color="auto"/>
              <w:bottom w:val="single" w:sz="8" w:space="0" w:color="000000"/>
              <w:right w:val="single" w:sz="8" w:space="0" w:color="auto"/>
            </w:tcBorders>
            <w:shd w:val="clear" w:color="auto" w:fill="auto"/>
            <w:vAlign w:val="center"/>
          </w:tcPr>
          <w:p w14:paraId="52153552" w14:textId="77777777" w:rsidR="001677CB" w:rsidRPr="00A2258C" w:rsidRDefault="001677CB" w:rsidP="001677CB">
            <w:pPr>
              <w:jc w:val="left"/>
              <w:rPr>
                <w:rFonts w:cs="Arial"/>
                <w:color w:val="000000"/>
                <w:sz w:val="18"/>
                <w:szCs w:val="18"/>
                <w:lang w:eastAsia="nl-NL"/>
              </w:rPr>
            </w:pPr>
            <w:r w:rsidRPr="00C67C15">
              <w:rPr>
                <w:rFonts w:cs="Arial"/>
                <w:color w:val="000000"/>
                <w:sz w:val="18"/>
                <w:szCs w:val="18"/>
                <w:highlight w:val="lightGray"/>
                <w:lang w:eastAsia="nl-NL"/>
              </w:rPr>
              <w:t>Depending on the method used.</w:t>
            </w:r>
            <w:r w:rsidRPr="00A2258C">
              <w:rPr>
                <w:rFonts w:cs="Arial"/>
                <w:color w:val="000000"/>
                <w:sz w:val="18"/>
                <w:szCs w:val="18"/>
                <w:lang w:eastAsia="nl-NL"/>
              </w:rPr>
              <w:t xml:space="preserve"> </w:t>
            </w:r>
          </w:p>
        </w:tc>
        <w:tc>
          <w:tcPr>
            <w:tcW w:w="82" w:type="pct"/>
            <w:vAlign w:val="center"/>
          </w:tcPr>
          <w:p w14:paraId="12AB593E" w14:textId="77777777" w:rsidR="001677CB" w:rsidRPr="00214FF8" w:rsidRDefault="001677CB" w:rsidP="001677CB">
            <w:pPr>
              <w:rPr>
                <w:rFonts w:ascii="Times New Roman" w:hAnsi="Times New Roman"/>
                <w:lang w:eastAsia="fr-FR"/>
              </w:rPr>
            </w:pPr>
          </w:p>
        </w:tc>
      </w:tr>
      <w:tr w:rsidR="001677CB" w:rsidRPr="00214FF8" w14:paraId="458F8AF0" w14:textId="77777777" w:rsidTr="00CA22A9">
        <w:trPr>
          <w:cantSplit/>
          <w:trHeight w:val="300"/>
        </w:trPr>
        <w:tc>
          <w:tcPr>
            <w:tcW w:w="358" w:type="pct"/>
            <w:tcBorders>
              <w:top w:val="nil"/>
              <w:left w:val="single" w:sz="8" w:space="0" w:color="auto"/>
              <w:bottom w:val="single" w:sz="8" w:space="0" w:color="000000"/>
              <w:right w:val="single" w:sz="8" w:space="0" w:color="auto"/>
            </w:tcBorders>
            <w:shd w:val="clear" w:color="auto" w:fill="auto"/>
            <w:vAlign w:val="center"/>
          </w:tcPr>
          <w:p w14:paraId="47018CE7" w14:textId="77777777" w:rsidR="001677CB" w:rsidRPr="001D0FC4" w:rsidRDefault="001677CB" w:rsidP="001677CB">
            <w:pPr>
              <w:jc w:val="left"/>
              <w:rPr>
                <w:rFonts w:cs="Arial"/>
                <w:color w:val="000000"/>
                <w:sz w:val="18"/>
                <w:szCs w:val="18"/>
                <w:highlight w:val="lightGray"/>
                <w:lang w:eastAsia="nl-NL"/>
              </w:rPr>
            </w:pPr>
            <w:r w:rsidRPr="001D0FC4">
              <w:rPr>
                <w:rFonts w:cs="Arial"/>
                <w:color w:val="000000"/>
                <w:sz w:val="18"/>
                <w:szCs w:val="18"/>
                <w:lang w:eastAsia="nl-NL"/>
              </w:rPr>
              <w:t>8</w:t>
            </w:r>
          </w:p>
        </w:tc>
        <w:tc>
          <w:tcPr>
            <w:tcW w:w="800" w:type="pct"/>
            <w:tcBorders>
              <w:top w:val="nil"/>
              <w:left w:val="single" w:sz="8" w:space="0" w:color="auto"/>
              <w:bottom w:val="single" w:sz="8" w:space="0" w:color="000000"/>
              <w:right w:val="single" w:sz="8" w:space="0" w:color="auto"/>
            </w:tcBorders>
            <w:shd w:val="clear" w:color="auto" w:fill="auto"/>
            <w:vAlign w:val="center"/>
          </w:tcPr>
          <w:p w14:paraId="21875BED" w14:textId="77777777" w:rsidR="001677CB" w:rsidRPr="001D0FC4" w:rsidRDefault="001677CB" w:rsidP="001677CB">
            <w:pPr>
              <w:jc w:val="left"/>
              <w:rPr>
                <w:rFonts w:cs="Arial"/>
                <w:color w:val="000000"/>
                <w:sz w:val="18"/>
                <w:szCs w:val="18"/>
                <w:highlight w:val="lightGray"/>
                <w:lang w:eastAsia="nl-NL"/>
              </w:rPr>
            </w:pPr>
            <w:r w:rsidRPr="001D0FC4">
              <w:rPr>
                <w:rFonts w:cs="Arial"/>
                <w:color w:val="000000"/>
                <w:sz w:val="18"/>
                <w:szCs w:val="18"/>
                <w:lang w:eastAsia="nl-NL"/>
              </w:rPr>
              <w:t>Interpretation of the test results</w:t>
            </w:r>
          </w:p>
        </w:tc>
        <w:tc>
          <w:tcPr>
            <w:tcW w:w="1235" w:type="pct"/>
            <w:tcBorders>
              <w:top w:val="nil"/>
              <w:left w:val="single" w:sz="8" w:space="0" w:color="auto"/>
              <w:bottom w:val="single" w:sz="8" w:space="0" w:color="000000"/>
              <w:right w:val="single" w:sz="8" w:space="0" w:color="auto"/>
            </w:tcBorders>
            <w:shd w:val="clear" w:color="auto" w:fill="auto"/>
            <w:vAlign w:val="center"/>
          </w:tcPr>
          <w:p w14:paraId="60DE5D0D" w14:textId="77777777" w:rsidR="001677CB" w:rsidRPr="001D0FC4" w:rsidRDefault="001677CB" w:rsidP="001677CB">
            <w:pPr>
              <w:jc w:val="left"/>
              <w:rPr>
                <w:rFonts w:cs="Arial"/>
                <w:color w:val="000000"/>
                <w:sz w:val="18"/>
                <w:szCs w:val="18"/>
                <w:highlight w:val="lightGray"/>
                <w:lang w:eastAsia="fr-FR"/>
              </w:rPr>
            </w:pPr>
            <w:r w:rsidRPr="001D0FC4">
              <w:rPr>
                <w:rFonts w:cs="Arial"/>
                <w:i/>
                <w:iCs/>
                <w:color w:val="000000"/>
                <w:sz w:val="18"/>
                <w:szCs w:val="18"/>
                <w:lang w:eastAsia="fr-FR"/>
              </w:rPr>
              <w:t>See TG/44/11/rev3 – Ad 51: ii DNA marker test add 8</w:t>
            </w:r>
          </w:p>
        </w:tc>
        <w:tc>
          <w:tcPr>
            <w:tcW w:w="504" w:type="pct"/>
            <w:tcBorders>
              <w:top w:val="nil"/>
              <w:left w:val="single" w:sz="8" w:space="0" w:color="auto"/>
              <w:bottom w:val="single" w:sz="8" w:space="0" w:color="000000"/>
              <w:right w:val="single" w:sz="8" w:space="0" w:color="auto"/>
            </w:tcBorders>
            <w:shd w:val="clear" w:color="auto" w:fill="auto"/>
            <w:vAlign w:val="center"/>
          </w:tcPr>
          <w:p w14:paraId="4DA4A047" w14:textId="77777777" w:rsidR="001677CB" w:rsidRPr="001D0FC4" w:rsidRDefault="001677CB" w:rsidP="001677CB">
            <w:pPr>
              <w:jc w:val="left"/>
              <w:rPr>
                <w:rFonts w:cs="Arial"/>
                <w:color w:val="000000"/>
                <w:sz w:val="18"/>
                <w:szCs w:val="18"/>
                <w:highlight w:val="lightGray"/>
                <w:lang w:eastAsia="nl-NL"/>
              </w:rPr>
            </w:pPr>
            <w:r w:rsidRPr="001D0FC4">
              <w:rPr>
                <w:rFonts w:cs="Arial"/>
                <w:color w:val="000000"/>
                <w:sz w:val="18"/>
                <w:szCs w:val="18"/>
                <w:lang w:eastAsia="nl-NL"/>
              </w:rPr>
              <w:t>YES</w:t>
            </w:r>
          </w:p>
        </w:tc>
        <w:tc>
          <w:tcPr>
            <w:tcW w:w="2021" w:type="pct"/>
            <w:tcBorders>
              <w:top w:val="nil"/>
              <w:left w:val="single" w:sz="8" w:space="0" w:color="auto"/>
              <w:bottom w:val="single" w:sz="8" w:space="0" w:color="000000"/>
              <w:right w:val="single" w:sz="8" w:space="0" w:color="auto"/>
            </w:tcBorders>
            <w:shd w:val="clear" w:color="auto" w:fill="auto"/>
            <w:vAlign w:val="center"/>
          </w:tcPr>
          <w:p w14:paraId="3FA5947E" w14:textId="77777777" w:rsidR="001677CB" w:rsidRPr="00A2258C" w:rsidRDefault="001677CB" w:rsidP="001677CB">
            <w:pPr>
              <w:jc w:val="left"/>
              <w:rPr>
                <w:rFonts w:cs="Arial"/>
                <w:color w:val="000000"/>
                <w:sz w:val="18"/>
                <w:szCs w:val="18"/>
                <w:lang w:eastAsia="nl-NL"/>
              </w:rPr>
            </w:pPr>
            <w:r w:rsidRPr="00A2258C">
              <w:rPr>
                <w:rFonts w:cs="Arial"/>
                <w:color w:val="000000"/>
                <w:sz w:val="18"/>
                <w:szCs w:val="18"/>
                <w:lang w:eastAsia="nl-NL"/>
              </w:rPr>
              <w:t>Relation between alleles and expressions (with its notes)</w:t>
            </w:r>
          </w:p>
          <w:p w14:paraId="4E3E714D" w14:textId="77777777" w:rsidR="001677CB" w:rsidRPr="00A2258C" w:rsidRDefault="001677CB" w:rsidP="001677CB">
            <w:pPr>
              <w:jc w:val="left"/>
              <w:rPr>
                <w:rFonts w:cs="Arial"/>
                <w:color w:val="000000"/>
                <w:sz w:val="18"/>
                <w:szCs w:val="18"/>
                <w:lang w:eastAsia="nl-NL"/>
              </w:rPr>
            </w:pPr>
          </w:p>
          <w:p w14:paraId="4C8D7468" w14:textId="77777777" w:rsidR="001677CB" w:rsidRPr="00A2258C" w:rsidRDefault="001677CB" w:rsidP="001677CB">
            <w:pPr>
              <w:jc w:val="left"/>
              <w:rPr>
                <w:rFonts w:cs="Arial"/>
                <w:color w:val="000000"/>
                <w:sz w:val="18"/>
                <w:szCs w:val="18"/>
                <w:lang w:eastAsia="nl-NL"/>
              </w:rPr>
            </w:pPr>
            <w:r w:rsidRPr="00C67C15">
              <w:rPr>
                <w:rFonts w:cs="Arial"/>
                <w:color w:val="000000"/>
                <w:sz w:val="18"/>
                <w:szCs w:val="18"/>
                <w:highlight w:val="lightGray"/>
                <w:lang w:eastAsia="nl-NL"/>
              </w:rPr>
              <w:t xml:space="preserve">In case the DNA marker test result does not confirm the declaration in the Technical Questionnaire, a field trial or </w:t>
            </w:r>
            <w:proofErr w:type="gramStart"/>
            <w:r w:rsidRPr="00C67C15">
              <w:rPr>
                <w:rFonts w:cs="Arial"/>
                <w:color w:val="000000"/>
                <w:sz w:val="18"/>
                <w:szCs w:val="18"/>
                <w:highlight w:val="lightGray"/>
                <w:lang w:eastAsia="nl-NL"/>
              </w:rPr>
              <w:t>bio-assay</w:t>
            </w:r>
            <w:proofErr w:type="gramEnd"/>
            <w:r w:rsidRPr="00C67C15">
              <w:rPr>
                <w:rFonts w:cs="Arial"/>
                <w:color w:val="000000"/>
                <w:sz w:val="18"/>
                <w:szCs w:val="18"/>
                <w:highlight w:val="lightGray"/>
                <w:lang w:eastAsia="nl-NL"/>
              </w:rPr>
              <w:t xml:space="preserve"> should be performed to assess the correctness of the declaration in the Technical Questionnaire.</w:t>
            </w:r>
          </w:p>
        </w:tc>
        <w:tc>
          <w:tcPr>
            <w:tcW w:w="82" w:type="pct"/>
            <w:vAlign w:val="center"/>
          </w:tcPr>
          <w:p w14:paraId="69B7A706" w14:textId="77777777" w:rsidR="001677CB" w:rsidRPr="00214FF8" w:rsidRDefault="001677CB" w:rsidP="001677CB">
            <w:pPr>
              <w:rPr>
                <w:rFonts w:ascii="Times New Roman" w:hAnsi="Times New Roman"/>
                <w:lang w:eastAsia="fr-FR"/>
              </w:rPr>
            </w:pPr>
          </w:p>
        </w:tc>
      </w:tr>
      <w:tr w:rsidR="001677CB" w:rsidRPr="00214FF8" w14:paraId="08504C90" w14:textId="77777777" w:rsidTr="00CA22A9">
        <w:trPr>
          <w:cantSplit/>
          <w:trHeight w:val="300"/>
        </w:trPr>
        <w:tc>
          <w:tcPr>
            <w:tcW w:w="358" w:type="pct"/>
            <w:tcBorders>
              <w:top w:val="nil"/>
              <w:left w:val="single" w:sz="8" w:space="0" w:color="auto"/>
              <w:bottom w:val="single" w:sz="8" w:space="0" w:color="000000"/>
              <w:right w:val="single" w:sz="8" w:space="0" w:color="auto"/>
            </w:tcBorders>
            <w:shd w:val="clear" w:color="auto" w:fill="auto"/>
            <w:vAlign w:val="center"/>
          </w:tcPr>
          <w:p w14:paraId="2ED1F966" w14:textId="77777777" w:rsidR="001677CB" w:rsidRPr="00C67C15" w:rsidRDefault="001677CB" w:rsidP="001677CB">
            <w:pPr>
              <w:jc w:val="left"/>
              <w:rPr>
                <w:rFonts w:cs="Arial"/>
                <w:color w:val="000000"/>
                <w:sz w:val="18"/>
                <w:szCs w:val="18"/>
                <w:highlight w:val="lightGray"/>
                <w:lang w:eastAsia="nl-NL"/>
              </w:rPr>
            </w:pPr>
            <w:r w:rsidRPr="00C67C15">
              <w:rPr>
                <w:rFonts w:cs="Arial"/>
                <w:color w:val="000000"/>
                <w:sz w:val="18"/>
                <w:szCs w:val="18"/>
                <w:highlight w:val="lightGray"/>
                <w:lang w:eastAsia="fr-FR"/>
              </w:rPr>
              <w:t>9</w:t>
            </w:r>
          </w:p>
        </w:tc>
        <w:tc>
          <w:tcPr>
            <w:tcW w:w="800" w:type="pct"/>
            <w:tcBorders>
              <w:top w:val="nil"/>
              <w:left w:val="single" w:sz="8" w:space="0" w:color="auto"/>
              <w:bottom w:val="single" w:sz="8" w:space="0" w:color="000000"/>
              <w:right w:val="single" w:sz="8" w:space="0" w:color="auto"/>
            </w:tcBorders>
            <w:shd w:val="clear" w:color="auto" w:fill="auto"/>
            <w:vAlign w:val="center"/>
          </w:tcPr>
          <w:p w14:paraId="48597A39" w14:textId="77777777" w:rsidR="001677CB" w:rsidRPr="00C67C15" w:rsidRDefault="001677CB" w:rsidP="001677CB">
            <w:pPr>
              <w:jc w:val="left"/>
              <w:rPr>
                <w:rFonts w:cs="Arial"/>
                <w:color w:val="000000"/>
                <w:sz w:val="18"/>
                <w:szCs w:val="18"/>
                <w:highlight w:val="lightGray"/>
                <w:lang w:eastAsia="nl-NL"/>
              </w:rPr>
            </w:pPr>
            <w:r w:rsidRPr="00C67C15">
              <w:rPr>
                <w:rFonts w:cs="Arial"/>
                <w:color w:val="000000"/>
                <w:sz w:val="18"/>
                <w:szCs w:val="18"/>
                <w:highlight w:val="lightGray"/>
                <w:lang w:eastAsia="fr-FR"/>
              </w:rPr>
              <w:t xml:space="preserve">Validation of the method, </w:t>
            </w:r>
          </w:p>
        </w:tc>
        <w:tc>
          <w:tcPr>
            <w:tcW w:w="1235" w:type="pct"/>
            <w:tcBorders>
              <w:top w:val="nil"/>
              <w:left w:val="single" w:sz="8" w:space="0" w:color="auto"/>
              <w:bottom w:val="single" w:sz="8" w:space="0" w:color="000000"/>
              <w:right w:val="single" w:sz="8" w:space="0" w:color="auto"/>
            </w:tcBorders>
            <w:shd w:val="clear" w:color="auto" w:fill="auto"/>
            <w:vAlign w:val="center"/>
          </w:tcPr>
          <w:p w14:paraId="2BB2B114" w14:textId="3D41DF35" w:rsidR="0058450F" w:rsidRPr="00C67C15" w:rsidRDefault="001677CB" w:rsidP="001677CB">
            <w:pPr>
              <w:jc w:val="left"/>
              <w:rPr>
                <w:rFonts w:cs="Arial"/>
                <w:color w:val="000000"/>
                <w:sz w:val="18"/>
                <w:szCs w:val="18"/>
                <w:highlight w:val="lightGray"/>
                <w:lang w:eastAsia="fr-FR"/>
              </w:rPr>
            </w:pPr>
            <w:r w:rsidRPr="00C67C15">
              <w:rPr>
                <w:rFonts w:cs="Arial"/>
                <w:color w:val="000000"/>
                <w:sz w:val="18"/>
                <w:szCs w:val="18"/>
                <w:highlight w:val="lightGray"/>
                <w:lang w:eastAsia="fr-FR"/>
              </w:rPr>
              <w:t xml:space="preserve">This protocol was validated by a ring-test with different laboratories </w:t>
            </w:r>
          </w:p>
        </w:tc>
        <w:tc>
          <w:tcPr>
            <w:tcW w:w="504" w:type="pct"/>
            <w:tcBorders>
              <w:top w:val="nil"/>
              <w:left w:val="single" w:sz="8" w:space="0" w:color="auto"/>
              <w:bottom w:val="single" w:sz="8" w:space="0" w:color="000000"/>
              <w:right w:val="single" w:sz="8" w:space="0" w:color="auto"/>
            </w:tcBorders>
            <w:shd w:val="clear" w:color="auto" w:fill="auto"/>
            <w:vAlign w:val="center"/>
          </w:tcPr>
          <w:p w14:paraId="014013FA" w14:textId="38B16ABD" w:rsidR="001677CB" w:rsidRPr="00C67C15" w:rsidRDefault="0058450F" w:rsidP="001677CB">
            <w:pPr>
              <w:jc w:val="left"/>
              <w:rPr>
                <w:rFonts w:cs="Arial"/>
                <w:color w:val="000000"/>
                <w:sz w:val="18"/>
                <w:szCs w:val="18"/>
                <w:highlight w:val="lightGray"/>
                <w:lang w:eastAsia="nl-NL"/>
              </w:rPr>
            </w:pPr>
            <w:r w:rsidRPr="00C67C15">
              <w:rPr>
                <w:rFonts w:cs="Arial"/>
                <w:color w:val="000000"/>
                <w:sz w:val="18"/>
                <w:szCs w:val="18"/>
                <w:highlight w:val="lightGray"/>
                <w:lang w:eastAsia="nl-NL"/>
              </w:rPr>
              <w:t xml:space="preserve"> </w:t>
            </w:r>
            <w:r w:rsidR="0074400E" w:rsidRPr="0074400E">
              <w:rPr>
                <w:rFonts w:cs="Arial"/>
                <w:color w:val="000000"/>
                <w:sz w:val="18"/>
                <w:szCs w:val="18"/>
                <w:highlight w:val="lightGray"/>
                <w:lang w:eastAsia="nl-NL"/>
              </w:rPr>
              <w:t>YES</w:t>
            </w:r>
          </w:p>
        </w:tc>
        <w:tc>
          <w:tcPr>
            <w:tcW w:w="2021" w:type="pct"/>
            <w:tcBorders>
              <w:top w:val="nil"/>
              <w:left w:val="single" w:sz="8" w:space="0" w:color="auto"/>
              <w:bottom w:val="single" w:sz="8" w:space="0" w:color="000000"/>
              <w:right w:val="single" w:sz="8" w:space="0" w:color="auto"/>
            </w:tcBorders>
            <w:shd w:val="clear" w:color="auto" w:fill="auto"/>
            <w:vAlign w:val="center"/>
          </w:tcPr>
          <w:p w14:paraId="124B0AC8" w14:textId="03743A62" w:rsidR="001677CB" w:rsidRPr="00C67C15" w:rsidRDefault="0074400E" w:rsidP="001677CB">
            <w:pPr>
              <w:jc w:val="left"/>
              <w:rPr>
                <w:rFonts w:cs="Arial"/>
                <w:color w:val="000000"/>
                <w:sz w:val="18"/>
                <w:szCs w:val="18"/>
                <w:highlight w:val="lightGray"/>
                <w:lang w:eastAsia="nl-NL"/>
              </w:rPr>
            </w:pPr>
            <w:r w:rsidRPr="00C67C15">
              <w:rPr>
                <w:rFonts w:cs="Arial"/>
                <w:color w:val="000000"/>
                <w:sz w:val="18"/>
                <w:szCs w:val="18"/>
                <w:highlight w:val="lightGray"/>
                <w:lang w:eastAsia="fr-FR"/>
              </w:rPr>
              <w:t>(</w:t>
            </w:r>
            <w:r w:rsidRPr="00C67C15">
              <w:rPr>
                <w:rFonts w:cs="Arial"/>
                <w:i/>
                <w:color w:val="000000"/>
                <w:sz w:val="18"/>
                <w:szCs w:val="18"/>
                <w:highlight w:val="lightGray"/>
                <w:lang w:eastAsia="fr-FR"/>
              </w:rPr>
              <w:t>e.g.</w:t>
            </w:r>
            <w:r w:rsidRPr="00C67C15">
              <w:rPr>
                <w:rFonts w:cs="Arial"/>
                <w:color w:val="000000"/>
                <w:sz w:val="18"/>
                <w:szCs w:val="18"/>
                <w:highlight w:val="lightGray"/>
                <w:lang w:eastAsia="fr-FR"/>
              </w:rPr>
              <w:t xml:space="preserve"> </w:t>
            </w:r>
            <w:r w:rsidR="00DE5907" w:rsidRPr="00C67C15">
              <w:rPr>
                <w:rFonts w:cs="Arial"/>
                <w:color w:val="000000"/>
                <w:sz w:val="18"/>
                <w:szCs w:val="18"/>
                <w:highlight w:val="lightGray"/>
                <w:lang w:eastAsia="fr-FR"/>
              </w:rPr>
              <w:t>interlaboratory</w:t>
            </w:r>
            <w:r w:rsidRPr="00C67C15">
              <w:rPr>
                <w:rFonts w:cs="Arial"/>
                <w:color w:val="000000"/>
                <w:sz w:val="18"/>
                <w:szCs w:val="18"/>
                <w:highlight w:val="lightGray"/>
                <w:lang w:eastAsia="fr-FR"/>
              </w:rPr>
              <w:t xml:space="preserve"> Comparative Test INVITE 2024 </w:t>
            </w:r>
            <w:r w:rsidRPr="00C67C15">
              <w:rPr>
                <w:rStyle w:val="cf01"/>
                <w:rFonts w:ascii="Arial" w:hAnsi="Arial" w:cs="Arial"/>
                <w:highlight w:val="lightGray"/>
              </w:rPr>
              <w:t xml:space="preserve"> </w:t>
            </w:r>
            <w:r w:rsidRPr="00C67C15">
              <w:rPr>
                <w:rStyle w:val="cf11"/>
                <w:rFonts w:ascii="Arial" w:hAnsi="Arial" w:cs="Arial"/>
                <w:highlight w:val="lightGray"/>
              </w:rPr>
              <w:t>817970</w:t>
            </w:r>
            <w:r w:rsidRPr="00C67C15">
              <w:rPr>
                <w:rStyle w:val="cf01"/>
                <w:rFonts w:ascii="Arial" w:hAnsi="Arial" w:cs="Arial"/>
                <w:highlight w:val="lightGray"/>
              </w:rPr>
              <w:t xml:space="preserve"> DOI </w:t>
            </w:r>
            <w:hyperlink r:id="rId10" w:history="1">
              <w:r w:rsidRPr="00C67C15">
                <w:rPr>
                  <w:rStyle w:val="cf01"/>
                  <w:rFonts w:ascii="Arial" w:hAnsi="Arial" w:cs="Arial"/>
                  <w:color w:val="0000FF"/>
                  <w:highlight w:val="lightGray"/>
                  <w:u w:val="single"/>
                </w:rPr>
                <w:t>10.3030/817970</w:t>
              </w:r>
            </w:hyperlink>
            <w:r w:rsidRPr="00C67C15">
              <w:rPr>
                <w:rFonts w:cs="Arial"/>
                <w:sz w:val="18"/>
                <w:szCs w:val="18"/>
                <w:highlight w:val="lightGray"/>
              </w:rPr>
              <w:t>)</w:t>
            </w:r>
          </w:p>
        </w:tc>
        <w:tc>
          <w:tcPr>
            <w:tcW w:w="82" w:type="pct"/>
            <w:vAlign w:val="center"/>
          </w:tcPr>
          <w:p w14:paraId="63E94D88" w14:textId="77777777" w:rsidR="001677CB" w:rsidRPr="00214FF8" w:rsidRDefault="001677CB" w:rsidP="001677CB">
            <w:pPr>
              <w:rPr>
                <w:rFonts w:ascii="Times New Roman" w:hAnsi="Times New Roman"/>
                <w:lang w:eastAsia="fr-FR"/>
              </w:rPr>
            </w:pPr>
          </w:p>
        </w:tc>
      </w:tr>
      <w:tr w:rsidR="001677CB" w:rsidRPr="00214FF8" w14:paraId="26F8390C" w14:textId="77777777" w:rsidTr="00CA22A9">
        <w:trPr>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tcPr>
          <w:p w14:paraId="0B95EC8F" w14:textId="77777777" w:rsidR="001677CB" w:rsidRPr="00C67C15" w:rsidRDefault="001677CB" w:rsidP="001677CB">
            <w:pPr>
              <w:jc w:val="left"/>
              <w:rPr>
                <w:rFonts w:cs="Arial"/>
                <w:color w:val="000000"/>
                <w:sz w:val="18"/>
                <w:szCs w:val="18"/>
                <w:highlight w:val="lightGray"/>
                <w:lang w:eastAsia="fr-FR"/>
              </w:rPr>
            </w:pPr>
            <w:r w:rsidRPr="00C67C15">
              <w:rPr>
                <w:rFonts w:cs="Arial"/>
                <w:color w:val="000000"/>
                <w:sz w:val="18"/>
                <w:szCs w:val="18"/>
                <w:highlight w:val="lightGray"/>
                <w:lang w:eastAsia="fr-FR"/>
              </w:rPr>
              <w:t>9.1</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tcPr>
          <w:p w14:paraId="11A0DEED" w14:textId="77777777" w:rsidR="001677CB" w:rsidRPr="00C67C15" w:rsidRDefault="001677CB" w:rsidP="001677CB">
            <w:pPr>
              <w:jc w:val="left"/>
              <w:rPr>
                <w:rFonts w:cs="Arial"/>
                <w:color w:val="000000"/>
                <w:sz w:val="18"/>
                <w:szCs w:val="18"/>
                <w:highlight w:val="lightGray"/>
                <w:lang w:eastAsia="fr-FR"/>
              </w:rPr>
            </w:pPr>
            <w:r w:rsidRPr="00C67C15">
              <w:rPr>
                <w:rFonts w:cs="Arial"/>
                <w:color w:val="000000"/>
                <w:sz w:val="18"/>
                <w:szCs w:val="18"/>
                <w:highlight w:val="lightGray"/>
                <w:lang w:eastAsia="fr-FR"/>
              </w:rPr>
              <w:t>Contact Examination Office</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tcPr>
          <w:p w14:paraId="6394EDAE" w14:textId="77777777" w:rsidR="001677CB" w:rsidRPr="00C67C15" w:rsidRDefault="001677CB" w:rsidP="001677CB">
            <w:pPr>
              <w:jc w:val="left"/>
              <w:rPr>
                <w:rFonts w:cs="Arial"/>
                <w:color w:val="000000"/>
                <w:sz w:val="18"/>
                <w:szCs w:val="18"/>
                <w:highlight w:val="lightGray"/>
                <w:lang w:eastAsia="fr-FR"/>
              </w:rPr>
            </w:pPr>
            <w:r w:rsidRPr="00C67C15">
              <w:rPr>
                <w:rFonts w:cs="Arial"/>
                <w:i/>
                <w:color w:val="000000"/>
                <w:sz w:val="18"/>
                <w:szCs w:val="18"/>
                <w:highlight w:val="lightGray"/>
                <w:lang w:eastAsia="fr-FR"/>
              </w:rPr>
              <w:t>e.g.</w:t>
            </w:r>
            <w:r w:rsidRPr="00C67C15">
              <w:rPr>
                <w:rFonts w:cs="Arial"/>
                <w:color w:val="000000"/>
                <w:sz w:val="18"/>
                <w:szCs w:val="18"/>
                <w:highlight w:val="lightGray"/>
                <w:lang w:eastAsia="fr-FR"/>
              </w:rPr>
              <w:t xml:space="preserve"> Naktuinbouw</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tcPr>
          <w:p w14:paraId="636F2644" w14:textId="77777777" w:rsidR="001677CB" w:rsidRPr="00C67C15" w:rsidRDefault="001677CB" w:rsidP="001677CB">
            <w:pPr>
              <w:jc w:val="left"/>
              <w:rPr>
                <w:rFonts w:cs="Arial"/>
                <w:color w:val="000000"/>
                <w:sz w:val="18"/>
                <w:szCs w:val="18"/>
                <w:highlight w:val="lightGray"/>
                <w:lang w:eastAsia="fr-FR"/>
              </w:rPr>
            </w:pPr>
            <w:r w:rsidRPr="00C67C15">
              <w:rPr>
                <w:rFonts w:cs="Arial"/>
                <w:color w:val="000000"/>
                <w:sz w:val="18"/>
                <w:szCs w:val="18"/>
                <w:highlight w:val="lightGray"/>
                <w:lang w:eastAsia="fr-FR"/>
              </w:rPr>
              <w:t>YES</w:t>
            </w:r>
          </w:p>
        </w:tc>
        <w:tc>
          <w:tcPr>
            <w:tcW w:w="2021" w:type="pct"/>
            <w:vMerge w:val="restart"/>
            <w:tcBorders>
              <w:top w:val="nil"/>
              <w:left w:val="single" w:sz="8" w:space="0" w:color="auto"/>
              <w:bottom w:val="single" w:sz="8" w:space="0" w:color="000000"/>
              <w:right w:val="single" w:sz="8" w:space="0" w:color="auto"/>
            </w:tcBorders>
            <w:shd w:val="clear" w:color="auto" w:fill="auto"/>
            <w:vAlign w:val="center"/>
          </w:tcPr>
          <w:p w14:paraId="3A1BFAC9" w14:textId="77777777" w:rsidR="001677CB" w:rsidRPr="00C67C15" w:rsidRDefault="001677CB" w:rsidP="001677CB">
            <w:pPr>
              <w:jc w:val="left"/>
              <w:rPr>
                <w:rFonts w:cs="Arial"/>
                <w:color w:val="000000"/>
                <w:sz w:val="18"/>
                <w:szCs w:val="18"/>
                <w:highlight w:val="lightGray"/>
                <w:lang w:eastAsia="fr-FR"/>
              </w:rPr>
            </w:pPr>
            <w:r w:rsidRPr="00C67C15">
              <w:rPr>
                <w:rFonts w:cs="Arial"/>
                <w:color w:val="000000"/>
                <w:sz w:val="18"/>
                <w:szCs w:val="18"/>
                <w:highlight w:val="lightGray"/>
                <w:lang w:eastAsia="fr-FR"/>
              </w:rPr>
              <w:t>Contact of the institute that developed this protocol, Name of the service.</w:t>
            </w:r>
          </w:p>
        </w:tc>
        <w:tc>
          <w:tcPr>
            <w:tcW w:w="82" w:type="pct"/>
            <w:vAlign w:val="center"/>
            <w:hideMark/>
          </w:tcPr>
          <w:p w14:paraId="5E70C311" w14:textId="77777777" w:rsidR="001677CB" w:rsidRPr="00214FF8" w:rsidRDefault="001677CB" w:rsidP="001677CB">
            <w:pPr>
              <w:rPr>
                <w:rFonts w:ascii="Times New Roman" w:hAnsi="Times New Roman"/>
                <w:lang w:eastAsia="fr-FR"/>
              </w:rPr>
            </w:pPr>
          </w:p>
        </w:tc>
      </w:tr>
      <w:tr w:rsidR="001677CB" w:rsidRPr="00214FF8" w14:paraId="4634ADC1" w14:textId="77777777" w:rsidTr="00CA22A9">
        <w:trPr>
          <w:trHeight w:val="300"/>
        </w:trPr>
        <w:tc>
          <w:tcPr>
            <w:tcW w:w="358" w:type="pct"/>
            <w:vMerge/>
            <w:tcBorders>
              <w:top w:val="nil"/>
              <w:left w:val="single" w:sz="8" w:space="0" w:color="auto"/>
              <w:bottom w:val="single" w:sz="8" w:space="0" w:color="000000"/>
              <w:right w:val="single" w:sz="8" w:space="0" w:color="auto"/>
            </w:tcBorders>
            <w:shd w:val="clear" w:color="auto" w:fill="auto"/>
            <w:vAlign w:val="center"/>
          </w:tcPr>
          <w:p w14:paraId="1BB13AFB" w14:textId="77777777" w:rsidR="001677CB" w:rsidRPr="001D0FC4" w:rsidRDefault="001677CB" w:rsidP="001677CB">
            <w:pPr>
              <w:rPr>
                <w:rFonts w:cs="Arial"/>
                <w:color w:val="000000"/>
                <w:sz w:val="18"/>
                <w:szCs w:val="18"/>
                <w:lang w:eastAsia="nl-NL"/>
              </w:rPr>
            </w:pPr>
          </w:p>
        </w:tc>
        <w:tc>
          <w:tcPr>
            <w:tcW w:w="800" w:type="pct"/>
            <w:vMerge/>
            <w:tcBorders>
              <w:top w:val="nil"/>
              <w:left w:val="single" w:sz="8" w:space="0" w:color="auto"/>
              <w:bottom w:val="single" w:sz="8" w:space="0" w:color="000000"/>
              <w:right w:val="single" w:sz="8" w:space="0" w:color="auto"/>
            </w:tcBorders>
            <w:shd w:val="clear" w:color="auto" w:fill="auto"/>
            <w:vAlign w:val="center"/>
          </w:tcPr>
          <w:p w14:paraId="79307CCE" w14:textId="77777777" w:rsidR="001677CB" w:rsidRPr="001D0FC4" w:rsidRDefault="001677CB" w:rsidP="001677CB">
            <w:pPr>
              <w:rPr>
                <w:rFonts w:cs="Arial"/>
                <w:color w:val="000000"/>
                <w:sz w:val="18"/>
                <w:szCs w:val="18"/>
                <w:lang w:eastAsia="nl-NL"/>
              </w:rPr>
            </w:pPr>
          </w:p>
        </w:tc>
        <w:tc>
          <w:tcPr>
            <w:tcW w:w="1235" w:type="pct"/>
            <w:vMerge/>
            <w:tcBorders>
              <w:top w:val="nil"/>
              <w:left w:val="single" w:sz="8" w:space="0" w:color="auto"/>
              <w:bottom w:val="single" w:sz="8" w:space="0" w:color="000000"/>
              <w:right w:val="single" w:sz="8" w:space="0" w:color="auto"/>
            </w:tcBorders>
            <w:shd w:val="clear" w:color="auto" w:fill="auto"/>
            <w:vAlign w:val="center"/>
          </w:tcPr>
          <w:p w14:paraId="5430F1EE" w14:textId="77777777" w:rsidR="001677CB" w:rsidRPr="001D0FC4" w:rsidRDefault="001677CB" w:rsidP="001677CB">
            <w:pPr>
              <w:rPr>
                <w:rFonts w:cs="Arial"/>
                <w:i/>
                <w:iCs/>
                <w:color w:val="000000"/>
                <w:sz w:val="18"/>
                <w:szCs w:val="18"/>
                <w:lang w:eastAsia="fr-FR"/>
              </w:rPr>
            </w:pPr>
          </w:p>
        </w:tc>
        <w:tc>
          <w:tcPr>
            <w:tcW w:w="504" w:type="pct"/>
            <w:vMerge/>
            <w:tcBorders>
              <w:top w:val="nil"/>
              <w:left w:val="single" w:sz="8" w:space="0" w:color="auto"/>
              <w:bottom w:val="single" w:sz="8" w:space="0" w:color="000000"/>
              <w:right w:val="single" w:sz="8" w:space="0" w:color="auto"/>
            </w:tcBorders>
            <w:shd w:val="clear" w:color="auto" w:fill="auto"/>
            <w:vAlign w:val="center"/>
          </w:tcPr>
          <w:p w14:paraId="74BE247B" w14:textId="77777777" w:rsidR="001677CB" w:rsidRPr="001D0FC4" w:rsidRDefault="001677CB" w:rsidP="001677CB">
            <w:pPr>
              <w:rPr>
                <w:rFonts w:cs="Arial"/>
                <w:color w:val="000000"/>
                <w:sz w:val="18"/>
                <w:szCs w:val="18"/>
                <w:lang w:eastAsia="nl-NL"/>
              </w:rPr>
            </w:pPr>
          </w:p>
        </w:tc>
        <w:tc>
          <w:tcPr>
            <w:tcW w:w="2021" w:type="pct"/>
            <w:vMerge/>
            <w:tcBorders>
              <w:top w:val="nil"/>
              <w:left w:val="single" w:sz="8" w:space="0" w:color="auto"/>
              <w:bottom w:val="single" w:sz="8" w:space="0" w:color="000000"/>
              <w:right w:val="single" w:sz="8" w:space="0" w:color="auto"/>
            </w:tcBorders>
            <w:shd w:val="clear" w:color="auto" w:fill="auto"/>
            <w:vAlign w:val="center"/>
          </w:tcPr>
          <w:p w14:paraId="3D8A678A" w14:textId="77777777" w:rsidR="001677CB" w:rsidRPr="001D0FC4" w:rsidRDefault="001677CB" w:rsidP="001677CB">
            <w:pPr>
              <w:rPr>
                <w:rFonts w:cs="Arial"/>
                <w:color w:val="000000"/>
                <w:sz w:val="18"/>
                <w:szCs w:val="18"/>
                <w:lang w:eastAsia="nl-NL"/>
              </w:rPr>
            </w:pPr>
          </w:p>
        </w:tc>
        <w:tc>
          <w:tcPr>
            <w:tcW w:w="82" w:type="pct"/>
            <w:vAlign w:val="center"/>
          </w:tcPr>
          <w:p w14:paraId="01B2DF7F" w14:textId="77777777" w:rsidR="001677CB" w:rsidRPr="00214FF8" w:rsidRDefault="001677CB" w:rsidP="001677CB">
            <w:pPr>
              <w:rPr>
                <w:rFonts w:ascii="Times New Roman" w:hAnsi="Times New Roman"/>
                <w:lang w:eastAsia="fr-FR"/>
              </w:rPr>
            </w:pPr>
          </w:p>
        </w:tc>
      </w:tr>
      <w:tr w:rsidR="001677CB" w:rsidRPr="00214FF8" w14:paraId="13A20EE3" w14:textId="77777777" w:rsidTr="00CA22A9">
        <w:trPr>
          <w:trHeight w:val="315"/>
        </w:trPr>
        <w:tc>
          <w:tcPr>
            <w:tcW w:w="358" w:type="pct"/>
            <w:vMerge/>
            <w:tcBorders>
              <w:top w:val="nil"/>
              <w:left w:val="single" w:sz="8" w:space="0" w:color="auto"/>
              <w:bottom w:val="single" w:sz="8" w:space="0" w:color="000000"/>
              <w:right w:val="single" w:sz="8" w:space="0" w:color="auto"/>
            </w:tcBorders>
            <w:vAlign w:val="center"/>
          </w:tcPr>
          <w:p w14:paraId="6DFA9BCE" w14:textId="77777777" w:rsidR="001677CB" w:rsidRPr="001D0FC4" w:rsidRDefault="001677CB" w:rsidP="001677CB">
            <w:pPr>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tcPr>
          <w:p w14:paraId="423824BF" w14:textId="77777777" w:rsidR="001677CB" w:rsidRPr="001D0FC4" w:rsidRDefault="001677CB" w:rsidP="001677CB">
            <w:pPr>
              <w:rPr>
                <w:rFonts w:cs="Arial"/>
                <w:color w:val="000000"/>
                <w:sz w:val="18"/>
                <w:szCs w:val="18"/>
                <w:lang w:eastAsia="fr-FR"/>
              </w:rPr>
            </w:pPr>
          </w:p>
        </w:tc>
        <w:tc>
          <w:tcPr>
            <w:tcW w:w="1235" w:type="pct"/>
            <w:vMerge/>
            <w:tcBorders>
              <w:top w:val="nil"/>
              <w:left w:val="single" w:sz="8" w:space="0" w:color="auto"/>
              <w:bottom w:val="single" w:sz="8" w:space="0" w:color="000000"/>
              <w:right w:val="single" w:sz="8" w:space="0" w:color="auto"/>
            </w:tcBorders>
            <w:vAlign w:val="center"/>
          </w:tcPr>
          <w:p w14:paraId="7EE6976A" w14:textId="77777777" w:rsidR="001677CB" w:rsidRPr="001D0FC4" w:rsidRDefault="001677CB" w:rsidP="001677CB">
            <w:pPr>
              <w:rPr>
                <w:rFonts w:cs="Arial"/>
                <w:i/>
                <w:iCs/>
                <w:color w:val="000000"/>
                <w:sz w:val="18"/>
                <w:szCs w:val="18"/>
                <w:lang w:eastAsia="fr-FR"/>
              </w:rPr>
            </w:pPr>
          </w:p>
        </w:tc>
        <w:tc>
          <w:tcPr>
            <w:tcW w:w="504" w:type="pct"/>
            <w:vMerge/>
            <w:tcBorders>
              <w:top w:val="nil"/>
              <w:left w:val="single" w:sz="8" w:space="0" w:color="auto"/>
              <w:bottom w:val="single" w:sz="8" w:space="0" w:color="000000"/>
              <w:right w:val="single" w:sz="8" w:space="0" w:color="auto"/>
            </w:tcBorders>
            <w:vAlign w:val="center"/>
          </w:tcPr>
          <w:p w14:paraId="6F4BAA27" w14:textId="77777777" w:rsidR="001677CB" w:rsidRPr="001D0FC4" w:rsidRDefault="001677CB" w:rsidP="001677CB">
            <w:pPr>
              <w:rPr>
                <w:rFonts w:cs="Arial"/>
                <w:color w:val="000000"/>
                <w:sz w:val="18"/>
                <w:szCs w:val="18"/>
                <w:lang w:eastAsia="fr-FR"/>
              </w:rPr>
            </w:pPr>
          </w:p>
        </w:tc>
        <w:tc>
          <w:tcPr>
            <w:tcW w:w="2021" w:type="pct"/>
            <w:vMerge/>
            <w:tcBorders>
              <w:top w:val="nil"/>
              <w:left w:val="single" w:sz="8" w:space="0" w:color="auto"/>
              <w:bottom w:val="single" w:sz="8" w:space="0" w:color="000000"/>
              <w:right w:val="single" w:sz="8" w:space="0" w:color="auto"/>
            </w:tcBorders>
            <w:vAlign w:val="center"/>
          </w:tcPr>
          <w:p w14:paraId="44CB82B1" w14:textId="77777777" w:rsidR="001677CB" w:rsidRPr="001D0FC4" w:rsidRDefault="001677CB" w:rsidP="001677CB">
            <w:pPr>
              <w:rPr>
                <w:rFonts w:cs="Arial"/>
                <w:color w:val="000000"/>
                <w:sz w:val="18"/>
                <w:szCs w:val="18"/>
                <w:lang w:eastAsia="fr-FR"/>
              </w:rPr>
            </w:pPr>
          </w:p>
        </w:tc>
        <w:tc>
          <w:tcPr>
            <w:tcW w:w="82" w:type="pct"/>
            <w:tcBorders>
              <w:top w:val="nil"/>
              <w:left w:val="nil"/>
              <w:bottom w:val="nil"/>
              <w:right w:val="nil"/>
            </w:tcBorders>
            <w:shd w:val="clear" w:color="auto" w:fill="auto"/>
            <w:noWrap/>
            <w:vAlign w:val="bottom"/>
            <w:hideMark/>
          </w:tcPr>
          <w:p w14:paraId="4E61A920" w14:textId="77777777" w:rsidR="001677CB" w:rsidRPr="00214FF8" w:rsidRDefault="001677CB" w:rsidP="001677CB">
            <w:pPr>
              <w:rPr>
                <w:rFonts w:cs="Arial"/>
                <w:color w:val="000000"/>
                <w:lang w:eastAsia="fr-FR"/>
              </w:rPr>
            </w:pPr>
          </w:p>
        </w:tc>
      </w:tr>
    </w:tbl>
    <w:p w14:paraId="4B21E146" w14:textId="77777777" w:rsidR="001D0FC4" w:rsidRDefault="001D0FC4" w:rsidP="001D0FC4">
      <w:pPr>
        <w:rPr>
          <w:lang w:eastAsia="fr-FR"/>
        </w:rPr>
      </w:pPr>
    </w:p>
    <w:p w14:paraId="6DCC06DB" w14:textId="77777777" w:rsidR="001D0FC4" w:rsidRPr="00214FF8" w:rsidRDefault="001D0FC4" w:rsidP="001D0FC4">
      <w:pPr>
        <w:rPr>
          <w:lang w:eastAsia="fr-FR"/>
        </w:rPr>
      </w:pPr>
    </w:p>
    <w:p w14:paraId="472FE3E3" w14:textId="77777777" w:rsidR="001D0FC4" w:rsidRPr="00890C47" w:rsidRDefault="001D0FC4" w:rsidP="001D0FC4">
      <w:pPr>
        <w:pStyle w:val="Heading1"/>
        <w:rPr>
          <w:lang w:val="en-GB"/>
        </w:rPr>
      </w:pPr>
      <w:bookmarkStart w:id="28" w:name="_Toc189576576"/>
      <w:r w:rsidRPr="00890C47">
        <w:rPr>
          <w:lang w:val="en-GB"/>
        </w:rPr>
        <w:t>VI.</w:t>
      </w:r>
      <w:r w:rsidRPr="00890C47">
        <w:rPr>
          <w:lang w:val="en-GB"/>
        </w:rPr>
        <w:tab/>
        <w:t>Follow-up survey after approval</w:t>
      </w:r>
      <w:bookmarkEnd w:id="28"/>
    </w:p>
    <w:p w14:paraId="13465DB3" w14:textId="77777777" w:rsidR="001D0FC4" w:rsidRPr="00214FF8" w:rsidRDefault="001D0FC4" w:rsidP="001D0FC4">
      <w:pPr>
        <w:keepNext/>
        <w:rPr>
          <w:lang w:eastAsia="fr-FR"/>
        </w:rPr>
      </w:pPr>
    </w:p>
    <w:p w14:paraId="0D855487" w14:textId="7B853779"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 xml:space="preserve">Validation of the marker is not fixed as new genetics can arise from the market. This is a continuous evaluation process. Specificity should be re-assessed after validation acceptance using </w:t>
      </w:r>
      <w:r w:rsidR="000B36A7" w:rsidRPr="000B36A7">
        <w:rPr>
          <w:lang w:eastAsia="fr-FR"/>
        </w:rPr>
        <w:t xml:space="preserve">parallel testing (marker </w:t>
      </w:r>
      <w:r w:rsidR="000B36A7">
        <w:rPr>
          <w:lang w:eastAsia="fr-FR"/>
        </w:rPr>
        <w:t>test and bioassay</w:t>
      </w:r>
      <w:r w:rsidR="000B36A7" w:rsidRPr="000B36A7">
        <w:rPr>
          <w:lang w:eastAsia="fr-FR"/>
        </w:rPr>
        <w:t>)</w:t>
      </w:r>
      <w:r w:rsidR="000B36A7">
        <w:rPr>
          <w:lang w:eastAsia="fr-FR"/>
        </w:rPr>
        <w:t xml:space="preserve"> </w:t>
      </w:r>
      <w:r w:rsidRPr="00214FF8">
        <w:rPr>
          <w:lang w:eastAsia="fr-FR"/>
        </w:rPr>
        <w:t xml:space="preserve">at least during the first year with observation method. </w:t>
      </w:r>
    </w:p>
    <w:p w14:paraId="4F0870DF" w14:textId="77777777" w:rsidR="001D0FC4" w:rsidRPr="00214FF8" w:rsidRDefault="001D0FC4" w:rsidP="001D0FC4">
      <w:pPr>
        <w:rPr>
          <w:lang w:eastAsia="fr-FR"/>
        </w:rPr>
      </w:pPr>
    </w:p>
    <w:p w14:paraId="11DEECD6" w14:textId="77777777" w:rsidR="001D0FC4" w:rsidRPr="00214FF8" w:rsidRDefault="001D0FC4" w:rsidP="001D0FC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Pr="00214FF8">
        <w:rPr>
          <w:lang w:eastAsia="fr-FR"/>
        </w:rPr>
        <w:t>After the first year of acceptance of the protocol, morphological checks on about 10% of the new varieties must be performed.</w:t>
      </w:r>
    </w:p>
    <w:p w14:paraId="30308EB5" w14:textId="77777777" w:rsidR="001D0FC4" w:rsidRDefault="001D0FC4" w:rsidP="001D0FC4">
      <w:pPr>
        <w:jc w:val="left"/>
      </w:pPr>
    </w:p>
    <w:p w14:paraId="73BFF08D" w14:textId="3598C8F1" w:rsidR="00507C29" w:rsidRDefault="00507C29" w:rsidP="001D0FC4">
      <w:pPr>
        <w:jc w:val="left"/>
      </w:pPr>
      <w:r>
        <w:t>VII.</w:t>
      </w:r>
      <w:r>
        <w:tab/>
        <w:t>LITERATURE</w:t>
      </w:r>
    </w:p>
    <w:p w14:paraId="5316A7AA" w14:textId="77777777" w:rsidR="00ED5AD6" w:rsidRDefault="00ED5AD6" w:rsidP="001D0FC4">
      <w:pPr>
        <w:jc w:val="left"/>
      </w:pPr>
    </w:p>
    <w:p w14:paraId="6C339B7F" w14:textId="11396898" w:rsidR="00ED5AD6" w:rsidRDefault="00ED5AD6" w:rsidP="00BF2987">
      <w:r>
        <w:t xml:space="preserve">Arens P., Mansilla C., </w:t>
      </w:r>
      <w:proofErr w:type="spellStart"/>
      <w:r>
        <w:t>Deinum</w:t>
      </w:r>
      <w:proofErr w:type="spellEnd"/>
      <w:r>
        <w:t xml:space="preserve"> D., </w:t>
      </w:r>
      <w:proofErr w:type="spellStart"/>
      <w:r>
        <w:t>Cavellini</w:t>
      </w:r>
      <w:proofErr w:type="spellEnd"/>
      <w:r>
        <w:t xml:space="preserve"> L., Moretti A., Rolland S., van der </w:t>
      </w:r>
      <w:proofErr w:type="spellStart"/>
      <w:r>
        <w:t>Schoot</w:t>
      </w:r>
      <w:proofErr w:type="spellEnd"/>
      <w:r>
        <w:t xml:space="preserve"> H., Calvache D., </w:t>
      </w:r>
      <w:proofErr w:type="spellStart"/>
      <w:r>
        <w:t>Ponz</w:t>
      </w:r>
      <w:proofErr w:type="spellEnd"/>
      <w:r>
        <w:t xml:space="preserve"> F., Collonnier C., Mathis R., Smilde D., </w:t>
      </w:r>
      <w:proofErr w:type="spellStart"/>
      <w:r>
        <w:t>Caranta</w:t>
      </w:r>
      <w:proofErr w:type="spellEnd"/>
      <w:r>
        <w:t xml:space="preserve"> C</w:t>
      </w:r>
      <w:r w:rsidR="00BF2987">
        <w:t>.</w:t>
      </w:r>
      <w:r>
        <w:t xml:space="preserve">; Vosman B., 2010: Development and evaluation of robust molecular markers linked to disease resistance in tomato for distinctness, uniformity and stability testing. </w:t>
      </w:r>
    </w:p>
    <w:p w14:paraId="3AC8DEF9" w14:textId="12E146C8" w:rsidR="00ED5AD6" w:rsidRDefault="00ED5AD6" w:rsidP="00330C8A">
      <w:pPr>
        <w:jc w:val="left"/>
      </w:pPr>
      <w:r>
        <w:t>Theoretical and applied genetics 120(3). pp. 655-64</w:t>
      </w:r>
    </w:p>
    <w:p w14:paraId="0303B7E6" w14:textId="77777777" w:rsidR="00507C29" w:rsidRDefault="00507C29" w:rsidP="00330C8A"/>
    <w:p w14:paraId="1F11642C" w14:textId="74F42DEB" w:rsidR="00507C29" w:rsidRDefault="00507C29" w:rsidP="00330C8A">
      <w:r w:rsidRPr="00F8579F">
        <w:rPr>
          <w:lang w:val="fr-FR"/>
        </w:rPr>
        <w:t xml:space="preserve">Langton, S.D., Chevennement, R., Nagelkerke, N. and Lombard, B. (2002). </w:t>
      </w:r>
      <w:proofErr w:type="spellStart"/>
      <w:r>
        <w:t>Analysing</w:t>
      </w:r>
      <w:proofErr w:type="spellEnd"/>
      <w:r>
        <w:t xml:space="preserve"> collaborative</w:t>
      </w:r>
      <w:r w:rsidR="00330C8A">
        <w:t xml:space="preserve"> </w:t>
      </w:r>
      <w:r>
        <w:t>trials for qualitative microbiological methods: accordance and concordance. International</w:t>
      </w:r>
      <w:r w:rsidR="00330C8A">
        <w:t xml:space="preserve"> </w:t>
      </w:r>
      <w:r>
        <w:t>Journal of Food Microbiology, 79, 175-181</w:t>
      </w:r>
    </w:p>
    <w:p w14:paraId="160AC5D8" w14:textId="77777777" w:rsidR="00507C29" w:rsidRDefault="00507C29" w:rsidP="00330C8A"/>
    <w:p w14:paraId="67D97123" w14:textId="77777777" w:rsidR="00507C29" w:rsidRPr="00214FF8" w:rsidRDefault="00507C29" w:rsidP="001D0FC4">
      <w:pPr>
        <w:jc w:val="left"/>
      </w:pPr>
    </w:p>
    <w:p w14:paraId="51DF7BBC" w14:textId="77777777" w:rsidR="001D0FC4" w:rsidRPr="00214FF8" w:rsidRDefault="001D0FC4" w:rsidP="001D0FC4"/>
    <w:p w14:paraId="13CE1DAB" w14:textId="161EF2E9" w:rsidR="00050E16" w:rsidRPr="00C5280D" w:rsidRDefault="00050E16" w:rsidP="001D0FC4">
      <w:pPr>
        <w:jc w:val="right"/>
      </w:pPr>
      <w:r w:rsidRPr="00C5280D">
        <w:t>[End of document]</w:t>
      </w:r>
    </w:p>
    <w:sectPr w:rsidR="00050E16" w:rsidRPr="00C5280D" w:rsidSect="001D0FC4">
      <w:headerReference w:type="default" r:id="rId11"/>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34F4D" w14:textId="77777777" w:rsidR="009B7A75" w:rsidRDefault="009B7A75" w:rsidP="006655D3">
      <w:r>
        <w:separator/>
      </w:r>
    </w:p>
    <w:p w14:paraId="3946177D" w14:textId="77777777" w:rsidR="009B7A75" w:rsidRDefault="009B7A75" w:rsidP="006655D3"/>
    <w:p w14:paraId="50FFDA12" w14:textId="77777777" w:rsidR="009B7A75" w:rsidRDefault="009B7A75" w:rsidP="006655D3"/>
  </w:endnote>
  <w:endnote w:type="continuationSeparator" w:id="0">
    <w:p w14:paraId="617CFF7C" w14:textId="77777777" w:rsidR="009B7A75" w:rsidRDefault="009B7A75" w:rsidP="006655D3">
      <w:r>
        <w:separator/>
      </w:r>
    </w:p>
    <w:p w14:paraId="136230D6" w14:textId="77777777" w:rsidR="009B7A75" w:rsidRPr="00294751" w:rsidRDefault="009B7A75">
      <w:pPr>
        <w:pStyle w:val="Footer"/>
        <w:spacing w:after="60"/>
        <w:rPr>
          <w:sz w:val="18"/>
          <w:lang w:val="fr-FR"/>
        </w:rPr>
      </w:pPr>
      <w:r w:rsidRPr="00294751">
        <w:rPr>
          <w:sz w:val="18"/>
          <w:lang w:val="fr-FR"/>
        </w:rPr>
        <w:t>[Suite de la note de la page précédente]</w:t>
      </w:r>
    </w:p>
    <w:p w14:paraId="38F844BB" w14:textId="77777777" w:rsidR="009B7A75" w:rsidRPr="00294751" w:rsidRDefault="009B7A75" w:rsidP="006655D3">
      <w:pPr>
        <w:rPr>
          <w:lang w:val="fr-FR"/>
        </w:rPr>
      </w:pPr>
    </w:p>
    <w:p w14:paraId="27717C3F" w14:textId="77777777" w:rsidR="009B7A75" w:rsidRPr="00294751" w:rsidRDefault="009B7A75" w:rsidP="006655D3">
      <w:pPr>
        <w:rPr>
          <w:lang w:val="fr-FR"/>
        </w:rPr>
      </w:pPr>
    </w:p>
  </w:endnote>
  <w:endnote w:type="continuationNotice" w:id="1">
    <w:p w14:paraId="0476DFAC" w14:textId="77777777" w:rsidR="009B7A75" w:rsidRPr="00294751" w:rsidRDefault="009B7A75" w:rsidP="006655D3">
      <w:pPr>
        <w:rPr>
          <w:lang w:val="fr-FR"/>
        </w:rPr>
      </w:pPr>
      <w:r w:rsidRPr="00294751">
        <w:rPr>
          <w:lang w:val="fr-FR"/>
        </w:rPr>
        <w:t>[Suite de la note page suivante]</w:t>
      </w:r>
    </w:p>
    <w:p w14:paraId="5F6F6ECC" w14:textId="77777777" w:rsidR="009B7A75" w:rsidRPr="00294751" w:rsidRDefault="009B7A75" w:rsidP="006655D3">
      <w:pPr>
        <w:rPr>
          <w:lang w:val="fr-FR"/>
        </w:rPr>
      </w:pPr>
    </w:p>
    <w:p w14:paraId="50FA737B" w14:textId="77777777" w:rsidR="009B7A75" w:rsidRPr="00294751" w:rsidRDefault="009B7A7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6BF24" w14:textId="77777777" w:rsidR="009B7A75" w:rsidRDefault="009B7A75" w:rsidP="006655D3">
      <w:r>
        <w:separator/>
      </w:r>
    </w:p>
  </w:footnote>
  <w:footnote w:type="continuationSeparator" w:id="0">
    <w:p w14:paraId="7920193D" w14:textId="77777777" w:rsidR="009B7A75" w:rsidRDefault="009B7A75" w:rsidP="006655D3">
      <w:r>
        <w:separator/>
      </w:r>
    </w:p>
  </w:footnote>
  <w:footnote w:type="continuationNotice" w:id="1">
    <w:p w14:paraId="2B6F0144" w14:textId="77777777" w:rsidR="009B7A75" w:rsidRPr="00AB530F" w:rsidRDefault="009B7A7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AD1F" w14:textId="7CB9158F" w:rsidR="0004198B" w:rsidRPr="00C5280D" w:rsidRDefault="001D0FC4" w:rsidP="00EB048E">
    <w:pPr>
      <w:pStyle w:val="Header"/>
      <w:rPr>
        <w:rStyle w:val="PageNumber"/>
        <w:lang w:val="en-US"/>
      </w:rPr>
    </w:pPr>
    <w:r>
      <w:rPr>
        <w:rStyle w:val="PageNumber"/>
        <w:lang w:val="en-US"/>
      </w:rPr>
      <w:t>TWP/9/4</w:t>
    </w:r>
  </w:p>
  <w:p w14:paraId="43884359"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339FF">
      <w:rPr>
        <w:rStyle w:val="PageNumber"/>
        <w:noProof/>
        <w:lang w:val="en-US"/>
      </w:rPr>
      <w:t>2</w:t>
    </w:r>
    <w:r w:rsidRPr="00C5280D">
      <w:rPr>
        <w:rStyle w:val="PageNumber"/>
        <w:lang w:val="en-US"/>
      </w:rPr>
      <w:fldChar w:fldCharType="end"/>
    </w:r>
  </w:p>
  <w:p w14:paraId="5D8C72F0" w14:textId="77777777"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2763"/>
    <w:multiLevelType w:val="hybridMultilevel"/>
    <w:tmpl w:val="C1B26032"/>
    <w:lvl w:ilvl="0" w:tplc="F3860B7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F31C84"/>
    <w:multiLevelType w:val="hybridMultilevel"/>
    <w:tmpl w:val="A306CB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B10F0F"/>
    <w:multiLevelType w:val="hybridMultilevel"/>
    <w:tmpl w:val="B10EEDB6"/>
    <w:lvl w:ilvl="0" w:tplc="B59C8E6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16cid:durableId="714889006">
    <w:abstractNumId w:val="3"/>
  </w:num>
  <w:num w:numId="2" w16cid:durableId="1802335823">
    <w:abstractNumId w:val="0"/>
  </w:num>
  <w:num w:numId="3" w16cid:durableId="14625678">
    <w:abstractNumId w:val="2"/>
  </w:num>
  <w:num w:numId="4" w16cid:durableId="532770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75"/>
    <w:rsid w:val="00010CF3"/>
    <w:rsid w:val="00011896"/>
    <w:rsid w:val="00011A5C"/>
    <w:rsid w:val="00011E27"/>
    <w:rsid w:val="000148BC"/>
    <w:rsid w:val="000224B0"/>
    <w:rsid w:val="0002410A"/>
    <w:rsid w:val="00024AB8"/>
    <w:rsid w:val="00030854"/>
    <w:rsid w:val="00036028"/>
    <w:rsid w:val="0004198B"/>
    <w:rsid w:val="00044642"/>
    <w:rsid w:val="000446B9"/>
    <w:rsid w:val="00047E21"/>
    <w:rsid w:val="00050E16"/>
    <w:rsid w:val="00051938"/>
    <w:rsid w:val="00066CD6"/>
    <w:rsid w:val="00081F56"/>
    <w:rsid w:val="00085505"/>
    <w:rsid w:val="000B2834"/>
    <w:rsid w:val="000B36A7"/>
    <w:rsid w:val="000C4E25"/>
    <w:rsid w:val="000C7021"/>
    <w:rsid w:val="000D01E5"/>
    <w:rsid w:val="000D6BBC"/>
    <w:rsid w:val="000D7780"/>
    <w:rsid w:val="000E636A"/>
    <w:rsid w:val="000F2F11"/>
    <w:rsid w:val="000F31CF"/>
    <w:rsid w:val="00100A5F"/>
    <w:rsid w:val="00105929"/>
    <w:rsid w:val="00110BED"/>
    <w:rsid w:val="00110C36"/>
    <w:rsid w:val="001131D5"/>
    <w:rsid w:val="00114547"/>
    <w:rsid w:val="00134BEE"/>
    <w:rsid w:val="00141B71"/>
    <w:rsid w:val="00141DB8"/>
    <w:rsid w:val="001677BB"/>
    <w:rsid w:val="001677CB"/>
    <w:rsid w:val="00172084"/>
    <w:rsid w:val="00173C3C"/>
    <w:rsid w:val="0017474A"/>
    <w:rsid w:val="001758C6"/>
    <w:rsid w:val="00182B99"/>
    <w:rsid w:val="001C10DA"/>
    <w:rsid w:val="001C1525"/>
    <w:rsid w:val="001D0FC4"/>
    <w:rsid w:val="001F2D50"/>
    <w:rsid w:val="001F2E27"/>
    <w:rsid w:val="001F490C"/>
    <w:rsid w:val="0021332C"/>
    <w:rsid w:val="00213982"/>
    <w:rsid w:val="00237CDF"/>
    <w:rsid w:val="0024416D"/>
    <w:rsid w:val="00271911"/>
    <w:rsid w:val="00273187"/>
    <w:rsid w:val="002800A0"/>
    <w:rsid w:val="002801B3"/>
    <w:rsid w:val="00281060"/>
    <w:rsid w:val="00284050"/>
    <w:rsid w:val="00285BD0"/>
    <w:rsid w:val="002940E8"/>
    <w:rsid w:val="00294751"/>
    <w:rsid w:val="002A1C66"/>
    <w:rsid w:val="002A6E50"/>
    <w:rsid w:val="002B407C"/>
    <w:rsid w:val="002B4298"/>
    <w:rsid w:val="002B7A36"/>
    <w:rsid w:val="002C256A"/>
    <w:rsid w:val="002D0D20"/>
    <w:rsid w:val="002D5226"/>
    <w:rsid w:val="002E5395"/>
    <w:rsid w:val="00305A7F"/>
    <w:rsid w:val="003152FE"/>
    <w:rsid w:val="00327436"/>
    <w:rsid w:val="00330C8A"/>
    <w:rsid w:val="00343380"/>
    <w:rsid w:val="00343F9E"/>
    <w:rsid w:val="00344BD6"/>
    <w:rsid w:val="00347E4E"/>
    <w:rsid w:val="0035528D"/>
    <w:rsid w:val="00361821"/>
    <w:rsid w:val="00361E9E"/>
    <w:rsid w:val="003753EE"/>
    <w:rsid w:val="00397286"/>
    <w:rsid w:val="003A0835"/>
    <w:rsid w:val="003A5AAF"/>
    <w:rsid w:val="003A61AB"/>
    <w:rsid w:val="003B700A"/>
    <w:rsid w:val="003C7FBE"/>
    <w:rsid w:val="003D227C"/>
    <w:rsid w:val="003D2B4D"/>
    <w:rsid w:val="003D6E96"/>
    <w:rsid w:val="003F37F5"/>
    <w:rsid w:val="003F535F"/>
    <w:rsid w:val="003F6000"/>
    <w:rsid w:val="00400CE7"/>
    <w:rsid w:val="0040120A"/>
    <w:rsid w:val="00422159"/>
    <w:rsid w:val="00425A52"/>
    <w:rsid w:val="00444A88"/>
    <w:rsid w:val="00447248"/>
    <w:rsid w:val="00460D49"/>
    <w:rsid w:val="00474DA4"/>
    <w:rsid w:val="00476B4D"/>
    <w:rsid w:val="00477291"/>
    <w:rsid w:val="004805FA"/>
    <w:rsid w:val="00481379"/>
    <w:rsid w:val="004814B2"/>
    <w:rsid w:val="00482402"/>
    <w:rsid w:val="004834B5"/>
    <w:rsid w:val="004935D2"/>
    <w:rsid w:val="004943B6"/>
    <w:rsid w:val="004B1215"/>
    <w:rsid w:val="004C23BE"/>
    <w:rsid w:val="004D047D"/>
    <w:rsid w:val="004D658E"/>
    <w:rsid w:val="004F1E9E"/>
    <w:rsid w:val="004F305A"/>
    <w:rsid w:val="00505963"/>
    <w:rsid w:val="00507C29"/>
    <w:rsid w:val="00512164"/>
    <w:rsid w:val="00520297"/>
    <w:rsid w:val="005338F9"/>
    <w:rsid w:val="00533D15"/>
    <w:rsid w:val="0054281C"/>
    <w:rsid w:val="005429FD"/>
    <w:rsid w:val="00544581"/>
    <w:rsid w:val="0055268D"/>
    <w:rsid w:val="00552C9C"/>
    <w:rsid w:val="00555CCA"/>
    <w:rsid w:val="00575DE2"/>
    <w:rsid w:val="00576BE4"/>
    <w:rsid w:val="005779DB"/>
    <w:rsid w:val="0058450F"/>
    <w:rsid w:val="005871D9"/>
    <w:rsid w:val="005A2A67"/>
    <w:rsid w:val="005A400A"/>
    <w:rsid w:val="005A5C32"/>
    <w:rsid w:val="005B269D"/>
    <w:rsid w:val="005E7466"/>
    <w:rsid w:val="005F7B92"/>
    <w:rsid w:val="00612379"/>
    <w:rsid w:val="006153B6"/>
    <w:rsid w:val="0061555F"/>
    <w:rsid w:val="006245ED"/>
    <w:rsid w:val="006339FF"/>
    <w:rsid w:val="00636CA6"/>
    <w:rsid w:val="00641200"/>
    <w:rsid w:val="006420CB"/>
    <w:rsid w:val="00645CA8"/>
    <w:rsid w:val="0065412E"/>
    <w:rsid w:val="006655D3"/>
    <w:rsid w:val="00665BA2"/>
    <w:rsid w:val="00667404"/>
    <w:rsid w:val="00673EC1"/>
    <w:rsid w:val="00677FCE"/>
    <w:rsid w:val="00687EB4"/>
    <w:rsid w:val="00695C56"/>
    <w:rsid w:val="006A5CDE"/>
    <w:rsid w:val="006A644A"/>
    <w:rsid w:val="006B17D2"/>
    <w:rsid w:val="006C224E"/>
    <w:rsid w:val="006C5ADB"/>
    <w:rsid w:val="006D780A"/>
    <w:rsid w:val="00704ECF"/>
    <w:rsid w:val="0071271E"/>
    <w:rsid w:val="00732DEC"/>
    <w:rsid w:val="00735BD5"/>
    <w:rsid w:val="0074400E"/>
    <w:rsid w:val="007451EC"/>
    <w:rsid w:val="00751613"/>
    <w:rsid w:val="00753EE9"/>
    <w:rsid w:val="00754B73"/>
    <w:rsid w:val="007556F6"/>
    <w:rsid w:val="00760EEF"/>
    <w:rsid w:val="00777EE5"/>
    <w:rsid w:val="00784836"/>
    <w:rsid w:val="0079023E"/>
    <w:rsid w:val="00790272"/>
    <w:rsid w:val="00790385"/>
    <w:rsid w:val="007A2336"/>
    <w:rsid w:val="007A2854"/>
    <w:rsid w:val="007C1D92"/>
    <w:rsid w:val="007C4CB9"/>
    <w:rsid w:val="007D0B9D"/>
    <w:rsid w:val="007D19B0"/>
    <w:rsid w:val="007F498F"/>
    <w:rsid w:val="0080679D"/>
    <w:rsid w:val="008108B0"/>
    <w:rsid w:val="00811B20"/>
    <w:rsid w:val="00812609"/>
    <w:rsid w:val="00813DEC"/>
    <w:rsid w:val="008211B5"/>
    <w:rsid w:val="0082296E"/>
    <w:rsid w:val="00824099"/>
    <w:rsid w:val="008416E9"/>
    <w:rsid w:val="00846D7C"/>
    <w:rsid w:val="0086695C"/>
    <w:rsid w:val="008673DF"/>
    <w:rsid w:val="00867AC1"/>
    <w:rsid w:val="008751DE"/>
    <w:rsid w:val="00877239"/>
    <w:rsid w:val="008846AE"/>
    <w:rsid w:val="00890DF8"/>
    <w:rsid w:val="00896FEB"/>
    <w:rsid w:val="008A0ADE"/>
    <w:rsid w:val="008A743F"/>
    <w:rsid w:val="008C0970"/>
    <w:rsid w:val="008D0BC5"/>
    <w:rsid w:val="008D2CF7"/>
    <w:rsid w:val="008D4B93"/>
    <w:rsid w:val="008E6043"/>
    <w:rsid w:val="00900C26"/>
    <w:rsid w:val="0090197F"/>
    <w:rsid w:val="00903264"/>
    <w:rsid w:val="00906DDC"/>
    <w:rsid w:val="00934E09"/>
    <w:rsid w:val="00936253"/>
    <w:rsid w:val="00940D46"/>
    <w:rsid w:val="009413F1"/>
    <w:rsid w:val="009428B7"/>
    <w:rsid w:val="00951234"/>
    <w:rsid w:val="00952DD4"/>
    <w:rsid w:val="009561F4"/>
    <w:rsid w:val="00964833"/>
    <w:rsid w:val="00965AE7"/>
    <w:rsid w:val="00970FED"/>
    <w:rsid w:val="00972CF1"/>
    <w:rsid w:val="009740A7"/>
    <w:rsid w:val="00992D82"/>
    <w:rsid w:val="00997029"/>
    <w:rsid w:val="009A7339"/>
    <w:rsid w:val="009B440E"/>
    <w:rsid w:val="009B7A75"/>
    <w:rsid w:val="009D690D"/>
    <w:rsid w:val="009E4279"/>
    <w:rsid w:val="009E65B6"/>
    <w:rsid w:val="009F0A51"/>
    <w:rsid w:val="009F77CF"/>
    <w:rsid w:val="00A07393"/>
    <w:rsid w:val="00A13138"/>
    <w:rsid w:val="00A15CE1"/>
    <w:rsid w:val="00A17D4C"/>
    <w:rsid w:val="00A2258C"/>
    <w:rsid w:val="00A24C10"/>
    <w:rsid w:val="00A27ECF"/>
    <w:rsid w:val="00A3055F"/>
    <w:rsid w:val="00A42AC3"/>
    <w:rsid w:val="00A430CF"/>
    <w:rsid w:val="00A53108"/>
    <w:rsid w:val="00A54309"/>
    <w:rsid w:val="00A610A9"/>
    <w:rsid w:val="00A80F2A"/>
    <w:rsid w:val="00A85F2F"/>
    <w:rsid w:val="00A95963"/>
    <w:rsid w:val="00A96C33"/>
    <w:rsid w:val="00AB2B93"/>
    <w:rsid w:val="00AB530F"/>
    <w:rsid w:val="00AB7E5B"/>
    <w:rsid w:val="00AC11C1"/>
    <w:rsid w:val="00AC2883"/>
    <w:rsid w:val="00AC5597"/>
    <w:rsid w:val="00AE0EF1"/>
    <w:rsid w:val="00AE2937"/>
    <w:rsid w:val="00B07301"/>
    <w:rsid w:val="00B109E1"/>
    <w:rsid w:val="00B11F3E"/>
    <w:rsid w:val="00B224DE"/>
    <w:rsid w:val="00B230E0"/>
    <w:rsid w:val="00B324D4"/>
    <w:rsid w:val="00B46575"/>
    <w:rsid w:val="00B52118"/>
    <w:rsid w:val="00B61777"/>
    <w:rsid w:val="00B622E6"/>
    <w:rsid w:val="00B827A2"/>
    <w:rsid w:val="00B83E82"/>
    <w:rsid w:val="00B84BBD"/>
    <w:rsid w:val="00BA22F5"/>
    <w:rsid w:val="00BA43FB"/>
    <w:rsid w:val="00BC127D"/>
    <w:rsid w:val="00BC1FE6"/>
    <w:rsid w:val="00BC5048"/>
    <w:rsid w:val="00BD3162"/>
    <w:rsid w:val="00BE4404"/>
    <w:rsid w:val="00BF2987"/>
    <w:rsid w:val="00C061B6"/>
    <w:rsid w:val="00C20582"/>
    <w:rsid w:val="00C2446C"/>
    <w:rsid w:val="00C3194B"/>
    <w:rsid w:val="00C36AE5"/>
    <w:rsid w:val="00C37687"/>
    <w:rsid w:val="00C41F17"/>
    <w:rsid w:val="00C437A3"/>
    <w:rsid w:val="00C527FA"/>
    <w:rsid w:val="00C5280D"/>
    <w:rsid w:val="00C53EB3"/>
    <w:rsid w:val="00C5791C"/>
    <w:rsid w:val="00C66290"/>
    <w:rsid w:val="00C67C15"/>
    <w:rsid w:val="00C71281"/>
    <w:rsid w:val="00C72B7A"/>
    <w:rsid w:val="00C75130"/>
    <w:rsid w:val="00C973F2"/>
    <w:rsid w:val="00CA22A9"/>
    <w:rsid w:val="00CA304C"/>
    <w:rsid w:val="00CA774A"/>
    <w:rsid w:val="00CB22AB"/>
    <w:rsid w:val="00CB39BB"/>
    <w:rsid w:val="00CB4921"/>
    <w:rsid w:val="00CC11B0"/>
    <w:rsid w:val="00CC2841"/>
    <w:rsid w:val="00CC494F"/>
    <w:rsid w:val="00CE7DFF"/>
    <w:rsid w:val="00CF1330"/>
    <w:rsid w:val="00CF7BB9"/>
    <w:rsid w:val="00CF7E36"/>
    <w:rsid w:val="00D00FD4"/>
    <w:rsid w:val="00D0106A"/>
    <w:rsid w:val="00D3708D"/>
    <w:rsid w:val="00D40426"/>
    <w:rsid w:val="00D42C84"/>
    <w:rsid w:val="00D57C96"/>
    <w:rsid w:val="00D57D18"/>
    <w:rsid w:val="00D6789C"/>
    <w:rsid w:val="00D70E65"/>
    <w:rsid w:val="00D91203"/>
    <w:rsid w:val="00D93AE1"/>
    <w:rsid w:val="00D95174"/>
    <w:rsid w:val="00DA4973"/>
    <w:rsid w:val="00DA6F36"/>
    <w:rsid w:val="00DB596E"/>
    <w:rsid w:val="00DB7773"/>
    <w:rsid w:val="00DC00EA"/>
    <w:rsid w:val="00DC3802"/>
    <w:rsid w:val="00DD6208"/>
    <w:rsid w:val="00DE55A7"/>
    <w:rsid w:val="00DE5907"/>
    <w:rsid w:val="00DF7E99"/>
    <w:rsid w:val="00E07D87"/>
    <w:rsid w:val="00E249C8"/>
    <w:rsid w:val="00E2674F"/>
    <w:rsid w:val="00E26B39"/>
    <w:rsid w:val="00E32F7E"/>
    <w:rsid w:val="00E5267B"/>
    <w:rsid w:val="00E53166"/>
    <w:rsid w:val="00E559F0"/>
    <w:rsid w:val="00E63C0E"/>
    <w:rsid w:val="00E72D49"/>
    <w:rsid w:val="00E751DB"/>
    <w:rsid w:val="00E7593C"/>
    <w:rsid w:val="00E7678A"/>
    <w:rsid w:val="00E935F1"/>
    <w:rsid w:val="00E94A81"/>
    <w:rsid w:val="00EA1FFB"/>
    <w:rsid w:val="00EB048E"/>
    <w:rsid w:val="00EB4E9C"/>
    <w:rsid w:val="00ED5AD6"/>
    <w:rsid w:val="00EE34DF"/>
    <w:rsid w:val="00EF2F89"/>
    <w:rsid w:val="00F03E98"/>
    <w:rsid w:val="00F1237A"/>
    <w:rsid w:val="00F158D9"/>
    <w:rsid w:val="00F22CBD"/>
    <w:rsid w:val="00F23157"/>
    <w:rsid w:val="00F272F1"/>
    <w:rsid w:val="00F31412"/>
    <w:rsid w:val="00F45372"/>
    <w:rsid w:val="00F560F7"/>
    <w:rsid w:val="00F6334D"/>
    <w:rsid w:val="00F63599"/>
    <w:rsid w:val="00F65B22"/>
    <w:rsid w:val="00F67495"/>
    <w:rsid w:val="00F71781"/>
    <w:rsid w:val="00F80188"/>
    <w:rsid w:val="00F8579F"/>
    <w:rsid w:val="00F86CC6"/>
    <w:rsid w:val="00FA49AB"/>
    <w:rsid w:val="00FB408C"/>
    <w:rsid w:val="00FC5FD0"/>
    <w:rsid w:val="00FD1504"/>
    <w:rsid w:val="00FD61B4"/>
    <w:rsid w:val="00FE39C7"/>
    <w:rsid w:val="00FE7C90"/>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DF429"/>
  <w15:docId w15:val="{866BAB6F-5EDD-4323-A805-6220A7F0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Revision">
    <w:name w:val="Revision"/>
    <w:hidden/>
    <w:uiPriority w:val="99"/>
    <w:semiHidden/>
    <w:rsid w:val="00A15CE1"/>
    <w:rPr>
      <w:rFonts w:ascii="Arial" w:hAnsi="Arial"/>
    </w:rPr>
  </w:style>
  <w:style w:type="character" w:styleId="CommentReference">
    <w:name w:val="annotation reference"/>
    <w:basedOn w:val="DefaultParagraphFont"/>
    <w:semiHidden/>
    <w:unhideWhenUsed/>
    <w:rsid w:val="00A15CE1"/>
    <w:rPr>
      <w:sz w:val="16"/>
      <w:szCs w:val="16"/>
    </w:rPr>
  </w:style>
  <w:style w:type="paragraph" w:styleId="CommentText">
    <w:name w:val="annotation text"/>
    <w:basedOn w:val="Normal"/>
    <w:link w:val="CommentTextChar"/>
    <w:unhideWhenUsed/>
    <w:rsid w:val="00A15CE1"/>
  </w:style>
  <w:style w:type="character" w:customStyle="1" w:styleId="CommentTextChar">
    <w:name w:val="Comment Text Char"/>
    <w:basedOn w:val="DefaultParagraphFont"/>
    <w:link w:val="CommentText"/>
    <w:rsid w:val="00A15CE1"/>
    <w:rPr>
      <w:rFonts w:ascii="Arial" w:hAnsi="Arial"/>
    </w:rPr>
  </w:style>
  <w:style w:type="paragraph" w:styleId="CommentSubject">
    <w:name w:val="annotation subject"/>
    <w:basedOn w:val="CommentText"/>
    <w:next w:val="CommentText"/>
    <w:link w:val="CommentSubjectChar"/>
    <w:semiHidden/>
    <w:unhideWhenUsed/>
    <w:rsid w:val="00A15CE1"/>
    <w:rPr>
      <w:b/>
      <w:bCs/>
    </w:rPr>
  </w:style>
  <w:style w:type="character" w:customStyle="1" w:styleId="CommentSubjectChar">
    <w:name w:val="Comment Subject Char"/>
    <w:basedOn w:val="CommentTextChar"/>
    <w:link w:val="CommentSubject"/>
    <w:semiHidden/>
    <w:rsid w:val="00A15CE1"/>
    <w:rPr>
      <w:rFonts w:ascii="Arial" w:hAnsi="Arial"/>
      <w:b/>
      <w:bCs/>
    </w:rPr>
  </w:style>
  <w:style w:type="paragraph" w:customStyle="1" w:styleId="pf0">
    <w:name w:val="pf0"/>
    <w:basedOn w:val="Normal"/>
    <w:rsid w:val="005429FD"/>
    <w:pPr>
      <w:spacing w:before="100" w:beforeAutospacing="1" w:after="100" w:afterAutospacing="1"/>
      <w:jc w:val="left"/>
    </w:pPr>
    <w:rPr>
      <w:rFonts w:ascii="Times New Roman" w:hAnsi="Times New Roman"/>
      <w:sz w:val="24"/>
      <w:szCs w:val="24"/>
      <w:lang w:val="nl-NL" w:eastAsia="nl-NL"/>
    </w:rPr>
  </w:style>
  <w:style w:type="character" w:customStyle="1" w:styleId="cf01">
    <w:name w:val="cf01"/>
    <w:basedOn w:val="DefaultParagraphFont"/>
    <w:rsid w:val="005429FD"/>
    <w:rPr>
      <w:rFonts w:ascii="Segoe UI" w:hAnsi="Segoe UI" w:cs="Segoe UI" w:hint="default"/>
      <w:sz w:val="18"/>
      <w:szCs w:val="18"/>
    </w:rPr>
  </w:style>
  <w:style w:type="character" w:customStyle="1" w:styleId="cf11">
    <w:name w:val="cf11"/>
    <w:basedOn w:val="DefaultParagraphFont"/>
    <w:rsid w:val="005429FD"/>
    <w:rPr>
      <w:rFonts w:ascii="Segoe UI" w:hAnsi="Segoe UI" w:cs="Segoe UI" w:hint="default"/>
      <w:color w:val="33333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4105">
      <w:bodyDiv w:val="1"/>
      <w:marLeft w:val="0"/>
      <w:marRight w:val="0"/>
      <w:marTop w:val="0"/>
      <w:marBottom w:val="0"/>
      <w:divBdr>
        <w:top w:val="none" w:sz="0" w:space="0" w:color="auto"/>
        <w:left w:val="none" w:sz="0" w:space="0" w:color="auto"/>
        <w:bottom w:val="none" w:sz="0" w:space="0" w:color="auto"/>
        <w:right w:val="none" w:sz="0" w:space="0" w:color="auto"/>
      </w:divBdr>
    </w:div>
    <w:div w:id="284775505">
      <w:bodyDiv w:val="1"/>
      <w:marLeft w:val="0"/>
      <w:marRight w:val="0"/>
      <w:marTop w:val="0"/>
      <w:marBottom w:val="0"/>
      <w:divBdr>
        <w:top w:val="none" w:sz="0" w:space="0" w:color="auto"/>
        <w:left w:val="none" w:sz="0" w:space="0" w:color="auto"/>
        <w:bottom w:val="none" w:sz="0" w:space="0" w:color="auto"/>
        <w:right w:val="none" w:sz="0" w:space="0" w:color="auto"/>
      </w:divBdr>
    </w:div>
    <w:div w:id="853150212">
      <w:bodyDiv w:val="1"/>
      <w:marLeft w:val="0"/>
      <w:marRight w:val="0"/>
      <w:marTop w:val="0"/>
      <w:marBottom w:val="0"/>
      <w:divBdr>
        <w:top w:val="none" w:sz="0" w:space="0" w:color="auto"/>
        <w:left w:val="none" w:sz="0" w:space="0" w:color="auto"/>
        <w:bottom w:val="none" w:sz="0" w:space="0" w:color="auto"/>
        <w:right w:val="none" w:sz="0" w:space="0" w:color="auto"/>
      </w:divBdr>
    </w:div>
    <w:div w:id="1210142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3030/817970" TargetMode="External"/><Relationship Id="rId4" Type="http://schemas.openxmlformats.org/officeDocument/2006/relationships/settings" Target="settings.xml"/><Relationship Id="rId9" Type="http://schemas.openxmlformats.org/officeDocument/2006/relationships/hyperlink" Target="https://doi.org/10.3030/817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07A68-690D-49C4-9F97-D94D3BF1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2747</Words>
  <Characters>18048</Characters>
  <Application>Microsoft Office Word</Application>
  <DocSecurity>0</DocSecurity>
  <Lines>150</Lines>
  <Paragraphs>41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TWP/9/4</vt:lpstr>
      <vt:lpstr>TWP/9/4</vt:lpstr>
      <vt:lpstr>TWP/9/4</vt:lpstr>
    </vt:vector>
  </TitlesOfParts>
  <Company>UPOV</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TWP/9/4</dc:title>
  <dc:subject>Characteristic-specific molecular marker protocol</dc:subject>
  <dc:creator>SANCHEZ VIZCAINO GOMEZ Rosa Maria</dc:creator>
  <cp:lastModifiedBy>MAY Jessica</cp:lastModifiedBy>
  <cp:revision>5</cp:revision>
  <cp:lastPrinted>2016-11-22T15:41:00Z</cp:lastPrinted>
  <dcterms:created xsi:type="dcterms:W3CDTF">2025-02-13T18:04:00Z</dcterms:created>
  <dcterms:modified xsi:type="dcterms:W3CDTF">2025-02-27T10:08:00Z</dcterms:modified>
</cp:coreProperties>
</file>