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663"/>
        <w:gridCol w:w="2976"/>
      </w:tblGrid>
      <w:tr w:rsidR="00DC3802" w:rsidRPr="001D3FDF" w14:paraId="0C8087B9" w14:textId="77777777" w:rsidTr="00141B71">
        <w:tc>
          <w:tcPr>
            <w:tcW w:w="6663" w:type="dxa"/>
          </w:tcPr>
          <w:p w14:paraId="7407953B" w14:textId="77777777" w:rsidR="00DC3802" w:rsidRPr="001D3FDF" w:rsidRDefault="00DC3802" w:rsidP="00AC2883">
            <w:r w:rsidRPr="001D3FDF">
              <w:rPr>
                <w:noProof/>
              </w:rPr>
              <w:drawing>
                <wp:inline distT="0" distB="0" distL="0" distR="0" wp14:anchorId="0DAC0D57" wp14:editId="1C8875D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2976" w:type="dxa"/>
          </w:tcPr>
          <w:p w14:paraId="61F4EEF8" w14:textId="77777777" w:rsidR="00DC3802" w:rsidRPr="001D3FDF" w:rsidRDefault="00DC3802" w:rsidP="00AC2883">
            <w:pPr>
              <w:pStyle w:val="Lettrine"/>
            </w:pPr>
            <w:r w:rsidRPr="001D3FDF">
              <w:t>E</w:t>
            </w:r>
          </w:p>
        </w:tc>
      </w:tr>
      <w:tr w:rsidR="00DC3802" w:rsidRPr="001D3FDF" w14:paraId="06C8FA95" w14:textId="77777777" w:rsidTr="00141B71">
        <w:trPr>
          <w:trHeight w:val="219"/>
        </w:trPr>
        <w:tc>
          <w:tcPr>
            <w:tcW w:w="6663" w:type="dxa"/>
          </w:tcPr>
          <w:p w14:paraId="39E37FB3" w14:textId="77777777" w:rsidR="00DC3802" w:rsidRPr="001D3FDF" w:rsidRDefault="00DC3802" w:rsidP="00AC2883">
            <w:pPr>
              <w:pStyle w:val="upove"/>
            </w:pPr>
            <w:r w:rsidRPr="001D3FDF">
              <w:t>International Union for the Protection of New Varieties of Plants</w:t>
            </w:r>
          </w:p>
        </w:tc>
        <w:tc>
          <w:tcPr>
            <w:tcW w:w="2976" w:type="dxa"/>
          </w:tcPr>
          <w:p w14:paraId="67A6D868" w14:textId="77777777" w:rsidR="00DC3802" w:rsidRPr="001D3FDF" w:rsidRDefault="00DC3802" w:rsidP="00DA4973"/>
        </w:tc>
      </w:tr>
    </w:tbl>
    <w:p w14:paraId="6741CFB6" w14:textId="77777777" w:rsidR="00DC3802" w:rsidRPr="001D3FDF" w:rsidRDefault="00DC3802" w:rsidP="00DC3802"/>
    <w:p w14:paraId="62CA720D" w14:textId="77777777" w:rsidR="00C437A3" w:rsidRPr="001D3FDF"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663"/>
        <w:gridCol w:w="2976"/>
      </w:tblGrid>
      <w:tr w:rsidR="00C437A3" w:rsidRPr="001D3FDF" w14:paraId="12F09E85" w14:textId="77777777" w:rsidTr="00141B71">
        <w:tc>
          <w:tcPr>
            <w:tcW w:w="6663" w:type="dxa"/>
          </w:tcPr>
          <w:p w14:paraId="0B863D02" w14:textId="77777777" w:rsidR="000224B0" w:rsidRPr="001D3FDF" w:rsidRDefault="000224B0" w:rsidP="000224B0">
            <w:pPr>
              <w:pStyle w:val="Sessiontwp"/>
            </w:pPr>
            <w:r w:rsidRPr="001D3FDF">
              <w:t>Technical Working Party for Ornamental Plants and Forest Trees</w:t>
            </w:r>
          </w:p>
          <w:p w14:paraId="37DF38DD" w14:textId="77777777" w:rsidR="000224B0" w:rsidRPr="001D3FDF" w:rsidRDefault="000224B0" w:rsidP="000224B0">
            <w:pPr>
              <w:pStyle w:val="Sessiontwpplacedate"/>
              <w:rPr>
                <w:spacing w:val="-2"/>
              </w:rPr>
            </w:pPr>
            <w:r w:rsidRPr="001D3FDF">
              <w:rPr>
                <w:spacing w:val="-2"/>
              </w:rPr>
              <w:t>Fifty-Seventh Session</w:t>
            </w:r>
          </w:p>
          <w:p w14:paraId="09954689" w14:textId="77777777" w:rsidR="000224B0" w:rsidRPr="001D3FDF" w:rsidRDefault="000224B0" w:rsidP="000224B0">
            <w:pPr>
              <w:rPr>
                <w:spacing w:val="-2"/>
              </w:rPr>
            </w:pPr>
            <w:proofErr w:type="spellStart"/>
            <w:r w:rsidRPr="001D3FDF">
              <w:rPr>
                <w:spacing w:val="-2"/>
              </w:rPr>
              <w:t>Roelofarendsveen</w:t>
            </w:r>
            <w:proofErr w:type="spellEnd"/>
            <w:r w:rsidRPr="001D3FDF">
              <w:rPr>
                <w:spacing w:val="-2"/>
              </w:rPr>
              <w:t>, Kingdom of the Netherlands, March 31 to April 3, 2025</w:t>
            </w:r>
          </w:p>
          <w:p w14:paraId="3EBFBDDA" w14:textId="77777777" w:rsidR="000224B0" w:rsidRPr="001D3FDF" w:rsidRDefault="000224B0" w:rsidP="000224B0"/>
          <w:p w14:paraId="5CE323FE" w14:textId="77777777" w:rsidR="000B2834" w:rsidRPr="001D3FDF" w:rsidRDefault="000B2834" w:rsidP="000B2834">
            <w:pPr>
              <w:pStyle w:val="Sessiontwp"/>
            </w:pPr>
            <w:r w:rsidRPr="001D3FDF">
              <w:t>Technical Working Party on Testing Methods and Techniques</w:t>
            </w:r>
          </w:p>
          <w:p w14:paraId="10E8B246" w14:textId="77777777" w:rsidR="000B2834" w:rsidRPr="001D3FDF" w:rsidRDefault="00BC5048" w:rsidP="000B2834">
            <w:pPr>
              <w:pStyle w:val="Sessiontwpplacedate"/>
            </w:pPr>
            <w:r w:rsidRPr="001D3FDF">
              <w:t>Third</w:t>
            </w:r>
            <w:r w:rsidR="000B2834" w:rsidRPr="001D3FDF">
              <w:t xml:space="preserve"> Session</w:t>
            </w:r>
          </w:p>
          <w:p w14:paraId="4A0BE997" w14:textId="77777777" w:rsidR="000B2834" w:rsidRPr="001D3FDF" w:rsidRDefault="00BC5048" w:rsidP="000B2834">
            <w:pPr>
              <w:pStyle w:val="Sessiontwpplacedate"/>
            </w:pPr>
            <w:r w:rsidRPr="001D3FDF">
              <w:t>Beijing, China</w:t>
            </w:r>
            <w:r w:rsidR="000B2834" w:rsidRPr="001D3FDF">
              <w:t xml:space="preserve">, </w:t>
            </w:r>
            <w:r w:rsidRPr="001D3FDF">
              <w:rPr>
                <w:rFonts w:cs="Arial"/>
              </w:rPr>
              <w:t>April 28 to May 1, 2025</w:t>
            </w:r>
          </w:p>
          <w:p w14:paraId="460D2E9B" w14:textId="77777777" w:rsidR="000B2834" w:rsidRPr="001D3FDF" w:rsidRDefault="000B2834" w:rsidP="000B2834">
            <w:pPr>
              <w:pStyle w:val="Sessiontwp"/>
            </w:pPr>
          </w:p>
          <w:p w14:paraId="02C1C79B" w14:textId="77777777" w:rsidR="000B2834" w:rsidRPr="001D3FDF" w:rsidRDefault="000B2834" w:rsidP="000B2834">
            <w:pPr>
              <w:pStyle w:val="Sessiontwp"/>
            </w:pPr>
            <w:r w:rsidRPr="001D3FDF">
              <w:t>Technical Working Party for Vegetables</w:t>
            </w:r>
          </w:p>
          <w:p w14:paraId="5F1329DF" w14:textId="77777777" w:rsidR="000B2834" w:rsidRPr="001D3FDF" w:rsidRDefault="000B2834" w:rsidP="000B2834">
            <w:pPr>
              <w:pStyle w:val="Sessiontwpplacedate"/>
            </w:pPr>
            <w:r w:rsidRPr="001D3FDF">
              <w:t>Fifty-</w:t>
            </w:r>
            <w:r w:rsidR="00BC5048" w:rsidRPr="001D3FDF">
              <w:t>Ninth</w:t>
            </w:r>
            <w:r w:rsidRPr="001D3FDF">
              <w:t xml:space="preserve"> Session</w:t>
            </w:r>
          </w:p>
          <w:p w14:paraId="7D3A426D" w14:textId="77777777" w:rsidR="000B2834" w:rsidRPr="001D3FDF" w:rsidRDefault="000B2834" w:rsidP="000B2834">
            <w:pPr>
              <w:pStyle w:val="Sessiontwpplacedate"/>
            </w:pPr>
            <w:r w:rsidRPr="001D3FDF">
              <w:t xml:space="preserve">Virtual meeting, </w:t>
            </w:r>
            <w:r w:rsidR="00BC5048" w:rsidRPr="001D3FDF">
              <w:t xml:space="preserve">May 5 </w:t>
            </w:r>
            <w:r w:rsidRPr="001D3FDF">
              <w:t xml:space="preserve">to </w:t>
            </w:r>
            <w:r w:rsidR="00BC5048" w:rsidRPr="001D3FDF">
              <w:t>8</w:t>
            </w:r>
            <w:r w:rsidRPr="001D3FDF">
              <w:t>, 202</w:t>
            </w:r>
            <w:r w:rsidR="00BC5048" w:rsidRPr="001D3FDF">
              <w:t>5</w:t>
            </w:r>
          </w:p>
          <w:p w14:paraId="3F134E74" w14:textId="77777777" w:rsidR="000B2834" w:rsidRPr="001D3FDF" w:rsidRDefault="000B2834" w:rsidP="000B2834"/>
          <w:p w14:paraId="62B57F8C" w14:textId="77777777" w:rsidR="000B2834" w:rsidRPr="001D3FDF" w:rsidRDefault="000B2834" w:rsidP="000B2834">
            <w:pPr>
              <w:pStyle w:val="Sessiontwp"/>
            </w:pPr>
            <w:r w:rsidRPr="001D3FDF">
              <w:t>Technical Working Party for Agricultural Crops</w:t>
            </w:r>
          </w:p>
          <w:p w14:paraId="67EAFBAB" w14:textId="77777777" w:rsidR="000B2834" w:rsidRPr="001D3FDF" w:rsidRDefault="000B2834" w:rsidP="000B2834">
            <w:pPr>
              <w:pStyle w:val="Sessiontwpplacedate"/>
            </w:pPr>
            <w:r w:rsidRPr="001D3FDF">
              <w:t>Fifty-</w:t>
            </w:r>
            <w:r w:rsidR="00C71281" w:rsidRPr="001D3FDF">
              <w:t>Fourth</w:t>
            </w:r>
            <w:r w:rsidRPr="001D3FDF">
              <w:t xml:space="preserve"> Session</w:t>
            </w:r>
          </w:p>
          <w:p w14:paraId="3CC5B8D8" w14:textId="77777777" w:rsidR="000B2834" w:rsidRPr="001D3FDF" w:rsidRDefault="00C71281" w:rsidP="000B2834">
            <w:pPr>
              <w:pStyle w:val="Sessiontwpplacedate"/>
            </w:pPr>
            <w:r w:rsidRPr="001D3FDF">
              <w:t>Arusha, United Republic of Tanzania</w:t>
            </w:r>
            <w:r w:rsidR="000B2834" w:rsidRPr="001D3FDF">
              <w:t xml:space="preserve">, May </w:t>
            </w:r>
            <w:r w:rsidRPr="001D3FDF">
              <w:t>19</w:t>
            </w:r>
            <w:r w:rsidR="000B2834" w:rsidRPr="001D3FDF">
              <w:t xml:space="preserve"> to </w:t>
            </w:r>
            <w:r w:rsidRPr="001D3FDF">
              <w:t>22</w:t>
            </w:r>
            <w:r w:rsidR="000B2834" w:rsidRPr="001D3FDF">
              <w:t>, 202</w:t>
            </w:r>
            <w:r w:rsidRPr="001D3FDF">
              <w:t>5</w:t>
            </w:r>
          </w:p>
          <w:p w14:paraId="08511BA0" w14:textId="77777777" w:rsidR="000B2834" w:rsidRPr="001D3FDF" w:rsidRDefault="000B2834" w:rsidP="000B2834"/>
          <w:p w14:paraId="2A9D84D8" w14:textId="77777777" w:rsidR="000B2834" w:rsidRPr="001D3FDF" w:rsidRDefault="000B2834" w:rsidP="000B2834">
            <w:pPr>
              <w:pStyle w:val="Sessiontwp"/>
            </w:pPr>
            <w:r w:rsidRPr="001D3FDF">
              <w:t>Technical Working Party for Fruit Crops</w:t>
            </w:r>
          </w:p>
          <w:p w14:paraId="77FE2363" w14:textId="77777777" w:rsidR="000B2834" w:rsidRPr="001D3FDF" w:rsidRDefault="000B2834" w:rsidP="000B2834">
            <w:pPr>
              <w:pStyle w:val="Sessiontwpplacedate"/>
            </w:pPr>
            <w:r w:rsidRPr="001D3FDF">
              <w:t>Fifty-</w:t>
            </w:r>
            <w:r w:rsidR="00C71281" w:rsidRPr="001D3FDF">
              <w:t>Six</w:t>
            </w:r>
            <w:r w:rsidRPr="001D3FDF">
              <w:t>th Session</w:t>
            </w:r>
          </w:p>
          <w:p w14:paraId="6BA093C2" w14:textId="77777777" w:rsidR="00C437A3" w:rsidRPr="001D3FDF" w:rsidRDefault="00E53166" w:rsidP="000B2834">
            <w:r w:rsidRPr="001D3FDF">
              <w:t>Bursa</w:t>
            </w:r>
            <w:r w:rsidR="00C71281" w:rsidRPr="001D3FDF">
              <w:t>, Türkiye</w:t>
            </w:r>
            <w:r w:rsidR="000B2834" w:rsidRPr="001D3FDF">
              <w:t xml:space="preserve">, June </w:t>
            </w:r>
            <w:r w:rsidR="00C71281" w:rsidRPr="001D3FDF">
              <w:t>2</w:t>
            </w:r>
            <w:r w:rsidR="000B2834" w:rsidRPr="001D3FDF">
              <w:t xml:space="preserve">3 to </w:t>
            </w:r>
            <w:r w:rsidR="00C71281" w:rsidRPr="001D3FDF">
              <w:t>2</w:t>
            </w:r>
            <w:r w:rsidR="000B2834" w:rsidRPr="001D3FDF">
              <w:t>6, 202</w:t>
            </w:r>
            <w:r w:rsidR="00C71281" w:rsidRPr="001D3FDF">
              <w:t>5</w:t>
            </w:r>
          </w:p>
        </w:tc>
        <w:tc>
          <w:tcPr>
            <w:tcW w:w="2976" w:type="dxa"/>
          </w:tcPr>
          <w:p w14:paraId="0A5170FE" w14:textId="23CAFE8F" w:rsidR="00C437A3" w:rsidRPr="001D3FDF" w:rsidRDefault="00E2576A" w:rsidP="004226CC">
            <w:pPr>
              <w:pStyle w:val="Doccode"/>
            </w:pPr>
            <w:r w:rsidRPr="001D3FDF">
              <w:t>TWP/9/1</w:t>
            </w:r>
          </w:p>
          <w:p w14:paraId="716868F5" w14:textId="77777777" w:rsidR="00C437A3" w:rsidRPr="001D3FDF" w:rsidRDefault="00C437A3" w:rsidP="004226CC">
            <w:pPr>
              <w:pStyle w:val="Docoriginal"/>
            </w:pPr>
            <w:r w:rsidRPr="001D3FDF">
              <w:t>Original:</w:t>
            </w:r>
            <w:r w:rsidRPr="001D3FDF">
              <w:rPr>
                <w:b w:val="0"/>
                <w:spacing w:val="0"/>
              </w:rPr>
              <w:t xml:space="preserve">  English</w:t>
            </w:r>
          </w:p>
          <w:p w14:paraId="4D8F710B" w14:textId="4C1C2CF2" w:rsidR="00C437A3" w:rsidRPr="001D3FDF" w:rsidRDefault="00C437A3" w:rsidP="00A85F2F">
            <w:pPr>
              <w:pStyle w:val="Docoriginal"/>
            </w:pPr>
            <w:r w:rsidRPr="001D3FDF">
              <w:t>Date:</w:t>
            </w:r>
            <w:r w:rsidRPr="001D3FDF">
              <w:rPr>
                <w:b w:val="0"/>
                <w:spacing w:val="0"/>
              </w:rPr>
              <w:t xml:space="preserve">  </w:t>
            </w:r>
            <w:r w:rsidR="001512DD" w:rsidRPr="00501A2D">
              <w:rPr>
                <w:b w:val="0"/>
                <w:spacing w:val="0"/>
              </w:rPr>
              <w:t xml:space="preserve">March </w:t>
            </w:r>
            <w:r w:rsidR="00501A2D" w:rsidRPr="00501A2D">
              <w:rPr>
                <w:b w:val="0"/>
                <w:spacing w:val="0"/>
              </w:rPr>
              <w:t>11</w:t>
            </w:r>
            <w:r w:rsidR="00854382" w:rsidRPr="00501A2D">
              <w:rPr>
                <w:b w:val="0"/>
                <w:spacing w:val="0"/>
              </w:rPr>
              <w:t>, 2025</w:t>
            </w:r>
          </w:p>
        </w:tc>
      </w:tr>
    </w:tbl>
    <w:p w14:paraId="33FE20E5" w14:textId="3E03AE9F" w:rsidR="00C437A3" w:rsidRPr="001D3FDF" w:rsidRDefault="00B71862" w:rsidP="00C437A3">
      <w:pPr>
        <w:pStyle w:val="Titleofdoc0"/>
      </w:pPr>
      <w:r>
        <w:t>procedures for dus examination</w:t>
      </w:r>
    </w:p>
    <w:p w14:paraId="3740BD18" w14:textId="77777777" w:rsidR="00C437A3" w:rsidRPr="001D3FDF" w:rsidRDefault="00C437A3" w:rsidP="00C437A3">
      <w:pPr>
        <w:pStyle w:val="preparedby1"/>
      </w:pPr>
      <w:bookmarkStart w:id="0" w:name="Prepared"/>
      <w:bookmarkEnd w:id="0"/>
      <w:r w:rsidRPr="001D3FDF">
        <w:t>Document prepared by the Office of the Union</w:t>
      </w:r>
    </w:p>
    <w:p w14:paraId="49A31BA2" w14:textId="77777777" w:rsidR="00C437A3" w:rsidRPr="001D3FDF" w:rsidRDefault="00C437A3" w:rsidP="00C437A3">
      <w:pPr>
        <w:pStyle w:val="Disclaimer"/>
      </w:pPr>
      <w:r w:rsidRPr="001D3FDF">
        <w:t>Disclaimer:  this document does not represent UPOV policies or guidance</w:t>
      </w:r>
    </w:p>
    <w:p w14:paraId="751D60AC" w14:textId="77777777" w:rsidR="004839D7" w:rsidRPr="001D3FDF" w:rsidRDefault="004839D7" w:rsidP="004839D7">
      <w:pPr>
        <w:pStyle w:val="Heading1"/>
        <w:rPr>
          <w:snapToGrid w:val="0"/>
        </w:rPr>
      </w:pPr>
      <w:bookmarkStart w:id="1" w:name="_Toc131182452"/>
      <w:bookmarkStart w:id="2" w:name="_Toc191917550"/>
      <w:r w:rsidRPr="001D3FDF">
        <w:rPr>
          <w:snapToGrid w:val="0"/>
        </w:rPr>
        <w:t>EXECUTIVE SUMMARY</w:t>
      </w:r>
      <w:bookmarkEnd w:id="1"/>
      <w:bookmarkEnd w:id="2"/>
    </w:p>
    <w:p w14:paraId="0312924F" w14:textId="77777777" w:rsidR="004839D7" w:rsidRPr="001D3FDF" w:rsidRDefault="004839D7" w:rsidP="004839D7"/>
    <w:p w14:paraId="1990EA09" w14:textId="020E678B" w:rsidR="00036B5C" w:rsidRPr="003E3B3F" w:rsidRDefault="004839D7" w:rsidP="00036B5C">
      <w:r w:rsidRPr="003E3B3F">
        <w:fldChar w:fldCharType="begin"/>
      </w:r>
      <w:r w:rsidRPr="003E3B3F">
        <w:instrText xml:space="preserve"> AUTONUM  </w:instrText>
      </w:r>
      <w:r w:rsidRPr="003E3B3F">
        <w:fldChar w:fldCharType="end"/>
      </w:r>
      <w:r w:rsidRPr="003E3B3F">
        <w:tab/>
        <w:t>The purpose of this document is</w:t>
      </w:r>
      <w:r w:rsidRPr="003E3B3F">
        <w:rPr>
          <w:snapToGrid w:val="0"/>
        </w:rPr>
        <w:t xml:space="preserve"> </w:t>
      </w:r>
      <w:r w:rsidRPr="003E3B3F">
        <w:t xml:space="preserve">to </w:t>
      </w:r>
      <w:r w:rsidR="00036B5C" w:rsidRPr="003E3B3F">
        <w:t xml:space="preserve">provide an overview of the development of guidance and information materials and </w:t>
      </w:r>
      <w:r w:rsidR="00526541">
        <w:t xml:space="preserve">to </w:t>
      </w:r>
      <w:r w:rsidR="00036B5C" w:rsidRPr="003E3B3F">
        <w:t xml:space="preserve">report on developments in UPOV </w:t>
      </w:r>
      <w:r w:rsidR="001E06EE">
        <w:t xml:space="preserve">relevant for DUS examination </w:t>
      </w:r>
      <w:r w:rsidR="00036B5C" w:rsidRPr="003E3B3F">
        <w:t xml:space="preserve">since the 2024 sessions of the Technical Working Parties. </w:t>
      </w:r>
    </w:p>
    <w:p w14:paraId="6F2C4E16" w14:textId="77777777" w:rsidR="00D41377" w:rsidRPr="008503FB" w:rsidRDefault="00D41377" w:rsidP="004839D7"/>
    <w:p w14:paraId="0B02F245" w14:textId="2A86B2DB" w:rsidR="00526541" w:rsidRPr="008503FB" w:rsidRDefault="00526541" w:rsidP="004839D7">
      <w:pPr>
        <w:rPr>
          <w:u w:val="single"/>
        </w:rPr>
      </w:pPr>
      <w:r w:rsidRPr="008503FB">
        <w:rPr>
          <w:u w:val="single"/>
        </w:rPr>
        <w:t xml:space="preserve">Matters for consideration by the Technical Working Parties: </w:t>
      </w:r>
    </w:p>
    <w:p w14:paraId="3E91832F" w14:textId="77777777" w:rsidR="00526541" w:rsidRPr="008503FB" w:rsidRDefault="00526541" w:rsidP="004839D7"/>
    <w:p w14:paraId="5845653F" w14:textId="77777777" w:rsidR="001E06EE" w:rsidRPr="008503FB" w:rsidRDefault="001E06EE" w:rsidP="004839D7">
      <w:r w:rsidRPr="008503FB">
        <w:fldChar w:fldCharType="begin"/>
      </w:r>
      <w:r w:rsidRPr="008503FB">
        <w:instrText xml:space="preserve"> AUTONUM  </w:instrText>
      </w:r>
      <w:r w:rsidRPr="008503FB">
        <w:fldChar w:fldCharType="end"/>
      </w:r>
      <w:r w:rsidRPr="008503FB">
        <w:tab/>
        <w:t>The TWPs are invited to consider proposals to revise or develop guidance on the following matters:</w:t>
      </w:r>
    </w:p>
    <w:p w14:paraId="257349F2" w14:textId="77777777" w:rsidR="001E06EE" w:rsidRPr="008503FB" w:rsidRDefault="001E06EE" w:rsidP="004839D7"/>
    <w:p w14:paraId="19B4D660" w14:textId="52955E25" w:rsidR="00F35A68" w:rsidRPr="008503FB" w:rsidRDefault="005F4E59" w:rsidP="00A7671A">
      <w:pPr>
        <w:pStyle w:val="ListParagraph"/>
        <w:numPr>
          <w:ilvl w:val="0"/>
          <w:numId w:val="10"/>
        </w:numPr>
      </w:pPr>
      <w:r w:rsidRPr="008503FB">
        <w:t xml:space="preserve">Revision of the </w:t>
      </w:r>
      <w:r w:rsidR="00F35A68" w:rsidRPr="008503FB">
        <w:t>UPOV Report on Technical Examination and UPOV Variety Description</w:t>
      </w:r>
      <w:r w:rsidR="001E06EE" w:rsidRPr="008503FB">
        <w:t xml:space="preserve"> (</w:t>
      </w:r>
      <w:r w:rsidR="00C37C67" w:rsidRPr="008503FB">
        <w:t>revision of document TGP/5 “Experience and Cooperation in DUS Testing”, Section 6 “UPOV Report on Technical Examination and UPOV Variety Description”</w:t>
      </w:r>
      <w:r w:rsidR="00CE4CC4" w:rsidRPr="008503FB">
        <w:t xml:space="preserve"> (</w:t>
      </w:r>
      <w:hyperlink r:id="rId9" w:history="1">
        <w:r w:rsidR="00C37C67" w:rsidRPr="008503FB">
          <w:rPr>
            <w:rStyle w:val="Hyperlink"/>
          </w:rPr>
          <w:t>document TGP/5, Section 6 (draft 1)</w:t>
        </w:r>
      </w:hyperlink>
      <w:r w:rsidR="00C37C67" w:rsidRPr="008503FB">
        <w:t>.</w:t>
      </w:r>
    </w:p>
    <w:p w14:paraId="3726A87E" w14:textId="77777777" w:rsidR="00F35A68" w:rsidRPr="008503FB" w:rsidRDefault="00F35A68" w:rsidP="004839D7"/>
    <w:p w14:paraId="433502B6" w14:textId="571DB164" w:rsidR="00C37C67" w:rsidRPr="008503FB" w:rsidRDefault="005F4E59" w:rsidP="004839D7">
      <w:pPr>
        <w:pStyle w:val="ListParagraph"/>
        <w:numPr>
          <w:ilvl w:val="0"/>
          <w:numId w:val="10"/>
        </w:numPr>
      </w:pPr>
      <w:r w:rsidRPr="008503FB">
        <w:t xml:space="preserve">Revision of the </w:t>
      </w:r>
      <w:r w:rsidR="00C37C67" w:rsidRPr="008503FB">
        <w:t xml:space="preserve">Guidance Note </w:t>
      </w:r>
      <w:r w:rsidRPr="008503FB">
        <w:t>on</w:t>
      </w:r>
      <w:r w:rsidR="00C37C67" w:rsidRPr="008503FB">
        <w:t xml:space="preserve"> “Example Varieties”</w:t>
      </w:r>
      <w:r w:rsidRPr="008503FB">
        <w:t xml:space="preserve"> </w:t>
      </w:r>
      <w:r w:rsidR="008503FB" w:rsidRPr="008503FB">
        <w:t xml:space="preserve">(Test Guidelines) </w:t>
      </w:r>
      <w:r w:rsidRPr="008503FB">
        <w:t>in document TGP/7 “Development of Test Guidelines” (</w:t>
      </w:r>
      <w:hyperlink r:id="rId10" w:history="1">
        <w:r w:rsidR="00C37C67" w:rsidRPr="008503FB">
          <w:rPr>
            <w:rStyle w:val="Hyperlink"/>
          </w:rPr>
          <w:t>document TWP/9/5</w:t>
        </w:r>
      </w:hyperlink>
      <w:r w:rsidRPr="008503FB">
        <w:t>)</w:t>
      </w:r>
      <w:r w:rsidR="00C37C67" w:rsidRPr="008503FB">
        <w:t>.</w:t>
      </w:r>
    </w:p>
    <w:p w14:paraId="53351524" w14:textId="77777777" w:rsidR="00C37C67" w:rsidRPr="008503FB" w:rsidRDefault="00C37C67" w:rsidP="00C37C67">
      <w:pPr>
        <w:ind w:firstLine="567"/>
      </w:pPr>
    </w:p>
    <w:p w14:paraId="4C6FCE2A" w14:textId="60527672" w:rsidR="00C37C67" w:rsidRPr="008503FB" w:rsidRDefault="00C27FA8" w:rsidP="005F4E59">
      <w:pPr>
        <w:pStyle w:val="ListParagraph"/>
        <w:numPr>
          <w:ilvl w:val="0"/>
          <w:numId w:val="10"/>
        </w:numPr>
      </w:pPr>
      <w:r>
        <w:t xml:space="preserve">Molecular Techniques: </w:t>
      </w:r>
      <w:r w:rsidR="005F4E59" w:rsidRPr="008503FB">
        <w:t xml:space="preserve">Development of </w:t>
      </w:r>
      <w:r w:rsidR="00C37C67" w:rsidRPr="008503FB">
        <w:t>guidelines for the validation of characteristic-specific molecular marker for DUS examination</w:t>
      </w:r>
      <w:r w:rsidR="005F4E59" w:rsidRPr="008503FB">
        <w:t xml:space="preserve"> (</w:t>
      </w:r>
      <w:hyperlink r:id="rId11" w:history="1">
        <w:r w:rsidR="00C37C67" w:rsidRPr="008503FB">
          <w:rPr>
            <w:rStyle w:val="Hyperlink"/>
          </w:rPr>
          <w:t>document TWP/9/4</w:t>
        </w:r>
      </w:hyperlink>
      <w:r w:rsidR="005F4E59" w:rsidRPr="008503FB">
        <w:t>)</w:t>
      </w:r>
      <w:r w:rsidR="00C37C67" w:rsidRPr="008503FB">
        <w:t>.</w:t>
      </w:r>
    </w:p>
    <w:p w14:paraId="559D92C4" w14:textId="77777777" w:rsidR="00C37C67" w:rsidRPr="008503FB" w:rsidRDefault="00C37C67" w:rsidP="004839D7"/>
    <w:p w14:paraId="70690E7E" w14:textId="378697D3" w:rsidR="00C37C67" w:rsidRPr="008503FB" w:rsidRDefault="005F4E59" w:rsidP="004839D7">
      <w:r w:rsidRPr="008503FB">
        <w:fldChar w:fldCharType="begin"/>
      </w:r>
      <w:r w:rsidRPr="008503FB">
        <w:instrText xml:space="preserve"> AUTONUM  </w:instrText>
      </w:r>
      <w:r w:rsidRPr="008503FB">
        <w:fldChar w:fldCharType="end"/>
      </w:r>
      <w:r w:rsidRPr="008503FB">
        <w:tab/>
      </w:r>
      <w:r w:rsidR="00C27FA8">
        <w:t xml:space="preserve">Molecular Techniques: </w:t>
      </w:r>
      <w:r w:rsidR="008503FB" w:rsidRPr="008503FB">
        <w:t>Policies on confidentiality and access to molecular data:  Following the invitation from the Technical</w:t>
      </w:r>
      <w:r w:rsidR="00C162CB">
        <w:t> </w:t>
      </w:r>
      <w:r w:rsidR="008503FB" w:rsidRPr="008503FB">
        <w:t xml:space="preserve">Committee, </w:t>
      </w:r>
      <w:r w:rsidR="00C37C67" w:rsidRPr="008503FB">
        <w:t>UPOV members and observers are invited to report examples of policies on confidentiality and access to molecular data at the TWP sessions in 2025.</w:t>
      </w:r>
    </w:p>
    <w:p w14:paraId="4E39EB71" w14:textId="77777777" w:rsidR="008503FB" w:rsidRPr="008503FB" w:rsidRDefault="008503FB" w:rsidP="004839D7"/>
    <w:p w14:paraId="2C928E80" w14:textId="55BDA42B" w:rsidR="00C37C67" w:rsidRPr="008503FB" w:rsidRDefault="00526541" w:rsidP="004839D7">
      <w:pPr>
        <w:rPr>
          <w:u w:val="single"/>
        </w:rPr>
      </w:pPr>
      <w:r w:rsidRPr="008503FB">
        <w:rPr>
          <w:u w:val="single"/>
        </w:rPr>
        <w:t>Matters for information</w:t>
      </w:r>
    </w:p>
    <w:p w14:paraId="00A0C7FF" w14:textId="77777777" w:rsidR="00526541" w:rsidRPr="008503FB" w:rsidRDefault="00526541" w:rsidP="004839D7"/>
    <w:p w14:paraId="080546DC" w14:textId="14B151F3" w:rsidR="004839D7" w:rsidRPr="008503FB" w:rsidRDefault="004839D7" w:rsidP="004839D7">
      <w:r w:rsidRPr="008503FB">
        <w:fldChar w:fldCharType="begin"/>
      </w:r>
      <w:r w:rsidRPr="008503FB">
        <w:instrText xml:space="preserve"> AUTONUM  </w:instrText>
      </w:r>
      <w:r w:rsidRPr="008503FB">
        <w:fldChar w:fldCharType="end"/>
      </w:r>
      <w:r w:rsidRPr="008503FB">
        <w:tab/>
        <w:t>The Technical Working Parties are invited to note developments reported in this document</w:t>
      </w:r>
      <w:r w:rsidR="00526541" w:rsidRPr="008503FB">
        <w:t xml:space="preserve"> concerning:</w:t>
      </w:r>
    </w:p>
    <w:p w14:paraId="27653563" w14:textId="77777777" w:rsidR="003E3B3F" w:rsidRPr="008503FB" w:rsidRDefault="003E3B3F" w:rsidP="004839D7"/>
    <w:p w14:paraId="3E36E9C3" w14:textId="6D072D53" w:rsidR="003E3B3F" w:rsidRPr="008503FB" w:rsidRDefault="00526541" w:rsidP="00526541">
      <w:pPr>
        <w:pStyle w:val="ListParagraph"/>
        <w:numPr>
          <w:ilvl w:val="0"/>
          <w:numId w:val="10"/>
        </w:numPr>
      </w:pPr>
      <w:r w:rsidRPr="008503FB">
        <w:t>Discussion on disease resistance characteristics in DUS examination</w:t>
      </w:r>
    </w:p>
    <w:p w14:paraId="73B8CECF" w14:textId="7D5AA994" w:rsidR="003E3B3F" w:rsidRDefault="00526541" w:rsidP="00526541">
      <w:pPr>
        <w:pStyle w:val="ListParagraph"/>
        <w:numPr>
          <w:ilvl w:val="0"/>
          <w:numId w:val="10"/>
        </w:numPr>
      </w:pPr>
      <w:r>
        <w:t>M</w:t>
      </w:r>
      <w:r w:rsidRPr="003E3B3F">
        <w:t>atters arising from the technical working parties</w:t>
      </w:r>
      <w:r>
        <w:t xml:space="preserve"> at their sessions in 2024</w:t>
      </w:r>
    </w:p>
    <w:p w14:paraId="7F56D550" w14:textId="03DA0AA1" w:rsidR="003E3B3F" w:rsidRDefault="00526541" w:rsidP="00B6299D">
      <w:pPr>
        <w:pStyle w:val="ListParagraph"/>
        <w:numPr>
          <w:ilvl w:val="0"/>
          <w:numId w:val="10"/>
        </w:numPr>
      </w:pPr>
      <w:r>
        <w:lastRenderedPageBreak/>
        <w:t>S</w:t>
      </w:r>
      <w:r w:rsidRPr="003E3B3F">
        <w:t>eminar on cooperation with breeders in DUS examination</w:t>
      </w:r>
      <w:r w:rsidR="00D35881">
        <w:t xml:space="preserve"> </w:t>
      </w:r>
      <w:r w:rsidR="00C162CB">
        <w:t>(October 2025)</w:t>
      </w:r>
    </w:p>
    <w:p w14:paraId="28CB582D" w14:textId="300D4611" w:rsidR="003E3B3F" w:rsidRDefault="00D35881" w:rsidP="00D35881">
      <w:pPr>
        <w:pStyle w:val="ListParagraph"/>
        <w:numPr>
          <w:ilvl w:val="0"/>
          <w:numId w:val="10"/>
        </w:numPr>
      </w:pPr>
      <w:r>
        <w:t>M</w:t>
      </w:r>
      <w:r w:rsidR="00526541" w:rsidRPr="003E3B3F">
        <w:t>easures to improve support provided for DUS examination</w:t>
      </w:r>
    </w:p>
    <w:p w14:paraId="4D7C0863" w14:textId="77777777" w:rsidR="004839D7" w:rsidRPr="001D3FDF" w:rsidRDefault="004839D7" w:rsidP="004839D7"/>
    <w:p w14:paraId="2A5AAD16" w14:textId="77777777" w:rsidR="004839D7" w:rsidRPr="001D3FDF" w:rsidRDefault="004839D7" w:rsidP="004839D7">
      <w:pPr>
        <w:keepNext/>
        <w:spacing w:after="240"/>
        <w:rPr>
          <w:rFonts w:cs="Arial"/>
        </w:rPr>
      </w:pPr>
      <w:r w:rsidRPr="001D3FDF">
        <w:rPr>
          <w:rFonts w:cs="Arial"/>
        </w:rPr>
        <w:fldChar w:fldCharType="begin"/>
      </w:r>
      <w:r w:rsidRPr="001D3FDF">
        <w:rPr>
          <w:rFonts w:cs="Arial"/>
        </w:rPr>
        <w:instrText xml:space="preserve"> AUTONUM  </w:instrText>
      </w:r>
      <w:r w:rsidRPr="001D3FDF">
        <w:rPr>
          <w:rFonts w:cs="Arial"/>
        </w:rPr>
        <w:fldChar w:fldCharType="end"/>
      </w:r>
      <w:r w:rsidRPr="001D3FDF">
        <w:rPr>
          <w:rFonts w:cs="Arial"/>
        </w:rPr>
        <w:tab/>
        <w:t>The structure of this document is as follows:</w:t>
      </w:r>
    </w:p>
    <w:p w14:paraId="426A21EC" w14:textId="73860E8B" w:rsidR="007472A1" w:rsidRDefault="004839D7">
      <w:pPr>
        <w:pStyle w:val="TOC1"/>
        <w:rPr>
          <w:rFonts w:asciiTheme="minorHAnsi" w:eastAsiaTheme="minorEastAsia" w:hAnsiTheme="minorHAnsi" w:cstheme="minorBidi"/>
          <w:bCs w:val="0"/>
          <w:caps w:val="0"/>
          <w:kern w:val="2"/>
          <w:sz w:val="24"/>
          <w:szCs w:val="24"/>
          <w14:ligatures w14:val="standardContextual"/>
        </w:rPr>
      </w:pPr>
      <w:r w:rsidRPr="001D3FDF">
        <w:rPr>
          <w:noProof w:val="0"/>
          <w:highlight w:val="cyan"/>
        </w:rPr>
        <w:fldChar w:fldCharType="begin"/>
      </w:r>
      <w:r w:rsidRPr="001D3FDF">
        <w:rPr>
          <w:noProof w:val="0"/>
          <w:highlight w:val="cyan"/>
        </w:rPr>
        <w:instrText xml:space="preserve"> TOC \o "1-4" \u </w:instrText>
      </w:r>
      <w:r w:rsidRPr="001D3FDF">
        <w:rPr>
          <w:noProof w:val="0"/>
          <w:highlight w:val="cyan"/>
        </w:rPr>
        <w:fldChar w:fldCharType="separate"/>
      </w:r>
      <w:r w:rsidR="007472A1" w:rsidRPr="00F6643C">
        <w:rPr>
          <w:snapToGrid w:val="0"/>
        </w:rPr>
        <w:t>EXECUTIVE SUMMARY</w:t>
      </w:r>
      <w:r w:rsidR="007472A1">
        <w:tab/>
      </w:r>
      <w:r w:rsidR="007472A1">
        <w:fldChar w:fldCharType="begin"/>
      </w:r>
      <w:r w:rsidR="007472A1">
        <w:instrText xml:space="preserve"> PAGEREF _Toc191917550 \h </w:instrText>
      </w:r>
      <w:r w:rsidR="007472A1">
        <w:fldChar w:fldCharType="separate"/>
      </w:r>
      <w:r w:rsidR="007472A1">
        <w:t>1</w:t>
      </w:r>
      <w:r w:rsidR="007472A1">
        <w:fldChar w:fldCharType="end"/>
      </w:r>
    </w:p>
    <w:p w14:paraId="7CA42356" w14:textId="396DED0B" w:rsidR="007472A1" w:rsidRDefault="007472A1">
      <w:pPr>
        <w:pStyle w:val="TOC1"/>
        <w:rPr>
          <w:rFonts w:asciiTheme="minorHAnsi" w:eastAsiaTheme="minorEastAsia" w:hAnsiTheme="minorHAnsi" w:cstheme="minorBidi"/>
          <w:bCs w:val="0"/>
          <w:caps w:val="0"/>
          <w:kern w:val="2"/>
          <w:sz w:val="24"/>
          <w:szCs w:val="24"/>
          <w14:ligatures w14:val="standardContextual"/>
        </w:rPr>
      </w:pPr>
      <w:r>
        <w:t>Guidance and information materials – matters for consideration</w:t>
      </w:r>
      <w:r>
        <w:tab/>
      </w:r>
      <w:r>
        <w:fldChar w:fldCharType="begin"/>
      </w:r>
      <w:r>
        <w:instrText xml:space="preserve"> PAGEREF _Toc191917551 \h </w:instrText>
      </w:r>
      <w:r>
        <w:fldChar w:fldCharType="separate"/>
      </w:r>
      <w:r>
        <w:t>3</w:t>
      </w:r>
      <w:r>
        <w:fldChar w:fldCharType="end"/>
      </w:r>
    </w:p>
    <w:p w14:paraId="3FEC9AD2" w14:textId="5A78131E" w:rsidR="007472A1" w:rsidRDefault="007472A1">
      <w:pPr>
        <w:pStyle w:val="TOC2"/>
        <w:rPr>
          <w:rFonts w:asciiTheme="minorHAnsi" w:eastAsiaTheme="minorEastAsia" w:hAnsiTheme="minorHAnsi" w:cstheme="minorBidi"/>
          <w:kern w:val="2"/>
          <w:sz w:val="24"/>
          <w:szCs w:val="24"/>
          <w14:ligatures w14:val="standardContextual"/>
        </w:rPr>
      </w:pPr>
      <w:r>
        <w:t>TGP Documents</w:t>
      </w:r>
      <w:r>
        <w:tab/>
      </w:r>
      <w:r>
        <w:fldChar w:fldCharType="begin"/>
      </w:r>
      <w:r>
        <w:instrText xml:space="preserve"> PAGEREF _Toc191917552 \h </w:instrText>
      </w:r>
      <w:r>
        <w:fldChar w:fldCharType="separate"/>
      </w:r>
      <w:r>
        <w:t>3</w:t>
      </w:r>
      <w:r>
        <w:fldChar w:fldCharType="end"/>
      </w:r>
    </w:p>
    <w:p w14:paraId="72FC3870" w14:textId="5161CD68" w:rsidR="007472A1" w:rsidRDefault="007472A1">
      <w:pPr>
        <w:pStyle w:val="TOC3"/>
        <w:rPr>
          <w:rFonts w:asciiTheme="minorHAnsi" w:eastAsiaTheme="minorEastAsia" w:hAnsiTheme="minorHAnsi" w:cstheme="minorBidi"/>
          <w:i w:val="0"/>
          <w:kern w:val="2"/>
          <w:sz w:val="24"/>
          <w:szCs w:val="24"/>
          <w14:ligatures w14:val="standardContextual"/>
        </w:rPr>
      </w:pPr>
      <w:r>
        <w:t>Document TGP/5 “Experience and Cooperation in DUS Testing”, Section 6 “UPOV Report on Technical Examination and UPOV Variety Description” (Revision)</w:t>
      </w:r>
      <w:r>
        <w:tab/>
      </w:r>
      <w:r>
        <w:fldChar w:fldCharType="begin"/>
      </w:r>
      <w:r>
        <w:instrText xml:space="preserve"> PAGEREF _Toc191917553 \h </w:instrText>
      </w:r>
      <w:r>
        <w:fldChar w:fldCharType="separate"/>
      </w:r>
      <w:r>
        <w:t>3</w:t>
      </w:r>
      <w:r>
        <w:fldChar w:fldCharType="end"/>
      </w:r>
    </w:p>
    <w:p w14:paraId="510E0BD6" w14:textId="7E3B7C49" w:rsidR="007472A1" w:rsidRDefault="007472A1">
      <w:pPr>
        <w:pStyle w:val="TOC4"/>
        <w:rPr>
          <w:rFonts w:asciiTheme="minorHAnsi" w:eastAsiaTheme="minorEastAsia" w:hAnsiTheme="minorHAnsi" w:cstheme="minorBidi"/>
          <w:iCs w:val="0"/>
          <w:kern w:val="2"/>
          <w:sz w:val="24"/>
          <w:szCs w:val="24"/>
          <w:lang w:val="en-US"/>
          <w14:ligatures w14:val="standardContextual"/>
        </w:rPr>
      </w:pPr>
      <w:r w:rsidRPr="00F6643C">
        <w:rPr>
          <w:lang w:val="en-US"/>
        </w:rPr>
        <w:t>Subsection “UPOV Variety Description”, item 17 “Additional Information”</w:t>
      </w:r>
      <w:r w:rsidRPr="007472A1">
        <w:rPr>
          <w:lang w:val="en-US"/>
        </w:rPr>
        <w:tab/>
      </w:r>
      <w:r>
        <w:fldChar w:fldCharType="begin"/>
      </w:r>
      <w:r w:rsidRPr="007472A1">
        <w:rPr>
          <w:lang w:val="en-US"/>
        </w:rPr>
        <w:instrText xml:space="preserve"> PAGEREF _Toc191917554 \h </w:instrText>
      </w:r>
      <w:r>
        <w:fldChar w:fldCharType="separate"/>
      </w:r>
      <w:r w:rsidRPr="007472A1">
        <w:rPr>
          <w:lang w:val="en-US"/>
        </w:rPr>
        <w:t>3</w:t>
      </w:r>
      <w:r>
        <w:fldChar w:fldCharType="end"/>
      </w:r>
    </w:p>
    <w:p w14:paraId="22E8E0FE" w14:textId="137A9FD9" w:rsidR="007472A1" w:rsidRDefault="007472A1">
      <w:pPr>
        <w:pStyle w:val="TOC4"/>
        <w:rPr>
          <w:rFonts w:asciiTheme="minorHAnsi" w:eastAsiaTheme="minorEastAsia" w:hAnsiTheme="minorHAnsi" w:cstheme="minorBidi"/>
          <w:iCs w:val="0"/>
          <w:kern w:val="2"/>
          <w:sz w:val="24"/>
          <w:szCs w:val="24"/>
          <w:lang w:val="en-US"/>
          <w14:ligatures w14:val="standardContextual"/>
        </w:rPr>
      </w:pPr>
      <w:r w:rsidRPr="00F6643C">
        <w:rPr>
          <w:lang w:val="en-US"/>
        </w:rPr>
        <w:t>Structure of document TGP/5, Section 6 “UPOV Report on Technical Examination and UPOV Variety Description”</w:t>
      </w:r>
      <w:r w:rsidRPr="007472A1">
        <w:rPr>
          <w:lang w:val="en-US"/>
        </w:rPr>
        <w:tab/>
      </w:r>
      <w:r>
        <w:fldChar w:fldCharType="begin"/>
      </w:r>
      <w:r w:rsidRPr="007472A1">
        <w:rPr>
          <w:lang w:val="en-US"/>
        </w:rPr>
        <w:instrText xml:space="preserve"> PAGEREF _Toc191917555 \h </w:instrText>
      </w:r>
      <w:r>
        <w:fldChar w:fldCharType="separate"/>
      </w:r>
      <w:r w:rsidRPr="007472A1">
        <w:rPr>
          <w:lang w:val="en-US"/>
        </w:rPr>
        <w:t>3</w:t>
      </w:r>
      <w:r>
        <w:fldChar w:fldCharType="end"/>
      </w:r>
    </w:p>
    <w:p w14:paraId="5B0C385A" w14:textId="11FA481A" w:rsidR="007472A1" w:rsidRDefault="007472A1">
      <w:pPr>
        <w:pStyle w:val="TOC3"/>
        <w:rPr>
          <w:rFonts w:asciiTheme="minorHAnsi" w:eastAsiaTheme="minorEastAsia" w:hAnsiTheme="minorHAnsi" w:cstheme="minorBidi"/>
          <w:i w:val="0"/>
          <w:kern w:val="2"/>
          <w:sz w:val="24"/>
          <w:szCs w:val="24"/>
          <w14:ligatures w14:val="standardContextual"/>
        </w:rPr>
      </w:pPr>
      <w:r>
        <w:t>Document TGP/7:  Development of Test Guidelines (Revision):  Guidance Note (GN) 28 “Example Varieties” – Example varieties for asterisked quantitative characteristics when illustrations are provided</w:t>
      </w:r>
      <w:r>
        <w:tab/>
      </w:r>
      <w:r>
        <w:fldChar w:fldCharType="begin"/>
      </w:r>
      <w:r>
        <w:instrText xml:space="preserve"> PAGEREF _Toc191917556 \h </w:instrText>
      </w:r>
      <w:r>
        <w:fldChar w:fldCharType="separate"/>
      </w:r>
      <w:r>
        <w:t>4</w:t>
      </w:r>
      <w:r>
        <w:fldChar w:fldCharType="end"/>
      </w:r>
    </w:p>
    <w:p w14:paraId="7EDACADB" w14:textId="0B450914" w:rsidR="007472A1" w:rsidRDefault="007472A1">
      <w:pPr>
        <w:pStyle w:val="TOC1"/>
        <w:rPr>
          <w:rFonts w:asciiTheme="minorHAnsi" w:eastAsiaTheme="minorEastAsia" w:hAnsiTheme="minorHAnsi" w:cstheme="minorBidi"/>
          <w:bCs w:val="0"/>
          <w:caps w:val="0"/>
          <w:kern w:val="2"/>
          <w:sz w:val="24"/>
          <w:szCs w:val="24"/>
          <w14:ligatures w14:val="standardContextual"/>
        </w:rPr>
      </w:pPr>
      <w:r>
        <w:t>Molecular techniques</w:t>
      </w:r>
      <w:r>
        <w:tab/>
      </w:r>
      <w:r>
        <w:fldChar w:fldCharType="begin"/>
      </w:r>
      <w:r>
        <w:instrText xml:space="preserve"> PAGEREF _Toc191917557 \h </w:instrText>
      </w:r>
      <w:r>
        <w:fldChar w:fldCharType="separate"/>
      </w:r>
      <w:r>
        <w:t>4</w:t>
      </w:r>
      <w:r>
        <w:fldChar w:fldCharType="end"/>
      </w:r>
    </w:p>
    <w:p w14:paraId="2AA51E8F" w14:textId="4499C475" w:rsidR="007472A1" w:rsidRDefault="007472A1">
      <w:pPr>
        <w:pStyle w:val="TOC2"/>
        <w:rPr>
          <w:rFonts w:asciiTheme="minorHAnsi" w:eastAsiaTheme="minorEastAsia" w:hAnsiTheme="minorHAnsi" w:cstheme="minorBidi"/>
          <w:kern w:val="2"/>
          <w:sz w:val="24"/>
          <w:szCs w:val="24"/>
          <w14:ligatures w14:val="standardContextual"/>
        </w:rPr>
      </w:pPr>
      <w:r>
        <w:t>Guidelines for the validation of a new characteristic-specific molecular marker protocol as an alternative method for observation</w:t>
      </w:r>
      <w:r>
        <w:tab/>
      </w:r>
      <w:r>
        <w:fldChar w:fldCharType="begin"/>
      </w:r>
      <w:r>
        <w:instrText xml:space="preserve"> PAGEREF _Toc191917558 \h </w:instrText>
      </w:r>
      <w:r>
        <w:fldChar w:fldCharType="separate"/>
      </w:r>
      <w:r>
        <w:t>4</w:t>
      </w:r>
      <w:r>
        <w:fldChar w:fldCharType="end"/>
      </w:r>
    </w:p>
    <w:p w14:paraId="1B92161D" w14:textId="38FF5DF3" w:rsidR="007472A1" w:rsidRDefault="007472A1">
      <w:pPr>
        <w:pStyle w:val="TOC2"/>
        <w:rPr>
          <w:rFonts w:asciiTheme="minorHAnsi" w:eastAsiaTheme="minorEastAsia" w:hAnsiTheme="minorHAnsi" w:cstheme="minorBidi"/>
          <w:kern w:val="2"/>
          <w:sz w:val="24"/>
          <w:szCs w:val="24"/>
          <w14:ligatures w14:val="standardContextual"/>
        </w:rPr>
      </w:pPr>
      <w:r>
        <w:t>Confidentiality and Ownership of Molecular Information</w:t>
      </w:r>
      <w:r>
        <w:tab/>
      </w:r>
      <w:r>
        <w:fldChar w:fldCharType="begin"/>
      </w:r>
      <w:r>
        <w:instrText xml:space="preserve"> PAGEREF _Toc191917559 \h </w:instrText>
      </w:r>
      <w:r>
        <w:fldChar w:fldCharType="separate"/>
      </w:r>
      <w:r>
        <w:t>4</w:t>
      </w:r>
      <w:r>
        <w:fldChar w:fldCharType="end"/>
      </w:r>
    </w:p>
    <w:p w14:paraId="4E6718EC" w14:textId="49A0B04E" w:rsidR="007472A1" w:rsidRDefault="007472A1">
      <w:pPr>
        <w:pStyle w:val="TOC1"/>
        <w:rPr>
          <w:rFonts w:asciiTheme="minorHAnsi" w:eastAsiaTheme="minorEastAsia" w:hAnsiTheme="minorHAnsi" w:cstheme="minorBidi"/>
          <w:bCs w:val="0"/>
          <w:caps w:val="0"/>
          <w:kern w:val="2"/>
          <w:sz w:val="24"/>
          <w:szCs w:val="24"/>
          <w14:ligatures w14:val="standardContextual"/>
        </w:rPr>
      </w:pPr>
      <w:r>
        <w:t>Guidance and information materials – matters for information</w:t>
      </w:r>
      <w:r>
        <w:tab/>
      </w:r>
      <w:r>
        <w:fldChar w:fldCharType="begin"/>
      </w:r>
      <w:r>
        <w:instrText xml:space="preserve"> PAGEREF _Toc191917560 \h </w:instrText>
      </w:r>
      <w:r>
        <w:fldChar w:fldCharType="separate"/>
      </w:r>
      <w:r>
        <w:t>4</w:t>
      </w:r>
      <w:r>
        <w:fldChar w:fldCharType="end"/>
      </w:r>
    </w:p>
    <w:p w14:paraId="6433ED06" w14:textId="2AF6746B" w:rsidR="007472A1" w:rsidRDefault="007472A1">
      <w:pPr>
        <w:pStyle w:val="TOC2"/>
        <w:rPr>
          <w:rFonts w:asciiTheme="minorHAnsi" w:eastAsiaTheme="minorEastAsia" w:hAnsiTheme="minorHAnsi" w:cstheme="minorBidi"/>
          <w:kern w:val="2"/>
          <w:sz w:val="24"/>
          <w:szCs w:val="24"/>
          <w14:ligatures w14:val="standardContextual"/>
        </w:rPr>
      </w:pPr>
      <w:r>
        <w:t>TGP Documents</w:t>
      </w:r>
      <w:r>
        <w:tab/>
      </w:r>
      <w:r>
        <w:fldChar w:fldCharType="begin"/>
      </w:r>
      <w:r>
        <w:instrText xml:space="preserve"> PAGEREF _Toc191917561 \h </w:instrText>
      </w:r>
      <w:r>
        <w:fldChar w:fldCharType="separate"/>
      </w:r>
      <w:r>
        <w:t>4</w:t>
      </w:r>
      <w:r>
        <w:fldChar w:fldCharType="end"/>
      </w:r>
    </w:p>
    <w:p w14:paraId="3718F079" w14:textId="225568D1" w:rsidR="007472A1" w:rsidRDefault="007472A1">
      <w:pPr>
        <w:pStyle w:val="TOC3"/>
        <w:rPr>
          <w:rFonts w:asciiTheme="minorHAnsi" w:eastAsiaTheme="minorEastAsia" w:hAnsiTheme="minorHAnsi" w:cstheme="minorBidi"/>
          <w:i w:val="0"/>
          <w:kern w:val="2"/>
          <w:sz w:val="24"/>
          <w:szCs w:val="24"/>
          <w14:ligatures w14:val="standardContextual"/>
        </w:rPr>
      </w:pPr>
      <w:r>
        <w:t>Document TGP/7:  Development of Test Guidelines (Revision)</w:t>
      </w:r>
      <w:r>
        <w:tab/>
      </w:r>
      <w:r>
        <w:fldChar w:fldCharType="begin"/>
      </w:r>
      <w:r>
        <w:instrText xml:space="preserve"> PAGEREF _Toc191917562 \h </w:instrText>
      </w:r>
      <w:r>
        <w:fldChar w:fldCharType="separate"/>
      </w:r>
      <w:r>
        <w:t>4</w:t>
      </w:r>
      <w:r>
        <w:fldChar w:fldCharType="end"/>
      </w:r>
    </w:p>
    <w:p w14:paraId="52CE1E02" w14:textId="1F446DF3" w:rsidR="007472A1" w:rsidRDefault="007472A1">
      <w:pPr>
        <w:pStyle w:val="TOC4"/>
        <w:rPr>
          <w:rFonts w:asciiTheme="minorHAnsi" w:eastAsiaTheme="minorEastAsia" w:hAnsiTheme="minorHAnsi" w:cstheme="minorBidi"/>
          <w:iCs w:val="0"/>
          <w:kern w:val="2"/>
          <w:sz w:val="24"/>
          <w:szCs w:val="24"/>
          <w:lang w:val="en-US"/>
          <w14:ligatures w14:val="standardContextual"/>
        </w:rPr>
      </w:pPr>
      <w:r w:rsidRPr="00F6643C">
        <w:rPr>
          <w:lang w:val="en-US"/>
        </w:rPr>
        <w:t>Additional Standard Wording (ASW) 3 “Explanation of the growing cycle”</w:t>
      </w:r>
      <w:r w:rsidRPr="007472A1">
        <w:rPr>
          <w:lang w:val="en-US"/>
        </w:rPr>
        <w:tab/>
      </w:r>
      <w:r>
        <w:fldChar w:fldCharType="begin"/>
      </w:r>
      <w:r w:rsidRPr="007472A1">
        <w:rPr>
          <w:lang w:val="en-US"/>
        </w:rPr>
        <w:instrText xml:space="preserve"> PAGEREF _Toc191917563 \h </w:instrText>
      </w:r>
      <w:r>
        <w:fldChar w:fldCharType="separate"/>
      </w:r>
      <w:r w:rsidRPr="007472A1">
        <w:rPr>
          <w:lang w:val="en-US"/>
        </w:rPr>
        <w:t>4</w:t>
      </w:r>
      <w:r>
        <w:fldChar w:fldCharType="end"/>
      </w:r>
    </w:p>
    <w:p w14:paraId="48621A94" w14:textId="6454E34D" w:rsidR="007472A1" w:rsidRDefault="007472A1">
      <w:pPr>
        <w:pStyle w:val="TOC4"/>
        <w:rPr>
          <w:rFonts w:asciiTheme="minorHAnsi" w:eastAsiaTheme="minorEastAsia" w:hAnsiTheme="minorHAnsi" w:cstheme="minorBidi"/>
          <w:iCs w:val="0"/>
          <w:kern w:val="2"/>
          <w:sz w:val="24"/>
          <w:szCs w:val="24"/>
          <w:lang w:val="en-US"/>
          <w14:ligatures w14:val="standardContextual"/>
        </w:rPr>
      </w:pPr>
      <w:r w:rsidRPr="00F6643C">
        <w:rPr>
          <w:lang w:val="en-US"/>
        </w:rPr>
        <w:t>Additional Standard Wording (ASW) 7(b) “Number of plants / parts of plants to be examined”</w:t>
      </w:r>
      <w:r w:rsidRPr="007472A1">
        <w:rPr>
          <w:lang w:val="en-US"/>
        </w:rPr>
        <w:tab/>
      </w:r>
      <w:r>
        <w:fldChar w:fldCharType="begin"/>
      </w:r>
      <w:r w:rsidRPr="007472A1">
        <w:rPr>
          <w:lang w:val="en-US"/>
        </w:rPr>
        <w:instrText xml:space="preserve"> PAGEREF _Toc191917564 \h </w:instrText>
      </w:r>
      <w:r>
        <w:fldChar w:fldCharType="separate"/>
      </w:r>
      <w:r w:rsidRPr="007472A1">
        <w:rPr>
          <w:lang w:val="en-US"/>
        </w:rPr>
        <w:t>5</w:t>
      </w:r>
      <w:r>
        <w:fldChar w:fldCharType="end"/>
      </w:r>
    </w:p>
    <w:p w14:paraId="76A27029" w14:textId="18A2989D" w:rsidR="007472A1" w:rsidRDefault="007472A1">
      <w:pPr>
        <w:pStyle w:val="TOC3"/>
        <w:rPr>
          <w:rFonts w:asciiTheme="minorHAnsi" w:eastAsiaTheme="minorEastAsia" w:hAnsiTheme="minorHAnsi" w:cstheme="minorBidi"/>
          <w:i w:val="0"/>
          <w:kern w:val="2"/>
          <w:sz w:val="24"/>
          <w:szCs w:val="24"/>
          <w14:ligatures w14:val="standardContextual"/>
        </w:rPr>
      </w:pPr>
      <w:r>
        <w:t>Document TGP/12:  Guidance on Certain Physiological Characteristics (Revision)</w:t>
      </w:r>
      <w:r>
        <w:tab/>
      </w:r>
      <w:r>
        <w:fldChar w:fldCharType="begin"/>
      </w:r>
      <w:r>
        <w:instrText xml:space="preserve"> PAGEREF _Toc191917565 \h </w:instrText>
      </w:r>
      <w:r>
        <w:fldChar w:fldCharType="separate"/>
      </w:r>
      <w:r>
        <w:t>5</w:t>
      </w:r>
      <w:r>
        <w:fldChar w:fldCharType="end"/>
      </w:r>
    </w:p>
    <w:p w14:paraId="50B5D146" w14:textId="4B1357B9" w:rsidR="007472A1" w:rsidRDefault="007472A1">
      <w:pPr>
        <w:pStyle w:val="TOC4"/>
        <w:rPr>
          <w:rFonts w:asciiTheme="minorHAnsi" w:eastAsiaTheme="minorEastAsia" w:hAnsiTheme="minorHAnsi" w:cstheme="minorBidi"/>
          <w:iCs w:val="0"/>
          <w:kern w:val="2"/>
          <w:sz w:val="24"/>
          <w:szCs w:val="24"/>
          <w:lang w:val="en-US"/>
          <w14:ligatures w14:val="standardContextual"/>
        </w:rPr>
      </w:pPr>
      <w:r w:rsidRPr="00F6643C">
        <w:rPr>
          <w:lang w:val="en-US"/>
        </w:rPr>
        <w:t>Equivalence table for states of expression in quantitative disease resistance characteristics in Test Guidelines</w:t>
      </w:r>
      <w:r w:rsidRPr="007472A1">
        <w:rPr>
          <w:lang w:val="en-US"/>
        </w:rPr>
        <w:tab/>
      </w:r>
      <w:r>
        <w:fldChar w:fldCharType="begin"/>
      </w:r>
      <w:r w:rsidRPr="007472A1">
        <w:rPr>
          <w:lang w:val="en-US"/>
        </w:rPr>
        <w:instrText xml:space="preserve"> PAGEREF _Toc191917566 \h </w:instrText>
      </w:r>
      <w:r>
        <w:fldChar w:fldCharType="separate"/>
      </w:r>
      <w:r w:rsidRPr="007472A1">
        <w:rPr>
          <w:lang w:val="en-US"/>
        </w:rPr>
        <w:t>5</w:t>
      </w:r>
      <w:r>
        <w:fldChar w:fldCharType="end"/>
      </w:r>
    </w:p>
    <w:p w14:paraId="6A2A5859" w14:textId="76F3BA2B" w:rsidR="007472A1" w:rsidRDefault="007472A1">
      <w:pPr>
        <w:pStyle w:val="TOC3"/>
        <w:rPr>
          <w:rFonts w:asciiTheme="minorHAnsi" w:eastAsiaTheme="minorEastAsia" w:hAnsiTheme="minorHAnsi" w:cstheme="minorBidi"/>
          <w:i w:val="0"/>
          <w:kern w:val="2"/>
          <w:sz w:val="24"/>
          <w:szCs w:val="24"/>
          <w14:ligatures w14:val="standardContextual"/>
        </w:rPr>
      </w:pPr>
      <w:r>
        <w:t>Access to plant material for the purpose of management of variety collections and DUS examination</w:t>
      </w:r>
      <w:r>
        <w:tab/>
      </w:r>
      <w:r>
        <w:fldChar w:fldCharType="begin"/>
      </w:r>
      <w:r>
        <w:instrText xml:space="preserve"> PAGEREF _Toc191917567 \h </w:instrText>
      </w:r>
      <w:r>
        <w:fldChar w:fldCharType="separate"/>
      </w:r>
      <w:r>
        <w:t>5</w:t>
      </w:r>
      <w:r>
        <w:fldChar w:fldCharType="end"/>
      </w:r>
    </w:p>
    <w:p w14:paraId="758C3A13" w14:textId="610308F3" w:rsidR="007472A1" w:rsidRDefault="007472A1">
      <w:pPr>
        <w:pStyle w:val="TOC2"/>
        <w:rPr>
          <w:rFonts w:asciiTheme="minorHAnsi" w:eastAsiaTheme="minorEastAsia" w:hAnsiTheme="minorHAnsi" w:cstheme="minorBidi"/>
          <w:kern w:val="2"/>
          <w:sz w:val="24"/>
          <w:szCs w:val="24"/>
          <w14:ligatures w14:val="standardContextual"/>
        </w:rPr>
      </w:pPr>
      <w:r>
        <w:t>Information Documents</w:t>
      </w:r>
      <w:r>
        <w:tab/>
      </w:r>
      <w:r>
        <w:fldChar w:fldCharType="begin"/>
      </w:r>
      <w:r>
        <w:instrText xml:space="preserve"> PAGEREF _Toc191917568 \h </w:instrText>
      </w:r>
      <w:r>
        <w:fldChar w:fldCharType="separate"/>
      </w:r>
      <w:r>
        <w:t>5</w:t>
      </w:r>
      <w:r>
        <w:fldChar w:fldCharType="end"/>
      </w:r>
    </w:p>
    <w:p w14:paraId="1F9CF2C0" w14:textId="38CBD8BE" w:rsidR="007472A1" w:rsidRDefault="007472A1">
      <w:pPr>
        <w:pStyle w:val="TOC3"/>
        <w:rPr>
          <w:rFonts w:asciiTheme="minorHAnsi" w:eastAsiaTheme="minorEastAsia" w:hAnsiTheme="minorHAnsi" w:cstheme="minorBidi"/>
          <w:i w:val="0"/>
          <w:kern w:val="2"/>
          <w:sz w:val="24"/>
          <w:szCs w:val="24"/>
          <w14:ligatures w14:val="standardContextual"/>
        </w:rPr>
      </w:pPr>
      <w:r>
        <w:t>UPOV/INF/16:  Exchangeable Software (Revision)</w:t>
      </w:r>
      <w:r>
        <w:tab/>
      </w:r>
      <w:r>
        <w:fldChar w:fldCharType="begin"/>
      </w:r>
      <w:r>
        <w:instrText xml:space="preserve"> PAGEREF _Toc191917569 \h </w:instrText>
      </w:r>
      <w:r>
        <w:fldChar w:fldCharType="separate"/>
      </w:r>
      <w:r>
        <w:t>5</w:t>
      </w:r>
      <w:r>
        <w:fldChar w:fldCharType="end"/>
      </w:r>
    </w:p>
    <w:p w14:paraId="63196F5D" w14:textId="6EF36BFC" w:rsidR="007472A1" w:rsidRDefault="007472A1">
      <w:pPr>
        <w:pStyle w:val="TOC3"/>
        <w:rPr>
          <w:rFonts w:asciiTheme="minorHAnsi" w:eastAsiaTheme="minorEastAsia" w:hAnsiTheme="minorHAnsi" w:cstheme="minorBidi"/>
          <w:i w:val="0"/>
          <w:kern w:val="2"/>
          <w:sz w:val="24"/>
          <w:szCs w:val="24"/>
          <w14:ligatures w14:val="standardContextual"/>
        </w:rPr>
      </w:pPr>
      <w:r>
        <w:t>UPOV/INF/22: Software and Equipment Used by Members of the Union (Revision)</w:t>
      </w:r>
      <w:r>
        <w:tab/>
      </w:r>
      <w:r>
        <w:fldChar w:fldCharType="begin"/>
      </w:r>
      <w:r>
        <w:instrText xml:space="preserve"> PAGEREF _Toc191917570 \h </w:instrText>
      </w:r>
      <w:r>
        <w:fldChar w:fldCharType="separate"/>
      </w:r>
      <w:r>
        <w:t>6</w:t>
      </w:r>
      <w:r>
        <w:fldChar w:fldCharType="end"/>
      </w:r>
    </w:p>
    <w:p w14:paraId="61D224CA" w14:textId="635990B9" w:rsidR="007472A1" w:rsidRDefault="007472A1">
      <w:pPr>
        <w:pStyle w:val="TOC2"/>
        <w:rPr>
          <w:rFonts w:asciiTheme="minorHAnsi" w:eastAsiaTheme="minorEastAsia" w:hAnsiTheme="minorHAnsi" w:cstheme="minorBidi"/>
          <w:kern w:val="2"/>
          <w:sz w:val="24"/>
          <w:szCs w:val="24"/>
          <w14:ligatures w14:val="standardContextual"/>
        </w:rPr>
      </w:pPr>
      <w:r>
        <w:t>Explanatory Notes</w:t>
      </w:r>
      <w:r>
        <w:tab/>
      </w:r>
      <w:r>
        <w:fldChar w:fldCharType="begin"/>
      </w:r>
      <w:r>
        <w:instrText xml:space="preserve"> PAGEREF _Toc191917571 \h </w:instrText>
      </w:r>
      <w:r>
        <w:fldChar w:fldCharType="separate"/>
      </w:r>
      <w:r>
        <w:t>6</w:t>
      </w:r>
      <w:r>
        <w:fldChar w:fldCharType="end"/>
      </w:r>
    </w:p>
    <w:p w14:paraId="55DA49B3" w14:textId="05008115" w:rsidR="007472A1" w:rsidRDefault="007472A1">
      <w:pPr>
        <w:pStyle w:val="TOC3"/>
        <w:rPr>
          <w:rFonts w:asciiTheme="minorHAnsi" w:eastAsiaTheme="minorEastAsia" w:hAnsiTheme="minorHAnsi" w:cstheme="minorBidi"/>
          <w:i w:val="0"/>
          <w:kern w:val="2"/>
          <w:sz w:val="24"/>
          <w:szCs w:val="24"/>
          <w14:ligatures w14:val="standardContextual"/>
        </w:rPr>
      </w:pPr>
      <w:r>
        <w:t xml:space="preserve">UPOV/EXN/DEN:  Explanatory Notes on Variety Denominations under the UPOV Convention (Revision): New variety denomination classes for </w:t>
      </w:r>
      <w:r w:rsidRPr="00F6643C">
        <w:rPr>
          <w:i w:val="0"/>
          <w:iCs/>
        </w:rPr>
        <w:t>Prunus</w:t>
      </w:r>
      <w:r>
        <w:tab/>
      </w:r>
      <w:r>
        <w:fldChar w:fldCharType="begin"/>
      </w:r>
      <w:r>
        <w:instrText xml:space="preserve"> PAGEREF _Toc191917572 \h </w:instrText>
      </w:r>
      <w:r>
        <w:fldChar w:fldCharType="separate"/>
      </w:r>
      <w:r>
        <w:t>6</w:t>
      </w:r>
      <w:r>
        <w:fldChar w:fldCharType="end"/>
      </w:r>
    </w:p>
    <w:p w14:paraId="324A3C95" w14:textId="259C7D01" w:rsidR="007472A1" w:rsidRDefault="007472A1">
      <w:pPr>
        <w:pStyle w:val="TOC1"/>
        <w:rPr>
          <w:rFonts w:asciiTheme="minorHAnsi" w:eastAsiaTheme="minorEastAsia" w:hAnsiTheme="minorHAnsi" w:cstheme="minorBidi"/>
          <w:bCs w:val="0"/>
          <w:caps w:val="0"/>
          <w:kern w:val="2"/>
          <w:sz w:val="24"/>
          <w:szCs w:val="24"/>
          <w14:ligatures w14:val="standardContextual"/>
        </w:rPr>
      </w:pPr>
      <w:r>
        <w:t>Discussion on disease resistance characteristics in DUS examination</w:t>
      </w:r>
      <w:r>
        <w:tab/>
      </w:r>
      <w:r>
        <w:fldChar w:fldCharType="begin"/>
      </w:r>
      <w:r>
        <w:instrText xml:space="preserve"> PAGEREF _Toc191917573 \h </w:instrText>
      </w:r>
      <w:r>
        <w:fldChar w:fldCharType="separate"/>
      </w:r>
      <w:r>
        <w:t>6</w:t>
      </w:r>
      <w:r>
        <w:fldChar w:fldCharType="end"/>
      </w:r>
    </w:p>
    <w:p w14:paraId="6502F0D3" w14:textId="660ECAD8" w:rsidR="007472A1" w:rsidRDefault="007472A1">
      <w:pPr>
        <w:pStyle w:val="TOC1"/>
        <w:rPr>
          <w:rFonts w:asciiTheme="minorHAnsi" w:eastAsiaTheme="minorEastAsia" w:hAnsiTheme="minorHAnsi" w:cstheme="minorBidi"/>
          <w:bCs w:val="0"/>
          <w:caps w:val="0"/>
          <w:kern w:val="2"/>
          <w:sz w:val="24"/>
          <w:szCs w:val="24"/>
          <w14:ligatures w14:val="standardContextual"/>
        </w:rPr>
      </w:pPr>
      <w:r w:rsidRPr="00F6643C">
        <w:rPr>
          <w:snapToGrid w:val="0"/>
        </w:rPr>
        <w:t>Matters arising from the Technical Working Parties</w:t>
      </w:r>
      <w:r>
        <w:tab/>
      </w:r>
      <w:r>
        <w:fldChar w:fldCharType="begin"/>
      </w:r>
      <w:r>
        <w:instrText xml:space="preserve"> PAGEREF _Toc191917574 \h </w:instrText>
      </w:r>
      <w:r>
        <w:fldChar w:fldCharType="separate"/>
      </w:r>
      <w:r>
        <w:t>7</w:t>
      </w:r>
      <w:r>
        <w:fldChar w:fldCharType="end"/>
      </w:r>
    </w:p>
    <w:p w14:paraId="3CDDC08B" w14:textId="4C2DFB14" w:rsidR="007472A1" w:rsidRDefault="007472A1">
      <w:pPr>
        <w:pStyle w:val="TOC2"/>
        <w:rPr>
          <w:rFonts w:asciiTheme="minorHAnsi" w:eastAsiaTheme="minorEastAsia" w:hAnsiTheme="minorHAnsi" w:cstheme="minorBidi"/>
          <w:kern w:val="2"/>
          <w:sz w:val="24"/>
          <w:szCs w:val="24"/>
          <w14:ligatures w14:val="standardContextual"/>
        </w:rPr>
      </w:pPr>
      <w:r w:rsidRPr="00F6643C">
        <w:rPr>
          <w:rFonts w:eastAsia="MS Mincho"/>
        </w:rPr>
        <w:t>Assessing distinctness in disease resistance characteristics</w:t>
      </w:r>
      <w:r>
        <w:tab/>
      </w:r>
      <w:r>
        <w:fldChar w:fldCharType="begin"/>
      </w:r>
      <w:r>
        <w:instrText xml:space="preserve"> PAGEREF _Toc191917575 \h </w:instrText>
      </w:r>
      <w:r>
        <w:fldChar w:fldCharType="separate"/>
      </w:r>
      <w:r>
        <w:t>7</w:t>
      </w:r>
      <w:r>
        <w:fldChar w:fldCharType="end"/>
      </w:r>
    </w:p>
    <w:p w14:paraId="223071EF" w14:textId="7D62B3E0" w:rsidR="007472A1" w:rsidRDefault="007472A1">
      <w:pPr>
        <w:pStyle w:val="TOC1"/>
        <w:rPr>
          <w:rFonts w:asciiTheme="minorHAnsi" w:eastAsiaTheme="minorEastAsia" w:hAnsiTheme="minorHAnsi" w:cstheme="minorBidi"/>
          <w:bCs w:val="0"/>
          <w:caps w:val="0"/>
          <w:kern w:val="2"/>
          <w:sz w:val="24"/>
          <w:szCs w:val="24"/>
          <w14:ligatures w14:val="standardContextual"/>
        </w:rPr>
      </w:pPr>
      <w:r>
        <w:t xml:space="preserve">seminar </w:t>
      </w:r>
      <w:r w:rsidRPr="00F6643C">
        <w:rPr>
          <w:snapToGrid w:val="0"/>
        </w:rPr>
        <w:t>on cooperation with breeders in DUS examination</w:t>
      </w:r>
      <w:r>
        <w:tab/>
      </w:r>
      <w:r>
        <w:fldChar w:fldCharType="begin"/>
      </w:r>
      <w:r>
        <w:instrText xml:space="preserve"> PAGEREF _Toc191917576 \h </w:instrText>
      </w:r>
      <w:r>
        <w:fldChar w:fldCharType="separate"/>
      </w:r>
      <w:r>
        <w:t>7</w:t>
      </w:r>
      <w:r>
        <w:fldChar w:fldCharType="end"/>
      </w:r>
    </w:p>
    <w:p w14:paraId="378FA4B5" w14:textId="088A5619" w:rsidR="007472A1" w:rsidRDefault="007472A1">
      <w:pPr>
        <w:pStyle w:val="TOC1"/>
        <w:rPr>
          <w:rFonts w:asciiTheme="minorHAnsi" w:eastAsiaTheme="minorEastAsia" w:hAnsiTheme="minorHAnsi" w:cstheme="minorBidi"/>
          <w:bCs w:val="0"/>
          <w:caps w:val="0"/>
          <w:kern w:val="2"/>
          <w:sz w:val="24"/>
          <w:szCs w:val="24"/>
          <w14:ligatures w14:val="standardContextual"/>
        </w:rPr>
      </w:pPr>
      <w:r>
        <w:t>Measures to improve support provided for DUS examination</w:t>
      </w:r>
      <w:r>
        <w:tab/>
      </w:r>
      <w:r>
        <w:fldChar w:fldCharType="begin"/>
      </w:r>
      <w:r>
        <w:instrText xml:space="preserve"> PAGEREF _Toc191917577 \h </w:instrText>
      </w:r>
      <w:r>
        <w:fldChar w:fldCharType="separate"/>
      </w:r>
      <w:r>
        <w:t>8</w:t>
      </w:r>
      <w:r>
        <w:fldChar w:fldCharType="end"/>
      </w:r>
    </w:p>
    <w:p w14:paraId="1CAE8727" w14:textId="3BA5402E" w:rsidR="007472A1" w:rsidRDefault="007472A1">
      <w:pPr>
        <w:pStyle w:val="TOC2"/>
        <w:rPr>
          <w:rFonts w:asciiTheme="minorHAnsi" w:eastAsiaTheme="minorEastAsia" w:hAnsiTheme="minorHAnsi" w:cstheme="minorBidi"/>
          <w:kern w:val="2"/>
          <w:sz w:val="24"/>
          <w:szCs w:val="24"/>
          <w14:ligatures w14:val="standardContextual"/>
        </w:rPr>
      </w:pPr>
      <w:r>
        <w:t>TGP Documents: subgroups and leading experts</w:t>
      </w:r>
      <w:r>
        <w:tab/>
      </w:r>
      <w:r>
        <w:fldChar w:fldCharType="begin"/>
      </w:r>
      <w:r>
        <w:instrText xml:space="preserve"> PAGEREF _Toc191917578 \h </w:instrText>
      </w:r>
      <w:r>
        <w:fldChar w:fldCharType="separate"/>
      </w:r>
      <w:r>
        <w:t>8</w:t>
      </w:r>
      <w:r>
        <w:fldChar w:fldCharType="end"/>
      </w:r>
    </w:p>
    <w:p w14:paraId="6E839D03" w14:textId="795AADAE" w:rsidR="007472A1" w:rsidRDefault="007472A1">
      <w:pPr>
        <w:pStyle w:val="TOC2"/>
        <w:rPr>
          <w:rFonts w:asciiTheme="minorHAnsi" w:eastAsiaTheme="minorEastAsia" w:hAnsiTheme="minorHAnsi" w:cstheme="minorBidi"/>
          <w:kern w:val="2"/>
          <w:sz w:val="24"/>
          <w:szCs w:val="24"/>
          <w14:ligatures w14:val="standardContextual"/>
        </w:rPr>
      </w:pPr>
      <w:r>
        <w:t>Performance indicators</w:t>
      </w:r>
      <w:r>
        <w:tab/>
      </w:r>
      <w:r>
        <w:fldChar w:fldCharType="begin"/>
      </w:r>
      <w:r>
        <w:instrText xml:space="preserve"> PAGEREF _Toc191917579 \h </w:instrText>
      </w:r>
      <w:r>
        <w:fldChar w:fldCharType="separate"/>
      </w:r>
      <w:r>
        <w:t>8</w:t>
      </w:r>
      <w:r>
        <w:fldChar w:fldCharType="end"/>
      </w:r>
    </w:p>
    <w:p w14:paraId="5C58A8C5" w14:textId="4A2B5E9F" w:rsidR="004839D7" w:rsidRPr="001D3FDF" w:rsidRDefault="004839D7" w:rsidP="00C27FA8">
      <w:pPr>
        <w:spacing w:before="120" w:after="120"/>
        <w:ind w:left="1134" w:hanging="1134"/>
        <w:jc w:val="left"/>
      </w:pPr>
      <w:r w:rsidRPr="001D3FDF">
        <w:rPr>
          <w:highlight w:val="cyan"/>
        </w:rPr>
        <w:fldChar w:fldCharType="end"/>
      </w:r>
    </w:p>
    <w:p w14:paraId="63CA5774" w14:textId="77777777" w:rsidR="005F6C47" w:rsidRPr="001D3FDF" w:rsidRDefault="005F6C47" w:rsidP="005F6C47">
      <w:pPr>
        <w:keepNext/>
        <w:rPr>
          <w:rFonts w:cs="Arial"/>
        </w:rPr>
      </w:pPr>
      <w:r w:rsidRPr="001D3FDF">
        <w:rPr>
          <w:rFonts w:cs="Arial"/>
        </w:rPr>
        <w:fldChar w:fldCharType="begin"/>
      </w:r>
      <w:r w:rsidRPr="001D3FDF">
        <w:rPr>
          <w:rFonts w:cs="Arial"/>
        </w:rPr>
        <w:instrText xml:space="preserve"> AUTONUM  </w:instrText>
      </w:r>
      <w:r w:rsidRPr="001D3FDF">
        <w:rPr>
          <w:rFonts w:cs="Arial"/>
        </w:rPr>
        <w:fldChar w:fldCharType="end"/>
      </w:r>
      <w:r w:rsidRPr="001D3FDF">
        <w:rPr>
          <w:rFonts w:cs="Arial"/>
        </w:rPr>
        <w:tab/>
        <w:t>The following abbreviations are used in this document:</w:t>
      </w:r>
    </w:p>
    <w:p w14:paraId="6489DD92" w14:textId="77777777" w:rsidR="005F6C47" w:rsidRPr="001D3FDF" w:rsidRDefault="005F6C47" w:rsidP="005F6C47">
      <w:pPr>
        <w:keepNext/>
        <w:ind w:left="1701" w:hanging="1134"/>
        <w:rPr>
          <w:rFonts w:cs="Arial"/>
        </w:rPr>
      </w:pPr>
    </w:p>
    <w:p w14:paraId="1806217A" w14:textId="77777777" w:rsidR="005F6C47" w:rsidRPr="001D3FDF" w:rsidRDefault="005F6C47" w:rsidP="005F6C47">
      <w:pPr>
        <w:keepNext/>
        <w:ind w:left="1701" w:hanging="1134"/>
        <w:rPr>
          <w:rFonts w:cs="Arial"/>
        </w:rPr>
      </w:pPr>
      <w:r w:rsidRPr="001D3FDF">
        <w:rPr>
          <w:rFonts w:cs="Arial"/>
        </w:rPr>
        <w:t>CAJ:</w:t>
      </w:r>
      <w:r w:rsidRPr="001D3FDF">
        <w:rPr>
          <w:rFonts w:cs="Arial"/>
        </w:rPr>
        <w:tab/>
        <w:t>Administrative and Legal Committee</w:t>
      </w:r>
    </w:p>
    <w:p w14:paraId="3E3F0D54" w14:textId="77777777" w:rsidR="005F6C47" w:rsidRPr="001D3FDF" w:rsidRDefault="005F6C47" w:rsidP="005F6C47">
      <w:pPr>
        <w:keepNext/>
        <w:ind w:left="1701" w:hanging="1134"/>
        <w:rPr>
          <w:rFonts w:cs="Arial"/>
        </w:rPr>
      </w:pPr>
      <w:r w:rsidRPr="001D3FDF">
        <w:rPr>
          <w:rFonts w:cs="Arial"/>
        </w:rPr>
        <w:t xml:space="preserve">TC:  </w:t>
      </w:r>
      <w:r w:rsidRPr="001D3FDF">
        <w:rPr>
          <w:rFonts w:cs="Arial"/>
        </w:rPr>
        <w:tab/>
        <w:t>Technical Committee</w:t>
      </w:r>
    </w:p>
    <w:p w14:paraId="13EF1859" w14:textId="77777777" w:rsidR="005F6C47" w:rsidRPr="001D3FDF" w:rsidRDefault="005F6C47" w:rsidP="005F6C47">
      <w:pPr>
        <w:ind w:left="1701" w:hanging="1134"/>
        <w:rPr>
          <w:rFonts w:cs="Arial"/>
        </w:rPr>
      </w:pPr>
      <w:r w:rsidRPr="001D3FDF">
        <w:rPr>
          <w:rFonts w:cs="Arial"/>
        </w:rPr>
        <w:t xml:space="preserve">TWA:  </w:t>
      </w:r>
      <w:r w:rsidRPr="001D3FDF">
        <w:rPr>
          <w:rFonts w:cs="Arial"/>
        </w:rPr>
        <w:tab/>
        <w:t>Technical Working Party for Agricultural Crops</w:t>
      </w:r>
    </w:p>
    <w:p w14:paraId="5685D716" w14:textId="77777777" w:rsidR="005F6C47" w:rsidRPr="001D3FDF" w:rsidRDefault="005F6C47" w:rsidP="005F6C47">
      <w:pPr>
        <w:ind w:left="1701" w:hanging="1134"/>
        <w:rPr>
          <w:rFonts w:cs="Arial"/>
        </w:rPr>
      </w:pPr>
      <w:r w:rsidRPr="001D3FDF">
        <w:rPr>
          <w:rFonts w:cs="Arial"/>
        </w:rPr>
        <w:t xml:space="preserve">TWF:  </w:t>
      </w:r>
      <w:r w:rsidRPr="001D3FDF">
        <w:rPr>
          <w:rFonts w:cs="Arial"/>
        </w:rPr>
        <w:tab/>
        <w:t xml:space="preserve">Technical Working Party for Fruit Crops </w:t>
      </w:r>
    </w:p>
    <w:p w14:paraId="67994F24" w14:textId="77777777" w:rsidR="005F6C47" w:rsidRPr="001D3FDF" w:rsidRDefault="005F6C47" w:rsidP="005F6C47">
      <w:pPr>
        <w:ind w:left="1701" w:hanging="1134"/>
        <w:rPr>
          <w:rFonts w:cs="Arial"/>
        </w:rPr>
      </w:pPr>
      <w:r w:rsidRPr="001D3FDF">
        <w:rPr>
          <w:rFonts w:cs="Arial"/>
        </w:rPr>
        <w:t>TWM:</w:t>
      </w:r>
      <w:r w:rsidRPr="001D3FDF">
        <w:rPr>
          <w:rFonts w:cs="Arial"/>
        </w:rPr>
        <w:tab/>
        <w:t>Technical Working Party on Testing Methods and Techniques</w:t>
      </w:r>
    </w:p>
    <w:p w14:paraId="7F7E0459" w14:textId="77777777" w:rsidR="005F6C47" w:rsidRPr="001D3FDF" w:rsidRDefault="005F6C47" w:rsidP="005F6C47">
      <w:pPr>
        <w:ind w:left="1701" w:hanging="1134"/>
        <w:rPr>
          <w:rFonts w:cs="Arial"/>
        </w:rPr>
      </w:pPr>
      <w:r w:rsidRPr="001D3FDF">
        <w:rPr>
          <w:rFonts w:cs="Arial"/>
        </w:rPr>
        <w:t xml:space="preserve">TWO:  </w:t>
      </w:r>
      <w:r w:rsidRPr="001D3FDF">
        <w:rPr>
          <w:rFonts w:cs="Arial"/>
        </w:rPr>
        <w:tab/>
        <w:t xml:space="preserve">Technical Working Party for Ornamental Plants and Forest Trees </w:t>
      </w:r>
    </w:p>
    <w:p w14:paraId="2079B63B" w14:textId="77777777" w:rsidR="005F6C47" w:rsidRPr="001D3FDF" w:rsidRDefault="005F6C47" w:rsidP="005F6C47">
      <w:pPr>
        <w:ind w:left="1701" w:hanging="1134"/>
        <w:rPr>
          <w:rFonts w:cs="Arial"/>
        </w:rPr>
      </w:pPr>
      <w:r w:rsidRPr="001D3FDF">
        <w:rPr>
          <w:rFonts w:cs="Arial"/>
        </w:rPr>
        <w:t xml:space="preserve">TWV:  </w:t>
      </w:r>
      <w:r w:rsidRPr="001D3FDF">
        <w:rPr>
          <w:rFonts w:cs="Arial"/>
        </w:rPr>
        <w:tab/>
        <w:t>Technical Working Party for Vegetables</w:t>
      </w:r>
    </w:p>
    <w:p w14:paraId="7850BE7C" w14:textId="77777777" w:rsidR="005F6C47" w:rsidRPr="001D3FDF" w:rsidRDefault="005F6C47" w:rsidP="005F6C47">
      <w:pPr>
        <w:ind w:left="1701" w:hanging="1134"/>
        <w:rPr>
          <w:rFonts w:cs="Arial"/>
          <w:color w:val="000000"/>
        </w:rPr>
      </w:pPr>
      <w:r w:rsidRPr="001D3FDF">
        <w:rPr>
          <w:rFonts w:cs="Arial"/>
          <w:color w:val="000000"/>
        </w:rPr>
        <w:t>TWPs:</w:t>
      </w:r>
      <w:r w:rsidRPr="001D3FDF">
        <w:rPr>
          <w:rFonts w:cs="Arial"/>
          <w:color w:val="000000"/>
        </w:rPr>
        <w:tab/>
        <w:t xml:space="preserve">Technical Working Parties </w:t>
      </w:r>
    </w:p>
    <w:p w14:paraId="7BEB5179" w14:textId="77777777" w:rsidR="005F6C47" w:rsidRPr="001D3FDF" w:rsidRDefault="005F6C47" w:rsidP="005F6C47"/>
    <w:p w14:paraId="50607DFA" w14:textId="77777777" w:rsidR="00903264" w:rsidRPr="001D3FDF" w:rsidRDefault="00903264">
      <w:pPr>
        <w:jc w:val="left"/>
      </w:pPr>
    </w:p>
    <w:p w14:paraId="6C9FBE85" w14:textId="1E896EE9" w:rsidR="005F6C47" w:rsidRPr="001D3FDF" w:rsidRDefault="005F6C47" w:rsidP="00C27FA8">
      <w:pPr>
        <w:pStyle w:val="Heading1"/>
      </w:pPr>
      <w:bookmarkStart w:id="3" w:name="_Toc191917551"/>
      <w:r w:rsidRPr="001D3FDF">
        <w:lastRenderedPageBreak/>
        <w:t>Guidance and information materials</w:t>
      </w:r>
      <w:r w:rsidR="00BA25C9">
        <w:t xml:space="preserve"> – matters for consideration</w:t>
      </w:r>
      <w:bookmarkEnd w:id="3"/>
    </w:p>
    <w:p w14:paraId="127881B0" w14:textId="77777777" w:rsidR="00C5314B" w:rsidRPr="001D3FDF" w:rsidRDefault="00C5314B" w:rsidP="00C27FA8">
      <w:pPr>
        <w:keepNext/>
        <w:shd w:val="clear" w:color="auto" w:fill="FFFFFF" w:themeFill="background1"/>
        <w:rPr>
          <w:lang w:eastAsia="ja-JP"/>
        </w:rPr>
      </w:pPr>
    </w:p>
    <w:p w14:paraId="5FDB6E7D" w14:textId="77777777" w:rsidR="007740E9" w:rsidRPr="001D3FDF" w:rsidRDefault="007740E9" w:rsidP="00C27FA8">
      <w:pPr>
        <w:pStyle w:val="Heading2"/>
      </w:pPr>
      <w:bookmarkStart w:id="4" w:name="_Toc191917552"/>
      <w:r w:rsidRPr="001D3FDF">
        <w:t>TGP Documents</w:t>
      </w:r>
      <w:bookmarkEnd w:id="4"/>
    </w:p>
    <w:p w14:paraId="7CB29F0C" w14:textId="77777777" w:rsidR="005F6C47" w:rsidRPr="001D3FDF" w:rsidRDefault="005F6C47" w:rsidP="00C27FA8">
      <w:pPr>
        <w:keepNext/>
        <w:shd w:val="clear" w:color="auto" w:fill="FFFFFF" w:themeFill="background1"/>
        <w:jc w:val="left"/>
      </w:pPr>
    </w:p>
    <w:p w14:paraId="5B5BFA32" w14:textId="39F7963B" w:rsidR="0013127A" w:rsidRPr="001D3FDF" w:rsidRDefault="00B77A66" w:rsidP="00C27FA8">
      <w:pPr>
        <w:pStyle w:val="Heading3"/>
      </w:pPr>
      <w:bookmarkStart w:id="5" w:name="_Hlk173427749"/>
      <w:bookmarkStart w:id="6" w:name="_Toc144995604"/>
      <w:bookmarkStart w:id="7" w:name="_Toc176335738"/>
      <w:bookmarkStart w:id="8" w:name="_Toc191917553"/>
      <w:r>
        <w:t xml:space="preserve">Document </w:t>
      </w:r>
      <w:r w:rsidR="0013127A" w:rsidRPr="001D3FDF">
        <w:t xml:space="preserve">TGP/5 “Experience and Cooperation in DUS Testing”, Section 6 “UPOV Report on Technical Examination and UPOV Variety Description” </w:t>
      </w:r>
      <w:bookmarkEnd w:id="5"/>
      <w:r w:rsidR="0013127A" w:rsidRPr="001D3FDF">
        <w:t>(Revision)</w:t>
      </w:r>
      <w:bookmarkEnd w:id="6"/>
      <w:bookmarkEnd w:id="7"/>
      <w:bookmarkEnd w:id="8"/>
    </w:p>
    <w:p w14:paraId="729A3085" w14:textId="77777777" w:rsidR="0013127A" w:rsidRDefault="0013127A" w:rsidP="00C27FA8">
      <w:pPr>
        <w:keepNext/>
      </w:pPr>
    </w:p>
    <w:p w14:paraId="5E5F4E9A" w14:textId="4DB47418" w:rsidR="000C7744" w:rsidRDefault="000C7744" w:rsidP="00C27FA8">
      <w:pPr>
        <w:keepNext/>
      </w:pPr>
      <w:r>
        <w:tab/>
        <w:t xml:space="preserve">See </w:t>
      </w:r>
      <w:hyperlink r:id="rId12" w:history="1">
        <w:r w:rsidRPr="007A60C4">
          <w:rPr>
            <w:rStyle w:val="Hyperlink"/>
          </w:rPr>
          <w:t xml:space="preserve">document </w:t>
        </w:r>
        <w:r w:rsidR="007A60C4" w:rsidRPr="007A60C4">
          <w:rPr>
            <w:rStyle w:val="Hyperlink"/>
          </w:rPr>
          <w:t>TGP/5, Section 6 (draft 1)</w:t>
        </w:r>
      </w:hyperlink>
    </w:p>
    <w:p w14:paraId="76ED8F05" w14:textId="77777777" w:rsidR="000C7744" w:rsidRPr="001D3FDF" w:rsidRDefault="000C7744" w:rsidP="0013127A">
      <w:pPr>
        <w:keepNext/>
      </w:pPr>
    </w:p>
    <w:p w14:paraId="20444EC9" w14:textId="47D84830" w:rsidR="0013127A" w:rsidRPr="001D3FDF" w:rsidRDefault="0013127A" w:rsidP="0013127A">
      <w:r w:rsidRPr="001D3FDF">
        <w:fldChar w:fldCharType="begin"/>
      </w:r>
      <w:r w:rsidRPr="001D3FDF">
        <w:instrText xml:space="preserve"> AUTONUM  </w:instrText>
      </w:r>
      <w:r w:rsidRPr="001D3FDF">
        <w:fldChar w:fldCharType="end"/>
      </w:r>
      <w:r w:rsidRPr="001D3FDF">
        <w:tab/>
        <w:t>The TC</w:t>
      </w:r>
      <w:bookmarkStart w:id="9" w:name="_Ref189227889"/>
      <w:r w:rsidR="00450619" w:rsidRPr="001D3FDF">
        <w:rPr>
          <w:rStyle w:val="FootnoteReference"/>
        </w:rPr>
        <w:footnoteReference w:id="2"/>
      </w:r>
      <w:bookmarkEnd w:id="9"/>
      <w:r w:rsidRPr="001D3FDF">
        <w:t xml:space="preserve"> agreed with the proposal to include additional explanations for document TGP/5, Section 6, item 16 “Similar varieties and differences from these varieties”, reproduced as follows:</w:t>
      </w:r>
    </w:p>
    <w:p w14:paraId="778F4138" w14:textId="77777777" w:rsidR="0013127A" w:rsidRPr="001D3FDF" w:rsidRDefault="0013127A" w:rsidP="0013127A"/>
    <w:p w14:paraId="4DC5F721" w14:textId="77777777" w:rsidR="0013127A" w:rsidRPr="001D3FDF" w:rsidRDefault="0013127A" w:rsidP="0013127A">
      <w:pPr>
        <w:keepNext/>
        <w:ind w:left="567" w:right="708"/>
        <w:rPr>
          <w:rFonts w:cs="Arial"/>
          <w:sz w:val="18"/>
          <w:szCs w:val="18"/>
        </w:rPr>
      </w:pPr>
      <w:r w:rsidRPr="001D3FDF">
        <w:rPr>
          <w:rFonts w:cs="Arial"/>
          <w:sz w:val="18"/>
          <w:szCs w:val="18"/>
        </w:rPr>
        <w:t>“16.</w:t>
      </w:r>
      <w:r w:rsidRPr="001D3FDF">
        <w:rPr>
          <w:rFonts w:cs="Arial"/>
          <w:sz w:val="18"/>
          <w:szCs w:val="18"/>
        </w:rPr>
        <w:tab/>
      </w:r>
      <w:r w:rsidRPr="001D3FDF">
        <w:rPr>
          <w:rFonts w:cs="Arial"/>
          <w:sz w:val="18"/>
          <w:szCs w:val="18"/>
          <w:u w:val="single"/>
        </w:rPr>
        <w:t>Similar Varieties and Differences from These Varieties</w:t>
      </w:r>
    </w:p>
    <w:p w14:paraId="3EA69B82" w14:textId="77777777" w:rsidR="0013127A" w:rsidRPr="001D3FDF" w:rsidRDefault="0013127A" w:rsidP="0013127A">
      <w:pPr>
        <w:keepNext/>
        <w:ind w:left="567" w:right="708"/>
        <w:rPr>
          <w:rFonts w:cs="Arial"/>
          <w:sz w:val="18"/>
          <w:szCs w:val="18"/>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303"/>
        <w:gridCol w:w="2304"/>
        <w:gridCol w:w="2339"/>
        <w:gridCol w:w="2268"/>
      </w:tblGrid>
      <w:tr w:rsidR="0013127A" w:rsidRPr="001D3FDF" w14:paraId="2EE29973" w14:textId="77777777" w:rsidTr="00345149">
        <w:tc>
          <w:tcPr>
            <w:tcW w:w="2303" w:type="dxa"/>
            <w:vAlign w:val="center"/>
          </w:tcPr>
          <w:p w14:paraId="18A8A0FF" w14:textId="77777777" w:rsidR="0013127A" w:rsidRPr="001D3FDF" w:rsidRDefault="0013127A" w:rsidP="00345149">
            <w:pPr>
              <w:keepNext/>
              <w:jc w:val="center"/>
              <w:rPr>
                <w:sz w:val="18"/>
                <w:szCs w:val="18"/>
              </w:rPr>
            </w:pPr>
            <w:r w:rsidRPr="001D3FDF">
              <w:rPr>
                <w:sz w:val="18"/>
                <w:szCs w:val="18"/>
              </w:rPr>
              <w:t>Denomination(s) of variety(</w:t>
            </w:r>
            <w:proofErr w:type="spellStart"/>
            <w:r w:rsidRPr="001D3FDF">
              <w:rPr>
                <w:sz w:val="18"/>
                <w:szCs w:val="18"/>
              </w:rPr>
              <w:t>ies</w:t>
            </w:r>
            <w:proofErr w:type="spellEnd"/>
            <w:r w:rsidRPr="001D3FDF">
              <w:rPr>
                <w:sz w:val="18"/>
                <w:szCs w:val="18"/>
              </w:rPr>
              <w:t xml:space="preserve">) </w:t>
            </w:r>
            <w:proofErr w:type="gramStart"/>
            <w:r w:rsidRPr="001D3FDF">
              <w:rPr>
                <w:sz w:val="18"/>
                <w:szCs w:val="18"/>
              </w:rPr>
              <w:t>similar to</w:t>
            </w:r>
            <w:proofErr w:type="gramEnd"/>
            <w:r w:rsidRPr="001D3FDF">
              <w:rPr>
                <w:sz w:val="18"/>
                <w:szCs w:val="18"/>
              </w:rPr>
              <w:t xml:space="preserve"> the candidate variety</w:t>
            </w:r>
          </w:p>
        </w:tc>
        <w:tc>
          <w:tcPr>
            <w:tcW w:w="2304" w:type="dxa"/>
            <w:vAlign w:val="center"/>
          </w:tcPr>
          <w:p w14:paraId="18351727" w14:textId="77777777" w:rsidR="0013127A" w:rsidRPr="001D3FDF" w:rsidRDefault="0013127A" w:rsidP="00345149">
            <w:pPr>
              <w:keepNext/>
              <w:jc w:val="center"/>
              <w:rPr>
                <w:sz w:val="18"/>
                <w:szCs w:val="18"/>
              </w:rPr>
            </w:pPr>
            <w:r w:rsidRPr="001D3FDF">
              <w:rPr>
                <w:sz w:val="18"/>
                <w:szCs w:val="18"/>
              </w:rPr>
              <w:t>Characteristic(s) in which the candidate variety differs from the similar variety(</w:t>
            </w:r>
            <w:proofErr w:type="spellStart"/>
            <w:r w:rsidRPr="001D3FDF">
              <w:rPr>
                <w:sz w:val="18"/>
                <w:szCs w:val="18"/>
              </w:rPr>
              <w:t>ies</w:t>
            </w:r>
            <w:proofErr w:type="spellEnd"/>
            <w:r w:rsidRPr="001D3FDF">
              <w:rPr>
                <w:sz w:val="18"/>
                <w:szCs w:val="18"/>
              </w:rPr>
              <w:t>)1)</w:t>
            </w:r>
          </w:p>
        </w:tc>
        <w:tc>
          <w:tcPr>
            <w:tcW w:w="2339" w:type="dxa"/>
            <w:vAlign w:val="center"/>
          </w:tcPr>
          <w:p w14:paraId="47C5F5B4" w14:textId="77777777" w:rsidR="0013127A" w:rsidRPr="001D3FDF" w:rsidRDefault="0013127A" w:rsidP="00345149">
            <w:pPr>
              <w:keepNext/>
              <w:jc w:val="center"/>
              <w:rPr>
                <w:sz w:val="18"/>
                <w:szCs w:val="18"/>
              </w:rPr>
            </w:pPr>
            <w:r w:rsidRPr="001D3FDF">
              <w:rPr>
                <w:sz w:val="18"/>
                <w:szCs w:val="18"/>
              </w:rPr>
              <w:t>State of expression of the characteristic(s) for the similar variety(</w:t>
            </w:r>
            <w:proofErr w:type="spellStart"/>
            <w:r w:rsidRPr="001D3FDF">
              <w:rPr>
                <w:sz w:val="18"/>
                <w:szCs w:val="18"/>
              </w:rPr>
              <w:t>ies</w:t>
            </w:r>
            <w:proofErr w:type="spellEnd"/>
            <w:r w:rsidRPr="001D3FDF">
              <w:rPr>
                <w:sz w:val="18"/>
                <w:szCs w:val="18"/>
              </w:rPr>
              <w:t>) 2)</w:t>
            </w:r>
          </w:p>
        </w:tc>
        <w:tc>
          <w:tcPr>
            <w:tcW w:w="2268" w:type="dxa"/>
            <w:vAlign w:val="center"/>
          </w:tcPr>
          <w:p w14:paraId="106FDF9F" w14:textId="77777777" w:rsidR="0013127A" w:rsidRPr="001D3FDF" w:rsidRDefault="0013127A" w:rsidP="00345149">
            <w:pPr>
              <w:keepNext/>
              <w:jc w:val="center"/>
              <w:rPr>
                <w:sz w:val="18"/>
                <w:szCs w:val="18"/>
              </w:rPr>
            </w:pPr>
            <w:r w:rsidRPr="001D3FDF">
              <w:rPr>
                <w:sz w:val="18"/>
                <w:szCs w:val="18"/>
              </w:rPr>
              <w:t>State of expression of the characteristic(s) for the candidate variety2)</w:t>
            </w:r>
          </w:p>
        </w:tc>
      </w:tr>
    </w:tbl>
    <w:p w14:paraId="46259D94" w14:textId="77777777" w:rsidR="0013127A" w:rsidRDefault="0013127A" w:rsidP="0013127A">
      <w:pPr>
        <w:ind w:left="567" w:right="708"/>
        <w:rPr>
          <w:sz w:val="18"/>
          <w:szCs w:val="18"/>
        </w:rPr>
      </w:pPr>
    </w:p>
    <w:p w14:paraId="65F775BF" w14:textId="37927F2B" w:rsidR="00BA25C9" w:rsidRDefault="00BA25C9" w:rsidP="0013127A">
      <w:pPr>
        <w:ind w:left="567" w:right="708"/>
        <w:rPr>
          <w:sz w:val="18"/>
          <w:szCs w:val="18"/>
        </w:rPr>
      </w:pPr>
      <w:r>
        <w:rPr>
          <w:sz w:val="18"/>
          <w:szCs w:val="18"/>
        </w:rPr>
        <w:t xml:space="preserve">[…] </w:t>
      </w:r>
    </w:p>
    <w:p w14:paraId="3E336A8F" w14:textId="77777777" w:rsidR="00BA25C9" w:rsidRPr="001D3FDF" w:rsidRDefault="00BA25C9" w:rsidP="0013127A">
      <w:pPr>
        <w:ind w:left="567" w:right="708"/>
        <w:rPr>
          <w:sz w:val="18"/>
          <w:szCs w:val="18"/>
        </w:rPr>
      </w:pPr>
    </w:p>
    <w:p w14:paraId="2C1B1793" w14:textId="13E51949" w:rsidR="0013127A" w:rsidRPr="001D3FDF" w:rsidRDefault="0013127A" w:rsidP="00620549">
      <w:pPr>
        <w:keepNext/>
        <w:ind w:left="567" w:right="708"/>
        <w:rPr>
          <w:rFonts w:cs="Arial"/>
          <w:sz w:val="18"/>
          <w:szCs w:val="18"/>
        </w:rPr>
      </w:pPr>
      <w:r w:rsidRPr="001D3FDF">
        <w:rPr>
          <w:rFonts w:cs="Arial"/>
          <w:sz w:val="18"/>
          <w:szCs w:val="18"/>
        </w:rPr>
        <w:t>18.</w:t>
      </w:r>
      <w:r w:rsidRPr="001D3FDF">
        <w:rPr>
          <w:rFonts w:cs="Arial"/>
          <w:sz w:val="18"/>
          <w:szCs w:val="18"/>
        </w:rPr>
        <w:tab/>
      </w:r>
      <w:r w:rsidRPr="001D3FDF">
        <w:rPr>
          <w:rFonts w:cs="Arial"/>
          <w:sz w:val="18"/>
          <w:szCs w:val="18"/>
          <w:u w:val="single"/>
        </w:rPr>
        <w:t>Explanatory Notes to the Annex: UPOV Variety Description</w:t>
      </w:r>
    </w:p>
    <w:p w14:paraId="26642FF4" w14:textId="77777777" w:rsidR="0013127A" w:rsidRPr="001D3FDF" w:rsidRDefault="0013127A" w:rsidP="00620549">
      <w:pPr>
        <w:keepNext/>
        <w:ind w:left="567" w:right="708"/>
        <w:rPr>
          <w:rFonts w:cs="Arial"/>
          <w:color w:val="000000"/>
          <w:sz w:val="18"/>
          <w:szCs w:val="18"/>
          <w:u w:val="single"/>
        </w:rPr>
      </w:pPr>
    </w:p>
    <w:p w14:paraId="6C907D67" w14:textId="77777777" w:rsidR="0013127A" w:rsidRPr="001D3FDF" w:rsidRDefault="0013127A" w:rsidP="00620549">
      <w:pPr>
        <w:keepNext/>
        <w:ind w:left="567" w:right="708"/>
        <w:rPr>
          <w:rFonts w:cs="Arial"/>
          <w:color w:val="000000"/>
          <w:sz w:val="18"/>
          <w:szCs w:val="18"/>
        </w:rPr>
      </w:pPr>
      <w:r w:rsidRPr="001D3FDF">
        <w:rPr>
          <w:rFonts w:cs="Arial"/>
          <w:color w:val="000000"/>
          <w:sz w:val="18"/>
          <w:szCs w:val="18"/>
        </w:rPr>
        <w:t>[…]</w:t>
      </w:r>
    </w:p>
    <w:p w14:paraId="7E27C97B" w14:textId="77777777" w:rsidR="0013127A" w:rsidRPr="001D3FDF" w:rsidRDefault="0013127A" w:rsidP="00620549">
      <w:pPr>
        <w:keepNext/>
        <w:ind w:left="567" w:right="708"/>
        <w:rPr>
          <w:rFonts w:cs="Arial"/>
          <w:sz w:val="18"/>
          <w:szCs w:val="18"/>
        </w:rPr>
      </w:pPr>
    </w:p>
    <w:p w14:paraId="576977A2" w14:textId="77777777" w:rsidR="0013127A" w:rsidRPr="001D3FDF" w:rsidRDefault="0013127A" w:rsidP="00620549">
      <w:pPr>
        <w:keepNext/>
        <w:ind w:left="567" w:right="708"/>
        <w:rPr>
          <w:rFonts w:cs="Arial"/>
          <w:sz w:val="18"/>
          <w:szCs w:val="18"/>
          <w:u w:val="single"/>
        </w:rPr>
      </w:pPr>
      <w:r w:rsidRPr="001D3FDF">
        <w:rPr>
          <w:rFonts w:cs="Arial"/>
          <w:sz w:val="18"/>
          <w:szCs w:val="18"/>
        </w:rPr>
        <w:t>“(d)</w:t>
      </w:r>
      <w:r w:rsidRPr="001D3FDF">
        <w:rPr>
          <w:rFonts w:cs="Arial"/>
          <w:sz w:val="18"/>
          <w:szCs w:val="18"/>
        </w:rPr>
        <w:tab/>
      </w:r>
      <w:r w:rsidRPr="001D3FDF">
        <w:rPr>
          <w:rFonts w:cs="Arial"/>
          <w:sz w:val="18"/>
          <w:szCs w:val="18"/>
          <w:u w:val="single"/>
        </w:rPr>
        <w:t>Ad Number 16 (Annex: UPOV Variety Description)</w:t>
      </w:r>
    </w:p>
    <w:p w14:paraId="041F56C0" w14:textId="77777777" w:rsidR="0013127A" w:rsidRPr="001D3FDF" w:rsidRDefault="0013127A" w:rsidP="0013127A">
      <w:pPr>
        <w:ind w:left="567" w:right="708"/>
        <w:rPr>
          <w:rFonts w:cs="Arial"/>
          <w:sz w:val="18"/>
          <w:szCs w:val="18"/>
        </w:rPr>
      </w:pPr>
    </w:p>
    <w:p w14:paraId="414FAF82" w14:textId="77777777" w:rsidR="0013127A" w:rsidRPr="001D3FDF" w:rsidRDefault="0013127A" w:rsidP="0013127A">
      <w:pPr>
        <w:ind w:left="567" w:right="708"/>
        <w:rPr>
          <w:rFonts w:cs="Arial"/>
          <w:sz w:val="18"/>
          <w:szCs w:val="18"/>
          <w:u w:val="single"/>
        </w:rPr>
      </w:pPr>
      <w:r w:rsidRPr="001D3FDF">
        <w:rPr>
          <w:rFonts w:cs="Arial"/>
          <w:sz w:val="18"/>
          <w:szCs w:val="18"/>
          <w:highlight w:val="lightGray"/>
          <w:u w:val="single"/>
        </w:rPr>
        <w:t>“1)</w:t>
      </w:r>
      <w:r w:rsidRPr="001D3FDF">
        <w:rPr>
          <w:rFonts w:cs="Arial"/>
          <w:sz w:val="18"/>
          <w:szCs w:val="18"/>
          <w:highlight w:val="lightGray"/>
          <w:u w:val="single"/>
        </w:rPr>
        <w:tab/>
        <w:t>A similar variety(</w:t>
      </w:r>
      <w:proofErr w:type="spellStart"/>
      <w:r w:rsidRPr="001D3FDF">
        <w:rPr>
          <w:rFonts w:cs="Arial"/>
          <w:sz w:val="18"/>
          <w:szCs w:val="18"/>
          <w:highlight w:val="lightGray"/>
          <w:u w:val="single"/>
        </w:rPr>
        <w:t>ies</w:t>
      </w:r>
      <w:proofErr w:type="spellEnd"/>
      <w:r w:rsidRPr="001D3FDF">
        <w:rPr>
          <w:rFonts w:cs="Arial"/>
          <w:sz w:val="18"/>
          <w:szCs w:val="18"/>
          <w:highlight w:val="lightGray"/>
          <w:u w:val="single"/>
        </w:rPr>
        <w:t>) should be indicated. If no similar variety was identified, ‘none’ should be stated.</w:t>
      </w:r>
    </w:p>
    <w:p w14:paraId="290CEB10" w14:textId="77777777" w:rsidR="0013127A" w:rsidRPr="001D3FDF" w:rsidRDefault="0013127A" w:rsidP="0013127A">
      <w:pPr>
        <w:ind w:left="567" w:right="708"/>
        <w:rPr>
          <w:rFonts w:cs="Arial"/>
          <w:sz w:val="18"/>
          <w:szCs w:val="18"/>
        </w:rPr>
      </w:pPr>
    </w:p>
    <w:p w14:paraId="6FA2A0AC" w14:textId="77777777" w:rsidR="0013127A" w:rsidRPr="001D3FDF" w:rsidRDefault="0013127A" w:rsidP="0013127A">
      <w:pPr>
        <w:ind w:left="567" w:right="708"/>
        <w:rPr>
          <w:rFonts w:cs="Arial"/>
          <w:sz w:val="18"/>
          <w:szCs w:val="18"/>
        </w:rPr>
      </w:pPr>
      <w:r w:rsidRPr="001D3FDF">
        <w:rPr>
          <w:rFonts w:cs="Arial"/>
          <w:sz w:val="18"/>
          <w:szCs w:val="18"/>
        </w:rPr>
        <w:t>“2)</w:t>
      </w:r>
      <w:r w:rsidRPr="001D3FDF">
        <w:rPr>
          <w:rFonts w:cs="Arial"/>
          <w:sz w:val="18"/>
          <w:szCs w:val="18"/>
        </w:rPr>
        <w:tab/>
        <w:t>In the case of identical states of expression of both varieties, please indicate the size of the difference.</w:t>
      </w:r>
    </w:p>
    <w:p w14:paraId="4CFADAD9" w14:textId="77777777" w:rsidR="0013127A" w:rsidRPr="001D3FDF" w:rsidRDefault="0013127A" w:rsidP="0013127A">
      <w:pPr>
        <w:ind w:left="567" w:right="708"/>
        <w:rPr>
          <w:rFonts w:cs="Arial"/>
          <w:sz w:val="18"/>
          <w:szCs w:val="18"/>
        </w:rPr>
      </w:pPr>
    </w:p>
    <w:p w14:paraId="4EAA941E" w14:textId="77777777" w:rsidR="0013127A" w:rsidRPr="001D3FDF" w:rsidRDefault="0013127A" w:rsidP="0013127A">
      <w:pPr>
        <w:ind w:left="567" w:right="708"/>
        <w:rPr>
          <w:sz w:val="18"/>
          <w:szCs w:val="18"/>
        </w:rPr>
      </w:pPr>
      <w:r w:rsidRPr="001D3FDF">
        <w:rPr>
          <w:sz w:val="18"/>
          <w:szCs w:val="18"/>
        </w:rPr>
        <w:t>“3)</w:t>
      </w:r>
      <w:r w:rsidRPr="001D3FDF">
        <w:rPr>
          <w:sz w:val="18"/>
          <w:szCs w:val="18"/>
        </w:rPr>
        <w:tab/>
        <w:t xml:space="preserve">The </w:t>
      </w:r>
      <w:r w:rsidRPr="001D3FDF">
        <w:rPr>
          <w:rFonts w:cs="Arial"/>
          <w:sz w:val="18"/>
          <w:szCs w:val="18"/>
        </w:rPr>
        <w:t>state</w:t>
      </w:r>
      <w:r w:rsidRPr="001D3FDF">
        <w:rPr>
          <w:sz w:val="18"/>
          <w:szCs w:val="18"/>
        </w:rPr>
        <w:t xml:space="preserve"> of expression of the candidate variety and similar variety(</w:t>
      </w:r>
      <w:proofErr w:type="spellStart"/>
      <w:r w:rsidRPr="001D3FDF">
        <w:rPr>
          <w:sz w:val="18"/>
          <w:szCs w:val="18"/>
        </w:rPr>
        <w:t>ies</w:t>
      </w:r>
      <w:proofErr w:type="spellEnd"/>
      <w:r w:rsidRPr="001D3FDF">
        <w:rPr>
          <w:sz w:val="18"/>
          <w:szCs w:val="18"/>
        </w:rPr>
        <w:t xml:space="preserve">) relate to the DUS examination conducted at the testing </w:t>
      </w:r>
      <w:r w:rsidRPr="001D3FDF">
        <w:rPr>
          <w:strike/>
          <w:sz w:val="18"/>
          <w:szCs w:val="18"/>
          <w:highlight w:val="lightGray"/>
        </w:rPr>
        <w:t>station/place</w:t>
      </w:r>
      <w:r w:rsidRPr="001D3FDF">
        <w:rPr>
          <w:sz w:val="18"/>
          <w:szCs w:val="18"/>
        </w:rPr>
        <w:t xml:space="preserve"> </w:t>
      </w:r>
      <w:r w:rsidRPr="001D3FDF">
        <w:rPr>
          <w:sz w:val="18"/>
          <w:szCs w:val="18"/>
          <w:highlight w:val="lightGray"/>
          <w:u w:val="single"/>
        </w:rPr>
        <w:t>facility</w:t>
      </w:r>
      <w:r w:rsidRPr="001D3FDF">
        <w:rPr>
          <w:sz w:val="18"/>
          <w:szCs w:val="18"/>
        </w:rPr>
        <w:t xml:space="preserve"> and period of testing indicated in 11 and 12. </w:t>
      </w:r>
    </w:p>
    <w:p w14:paraId="01012236" w14:textId="77777777" w:rsidR="0013127A" w:rsidRPr="001D3FDF" w:rsidRDefault="0013127A" w:rsidP="0013127A">
      <w:pPr>
        <w:ind w:left="567" w:right="708"/>
        <w:rPr>
          <w:rFonts w:cs="Arial"/>
          <w:sz w:val="18"/>
          <w:szCs w:val="18"/>
        </w:rPr>
      </w:pPr>
    </w:p>
    <w:p w14:paraId="238A26E5" w14:textId="77777777" w:rsidR="0013127A" w:rsidRPr="001D3FDF" w:rsidRDefault="0013127A" w:rsidP="0013127A">
      <w:pPr>
        <w:ind w:left="567" w:right="708"/>
        <w:rPr>
          <w:sz w:val="18"/>
          <w:szCs w:val="18"/>
        </w:rPr>
      </w:pPr>
      <w:r w:rsidRPr="001D3FDF">
        <w:rPr>
          <w:sz w:val="18"/>
          <w:szCs w:val="18"/>
        </w:rPr>
        <w:t>“4)</w:t>
      </w:r>
      <w:r w:rsidRPr="001D3FDF">
        <w:rPr>
          <w:sz w:val="18"/>
          <w:szCs w:val="18"/>
        </w:rPr>
        <w:tab/>
        <w:t xml:space="preserve">Only those characteristics that show sufficient differences to establish distinctness should be given.  Information on differences between two varieties should always contain the states of expression with their notes for both </w:t>
      </w:r>
      <w:proofErr w:type="gramStart"/>
      <w:r w:rsidRPr="001D3FDF">
        <w:rPr>
          <w:sz w:val="18"/>
          <w:szCs w:val="18"/>
        </w:rPr>
        <w:t>varieties;  if</w:t>
      </w:r>
      <w:proofErr w:type="gramEnd"/>
      <w:r w:rsidRPr="001D3FDF">
        <w:rPr>
          <w:sz w:val="18"/>
          <w:szCs w:val="18"/>
        </w:rPr>
        <w:t xml:space="preserve"> possible, in columns if more varieties are mentioned.”</w:t>
      </w:r>
    </w:p>
    <w:p w14:paraId="36305D99" w14:textId="77777777" w:rsidR="0013127A" w:rsidRDefault="0013127A" w:rsidP="0013127A">
      <w:pPr>
        <w:ind w:left="426"/>
      </w:pPr>
    </w:p>
    <w:p w14:paraId="59D52577" w14:textId="77777777" w:rsidR="00BA25C9" w:rsidRPr="001D3FDF" w:rsidRDefault="00BA25C9" w:rsidP="0013127A">
      <w:pPr>
        <w:ind w:left="426"/>
      </w:pPr>
    </w:p>
    <w:p w14:paraId="78837615" w14:textId="77777777" w:rsidR="0013127A" w:rsidRPr="001512DD" w:rsidRDefault="0013127A" w:rsidP="00BA25C9">
      <w:pPr>
        <w:pStyle w:val="Heading4"/>
        <w:rPr>
          <w:lang w:val="en-US"/>
        </w:rPr>
      </w:pPr>
      <w:bookmarkStart w:id="10" w:name="_Toc176335741"/>
      <w:bookmarkStart w:id="11" w:name="_Toc191917554"/>
      <w:r w:rsidRPr="001512DD">
        <w:rPr>
          <w:lang w:val="en-US"/>
        </w:rPr>
        <w:t>Subsection “UPOV Variety Description”, item 17 “Additional Information”</w:t>
      </w:r>
      <w:bookmarkEnd w:id="10"/>
      <w:bookmarkEnd w:id="11"/>
    </w:p>
    <w:p w14:paraId="6655EE53" w14:textId="77777777" w:rsidR="0013127A" w:rsidRPr="001D3FDF" w:rsidRDefault="0013127A" w:rsidP="0013127A"/>
    <w:p w14:paraId="09A4D92C" w14:textId="107F561C" w:rsidR="0013127A" w:rsidRPr="001D3FDF" w:rsidRDefault="0013127A" w:rsidP="0013127A">
      <w:r w:rsidRPr="001D3FDF">
        <w:fldChar w:fldCharType="begin"/>
      </w:r>
      <w:r w:rsidRPr="001D3FDF">
        <w:instrText xml:space="preserve"> AUTONUM  </w:instrText>
      </w:r>
      <w:r w:rsidRPr="001D3FDF">
        <w:fldChar w:fldCharType="end"/>
      </w:r>
      <w:r w:rsidRPr="001D3FDF">
        <w:tab/>
        <w:t>The TC agreed with the proposal to amend document TGP/5, Section 6, item 17 “Additional information” as follows:</w:t>
      </w:r>
    </w:p>
    <w:p w14:paraId="142C197F" w14:textId="77777777" w:rsidR="0013127A" w:rsidRPr="001D3FDF" w:rsidRDefault="0013127A" w:rsidP="0013127A"/>
    <w:p w14:paraId="7ADACC90" w14:textId="77777777" w:rsidR="0013127A" w:rsidRPr="001D3FDF" w:rsidRDefault="0013127A" w:rsidP="0013127A">
      <w:pPr>
        <w:keepNext/>
        <w:ind w:left="567" w:right="567"/>
        <w:rPr>
          <w:rFonts w:cs="Arial"/>
          <w:color w:val="000000"/>
          <w:sz w:val="18"/>
          <w:szCs w:val="18"/>
          <w:highlight w:val="lightGray"/>
          <w:u w:val="single"/>
        </w:rPr>
      </w:pPr>
      <w:r w:rsidRPr="001D3FDF">
        <w:rPr>
          <w:rFonts w:cs="Arial"/>
          <w:color w:val="000000"/>
          <w:sz w:val="18"/>
          <w:szCs w:val="18"/>
          <w:highlight w:val="lightGray"/>
          <w:u w:val="single"/>
        </w:rPr>
        <w:t>“Ad. Number 17 (Annex: UPOV Variety Description)</w:t>
      </w:r>
    </w:p>
    <w:p w14:paraId="36E6AFB1" w14:textId="77777777" w:rsidR="0013127A" w:rsidRPr="001D3FDF" w:rsidRDefault="0013127A" w:rsidP="0013127A">
      <w:pPr>
        <w:keepNext/>
        <w:ind w:left="567" w:right="567"/>
        <w:rPr>
          <w:rFonts w:cs="Arial"/>
          <w:color w:val="000000"/>
          <w:sz w:val="18"/>
          <w:szCs w:val="18"/>
          <w:highlight w:val="lightGray"/>
          <w:u w:val="single"/>
        </w:rPr>
      </w:pPr>
    </w:p>
    <w:p w14:paraId="4AEEEB0C" w14:textId="77777777" w:rsidR="0013127A" w:rsidRPr="001D3FDF" w:rsidRDefault="0013127A" w:rsidP="0013127A">
      <w:pPr>
        <w:ind w:left="567" w:right="567"/>
        <w:rPr>
          <w:rFonts w:cs="Arial"/>
          <w:color w:val="000000"/>
          <w:sz w:val="18"/>
          <w:szCs w:val="18"/>
          <w:u w:val="single"/>
        </w:rPr>
      </w:pPr>
      <w:r w:rsidRPr="001D3FDF">
        <w:rPr>
          <w:rFonts w:cs="Arial"/>
          <w:color w:val="000000"/>
          <w:sz w:val="18"/>
          <w:szCs w:val="18"/>
          <w:highlight w:val="lightGray"/>
          <w:u w:val="single"/>
        </w:rPr>
        <w:t>“Further situations and type of additional information to be provided may be agreed bilaterally, according to the crop type and variety examined.”</w:t>
      </w:r>
    </w:p>
    <w:p w14:paraId="4ABC0BB8" w14:textId="77777777" w:rsidR="0013127A" w:rsidRDefault="0013127A" w:rsidP="0013127A"/>
    <w:p w14:paraId="06667B59" w14:textId="77777777" w:rsidR="00BA25C9" w:rsidRPr="001D3FDF" w:rsidRDefault="00BA25C9" w:rsidP="0013127A"/>
    <w:p w14:paraId="2B1A5BF3" w14:textId="656A5C63" w:rsidR="0013127A" w:rsidRPr="001512DD" w:rsidRDefault="0013127A" w:rsidP="00BA25C9">
      <w:pPr>
        <w:pStyle w:val="Heading4"/>
        <w:rPr>
          <w:lang w:val="en-US"/>
        </w:rPr>
      </w:pPr>
      <w:bookmarkStart w:id="12" w:name="_Toc176335743"/>
      <w:bookmarkStart w:id="13" w:name="_Toc191917555"/>
      <w:r w:rsidRPr="001512DD">
        <w:rPr>
          <w:lang w:val="en-US"/>
        </w:rPr>
        <w:t>Structure of document TGP/5, Section 6 “UPOV Report on Technical Examination and UPOV</w:t>
      </w:r>
      <w:r w:rsidR="001D3FDF" w:rsidRPr="001512DD">
        <w:rPr>
          <w:lang w:val="en-US"/>
        </w:rPr>
        <w:t> </w:t>
      </w:r>
      <w:r w:rsidRPr="001512DD">
        <w:rPr>
          <w:lang w:val="en-US"/>
        </w:rPr>
        <w:t>Variety Description”</w:t>
      </w:r>
      <w:bookmarkEnd w:id="12"/>
      <w:bookmarkEnd w:id="13"/>
    </w:p>
    <w:p w14:paraId="2D464568" w14:textId="77777777" w:rsidR="0013127A" w:rsidRPr="001D3FDF" w:rsidRDefault="0013127A" w:rsidP="0013127A"/>
    <w:p w14:paraId="7BE16F3C" w14:textId="345B276A" w:rsidR="0013127A" w:rsidRPr="001D3FDF" w:rsidRDefault="0013127A" w:rsidP="0013127A">
      <w:r w:rsidRPr="001D3FDF">
        <w:fldChar w:fldCharType="begin"/>
      </w:r>
      <w:r w:rsidRPr="001D3FDF">
        <w:instrText xml:space="preserve"> AUTONUM  </w:instrText>
      </w:r>
      <w:r w:rsidRPr="001D3FDF">
        <w:fldChar w:fldCharType="end"/>
      </w:r>
      <w:r w:rsidRPr="001D3FDF">
        <w:tab/>
        <w:t>The TC agreed to invite the Office of the Union to revise the structure of document TGP/5, Section 6, to clarify that the “UPOV Variety Description” was an Annex to the “UPOV Report on Technical Examination” and item 18 “Explanatory Notes to the Annex: UPOV Variety Description” was another separate section of the guidance.</w:t>
      </w:r>
    </w:p>
    <w:p w14:paraId="12754371" w14:textId="77777777" w:rsidR="0013127A" w:rsidRDefault="0013127A" w:rsidP="0013127A"/>
    <w:p w14:paraId="47A9ECE5" w14:textId="08349A42" w:rsidR="000C7744" w:rsidRPr="007A60C4" w:rsidRDefault="007A60C4" w:rsidP="007A60C4">
      <w:pPr>
        <w:tabs>
          <w:tab w:val="left" w:pos="5387"/>
        </w:tabs>
        <w:ind w:left="4820"/>
        <w:rPr>
          <w:i/>
          <w:iCs/>
        </w:rPr>
      </w:pPr>
      <w:r w:rsidRPr="007A60C4">
        <w:rPr>
          <w:i/>
          <w:iCs/>
        </w:rPr>
        <w:fldChar w:fldCharType="begin"/>
      </w:r>
      <w:r w:rsidRPr="007A60C4">
        <w:rPr>
          <w:i/>
          <w:iCs/>
        </w:rPr>
        <w:instrText xml:space="preserve"> AUTONUM  </w:instrText>
      </w:r>
      <w:r w:rsidRPr="007A60C4">
        <w:rPr>
          <w:i/>
          <w:iCs/>
        </w:rPr>
        <w:fldChar w:fldCharType="end"/>
      </w:r>
      <w:r w:rsidRPr="007A60C4">
        <w:rPr>
          <w:i/>
          <w:iCs/>
        </w:rPr>
        <w:tab/>
        <w:t xml:space="preserve">The TWPs are invited to consider the revision of document TGP/5 “Experience and Cooperation in DUS Testing”, Section 6 “UPOV Report on Technical Examination and UPOV Variety Description”, on the basis of </w:t>
      </w:r>
      <w:hyperlink r:id="rId13" w:history="1">
        <w:r w:rsidRPr="00F35A68">
          <w:rPr>
            <w:rStyle w:val="Hyperlink"/>
            <w:i/>
            <w:iCs/>
          </w:rPr>
          <w:t>document TGP/5, Section 6 (draft 1)</w:t>
        </w:r>
      </w:hyperlink>
      <w:r w:rsidRPr="007A60C4">
        <w:rPr>
          <w:i/>
          <w:iCs/>
        </w:rPr>
        <w:t>.</w:t>
      </w:r>
    </w:p>
    <w:p w14:paraId="037BA55B" w14:textId="77777777" w:rsidR="007A60C4" w:rsidRDefault="007A60C4" w:rsidP="00B77A66"/>
    <w:p w14:paraId="0F631FEA" w14:textId="43D6F058" w:rsidR="007A60C4" w:rsidRPr="007A60C4" w:rsidRDefault="00B77A66" w:rsidP="007A60C4">
      <w:pPr>
        <w:pStyle w:val="Heading3"/>
        <w:rPr>
          <w:highlight w:val="yellow"/>
        </w:rPr>
      </w:pPr>
      <w:bookmarkStart w:id="14" w:name="_Toc191917556"/>
      <w:r>
        <w:t xml:space="preserve">Document </w:t>
      </w:r>
      <w:r w:rsidR="007A60C4" w:rsidRPr="001D3FDF">
        <w:t>TGP/7:  Development of Test Guidelines (Revision)</w:t>
      </w:r>
      <w:r w:rsidR="007A60C4">
        <w:t xml:space="preserve">:  </w:t>
      </w:r>
      <w:r w:rsidR="007A60C4" w:rsidRPr="007A60C4">
        <w:t>Guidance Note (GN) 28 “Example Varieties” – Example varieties for asterisked quantitative characteristics when illustrations are provided</w:t>
      </w:r>
      <w:bookmarkEnd w:id="14"/>
    </w:p>
    <w:p w14:paraId="68CC192A" w14:textId="77777777" w:rsidR="007A60C4" w:rsidRDefault="007A60C4" w:rsidP="007A60C4">
      <w:pPr>
        <w:pStyle w:val="Heading5"/>
      </w:pPr>
    </w:p>
    <w:p w14:paraId="76920A9C" w14:textId="018C2349" w:rsidR="007A60C4" w:rsidRDefault="007A60C4" w:rsidP="007A60C4">
      <w:r>
        <w:tab/>
        <w:t xml:space="preserve">See </w:t>
      </w:r>
      <w:hyperlink r:id="rId14" w:history="1">
        <w:r w:rsidRPr="0074642E">
          <w:rPr>
            <w:rStyle w:val="Hyperlink"/>
          </w:rPr>
          <w:t xml:space="preserve">document </w:t>
        </w:r>
        <w:r w:rsidR="0074642E" w:rsidRPr="0074642E">
          <w:rPr>
            <w:rStyle w:val="Hyperlink"/>
          </w:rPr>
          <w:t>TWP/9/5</w:t>
        </w:r>
      </w:hyperlink>
      <w:r w:rsidR="0074642E">
        <w:t xml:space="preserve"> “Proposal for a revision of document TGP/7, GN 28 ‘Example Varieties’”</w:t>
      </w:r>
    </w:p>
    <w:p w14:paraId="3C104FF3" w14:textId="77777777" w:rsidR="007A60C4" w:rsidRPr="007A60C4" w:rsidRDefault="007A60C4" w:rsidP="007A60C4"/>
    <w:p w14:paraId="78EE5332" w14:textId="76294762" w:rsidR="007A60C4" w:rsidRPr="001D3FDF" w:rsidRDefault="007A60C4" w:rsidP="007A60C4">
      <w:r w:rsidRPr="001D3FDF">
        <w:fldChar w:fldCharType="begin"/>
      </w:r>
      <w:r w:rsidRPr="001D3FDF">
        <w:instrText xml:space="preserve"> AUTONUM  </w:instrText>
      </w:r>
      <w:r w:rsidRPr="001D3FDF">
        <w:fldChar w:fldCharType="end"/>
      </w:r>
      <w:r w:rsidRPr="001D3FDF">
        <w:tab/>
        <w:t>The TC</w:t>
      </w:r>
      <w:r w:rsidRPr="001D3FDF">
        <w:rPr>
          <w:vertAlign w:val="superscript"/>
        </w:rPr>
        <w:fldChar w:fldCharType="begin"/>
      </w:r>
      <w:r w:rsidRPr="001D3FDF">
        <w:rPr>
          <w:vertAlign w:val="superscript"/>
        </w:rPr>
        <w:instrText xml:space="preserve"> NOTEREF _Ref189227889 \h  \* MERGEFORMAT </w:instrText>
      </w:r>
      <w:r w:rsidRPr="001D3FDF">
        <w:rPr>
          <w:vertAlign w:val="superscript"/>
        </w:rPr>
      </w:r>
      <w:r w:rsidRPr="001D3FDF">
        <w:rPr>
          <w:vertAlign w:val="superscript"/>
        </w:rPr>
        <w:fldChar w:fldCharType="separate"/>
      </w:r>
      <w:r w:rsidR="00D41377">
        <w:rPr>
          <w:vertAlign w:val="superscript"/>
        </w:rPr>
        <w:t>1</w:t>
      </w:r>
      <w:r w:rsidRPr="001D3FDF">
        <w:rPr>
          <w:vertAlign w:val="superscript"/>
        </w:rPr>
        <w:fldChar w:fldCharType="end"/>
      </w:r>
      <w:r w:rsidRPr="001D3FDF">
        <w:t xml:space="preserve"> noted the discussions on a proposal to amend document TGP/7, Guidance Note (GN) 28 “Example Varieties” to address </w:t>
      </w:r>
      <w:r w:rsidRPr="001D3FDF">
        <w:rPr>
          <w:iCs/>
        </w:rPr>
        <w:t>situations where illustrations could replace example varieties</w:t>
      </w:r>
      <w:r w:rsidRPr="001D3FDF">
        <w:t>, as reported in document SESSIONS/2024/2, Annex IV, paragraphs 16 to 25.</w:t>
      </w:r>
    </w:p>
    <w:p w14:paraId="69FA976D" w14:textId="77777777" w:rsidR="007A60C4" w:rsidRPr="001D3FDF" w:rsidRDefault="007A60C4" w:rsidP="007A60C4"/>
    <w:p w14:paraId="4D9030F3" w14:textId="77777777" w:rsidR="007A60C4" w:rsidRPr="001D3FDF" w:rsidRDefault="007A60C4" w:rsidP="007A60C4">
      <w:r w:rsidRPr="001D3FDF">
        <w:fldChar w:fldCharType="begin"/>
      </w:r>
      <w:r w:rsidRPr="001D3FDF">
        <w:instrText xml:space="preserve"> AUTONUM  </w:instrText>
      </w:r>
      <w:r w:rsidRPr="001D3FDF">
        <w:fldChar w:fldCharType="end"/>
      </w:r>
      <w:r w:rsidRPr="001D3FDF">
        <w:tab/>
        <w:t>The TC noted the invitation for the drafter from Germany to provide further explanations on the criteria for decision and examples when illustrations could replace example varieties.</w:t>
      </w:r>
    </w:p>
    <w:p w14:paraId="0FECA12C" w14:textId="77777777" w:rsidR="007A60C4" w:rsidRDefault="007A60C4" w:rsidP="0013127A"/>
    <w:p w14:paraId="6D50994F" w14:textId="08D49BD9" w:rsidR="0074642E" w:rsidRPr="007A60C4" w:rsidRDefault="0074642E" w:rsidP="0074642E">
      <w:pPr>
        <w:tabs>
          <w:tab w:val="left" w:pos="5387"/>
        </w:tabs>
        <w:ind w:left="4820"/>
        <w:rPr>
          <w:i/>
          <w:iCs/>
        </w:rPr>
      </w:pPr>
      <w:r w:rsidRPr="007A60C4">
        <w:rPr>
          <w:i/>
          <w:iCs/>
        </w:rPr>
        <w:fldChar w:fldCharType="begin"/>
      </w:r>
      <w:r w:rsidRPr="007A60C4">
        <w:rPr>
          <w:i/>
          <w:iCs/>
        </w:rPr>
        <w:instrText xml:space="preserve"> AUTONUM  </w:instrText>
      </w:r>
      <w:r w:rsidRPr="007A60C4">
        <w:rPr>
          <w:i/>
          <w:iCs/>
        </w:rPr>
        <w:fldChar w:fldCharType="end"/>
      </w:r>
      <w:r w:rsidRPr="007A60C4">
        <w:rPr>
          <w:i/>
          <w:iCs/>
        </w:rPr>
        <w:tab/>
        <w:t xml:space="preserve">The TWPs are invited to consider </w:t>
      </w:r>
      <w:r>
        <w:rPr>
          <w:i/>
          <w:iCs/>
        </w:rPr>
        <w:t>a proposal</w:t>
      </w:r>
      <w:r w:rsidRPr="007A60C4">
        <w:rPr>
          <w:i/>
          <w:iCs/>
        </w:rPr>
        <w:t xml:space="preserve"> </w:t>
      </w:r>
      <w:r>
        <w:rPr>
          <w:i/>
          <w:iCs/>
        </w:rPr>
        <w:t xml:space="preserve">to </w:t>
      </w:r>
      <w:r w:rsidRPr="0074642E">
        <w:rPr>
          <w:i/>
          <w:iCs/>
        </w:rPr>
        <w:t>amend document TGP/7, Guidance Note (GN) 28 “Example Varieties”</w:t>
      </w:r>
      <w:r w:rsidRPr="007A60C4">
        <w:rPr>
          <w:i/>
          <w:iCs/>
        </w:rPr>
        <w:t xml:space="preserve">, </w:t>
      </w:r>
      <w:r>
        <w:rPr>
          <w:i/>
          <w:iCs/>
        </w:rPr>
        <w:t xml:space="preserve">as provided in </w:t>
      </w:r>
      <w:hyperlink r:id="rId15" w:history="1">
        <w:r w:rsidRPr="00CA35A0">
          <w:rPr>
            <w:rStyle w:val="Hyperlink"/>
            <w:i/>
            <w:iCs/>
          </w:rPr>
          <w:t>document</w:t>
        </w:r>
        <w:r w:rsidR="00B77A66" w:rsidRPr="00CA35A0">
          <w:rPr>
            <w:rStyle w:val="Hyperlink"/>
            <w:i/>
            <w:iCs/>
          </w:rPr>
          <w:t> </w:t>
        </w:r>
        <w:r w:rsidRPr="00CA35A0">
          <w:rPr>
            <w:rStyle w:val="Hyperlink"/>
            <w:i/>
            <w:iCs/>
          </w:rPr>
          <w:t>TWP/9/5</w:t>
        </w:r>
      </w:hyperlink>
      <w:r w:rsidRPr="007A60C4">
        <w:rPr>
          <w:i/>
          <w:iCs/>
        </w:rPr>
        <w:t>.</w:t>
      </w:r>
    </w:p>
    <w:p w14:paraId="75BA7EEB" w14:textId="77777777" w:rsidR="0074642E" w:rsidRDefault="0074642E" w:rsidP="0013127A"/>
    <w:p w14:paraId="7294DA2C" w14:textId="77777777" w:rsidR="006B3B84" w:rsidRPr="001D3FDF" w:rsidRDefault="006B3B84" w:rsidP="006B3B84"/>
    <w:p w14:paraId="5382D1AE" w14:textId="77777777" w:rsidR="006B3B84" w:rsidRPr="001D3FDF" w:rsidRDefault="006B3B84" w:rsidP="006B3B84">
      <w:pPr>
        <w:pStyle w:val="Heading1"/>
      </w:pPr>
      <w:bookmarkStart w:id="15" w:name="_Toc191917557"/>
      <w:r w:rsidRPr="001D3FDF">
        <w:t>Molecular techniques</w:t>
      </w:r>
      <w:bookmarkEnd w:id="15"/>
    </w:p>
    <w:p w14:paraId="5CB2D840" w14:textId="77777777" w:rsidR="006B3B84" w:rsidRPr="001D3FDF" w:rsidRDefault="006B3B84" w:rsidP="006B3B84">
      <w:pPr>
        <w:keepNext/>
      </w:pPr>
    </w:p>
    <w:p w14:paraId="541EF97F" w14:textId="77777777" w:rsidR="006B3B84" w:rsidRPr="001D3FDF" w:rsidRDefault="006B3B84" w:rsidP="006B3B84">
      <w:pPr>
        <w:pStyle w:val="Heading2"/>
      </w:pPr>
      <w:bookmarkStart w:id="16" w:name="_Toc177773940"/>
      <w:bookmarkStart w:id="17" w:name="_Toc178069532"/>
      <w:bookmarkStart w:id="18" w:name="_Toc191917558"/>
      <w:r w:rsidRPr="001D3FDF">
        <w:t>Guidelines for the validation of a new characteristic-specific molecular marker protocol as an alternative method for observation</w:t>
      </w:r>
      <w:bookmarkEnd w:id="16"/>
      <w:bookmarkEnd w:id="17"/>
      <w:bookmarkEnd w:id="18"/>
    </w:p>
    <w:p w14:paraId="43566CB4" w14:textId="77777777" w:rsidR="006B3B84" w:rsidRDefault="006B3B84" w:rsidP="006B3B84"/>
    <w:p w14:paraId="4773A7D0" w14:textId="7AB6B44B" w:rsidR="006B3B84" w:rsidRPr="006B3B84" w:rsidRDefault="006B3B84" w:rsidP="006B3B84">
      <w:pPr>
        <w:ind w:firstLine="567"/>
        <w:rPr>
          <w:i/>
          <w:iCs/>
        </w:rPr>
      </w:pPr>
      <w:r w:rsidRPr="006B3B84">
        <w:rPr>
          <w:i/>
          <w:iCs/>
        </w:rPr>
        <w:t xml:space="preserve">See </w:t>
      </w:r>
      <w:hyperlink r:id="rId16" w:history="1">
        <w:r w:rsidRPr="006B3B84">
          <w:rPr>
            <w:rStyle w:val="Hyperlink"/>
            <w:i/>
            <w:iCs/>
          </w:rPr>
          <w:t>document TWP/9/4</w:t>
        </w:r>
      </w:hyperlink>
      <w:r w:rsidRPr="006B3B84">
        <w:rPr>
          <w:i/>
          <w:iCs/>
        </w:rPr>
        <w:t xml:space="preserve"> “Guidelines for the validation of a new characteristic-specific molecular marker protocol as an alternative method for observation”</w:t>
      </w:r>
    </w:p>
    <w:p w14:paraId="17199ACB" w14:textId="77777777" w:rsidR="006B3B84" w:rsidRPr="001D3FDF" w:rsidRDefault="006B3B84" w:rsidP="006B3B84"/>
    <w:p w14:paraId="659520FC" w14:textId="57ABD939" w:rsidR="006B3B84" w:rsidRPr="001D3FDF" w:rsidRDefault="006B3B84" w:rsidP="006B3B84">
      <w:r w:rsidRPr="001D3FDF">
        <w:fldChar w:fldCharType="begin"/>
      </w:r>
      <w:r w:rsidRPr="001D3FDF">
        <w:instrText xml:space="preserve"> AUTONUM  </w:instrText>
      </w:r>
      <w:r w:rsidRPr="001D3FDF">
        <w:fldChar w:fldCharType="end"/>
      </w:r>
      <w:r w:rsidRPr="001D3FDF">
        <w:tab/>
        <w:t>The TC</w:t>
      </w:r>
      <w:r w:rsidR="00CA35A0" w:rsidRPr="00CA35A0">
        <w:rPr>
          <w:vertAlign w:val="superscript"/>
        </w:rPr>
        <w:t>1</w:t>
      </w:r>
      <w:r w:rsidRPr="001D3FDF">
        <w:t xml:space="preserve"> agreed to request the TWPs, at their sessions in 2025, to consider the proposal for guidelines for the validation of new characteristic-specific molecular marker protocol for DUS examination, as provided in </w:t>
      </w:r>
      <w:r w:rsidRPr="006B3B84">
        <w:t>document TWP/9/4</w:t>
      </w:r>
      <w:r w:rsidRPr="001D3FDF">
        <w:t>.</w:t>
      </w:r>
    </w:p>
    <w:p w14:paraId="251F5D75" w14:textId="77777777" w:rsidR="006B3B84" w:rsidRDefault="006B3B84" w:rsidP="006B3B84"/>
    <w:p w14:paraId="06CCF17F" w14:textId="043D7574" w:rsidR="006B3B84" w:rsidRPr="006B3B84" w:rsidRDefault="006B3B84" w:rsidP="006B3B84">
      <w:pPr>
        <w:tabs>
          <w:tab w:val="left" w:pos="5387"/>
        </w:tabs>
        <w:ind w:left="4820"/>
        <w:rPr>
          <w:i/>
          <w:iCs/>
        </w:rPr>
      </w:pPr>
      <w:r w:rsidRPr="006B3B84">
        <w:rPr>
          <w:i/>
          <w:iCs/>
        </w:rPr>
        <w:fldChar w:fldCharType="begin"/>
      </w:r>
      <w:r w:rsidRPr="006B3B84">
        <w:rPr>
          <w:i/>
          <w:iCs/>
        </w:rPr>
        <w:instrText xml:space="preserve"> AUTONUM  </w:instrText>
      </w:r>
      <w:r w:rsidRPr="006B3B84">
        <w:rPr>
          <w:i/>
          <w:iCs/>
        </w:rPr>
        <w:fldChar w:fldCharType="end"/>
      </w:r>
      <w:r w:rsidRPr="006B3B84">
        <w:rPr>
          <w:i/>
          <w:iCs/>
        </w:rPr>
        <w:tab/>
        <w:t>The TWPs</w:t>
      </w:r>
      <w:r>
        <w:rPr>
          <w:i/>
          <w:iCs/>
        </w:rPr>
        <w:t xml:space="preserve"> are invited</w:t>
      </w:r>
      <w:r w:rsidRPr="006B3B84">
        <w:rPr>
          <w:i/>
          <w:iCs/>
        </w:rPr>
        <w:t xml:space="preserve"> to consider the proposal for guidelines for the validation of new characteristic-specific molecular marker protocol for DUS examination, as provided in </w:t>
      </w:r>
      <w:hyperlink r:id="rId17" w:history="1">
        <w:r w:rsidRPr="00CA35A0">
          <w:rPr>
            <w:rStyle w:val="Hyperlink"/>
            <w:i/>
            <w:iCs/>
          </w:rPr>
          <w:t>document TWP/9/4</w:t>
        </w:r>
      </w:hyperlink>
      <w:r w:rsidRPr="006B3B84">
        <w:rPr>
          <w:i/>
          <w:iCs/>
        </w:rPr>
        <w:t>.</w:t>
      </w:r>
    </w:p>
    <w:p w14:paraId="1DFBCF74" w14:textId="77777777" w:rsidR="006B3B84" w:rsidRDefault="006B3B84" w:rsidP="006B3B84"/>
    <w:p w14:paraId="1D74A5E9" w14:textId="77777777" w:rsidR="006B1D80" w:rsidRPr="001D3FDF" w:rsidRDefault="006B1D80" w:rsidP="006B3B84"/>
    <w:p w14:paraId="3F511949" w14:textId="77777777" w:rsidR="006B3B84" w:rsidRPr="001D3FDF" w:rsidRDefault="006B3B84" w:rsidP="006B3B84">
      <w:pPr>
        <w:pStyle w:val="Heading2"/>
      </w:pPr>
      <w:bookmarkStart w:id="19" w:name="_Toc177773941"/>
      <w:bookmarkStart w:id="20" w:name="_Toc191917559"/>
      <w:r w:rsidRPr="001D3FDF">
        <w:t>Confidentiality and Ownership of Molecular Information</w:t>
      </w:r>
      <w:bookmarkEnd w:id="19"/>
      <w:bookmarkEnd w:id="20"/>
    </w:p>
    <w:p w14:paraId="2543DFCF" w14:textId="77777777" w:rsidR="006B3B84" w:rsidRPr="001D3FDF" w:rsidRDefault="006B3B84" w:rsidP="006B3B84"/>
    <w:p w14:paraId="37EDDD52" w14:textId="6AE1D4B7" w:rsidR="006B3B84" w:rsidRPr="001D3FDF" w:rsidRDefault="006B3B84" w:rsidP="006B3B84">
      <w:r w:rsidRPr="001D3FDF">
        <w:fldChar w:fldCharType="begin"/>
      </w:r>
      <w:r w:rsidRPr="001D3FDF">
        <w:instrText xml:space="preserve"> AUTONUM  </w:instrText>
      </w:r>
      <w:r w:rsidRPr="001D3FDF">
        <w:fldChar w:fldCharType="end"/>
      </w:r>
      <w:r w:rsidRPr="001D3FDF">
        <w:tab/>
        <w:t>The TC</w:t>
      </w:r>
      <w:r w:rsidR="00FF623B" w:rsidRPr="00CA35A0">
        <w:rPr>
          <w:vertAlign w:val="superscript"/>
        </w:rPr>
        <w:t>1</w:t>
      </w:r>
      <w:r w:rsidRPr="001D3FDF">
        <w:t xml:space="preserve"> noted the request from breeders’ organizations for the development of guidance in UPOV on confidentiality of molecular data and the offer to propose a draft model agreement template, to be presented at the third session of the TWM.</w:t>
      </w:r>
    </w:p>
    <w:p w14:paraId="3B505374" w14:textId="77777777" w:rsidR="006B3B84" w:rsidRPr="001D3FDF" w:rsidRDefault="006B3B84" w:rsidP="006B3B84"/>
    <w:p w14:paraId="139E599E" w14:textId="77777777" w:rsidR="006B3B84" w:rsidRPr="001D3FDF" w:rsidRDefault="006B3B84" w:rsidP="006B3B84">
      <w:r w:rsidRPr="001D3FDF">
        <w:fldChar w:fldCharType="begin"/>
      </w:r>
      <w:r w:rsidRPr="001D3FDF">
        <w:instrText xml:space="preserve"> AUTONUM  </w:instrText>
      </w:r>
      <w:r w:rsidRPr="001D3FDF">
        <w:fldChar w:fldCharType="end"/>
      </w:r>
      <w:r w:rsidRPr="001D3FDF">
        <w:tab/>
        <w:t>The TC agreed to renew the invitation for presentations and reports from members and observers on examples of policies on confidentiality and access to molecular data at the TWP sessions in 2025.</w:t>
      </w:r>
    </w:p>
    <w:p w14:paraId="3CE0B906" w14:textId="77777777" w:rsidR="006B3B84" w:rsidRDefault="006B3B84" w:rsidP="006B3B84"/>
    <w:p w14:paraId="665AE861" w14:textId="5C3F57F4" w:rsidR="006B1D80" w:rsidRPr="00AA49F2" w:rsidRDefault="006B1D80" w:rsidP="00AA49F2">
      <w:pPr>
        <w:tabs>
          <w:tab w:val="left" w:pos="5387"/>
        </w:tabs>
        <w:ind w:left="4820"/>
        <w:rPr>
          <w:i/>
          <w:iCs/>
        </w:rPr>
      </w:pPr>
      <w:r w:rsidRPr="00AA49F2">
        <w:rPr>
          <w:i/>
          <w:iCs/>
        </w:rPr>
        <w:fldChar w:fldCharType="begin"/>
      </w:r>
      <w:r w:rsidRPr="00AA49F2">
        <w:rPr>
          <w:i/>
          <w:iCs/>
        </w:rPr>
        <w:instrText xml:space="preserve"> AUTONUM  </w:instrText>
      </w:r>
      <w:r w:rsidRPr="00AA49F2">
        <w:rPr>
          <w:i/>
          <w:iCs/>
        </w:rPr>
        <w:fldChar w:fldCharType="end"/>
      </w:r>
      <w:r w:rsidRPr="00AA49F2">
        <w:rPr>
          <w:i/>
          <w:iCs/>
        </w:rPr>
        <w:tab/>
      </w:r>
      <w:r w:rsidR="00AA49F2">
        <w:rPr>
          <w:i/>
          <w:iCs/>
        </w:rPr>
        <w:t xml:space="preserve">UPOV members and observers are invited to report </w:t>
      </w:r>
      <w:r w:rsidR="00AA49F2" w:rsidRPr="00AA49F2">
        <w:rPr>
          <w:i/>
          <w:iCs/>
        </w:rPr>
        <w:t>examples of policies on confidentiality and access to molecular data at the TWP sessions in 2025.</w:t>
      </w:r>
    </w:p>
    <w:p w14:paraId="425BC2B5" w14:textId="77777777" w:rsidR="00C164BE" w:rsidRDefault="00C164BE" w:rsidP="0013127A"/>
    <w:p w14:paraId="7D70634A" w14:textId="77777777" w:rsidR="00AA49F2" w:rsidRDefault="00AA49F2" w:rsidP="0013127A"/>
    <w:p w14:paraId="639CA583" w14:textId="77777777" w:rsidR="00C164BE" w:rsidRPr="001D3FDF" w:rsidRDefault="00C164BE" w:rsidP="00C164BE">
      <w:pPr>
        <w:pStyle w:val="Heading1"/>
      </w:pPr>
      <w:bookmarkStart w:id="21" w:name="_Toc191917560"/>
      <w:r w:rsidRPr="001D3FDF">
        <w:t>Guidance and information materials</w:t>
      </w:r>
      <w:r>
        <w:t xml:space="preserve"> – matters for information</w:t>
      </w:r>
      <w:bookmarkEnd w:id="21"/>
    </w:p>
    <w:p w14:paraId="2BC9465A" w14:textId="77777777" w:rsidR="00C164BE" w:rsidRDefault="00C164BE" w:rsidP="0013127A"/>
    <w:p w14:paraId="259BF25D" w14:textId="77777777" w:rsidR="00CF3917" w:rsidRPr="001D3FDF" w:rsidRDefault="00CF3917" w:rsidP="00CF3917">
      <w:pPr>
        <w:pStyle w:val="Heading2"/>
      </w:pPr>
      <w:bookmarkStart w:id="22" w:name="_Toc191917561"/>
      <w:r w:rsidRPr="001D3FDF">
        <w:t>TGP Documents</w:t>
      </w:r>
      <w:bookmarkEnd w:id="22"/>
    </w:p>
    <w:p w14:paraId="7A1F80C5" w14:textId="77777777" w:rsidR="00CF3917" w:rsidRPr="001D3FDF" w:rsidRDefault="00CF3917" w:rsidP="0013127A"/>
    <w:p w14:paraId="6B8C8E6F" w14:textId="4923F8D4" w:rsidR="005F6C47" w:rsidRPr="001D3FDF" w:rsidRDefault="00CF3917" w:rsidP="007740E9">
      <w:pPr>
        <w:pStyle w:val="Heading3"/>
      </w:pPr>
      <w:bookmarkStart w:id="23" w:name="_Toc191917562"/>
      <w:r>
        <w:t xml:space="preserve">Document </w:t>
      </w:r>
      <w:r w:rsidR="005F6C47" w:rsidRPr="001D3FDF">
        <w:t>TGP/7:  Development of Test Guidelines (Revision)</w:t>
      </w:r>
      <w:bookmarkEnd w:id="23"/>
    </w:p>
    <w:p w14:paraId="0A413AEE" w14:textId="77777777" w:rsidR="005F6C47" w:rsidRPr="001D3FDF" w:rsidRDefault="005F6C47" w:rsidP="005F6C47">
      <w:pPr>
        <w:keepNext/>
        <w:shd w:val="clear" w:color="auto" w:fill="FFFFFF" w:themeFill="background1"/>
      </w:pPr>
    </w:p>
    <w:p w14:paraId="037E60A8" w14:textId="77777777" w:rsidR="005F6C47" w:rsidRPr="001512DD" w:rsidRDefault="005F6C47" w:rsidP="00BA25C9">
      <w:pPr>
        <w:pStyle w:val="Heading4"/>
        <w:rPr>
          <w:lang w:val="en-US"/>
        </w:rPr>
      </w:pPr>
      <w:bookmarkStart w:id="24" w:name="_Toc191917563"/>
      <w:r w:rsidRPr="001512DD">
        <w:rPr>
          <w:lang w:val="en-US"/>
        </w:rPr>
        <w:t>Additional Standard Wording (ASW) 3 “Explanation of the growing cycle”</w:t>
      </w:r>
      <w:bookmarkEnd w:id="24"/>
    </w:p>
    <w:p w14:paraId="224EB63E" w14:textId="77777777" w:rsidR="005F6C47" w:rsidRPr="001D3FDF" w:rsidRDefault="005F6C47" w:rsidP="005F6C47">
      <w:pPr>
        <w:keepNext/>
        <w:shd w:val="clear" w:color="auto" w:fill="FFFFFF" w:themeFill="background1"/>
      </w:pPr>
    </w:p>
    <w:p w14:paraId="076BA25D" w14:textId="2BB78BE4" w:rsidR="005F6C47" w:rsidRPr="001D3FDF" w:rsidRDefault="005F6C47" w:rsidP="005F6C47">
      <w:pPr>
        <w:shd w:val="clear" w:color="auto" w:fill="FFFFFF" w:themeFill="background1"/>
        <w:rPr>
          <w:spacing w:val="-2"/>
        </w:rPr>
      </w:pPr>
      <w:r w:rsidRPr="001D3FDF">
        <w:fldChar w:fldCharType="begin"/>
      </w:r>
      <w:r w:rsidRPr="001D3FDF">
        <w:instrText xml:space="preserve"> AUTONUM  </w:instrText>
      </w:r>
      <w:r w:rsidRPr="001D3FDF">
        <w:fldChar w:fldCharType="end"/>
      </w:r>
      <w:r w:rsidRPr="001D3FDF">
        <w:tab/>
        <w:t xml:space="preserve">The Council adopted a revision of </w:t>
      </w:r>
      <w:hyperlink r:id="rId18" w:history="1">
        <w:r w:rsidRPr="00493073">
          <w:rPr>
            <w:rStyle w:val="Hyperlink"/>
          </w:rPr>
          <w:t>document TGP/7/9</w:t>
        </w:r>
      </w:hyperlink>
      <w:r w:rsidRPr="001D3FDF">
        <w:t xml:space="preserve"> “Development of Test Guidelines”, on the basis of the proposed amendments</w:t>
      </w:r>
      <w:r w:rsidRPr="001D3FDF">
        <w:rPr>
          <w:spacing w:val="-2"/>
        </w:rPr>
        <w:t xml:space="preserve"> reproduced below </w:t>
      </w:r>
      <w:r w:rsidRPr="001D3FDF">
        <w:t xml:space="preserve">(additions indicated with highlighting and </w:t>
      </w:r>
      <w:r w:rsidRPr="001D3FDF">
        <w:rPr>
          <w:highlight w:val="lightGray"/>
          <w:u w:val="single"/>
        </w:rPr>
        <w:t>underline</w:t>
      </w:r>
      <w:r w:rsidRPr="001D3FDF">
        <w:t xml:space="preserve">; and deletions indicated with highlighting and </w:t>
      </w:r>
      <w:r w:rsidRPr="001D3FDF">
        <w:rPr>
          <w:strike/>
          <w:highlight w:val="lightGray"/>
        </w:rPr>
        <w:t>strikethrough</w:t>
      </w:r>
      <w:r w:rsidRPr="001D3FDF">
        <w:t>)</w:t>
      </w:r>
      <w:r w:rsidRPr="001D3FDF">
        <w:rPr>
          <w:spacing w:val="-2"/>
        </w:rPr>
        <w:t>:</w:t>
      </w:r>
    </w:p>
    <w:p w14:paraId="47408547" w14:textId="77777777" w:rsidR="005F6C47" w:rsidRPr="001D3FDF" w:rsidRDefault="005F6C47" w:rsidP="005F6C47">
      <w:pPr>
        <w:shd w:val="clear" w:color="auto" w:fill="FFFFFF" w:themeFill="background1"/>
        <w:rPr>
          <w:spacing w:val="-2"/>
        </w:rPr>
      </w:pPr>
    </w:p>
    <w:p w14:paraId="1145D72D" w14:textId="77777777" w:rsidR="005F6C47" w:rsidRPr="001D3FDF" w:rsidRDefault="005F6C47" w:rsidP="005F6C47">
      <w:pPr>
        <w:keepNext/>
        <w:shd w:val="clear" w:color="auto" w:fill="FFFFFF" w:themeFill="background1"/>
        <w:tabs>
          <w:tab w:val="left" w:pos="1134"/>
        </w:tabs>
        <w:ind w:left="567" w:right="567"/>
        <w:contextualSpacing/>
        <w:rPr>
          <w:sz w:val="18"/>
          <w:szCs w:val="18"/>
        </w:rPr>
      </w:pPr>
      <w:r w:rsidRPr="001D3FDF">
        <w:rPr>
          <w:sz w:val="18"/>
          <w:szCs w:val="18"/>
        </w:rPr>
        <w:lastRenderedPageBreak/>
        <w:t>“(a)</w:t>
      </w:r>
      <w:r w:rsidRPr="001D3FDF">
        <w:rPr>
          <w:sz w:val="18"/>
          <w:szCs w:val="18"/>
        </w:rPr>
        <w:tab/>
        <w:t>Fruit species with clearly defined dormant period</w:t>
      </w:r>
    </w:p>
    <w:p w14:paraId="3F5C9FC8" w14:textId="77777777" w:rsidR="005F6C47" w:rsidRPr="001D3FDF" w:rsidRDefault="005F6C47" w:rsidP="005F6C47">
      <w:pPr>
        <w:keepNext/>
        <w:shd w:val="clear" w:color="auto" w:fill="FFFFFF" w:themeFill="background1"/>
        <w:tabs>
          <w:tab w:val="left" w:pos="1134"/>
        </w:tabs>
        <w:ind w:left="567" w:right="567"/>
        <w:contextualSpacing/>
        <w:rPr>
          <w:sz w:val="18"/>
          <w:szCs w:val="18"/>
        </w:rPr>
      </w:pPr>
    </w:p>
    <w:p w14:paraId="5F6A8B9A" w14:textId="77777777" w:rsidR="005F6C47" w:rsidRPr="001D3FDF" w:rsidRDefault="005F6C47" w:rsidP="005F6C47">
      <w:pPr>
        <w:shd w:val="clear" w:color="auto" w:fill="FFFFFF" w:themeFill="background1"/>
        <w:tabs>
          <w:tab w:val="left" w:pos="851"/>
          <w:tab w:val="left" w:pos="1134"/>
        </w:tabs>
        <w:ind w:left="567" w:right="567"/>
        <w:rPr>
          <w:sz w:val="18"/>
          <w:szCs w:val="18"/>
        </w:rPr>
      </w:pPr>
      <w:r w:rsidRPr="001D3FDF">
        <w:rPr>
          <w:sz w:val="18"/>
          <w:szCs w:val="18"/>
        </w:rPr>
        <w:t>“3.1.2</w:t>
      </w:r>
      <w:r w:rsidRPr="001D3FDF">
        <w:rPr>
          <w:sz w:val="18"/>
          <w:szCs w:val="18"/>
        </w:rPr>
        <w:tab/>
        <w:t xml:space="preserve">The growing cycle is considered to be the duration of a single growing season, beginning with </w:t>
      </w:r>
      <w:r w:rsidRPr="001D3FDF">
        <w:rPr>
          <w:sz w:val="18"/>
          <w:szCs w:val="18"/>
          <w:highlight w:val="lightGray"/>
          <w:u w:val="single"/>
        </w:rPr>
        <w:t>the dormancy period, followed by</w:t>
      </w:r>
      <w:r w:rsidRPr="001D3FDF">
        <w:rPr>
          <w:sz w:val="18"/>
          <w:szCs w:val="18"/>
        </w:rPr>
        <w:t xml:space="preserve"> bud burst (flowering and/or vegetative), flowering and fruit harvest and concluding when the following dormant period </w:t>
      </w:r>
      <w:r w:rsidRPr="001D3FDF">
        <w:rPr>
          <w:sz w:val="18"/>
          <w:szCs w:val="18"/>
          <w:highlight w:val="lightGray"/>
          <w:u w:val="single"/>
        </w:rPr>
        <w:t>starts</w:t>
      </w:r>
      <w:r w:rsidRPr="001D3FDF">
        <w:rPr>
          <w:sz w:val="18"/>
          <w:szCs w:val="18"/>
        </w:rPr>
        <w:t xml:space="preserve"> </w:t>
      </w:r>
      <w:r w:rsidRPr="001D3FDF">
        <w:rPr>
          <w:strike/>
          <w:sz w:val="18"/>
          <w:szCs w:val="18"/>
          <w:highlight w:val="lightGray"/>
        </w:rPr>
        <w:t>ends with the swelling of new season buds</w:t>
      </w:r>
      <w:r w:rsidRPr="001D3FDF">
        <w:rPr>
          <w:sz w:val="18"/>
          <w:szCs w:val="18"/>
        </w:rPr>
        <w:t>.”</w:t>
      </w:r>
    </w:p>
    <w:p w14:paraId="157A8BE2" w14:textId="77777777" w:rsidR="005F6C47" w:rsidRDefault="005F6C47" w:rsidP="005F6C47">
      <w:pPr>
        <w:shd w:val="clear" w:color="auto" w:fill="FFFFFF" w:themeFill="background1"/>
        <w:jc w:val="left"/>
      </w:pPr>
    </w:p>
    <w:p w14:paraId="219B15B7" w14:textId="77777777" w:rsidR="00CF3917" w:rsidRPr="001D3FDF" w:rsidRDefault="00CF3917" w:rsidP="005F6C47">
      <w:pPr>
        <w:shd w:val="clear" w:color="auto" w:fill="FFFFFF" w:themeFill="background1"/>
        <w:jc w:val="left"/>
      </w:pPr>
    </w:p>
    <w:p w14:paraId="5AFEBF96" w14:textId="77777777" w:rsidR="0013127A" w:rsidRPr="001512DD" w:rsidRDefault="0013127A" w:rsidP="00BA25C9">
      <w:pPr>
        <w:pStyle w:val="Heading4"/>
        <w:rPr>
          <w:lang w:val="en-US"/>
        </w:rPr>
      </w:pPr>
      <w:bookmarkStart w:id="25" w:name="_Toc144995610"/>
      <w:bookmarkStart w:id="26" w:name="_Toc176335745"/>
      <w:bookmarkStart w:id="27" w:name="_Toc191917564"/>
      <w:r w:rsidRPr="001512DD">
        <w:rPr>
          <w:lang w:val="en-US"/>
        </w:rPr>
        <w:t>Additional Standard Wording (ASW) 7(b) “Number of plants / parts of plants to be examined”</w:t>
      </w:r>
      <w:bookmarkEnd w:id="25"/>
      <w:bookmarkEnd w:id="26"/>
      <w:bookmarkEnd w:id="27"/>
    </w:p>
    <w:p w14:paraId="7A08B23C" w14:textId="77777777" w:rsidR="0013127A" w:rsidRPr="001D3FDF" w:rsidRDefault="0013127A" w:rsidP="0013127A">
      <w:pPr>
        <w:keepNext/>
      </w:pPr>
    </w:p>
    <w:p w14:paraId="3AAA9258" w14:textId="461CA435" w:rsidR="0013127A" w:rsidRPr="001D3FDF" w:rsidRDefault="0013127A" w:rsidP="0013127A">
      <w:pPr>
        <w:keepNext/>
      </w:pPr>
      <w:r w:rsidRPr="001D3FDF">
        <w:fldChar w:fldCharType="begin"/>
      </w:r>
      <w:r w:rsidRPr="001D3FDF">
        <w:instrText xml:space="preserve"> AUTONUM  </w:instrText>
      </w:r>
      <w:r w:rsidRPr="001D3FDF">
        <w:fldChar w:fldCharType="end"/>
      </w:r>
      <w:r w:rsidRPr="001D3FDF">
        <w:tab/>
        <w:t>The TC</w:t>
      </w:r>
      <w:r w:rsidR="00450619" w:rsidRPr="001D3FDF">
        <w:rPr>
          <w:vertAlign w:val="superscript"/>
        </w:rPr>
        <w:fldChar w:fldCharType="begin"/>
      </w:r>
      <w:r w:rsidR="00450619" w:rsidRPr="001D3FDF">
        <w:rPr>
          <w:vertAlign w:val="superscript"/>
        </w:rPr>
        <w:instrText xml:space="preserve"> NOTEREF _Ref189227889 \h  \* MERGEFORMAT </w:instrText>
      </w:r>
      <w:r w:rsidR="00450619" w:rsidRPr="001D3FDF">
        <w:rPr>
          <w:vertAlign w:val="superscript"/>
        </w:rPr>
      </w:r>
      <w:r w:rsidR="00450619" w:rsidRPr="001D3FDF">
        <w:rPr>
          <w:vertAlign w:val="superscript"/>
        </w:rPr>
        <w:fldChar w:fldCharType="separate"/>
      </w:r>
      <w:r w:rsidR="00D41377">
        <w:rPr>
          <w:vertAlign w:val="superscript"/>
        </w:rPr>
        <w:t>1</w:t>
      </w:r>
      <w:r w:rsidR="00450619" w:rsidRPr="001D3FDF">
        <w:rPr>
          <w:vertAlign w:val="superscript"/>
        </w:rPr>
        <w:fldChar w:fldCharType="end"/>
      </w:r>
      <w:r w:rsidRPr="001D3FDF">
        <w:t xml:space="preserve"> noted the discussions on possible amendments to document TGP/7, Additional Standard Wording (ASW) 7(b) “Number of plants / parts of plants to be examined”, as </w:t>
      </w:r>
      <w:r w:rsidR="00CF3917">
        <w:t>considered by the TWPs at their sessions in 2024</w:t>
      </w:r>
      <w:r w:rsidRPr="001D3FDF">
        <w:t>.</w:t>
      </w:r>
    </w:p>
    <w:p w14:paraId="6901BF07" w14:textId="77777777" w:rsidR="007A60C4" w:rsidRPr="00CF3917" w:rsidRDefault="007A60C4" w:rsidP="00BA25C9">
      <w:pPr>
        <w:pStyle w:val="Heading4"/>
        <w:rPr>
          <w:lang w:val="en-US"/>
        </w:rPr>
      </w:pPr>
      <w:bookmarkStart w:id="28" w:name="_Toc176335746"/>
    </w:p>
    <w:bookmarkEnd w:id="28"/>
    <w:p w14:paraId="56216A7A" w14:textId="77777777" w:rsidR="0013127A" w:rsidRPr="001D3FDF" w:rsidRDefault="0013127A" w:rsidP="005F6C47">
      <w:pPr>
        <w:shd w:val="clear" w:color="auto" w:fill="FFFFFF" w:themeFill="background1"/>
        <w:jc w:val="left"/>
      </w:pPr>
    </w:p>
    <w:p w14:paraId="70610450" w14:textId="06A97F12" w:rsidR="005F6C47" w:rsidRPr="001D3FDF" w:rsidRDefault="00493073" w:rsidP="007740E9">
      <w:pPr>
        <w:pStyle w:val="Heading3"/>
      </w:pPr>
      <w:bookmarkStart w:id="29" w:name="_Toc191917565"/>
      <w:r>
        <w:t xml:space="preserve">Document </w:t>
      </w:r>
      <w:r w:rsidR="005F6C47" w:rsidRPr="001D3FDF">
        <w:t>TGP/12:  Guidance on Certain Physiological Characteristics (Revision)</w:t>
      </w:r>
      <w:bookmarkEnd w:id="29"/>
    </w:p>
    <w:p w14:paraId="54EF67AC" w14:textId="77777777" w:rsidR="005F6C47" w:rsidRPr="001D3FDF" w:rsidRDefault="005F6C47" w:rsidP="005F6C47">
      <w:pPr>
        <w:keepNext/>
        <w:shd w:val="clear" w:color="auto" w:fill="FFFFFF" w:themeFill="background1"/>
      </w:pPr>
    </w:p>
    <w:p w14:paraId="7F692000" w14:textId="77777777" w:rsidR="005F6C47" w:rsidRPr="001512DD" w:rsidRDefault="005F6C47" w:rsidP="00BA25C9">
      <w:pPr>
        <w:pStyle w:val="Heading4"/>
        <w:rPr>
          <w:lang w:val="en-US"/>
        </w:rPr>
      </w:pPr>
      <w:bookmarkStart w:id="30" w:name="_Toc191917566"/>
      <w:r w:rsidRPr="001512DD">
        <w:rPr>
          <w:lang w:val="en-US"/>
        </w:rPr>
        <w:t>Equivalence table for states of expression in quantitative disease resistance characteristics in Test Guidelines</w:t>
      </w:r>
      <w:bookmarkEnd w:id="30"/>
    </w:p>
    <w:p w14:paraId="4BB85E73" w14:textId="77777777" w:rsidR="00D95313" w:rsidRDefault="00D95313" w:rsidP="00D95313">
      <w:pPr>
        <w:shd w:val="clear" w:color="auto" w:fill="FFFFFF" w:themeFill="background1"/>
      </w:pPr>
    </w:p>
    <w:p w14:paraId="044EF517" w14:textId="61707165" w:rsidR="00D95313" w:rsidRPr="001D3FDF" w:rsidRDefault="00D95313" w:rsidP="00D95313">
      <w:pPr>
        <w:shd w:val="clear" w:color="auto" w:fill="FFFFFF" w:themeFill="background1"/>
      </w:pPr>
      <w:r w:rsidRPr="001D3FDF">
        <w:fldChar w:fldCharType="begin"/>
      </w:r>
      <w:r w:rsidRPr="001D3FDF">
        <w:instrText xml:space="preserve"> AUTONUM  </w:instrText>
      </w:r>
      <w:r w:rsidRPr="001D3FDF">
        <w:fldChar w:fldCharType="end"/>
      </w:r>
      <w:r w:rsidRPr="001D3FDF">
        <w:tab/>
        <w:t xml:space="preserve">The Council adopted a revision of </w:t>
      </w:r>
      <w:hyperlink r:id="rId19" w:history="1">
        <w:r w:rsidRPr="00493073">
          <w:rPr>
            <w:rStyle w:val="Hyperlink"/>
          </w:rPr>
          <w:t xml:space="preserve">document </w:t>
        </w:r>
        <w:bookmarkStart w:id="31" w:name="_Hlk178322302"/>
        <w:r w:rsidRPr="00493073">
          <w:rPr>
            <w:rStyle w:val="Hyperlink"/>
          </w:rPr>
          <w:t>TGP/12/4</w:t>
        </w:r>
      </w:hyperlink>
      <w:r w:rsidRPr="001D3FDF">
        <w:t xml:space="preserve"> “Guidance on Certain Physiological Characteristics”, on the basis of the </w:t>
      </w:r>
      <w:r>
        <w:t xml:space="preserve">proposal considered by the TWPs, at their sessions in 2024, </w:t>
      </w:r>
      <w:bookmarkEnd w:id="31"/>
      <w:r w:rsidRPr="001D3FDF">
        <w:rPr>
          <w:spacing w:val="-2"/>
        </w:rPr>
        <w:t>with the amendments agreed by the TC and the CAJ</w:t>
      </w:r>
      <w:r>
        <w:rPr>
          <w:spacing w:val="-2"/>
        </w:rPr>
        <w:t>, as follows:</w:t>
      </w:r>
    </w:p>
    <w:p w14:paraId="2BC88401" w14:textId="77777777" w:rsidR="005F6C47" w:rsidRPr="001D3FDF" w:rsidRDefault="005F6C47" w:rsidP="005F6C47">
      <w:pPr>
        <w:shd w:val="clear" w:color="auto" w:fill="FFFFFF" w:themeFill="background1"/>
        <w:rPr>
          <w:spacing w:val="-2"/>
        </w:rPr>
      </w:pPr>
    </w:p>
    <w:p w14:paraId="467CD7F4" w14:textId="77777777" w:rsidR="005F6C47" w:rsidRPr="001D3FDF" w:rsidRDefault="005F6C47" w:rsidP="005F6C47">
      <w:pPr>
        <w:keepNext/>
        <w:shd w:val="clear" w:color="auto" w:fill="FFFFFF" w:themeFill="background1"/>
        <w:ind w:left="567" w:right="567"/>
      </w:pPr>
      <w:r w:rsidRPr="001D3FDF">
        <w:rPr>
          <w:rFonts w:cs="Arial"/>
          <w:color w:val="000000"/>
          <w:sz w:val="18"/>
        </w:rPr>
        <w:t>“Table 2: States of expression in Test Guidelines and terminology used in the vegetable seed sector:</w:t>
      </w:r>
    </w:p>
    <w:p w14:paraId="3E759152" w14:textId="77777777" w:rsidR="005F6C47" w:rsidRPr="001D3FDF" w:rsidRDefault="005F6C47" w:rsidP="005F6C47">
      <w:pPr>
        <w:keepNext/>
        <w:shd w:val="clear" w:color="auto" w:fill="FFFFFF" w:themeFill="background1"/>
        <w:ind w:left="567" w:right="567"/>
      </w:pP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709"/>
        <w:gridCol w:w="2126"/>
      </w:tblGrid>
      <w:tr w:rsidR="005F6C47" w:rsidRPr="001D3FDF" w14:paraId="30E0842D" w14:textId="77777777" w:rsidTr="004B0732">
        <w:trPr>
          <w:cantSplit/>
          <w:trHeight w:val="340"/>
          <w:jc w:val="center"/>
        </w:trPr>
        <w:tc>
          <w:tcPr>
            <w:tcW w:w="7088" w:type="dxa"/>
            <w:gridSpan w:val="3"/>
            <w:tcBorders>
              <w:top w:val="single" w:sz="4" w:space="0" w:color="auto"/>
              <w:left w:val="single" w:sz="4" w:space="0" w:color="auto"/>
              <w:bottom w:val="single" w:sz="4" w:space="0" w:color="auto"/>
              <w:right w:val="single" w:sz="4" w:space="0" w:color="auto"/>
            </w:tcBorders>
            <w:noWrap/>
            <w:vAlign w:val="center"/>
            <w:hideMark/>
          </w:tcPr>
          <w:p w14:paraId="3F54BCEC" w14:textId="77777777" w:rsidR="005F6C47" w:rsidRPr="001D3FDF" w:rsidRDefault="005F6C47" w:rsidP="00345149">
            <w:pPr>
              <w:keepNext/>
              <w:shd w:val="clear" w:color="auto" w:fill="FFFFFF" w:themeFill="background1"/>
              <w:rPr>
                <w:bCs/>
                <w:i/>
                <w:sz w:val="18"/>
                <w:szCs w:val="18"/>
              </w:rPr>
            </w:pPr>
            <w:r w:rsidRPr="001D3FDF">
              <w:rPr>
                <w:bCs/>
                <w:i/>
                <w:sz w:val="18"/>
                <w:szCs w:val="18"/>
              </w:rPr>
              <w:t>States of expression in Test Guidelines:</w:t>
            </w:r>
          </w:p>
        </w:tc>
      </w:tr>
      <w:tr w:rsidR="005F6C47" w:rsidRPr="001D3FDF" w14:paraId="157699AA" w14:textId="77777777" w:rsidTr="004B0732">
        <w:trPr>
          <w:cantSplit/>
          <w:trHeight w:val="340"/>
          <w:jc w:val="center"/>
        </w:trPr>
        <w:tc>
          <w:tcPr>
            <w:tcW w:w="4253" w:type="dxa"/>
            <w:tcBorders>
              <w:top w:val="single" w:sz="4" w:space="0" w:color="auto"/>
              <w:left w:val="single" w:sz="4" w:space="0" w:color="auto"/>
              <w:bottom w:val="nil"/>
              <w:right w:val="single" w:sz="4" w:space="0" w:color="auto"/>
            </w:tcBorders>
            <w:noWrap/>
            <w:vAlign w:val="center"/>
            <w:hideMark/>
          </w:tcPr>
          <w:p w14:paraId="303B6F0A" w14:textId="77777777" w:rsidR="005F6C47" w:rsidRPr="001D3FDF" w:rsidRDefault="005F6C47" w:rsidP="00345149">
            <w:pPr>
              <w:keepNext/>
              <w:shd w:val="clear" w:color="auto" w:fill="FFFFFF" w:themeFill="background1"/>
              <w:rPr>
                <w:sz w:val="18"/>
                <w:szCs w:val="18"/>
              </w:rPr>
            </w:pPr>
            <w:r w:rsidRPr="001D3FDF">
              <w:rPr>
                <w:sz w:val="18"/>
                <w:szCs w:val="18"/>
              </w:rPr>
              <w:t>Resistance to [disease name]</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31FB16A" w14:textId="77777777" w:rsidR="005F6C47" w:rsidRPr="001D3FDF" w:rsidRDefault="005F6C47" w:rsidP="00345149">
            <w:pPr>
              <w:keepNext/>
              <w:shd w:val="clear" w:color="auto" w:fill="FFFFFF" w:themeFill="background1"/>
              <w:rPr>
                <w:sz w:val="18"/>
                <w:szCs w:val="18"/>
              </w:rPr>
            </w:pPr>
            <w:r w:rsidRPr="001D3FDF">
              <w:rPr>
                <w:sz w:val="18"/>
                <w:szCs w:val="18"/>
              </w:rPr>
              <w:t>note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E62718" w14:textId="77777777" w:rsidR="005F6C47" w:rsidRPr="001D3FDF" w:rsidRDefault="005F6C47" w:rsidP="00345149">
            <w:pPr>
              <w:keepNext/>
              <w:shd w:val="clear" w:color="auto" w:fill="FFFFFF" w:themeFill="background1"/>
              <w:rPr>
                <w:bCs/>
                <w:sz w:val="18"/>
                <w:szCs w:val="18"/>
              </w:rPr>
            </w:pPr>
            <w:r w:rsidRPr="001D3FDF">
              <w:rPr>
                <w:bCs/>
                <w:sz w:val="18"/>
                <w:szCs w:val="18"/>
              </w:rPr>
              <w:t>state</w:t>
            </w:r>
          </w:p>
        </w:tc>
      </w:tr>
      <w:tr w:rsidR="005F6C47" w:rsidRPr="001D3FDF" w14:paraId="6843D142" w14:textId="77777777" w:rsidTr="004B0732">
        <w:trPr>
          <w:cantSplit/>
          <w:trHeight w:val="340"/>
          <w:jc w:val="center"/>
        </w:trPr>
        <w:tc>
          <w:tcPr>
            <w:tcW w:w="4253" w:type="dxa"/>
            <w:tcBorders>
              <w:top w:val="nil"/>
              <w:left w:val="single" w:sz="4" w:space="0" w:color="auto"/>
              <w:bottom w:val="nil"/>
              <w:right w:val="single" w:sz="4" w:space="0" w:color="auto"/>
            </w:tcBorders>
            <w:noWrap/>
            <w:vAlign w:val="center"/>
          </w:tcPr>
          <w:p w14:paraId="01F1CF5A" w14:textId="77777777" w:rsidR="005F6C47" w:rsidRPr="001D3FDF" w:rsidRDefault="005F6C47" w:rsidP="00345149">
            <w:pPr>
              <w:keepNext/>
              <w:shd w:val="clear" w:color="auto" w:fill="FFFFFF" w:themeFill="background1"/>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4AC52D6" w14:textId="77777777" w:rsidR="005F6C47" w:rsidRPr="001D3FDF" w:rsidRDefault="005F6C47" w:rsidP="00345149">
            <w:pPr>
              <w:keepNext/>
              <w:shd w:val="clear" w:color="auto" w:fill="FFFFFF" w:themeFill="background1"/>
              <w:rPr>
                <w:sz w:val="18"/>
                <w:szCs w:val="18"/>
              </w:rPr>
            </w:pPr>
            <w:r w:rsidRPr="001D3FDF">
              <w:rPr>
                <w:sz w:val="18"/>
                <w:szCs w:val="1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F2BCDA" w14:textId="77777777" w:rsidR="005F6C47" w:rsidRPr="001D3FDF" w:rsidRDefault="005F6C47" w:rsidP="00345149">
            <w:pPr>
              <w:keepNext/>
              <w:shd w:val="clear" w:color="auto" w:fill="FFFFFF" w:themeFill="background1"/>
              <w:rPr>
                <w:sz w:val="18"/>
                <w:szCs w:val="18"/>
              </w:rPr>
            </w:pPr>
            <w:r w:rsidRPr="001D3FDF">
              <w:rPr>
                <w:sz w:val="18"/>
                <w:szCs w:val="18"/>
              </w:rPr>
              <w:t>absent or low</w:t>
            </w:r>
          </w:p>
        </w:tc>
      </w:tr>
      <w:tr w:rsidR="005F6C47" w:rsidRPr="001D3FDF" w14:paraId="1A4F1C28" w14:textId="77777777" w:rsidTr="004B0732">
        <w:trPr>
          <w:cantSplit/>
          <w:trHeight w:val="340"/>
          <w:jc w:val="center"/>
        </w:trPr>
        <w:tc>
          <w:tcPr>
            <w:tcW w:w="4253" w:type="dxa"/>
            <w:tcBorders>
              <w:top w:val="nil"/>
              <w:left w:val="single" w:sz="4" w:space="0" w:color="auto"/>
              <w:bottom w:val="nil"/>
              <w:right w:val="single" w:sz="4" w:space="0" w:color="auto"/>
            </w:tcBorders>
            <w:noWrap/>
            <w:vAlign w:val="center"/>
          </w:tcPr>
          <w:p w14:paraId="0CBFB78F" w14:textId="77777777" w:rsidR="005F6C47" w:rsidRPr="001D3FDF" w:rsidRDefault="005F6C47" w:rsidP="00345149">
            <w:pPr>
              <w:keepNext/>
              <w:shd w:val="clear" w:color="auto" w:fill="FFFFFF" w:themeFill="background1"/>
              <w:rPr>
                <w:sz w:val="18"/>
                <w:szCs w:val="18"/>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1F18F9D" w14:textId="77777777" w:rsidR="005F6C47" w:rsidRPr="001D3FDF" w:rsidRDefault="005F6C47" w:rsidP="00345149">
            <w:pPr>
              <w:keepNext/>
              <w:shd w:val="clear" w:color="auto" w:fill="FFFFFF" w:themeFill="background1"/>
              <w:rPr>
                <w:sz w:val="18"/>
                <w:szCs w:val="18"/>
              </w:rPr>
            </w:pPr>
            <w:r w:rsidRPr="001D3FDF">
              <w:rPr>
                <w:sz w:val="18"/>
                <w:szCs w:val="18"/>
              </w:rPr>
              <w:t>2</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1B1F4963" w14:textId="77777777" w:rsidR="005F6C47" w:rsidRPr="001D3FDF" w:rsidRDefault="005F6C47" w:rsidP="00345149">
            <w:pPr>
              <w:keepNext/>
              <w:shd w:val="clear" w:color="auto" w:fill="FFFFFF" w:themeFill="background1"/>
              <w:rPr>
                <w:sz w:val="18"/>
                <w:szCs w:val="18"/>
              </w:rPr>
            </w:pPr>
            <w:r w:rsidRPr="001D3FDF">
              <w:rPr>
                <w:sz w:val="18"/>
                <w:szCs w:val="18"/>
              </w:rPr>
              <w:t>medium</w:t>
            </w:r>
          </w:p>
        </w:tc>
      </w:tr>
      <w:tr w:rsidR="005F6C47" w:rsidRPr="001D3FDF" w14:paraId="4548847A" w14:textId="77777777" w:rsidTr="004B0732">
        <w:trPr>
          <w:cantSplit/>
          <w:trHeight w:val="340"/>
          <w:jc w:val="center"/>
        </w:trPr>
        <w:tc>
          <w:tcPr>
            <w:tcW w:w="4253" w:type="dxa"/>
            <w:tcBorders>
              <w:top w:val="nil"/>
              <w:left w:val="single" w:sz="4" w:space="0" w:color="auto"/>
              <w:bottom w:val="single" w:sz="4" w:space="0" w:color="auto"/>
              <w:right w:val="single" w:sz="4" w:space="0" w:color="auto"/>
            </w:tcBorders>
            <w:noWrap/>
            <w:vAlign w:val="center"/>
          </w:tcPr>
          <w:p w14:paraId="67F7DF0E" w14:textId="77777777" w:rsidR="005F6C47" w:rsidRPr="001D3FDF" w:rsidRDefault="005F6C47" w:rsidP="00345149">
            <w:pPr>
              <w:keepNext/>
              <w:shd w:val="clear" w:color="auto" w:fill="FFFFFF" w:themeFill="background1"/>
              <w:rPr>
                <w:sz w:val="18"/>
                <w:szCs w:val="18"/>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B350297" w14:textId="77777777" w:rsidR="005F6C47" w:rsidRPr="001D3FDF" w:rsidRDefault="005F6C47" w:rsidP="00345149">
            <w:pPr>
              <w:keepNext/>
              <w:shd w:val="clear" w:color="auto" w:fill="FFFFFF" w:themeFill="background1"/>
              <w:rPr>
                <w:sz w:val="18"/>
                <w:szCs w:val="18"/>
              </w:rPr>
            </w:pPr>
            <w:r w:rsidRPr="001D3FDF">
              <w:rPr>
                <w:sz w:val="18"/>
                <w:szCs w:val="18"/>
              </w:rPr>
              <w:t>3</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2BB120EA" w14:textId="77777777" w:rsidR="005F6C47" w:rsidRPr="001D3FDF" w:rsidRDefault="005F6C47" w:rsidP="00345149">
            <w:pPr>
              <w:keepNext/>
              <w:shd w:val="clear" w:color="auto" w:fill="FFFFFF" w:themeFill="background1"/>
              <w:rPr>
                <w:sz w:val="18"/>
                <w:szCs w:val="18"/>
              </w:rPr>
            </w:pPr>
            <w:r w:rsidRPr="001D3FDF">
              <w:rPr>
                <w:sz w:val="18"/>
                <w:szCs w:val="18"/>
              </w:rPr>
              <w:t>high</w:t>
            </w:r>
          </w:p>
        </w:tc>
      </w:tr>
      <w:tr w:rsidR="005F6C47" w:rsidRPr="001D3FDF" w14:paraId="01D19D8D" w14:textId="77777777" w:rsidTr="004B0732">
        <w:trPr>
          <w:cantSplit/>
          <w:trHeight w:val="340"/>
          <w:jc w:val="center"/>
        </w:trPr>
        <w:tc>
          <w:tcPr>
            <w:tcW w:w="7088" w:type="dxa"/>
            <w:gridSpan w:val="3"/>
            <w:tcBorders>
              <w:top w:val="single" w:sz="4" w:space="0" w:color="auto"/>
              <w:left w:val="single" w:sz="4" w:space="0" w:color="auto"/>
              <w:bottom w:val="single" w:sz="4" w:space="0" w:color="auto"/>
              <w:right w:val="single" w:sz="4" w:space="0" w:color="auto"/>
            </w:tcBorders>
            <w:noWrap/>
            <w:vAlign w:val="center"/>
            <w:hideMark/>
          </w:tcPr>
          <w:p w14:paraId="0A0F2380" w14:textId="77777777" w:rsidR="005F6C47" w:rsidRPr="001D3FDF" w:rsidRDefault="005F6C47" w:rsidP="00345149">
            <w:pPr>
              <w:keepNext/>
              <w:shd w:val="clear" w:color="auto" w:fill="FFFFFF" w:themeFill="background1"/>
              <w:rPr>
                <w:i/>
                <w:sz w:val="18"/>
                <w:szCs w:val="18"/>
              </w:rPr>
            </w:pPr>
            <w:r w:rsidRPr="001D3FDF">
              <w:rPr>
                <w:bCs/>
                <w:i/>
                <w:sz w:val="18"/>
                <w:szCs w:val="18"/>
              </w:rPr>
              <w:t>Terminology used in the vegetable seed sector:</w:t>
            </w:r>
          </w:p>
        </w:tc>
      </w:tr>
      <w:tr w:rsidR="005F6C47" w:rsidRPr="001D3FDF" w14:paraId="3605BBDB" w14:textId="77777777" w:rsidTr="004B0732">
        <w:trPr>
          <w:cantSplit/>
          <w:trHeight w:val="340"/>
          <w:jc w:val="center"/>
        </w:trPr>
        <w:tc>
          <w:tcPr>
            <w:tcW w:w="4253" w:type="dxa"/>
            <w:tcBorders>
              <w:top w:val="single" w:sz="4" w:space="0" w:color="auto"/>
              <w:left w:val="single" w:sz="4" w:space="0" w:color="auto"/>
              <w:bottom w:val="nil"/>
              <w:right w:val="single" w:sz="4" w:space="0" w:color="auto"/>
            </w:tcBorders>
            <w:noWrap/>
            <w:vAlign w:val="center"/>
            <w:hideMark/>
          </w:tcPr>
          <w:p w14:paraId="6195D89A" w14:textId="77777777" w:rsidR="005F6C47" w:rsidRPr="001D3FDF" w:rsidRDefault="005F6C47" w:rsidP="00345149">
            <w:pPr>
              <w:keepNext/>
              <w:shd w:val="clear" w:color="auto" w:fill="FFFFFF" w:themeFill="background1"/>
              <w:rPr>
                <w:sz w:val="18"/>
                <w:szCs w:val="18"/>
              </w:rPr>
            </w:pPr>
            <w:r w:rsidRPr="001D3FDF">
              <w:rPr>
                <w:sz w:val="18"/>
                <w:szCs w:val="18"/>
              </w:rPr>
              <w:t xml:space="preserve">Reaction of a plant variety to a specific pest </w:t>
            </w:r>
            <w:r w:rsidRPr="001D3FDF">
              <w:rPr>
                <w:bCs/>
                <w:sz w:val="18"/>
                <w:szCs w:val="18"/>
                <w:vertAlign w:val="superscript"/>
              </w:rPr>
              <w:footnoteReference w:id="3"/>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4CA3767F" w14:textId="77777777" w:rsidR="005F6C47" w:rsidRPr="001D3FDF" w:rsidRDefault="005F6C47" w:rsidP="00345149">
            <w:pPr>
              <w:keepNext/>
              <w:shd w:val="clear" w:color="auto" w:fill="FFFFFF" w:themeFill="background1"/>
              <w:rPr>
                <w:sz w:val="18"/>
                <w:szCs w:val="18"/>
              </w:rPr>
            </w:pPr>
            <w:r w:rsidRPr="001D3FDF">
              <w:rPr>
                <w:sz w:val="18"/>
                <w:szCs w:val="18"/>
              </w:rPr>
              <w:t>Susceptibility (S)</w:t>
            </w:r>
          </w:p>
        </w:tc>
      </w:tr>
      <w:tr w:rsidR="005F6C47" w:rsidRPr="001D3FDF" w14:paraId="1FEE1055" w14:textId="77777777" w:rsidTr="004B0732">
        <w:trPr>
          <w:cantSplit/>
          <w:trHeight w:val="340"/>
          <w:jc w:val="center"/>
        </w:trPr>
        <w:tc>
          <w:tcPr>
            <w:tcW w:w="4253" w:type="dxa"/>
            <w:tcBorders>
              <w:top w:val="nil"/>
              <w:left w:val="single" w:sz="4" w:space="0" w:color="auto"/>
              <w:bottom w:val="nil"/>
              <w:right w:val="single" w:sz="4" w:space="0" w:color="auto"/>
            </w:tcBorders>
            <w:noWrap/>
            <w:vAlign w:val="center"/>
          </w:tcPr>
          <w:p w14:paraId="1504929C" w14:textId="77777777" w:rsidR="005F6C47" w:rsidRPr="001D3FDF" w:rsidRDefault="005F6C47" w:rsidP="00345149">
            <w:pPr>
              <w:keepNext/>
              <w:shd w:val="clear" w:color="auto" w:fill="FFFFFF" w:themeFill="background1"/>
              <w:rPr>
                <w:sz w:val="18"/>
                <w:szCs w:val="18"/>
              </w:rPr>
            </w:pP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6B791A2D" w14:textId="77777777" w:rsidR="005F6C47" w:rsidRPr="001D3FDF" w:rsidRDefault="005F6C47" w:rsidP="00345149">
            <w:pPr>
              <w:keepNext/>
              <w:shd w:val="clear" w:color="auto" w:fill="FFFFFF" w:themeFill="background1"/>
              <w:rPr>
                <w:sz w:val="18"/>
                <w:szCs w:val="18"/>
              </w:rPr>
            </w:pPr>
            <w:r w:rsidRPr="001D3FDF">
              <w:rPr>
                <w:sz w:val="18"/>
                <w:szCs w:val="18"/>
              </w:rPr>
              <w:t>Intermediate Resistance (IR)</w:t>
            </w:r>
          </w:p>
        </w:tc>
      </w:tr>
      <w:tr w:rsidR="005F6C47" w:rsidRPr="001D3FDF" w14:paraId="1011090F" w14:textId="77777777" w:rsidTr="004B0732">
        <w:trPr>
          <w:cantSplit/>
          <w:trHeight w:val="340"/>
          <w:jc w:val="center"/>
        </w:trPr>
        <w:tc>
          <w:tcPr>
            <w:tcW w:w="4253" w:type="dxa"/>
            <w:tcBorders>
              <w:top w:val="nil"/>
              <w:left w:val="single" w:sz="4" w:space="0" w:color="auto"/>
              <w:bottom w:val="single" w:sz="4" w:space="0" w:color="auto"/>
              <w:right w:val="single" w:sz="4" w:space="0" w:color="auto"/>
            </w:tcBorders>
            <w:noWrap/>
            <w:vAlign w:val="center"/>
          </w:tcPr>
          <w:p w14:paraId="0AF55A95" w14:textId="77777777" w:rsidR="005F6C47" w:rsidRPr="001D3FDF" w:rsidRDefault="005F6C47" w:rsidP="00345149">
            <w:pPr>
              <w:shd w:val="clear" w:color="auto" w:fill="FFFFFF" w:themeFill="background1"/>
              <w:rPr>
                <w:sz w:val="18"/>
                <w:szCs w:val="18"/>
              </w:rPr>
            </w:pP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01A0C778" w14:textId="77777777" w:rsidR="005F6C47" w:rsidRPr="001D3FDF" w:rsidRDefault="005F6C47" w:rsidP="00345149">
            <w:pPr>
              <w:shd w:val="clear" w:color="auto" w:fill="FFFFFF" w:themeFill="background1"/>
              <w:rPr>
                <w:sz w:val="18"/>
                <w:szCs w:val="18"/>
              </w:rPr>
            </w:pPr>
            <w:r w:rsidRPr="001D3FDF">
              <w:rPr>
                <w:sz w:val="18"/>
                <w:szCs w:val="18"/>
              </w:rPr>
              <w:t>High Resistance (HR)</w:t>
            </w:r>
          </w:p>
        </w:tc>
      </w:tr>
    </w:tbl>
    <w:p w14:paraId="78953C58" w14:textId="77777777" w:rsidR="005F6C47" w:rsidRPr="001D3FDF" w:rsidRDefault="005F6C47" w:rsidP="005F6C47">
      <w:pPr>
        <w:shd w:val="clear" w:color="auto" w:fill="FFFFFF" w:themeFill="background1"/>
      </w:pPr>
    </w:p>
    <w:p w14:paraId="740E12C3" w14:textId="77777777" w:rsidR="005F6C47" w:rsidRPr="001D3FDF" w:rsidRDefault="005F6C47" w:rsidP="005F6C47">
      <w:pPr>
        <w:shd w:val="clear" w:color="auto" w:fill="FFFFFF" w:themeFill="background1"/>
      </w:pPr>
    </w:p>
    <w:p w14:paraId="1A3B6BD5" w14:textId="77777777" w:rsidR="0013127A" w:rsidRPr="001D3FDF" w:rsidRDefault="0013127A" w:rsidP="0013127A">
      <w:pPr>
        <w:pStyle w:val="Heading3"/>
      </w:pPr>
      <w:bookmarkStart w:id="32" w:name="_Toc176335747"/>
      <w:bookmarkStart w:id="33" w:name="_Toc191917567"/>
      <w:r w:rsidRPr="001D3FDF">
        <w:t>Access to plant material for the purpose of management of variety collections and DUS examination</w:t>
      </w:r>
      <w:bookmarkEnd w:id="32"/>
      <w:bookmarkEnd w:id="33"/>
    </w:p>
    <w:p w14:paraId="74A4978D" w14:textId="77777777" w:rsidR="0013127A" w:rsidRPr="001D3FDF" w:rsidRDefault="0013127A" w:rsidP="0013127A">
      <w:pPr>
        <w:keepNext/>
      </w:pPr>
    </w:p>
    <w:p w14:paraId="6956FFDF" w14:textId="15E386CC" w:rsidR="0013127A" w:rsidRPr="001D3FDF" w:rsidRDefault="0013127A" w:rsidP="0013127A">
      <w:pPr>
        <w:keepNext/>
      </w:pPr>
      <w:r w:rsidRPr="001D3FDF">
        <w:fldChar w:fldCharType="begin"/>
      </w:r>
      <w:r w:rsidRPr="001D3FDF">
        <w:instrText xml:space="preserve"> AUTONUM  </w:instrText>
      </w:r>
      <w:r w:rsidRPr="001D3FDF">
        <w:fldChar w:fldCharType="end"/>
      </w:r>
      <w:r w:rsidRPr="001D3FDF">
        <w:tab/>
        <w:t>The TC</w:t>
      </w:r>
      <w:r w:rsidR="00450619" w:rsidRPr="001D3FDF">
        <w:rPr>
          <w:vertAlign w:val="superscript"/>
        </w:rPr>
        <w:fldChar w:fldCharType="begin"/>
      </w:r>
      <w:r w:rsidR="00450619" w:rsidRPr="001D3FDF">
        <w:rPr>
          <w:vertAlign w:val="superscript"/>
        </w:rPr>
        <w:instrText xml:space="preserve"> NOTEREF _Ref189227889 \h  \* MERGEFORMAT </w:instrText>
      </w:r>
      <w:r w:rsidR="00450619" w:rsidRPr="001D3FDF">
        <w:rPr>
          <w:vertAlign w:val="superscript"/>
        </w:rPr>
      </w:r>
      <w:r w:rsidR="00450619" w:rsidRPr="001D3FDF">
        <w:rPr>
          <w:vertAlign w:val="superscript"/>
        </w:rPr>
        <w:fldChar w:fldCharType="separate"/>
      </w:r>
      <w:r w:rsidR="00D41377">
        <w:rPr>
          <w:vertAlign w:val="superscript"/>
        </w:rPr>
        <w:t>1</w:t>
      </w:r>
      <w:r w:rsidR="00450619" w:rsidRPr="001D3FDF">
        <w:rPr>
          <w:vertAlign w:val="superscript"/>
        </w:rPr>
        <w:fldChar w:fldCharType="end"/>
      </w:r>
      <w:r w:rsidRPr="001D3FDF">
        <w:t xml:space="preserve"> noted the discussions on elements for inclusion in requests for the submission of plant material of candidate varieties and varieties of common knowledge for DUS examination, </w:t>
      </w:r>
      <w:r w:rsidR="00D95313">
        <w:t>as considered by the TWPs at their sessions in 2024</w:t>
      </w:r>
      <w:r w:rsidRPr="001D3FDF">
        <w:t>.</w:t>
      </w:r>
    </w:p>
    <w:p w14:paraId="49A2ED65" w14:textId="77777777" w:rsidR="0013127A" w:rsidRPr="001D3FDF" w:rsidRDefault="0013127A" w:rsidP="0013127A"/>
    <w:p w14:paraId="0A7A1E4D" w14:textId="77777777" w:rsidR="0013127A" w:rsidRPr="001D3FDF" w:rsidRDefault="0013127A" w:rsidP="0013127A">
      <w:r w:rsidRPr="001D3FDF">
        <w:fldChar w:fldCharType="begin"/>
      </w:r>
      <w:r w:rsidRPr="001D3FDF">
        <w:instrText xml:space="preserve"> AUTONUM  </w:instrText>
      </w:r>
      <w:r w:rsidRPr="001D3FDF">
        <w:fldChar w:fldCharType="end"/>
      </w:r>
      <w:r w:rsidRPr="001D3FDF">
        <w:tab/>
        <w:t xml:space="preserve">The TC noted the comments from the TWA, TWO and TWV on </w:t>
      </w:r>
      <w:proofErr w:type="gramStart"/>
      <w:r w:rsidRPr="001D3FDF">
        <w:t>particular requirements</w:t>
      </w:r>
      <w:proofErr w:type="gramEnd"/>
      <w:r w:rsidRPr="001D3FDF">
        <w:t xml:space="preserve"> from domestic regulations and that it would not be appropriate to develop guidance on the matter.</w:t>
      </w:r>
    </w:p>
    <w:p w14:paraId="7803BC31" w14:textId="77777777" w:rsidR="0013127A" w:rsidRPr="001D3FDF" w:rsidRDefault="0013127A" w:rsidP="005F6C47">
      <w:pPr>
        <w:shd w:val="clear" w:color="auto" w:fill="FFFFFF" w:themeFill="background1"/>
      </w:pPr>
    </w:p>
    <w:p w14:paraId="5674FF9D" w14:textId="77777777" w:rsidR="00BA25C9" w:rsidRPr="001D3FDF" w:rsidRDefault="00BA25C9" w:rsidP="00BA25C9">
      <w:pPr>
        <w:keepNext/>
        <w:rPr>
          <w:rFonts w:cs="Arial"/>
          <w:color w:val="000000"/>
        </w:rPr>
      </w:pPr>
    </w:p>
    <w:p w14:paraId="617F0539" w14:textId="77777777" w:rsidR="00BA25C9" w:rsidRPr="001D3FDF" w:rsidRDefault="00BA25C9" w:rsidP="00BA25C9">
      <w:pPr>
        <w:pStyle w:val="Heading2"/>
      </w:pPr>
      <w:bookmarkStart w:id="34" w:name="_Toc108115261"/>
      <w:bookmarkStart w:id="35" w:name="_Toc191917568"/>
      <w:r w:rsidRPr="001D3FDF">
        <w:t xml:space="preserve">Information </w:t>
      </w:r>
      <w:bookmarkEnd w:id="34"/>
      <w:r w:rsidRPr="001D3FDF">
        <w:t>Documents</w:t>
      </w:r>
      <w:bookmarkEnd w:id="35"/>
    </w:p>
    <w:p w14:paraId="60F837B8" w14:textId="77777777" w:rsidR="00BA25C9" w:rsidRPr="001D3FDF" w:rsidRDefault="00BA25C9" w:rsidP="00BA25C9">
      <w:pPr>
        <w:keepNext/>
        <w:ind w:left="567" w:hanging="567"/>
        <w:jc w:val="left"/>
      </w:pPr>
    </w:p>
    <w:p w14:paraId="2D7E69C8" w14:textId="77777777" w:rsidR="00BA25C9" w:rsidRPr="001D3FDF" w:rsidRDefault="00BA25C9" w:rsidP="00BA25C9">
      <w:pPr>
        <w:pStyle w:val="Heading3"/>
      </w:pPr>
      <w:bookmarkStart w:id="36" w:name="_Toc191917569"/>
      <w:r w:rsidRPr="001D3FDF">
        <w:t>UPOV/INF/16:  Exchangeable Software (Revision)</w:t>
      </w:r>
      <w:bookmarkEnd w:id="36"/>
    </w:p>
    <w:p w14:paraId="65ACF29F" w14:textId="77777777" w:rsidR="00BA25C9" w:rsidRPr="001D3FDF" w:rsidRDefault="00BA25C9" w:rsidP="00BA25C9">
      <w:pPr>
        <w:keepNext/>
        <w:shd w:val="clear" w:color="auto" w:fill="FFFFFF" w:themeFill="background1"/>
        <w:rPr>
          <w:rFonts w:eastAsiaTheme="minorEastAsia" w:cs="Arial"/>
          <w:spacing w:val="-4"/>
          <w:sz w:val="18"/>
          <w:szCs w:val="18"/>
          <w:u w:val="single"/>
          <w:lang w:eastAsia="ja-JP"/>
        </w:rPr>
      </w:pPr>
    </w:p>
    <w:p w14:paraId="36E4BD37" w14:textId="61526B78" w:rsidR="00BA25C9" w:rsidRPr="001D3FDF" w:rsidRDefault="00BA25C9" w:rsidP="00BA25C9">
      <w:pPr>
        <w:shd w:val="clear" w:color="auto" w:fill="FFFFFF" w:themeFill="background1"/>
        <w:rPr>
          <w:lang w:eastAsia="ja-JP"/>
        </w:rPr>
      </w:pPr>
      <w:r w:rsidRPr="001D3FDF">
        <w:fldChar w:fldCharType="begin"/>
      </w:r>
      <w:r w:rsidRPr="001D3FDF">
        <w:instrText xml:space="preserve"> AUTONUM  </w:instrText>
      </w:r>
      <w:r w:rsidRPr="001D3FDF">
        <w:fldChar w:fldCharType="end"/>
      </w:r>
      <w:r w:rsidRPr="001D3FDF">
        <w:rPr>
          <w:sz w:val="16"/>
          <w:szCs w:val="16"/>
        </w:rPr>
        <w:tab/>
      </w:r>
      <w:r w:rsidRPr="001D3FDF">
        <w:rPr>
          <w:rFonts w:eastAsiaTheme="minorEastAsia" w:cs="Arial"/>
          <w:lang w:eastAsia="ja-JP"/>
        </w:rPr>
        <w:t xml:space="preserve">The </w:t>
      </w:r>
      <w:r w:rsidRPr="001D3FDF">
        <w:t>Council</w:t>
      </w:r>
      <w:r w:rsidRPr="001D3FDF">
        <w:rPr>
          <w:rFonts w:eastAsiaTheme="minorEastAsia" w:cs="Arial"/>
          <w:lang w:eastAsia="ja-JP"/>
        </w:rPr>
        <w:t xml:space="preserve"> noted that the TC and the CAJ, at their sessions in 2024, had </w:t>
      </w:r>
      <w:r w:rsidRPr="001D3FDF">
        <w:t xml:space="preserve">approved the revision of document UPOV/INF/16/12 “Exchangeable Software”, on the basis of </w:t>
      </w:r>
      <w:r w:rsidRPr="00FF623B">
        <w:t>document UPOV/INF/16/13</w:t>
      </w:r>
      <w:r w:rsidRPr="001D3FDF">
        <w:t xml:space="preserve"> Draft 1, and </w:t>
      </w:r>
      <w:r w:rsidRPr="001D3FDF">
        <w:rPr>
          <w:lang w:eastAsia="zh-CN"/>
        </w:rPr>
        <w:t xml:space="preserve">adopted the proposed </w:t>
      </w:r>
      <w:r w:rsidRPr="001D3FDF">
        <w:rPr>
          <w:lang w:eastAsia="ja-JP"/>
        </w:rPr>
        <w:t>revision</w:t>
      </w:r>
      <w:r w:rsidR="00FF623B">
        <w:rPr>
          <w:lang w:eastAsia="ja-JP"/>
        </w:rPr>
        <w:t xml:space="preserve"> (</w:t>
      </w:r>
      <w:hyperlink r:id="rId20" w:history="1">
        <w:r w:rsidR="00FF623B">
          <w:t xml:space="preserve">document </w:t>
        </w:r>
        <w:r w:rsidR="00FF623B" w:rsidRPr="00493073">
          <w:rPr>
            <w:rStyle w:val="Hyperlink"/>
          </w:rPr>
          <w:t>UPOV/INF/16/13</w:t>
        </w:r>
      </w:hyperlink>
      <w:r w:rsidR="00FF623B">
        <w:rPr>
          <w:rStyle w:val="Hyperlink"/>
        </w:rPr>
        <w:t>)</w:t>
      </w:r>
      <w:r w:rsidRPr="001D3FDF">
        <w:rPr>
          <w:lang w:eastAsia="ja-JP"/>
        </w:rPr>
        <w:t>.</w:t>
      </w:r>
    </w:p>
    <w:p w14:paraId="003BBFB3" w14:textId="77777777" w:rsidR="00BA25C9" w:rsidRPr="001D3FDF" w:rsidRDefault="00BA25C9" w:rsidP="00BA25C9">
      <w:pPr>
        <w:shd w:val="clear" w:color="auto" w:fill="FFFFFF" w:themeFill="background1"/>
      </w:pPr>
    </w:p>
    <w:p w14:paraId="0F35EBE7" w14:textId="77777777" w:rsidR="00BA25C9" w:rsidRPr="001D3FDF" w:rsidRDefault="00BA25C9" w:rsidP="00BA25C9">
      <w:pPr>
        <w:pStyle w:val="Heading3"/>
      </w:pPr>
      <w:bookmarkStart w:id="37" w:name="_Toc191917570"/>
      <w:r w:rsidRPr="001D3FDF">
        <w:lastRenderedPageBreak/>
        <w:t>UPOV/INF/22: Software and Equipment Used by Members of the Union (Revision)</w:t>
      </w:r>
      <w:bookmarkEnd w:id="37"/>
    </w:p>
    <w:p w14:paraId="22A7C766" w14:textId="77777777" w:rsidR="00BA25C9" w:rsidRPr="001D3FDF" w:rsidRDefault="00BA25C9" w:rsidP="00BA25C9">
      <w:pPr>
        <w:keepNext/>
        <w:shd w:val="clear" w:color="auto" w:fill="FFFFFF" w:themeFill="background1"/>
        <w:rPr>
          <w:lang w:eastAsia="ja-JP"/>
        </w:rPr>
      </w:pPr>
    </w:p>
    <w:p w14:paraId="19996B08" w14:textId="79426EB0" w:rsidR="00BA25C9" w:rsidRPr="001D3FDF" w:rsidRDefault="00BA25C9" w:rsidP="00BA25C9">
      <w:pPr>
        <w:shd w:val="clear" w:color="auto" w:fill="FFFFFF" w:themeFill="background1"/>
        <w:rPr>
          <w:lang w:eastAsia="ja-JP"/>
        </w:rPr>
      </w:pPr>
      <w:r w:rsidRPr="001D3FDF">
        <w:rPr>
          <w:lang w:eastAsia="ja-JP"/>
        </w:rPr>
        <w:fldChar w:fldCharType="begin"/>
      </w:r>
      <w:r w:rsidRPr="001D3FDF">
        <w:rPr>
          <w:lang w:eastAsia="ja-JP"/>
        </w:rPr>
        <w:instrText xml:space="preserve"> AUTONUM  </w:instrText>
      </w:r>
      <w:r w:rsidRPr="001D3FDF">
        <w:rPr>
          <w:lang w:eastAsia="ja-JP"/>
        </w:rPr>
        <w:fldChar w:fldCharType="end"/>
      </w:r>
      <w:r w:rsidRPr="001D3FDF">
        <w:rPr>
          <w:lang w:eastAsia="ja-JP"/>
        </w:rPr>
        <w:tab/>
      </w:r>
      <w:r w:rsidRPr="001D3FDF">
        <w:rPr>
          <w:rFonts w:eastAsiaTheme="minorEastAsia" w:cs="Arial"/>
          <w:lang w:eastAsia="ja-JP"/>
        </w:rPr>
        <w:t xml:space="preserve">The </w:t>
      </w:r>
      <w:r w:rsidRPr="001D3FDF">
        <w:t>Council</w:t>
      </w:r>
      <w:r w:rsidRPr="001D3FDF">
        <w:rPr>
          <w:rFonts w:eastAsiaTheme="minorEastAsia" w:cs="Arial"/>
          <w:lang w:eastAsia="ja-JP"/>
        </w:rPr>
        <w:t xml:space="preserve"> noted that the TC and the CAJ, at their sessions in 2024, had </w:t>
      </w:r>
      <w:r w:rsidRPr="001D3FDF">
        <w:t xml:space="preserve">approved the revision of document UPOV/INF/22/10 “Software and equipment used by members of the Union”, on the basis of document </w:t>
      </w:r>
      <w:r w:rsidRPr="00FF623B">
        <w:t>UPOV/INF/22/11</w:t>
      </w:r>
      <w:r w:rsidRPr="001D3FDF">
        <w:t xml:space="preserve"> Draft 1, and </w:t>
      </w:r>
      <w:r w:rsidRPr="001D3FDF">
        <w:rPr>
          <w:lang w:eastAsia="zh-CN"/>
        </w:rPr>
        <w:t>adopted</w:t>
      </w:r>
      <w:r w:rsidRPr="001D3FDF">
        <w:rPr>
          <w:lang w:eastAsia="ja-JP"/>
        </w:rPr>
        <w:t xml:space="preserve"> the proposed revision</w:t>
      </w:r>
      <w:r w:rsidR="00FF623B">
        <w:rPr>
          <w:lang w:eastAsia="ja-JP"/>
        </w:rPr>
        <w:t xml:space="preserve"> (document </w:t>
      </w:r>
      <w:hyperlink r:id="rId21" w:history="1">
        <w:r w:rsidR="00FF623B" w:rsidRPr="00493073">
          <w:rPr>
            <w:rStyle w:val="Hyperlink"/>
          </w:rPr>
          <w:t>UPOV/INF/22/11</w:t>
        </w:r>
      </w:hyperlink>
      <w:r w:rsidR="00FF623B">
        <w:rPr>
          <w:rStyle w:val="Hyperlink"/>
        </w:rPr>
        <w:t>)</w:t>
      </w:r>
      <w:r w:rsidRPr="001D3FDF">
        <w:rPr>
          <w:lang w:eastAsia="ja-JP"/>
        </w:rPr>
        <w:t>.</w:t>
      </w:r>
    </w:p>
    <w:p w14:paraId="2DABC8D5" w14:textId="77777777" w:rsidR="00BA25C9" w:rsidRPr="001D3FDF" w:rsidRDefault="00BA25C9" w:rsidP="00BA25C9">
      <w:pPr>
        <w:shd w:val="clear" w:color="auto" w:fill="FFFFFF" w:themeFill="background1"/>
      </w:pPr>
    </w:p>
    <w:p w14:paraId="512E168C" w14:textId="77777777" w:rsidR="00BA25C9" w:rsidRPr="001D3FDF" w:rsidRDefault="00BA25C9" w:rsidP="00BA25C9">
      <w:pPr>
        <w:shd w:val="clear" w:color="auto" w:fill="FFFFFF" w:themeFill="background1"/>
      </w:pPr>
    </w:p>
    <w:p w14:paraId="7023E50E" w14:textId="77777777" w:rsidR="00BA25C9" w:rsidRPr="001D3FDF" w:rsidRDefault="00BA25C9" w:rsidP="00493073">
      <w:pPr>
        <w:pStyle w:val="Heading2"/>
      </w:pPr>
      <w:bookmarkStart w:id="38" w:name="_Toc191917571"/>
      <w:r w:rsidRPr="001D3FDF">
        <w:t>Explanatory Notes</w:t>
      </w:r>
      <w:bookmarkEnd w:id="38"/>
    </w:p>
    <w:p w14:paraId="2C172F04" w14:textId="77777777" w:rsidR="00BA25C9" w:rsidRPr="001D3FDF" w:rsidRDefault="00BA25C9" w:rsidP="00493073">
      <w:pPr>
        <w:keepNext/>
        <w:shd w:val="clear" w:color="auto" w:fill="FFFFFF" w:themeFill="background1"/>
      </w:pPr>
    </w:p>
    <w:p w14:paraId="107379B5" w14:textId="0F4867ED" w:rsidR="00BA25C9" w:rsidRPr="001D3FDF" w:rsidRDefault="00BA25C9" w:rsidP="00493073">
      <w:pPr>
        <w:pStyle w:val="Heading3"/>
      </w:pPr>
      <w:bookmarkStart w:id="39" w:name="_Toc191917572"/>
      <w:r w:rsidRPr="001D3FDF">
        <w:t>UPOV/EXN/DEN:  Explanatory Notes on Variety Denominations under the UPOV Convention (Revision)</w:t>
      </w:r>
      <w:r w:rsidR="00072258">
        <w:t xml:space="preserve">: </w:t>
      </w:r>
      <w:r w:rsidR="00072258" w:rsidRPr="001D3FDF">
        <w:t xml:space="preserve">New variety denomination classes for </w:t>
      </w:r>
      <w:r w:rsidR="00072258" w:rsidRPr="00072258">
        <w:rPr>
          <w:i w:val="0"/>
          <w:iCs/>
        </w:rPr>
        <w:t>Prunus</w:t>
      </w:r>
      <w:bookmarkEnd w:id="39"/>
    </w:p>
    <w:p w14:paraId="3910D2A5" w14:textId="77777777" w:rsidR="00BA25C9" w:rsidRPr="001D3FDF" w:rsidRDefault="00BA25C9" w:rsidP="00493073">
      <w:pPr>
        <w:keepNext/>
        <w:shd w:val="clear" w:color="auto" w:fill="FFFFFF" w:themeFill="background1"/>
        <w:jc w:val="left"/>
      </w:pPr>
    </w:p>
    <w:p w14:paraId="556DDF21" w14:textId="77777777" w:rsidR="00BA25C9" w:rsidRPr="001D3FDF" w:rsidRDefault="00BA25C9" w:rsidP="00493073">
      <w:pPr>
        <w:keepNext/>
        <w:shd w:val="clear" w:color="auto" w:fill="FFFFFF" w:themeFill="background1"/>
        <w:rPr>
          <w:spacing w:val="-2"/>
        </w:rPr>
      </w:pPr>
      <w:r w:rsidRPr="001D3FDF">
        <w:fldChar w:fldCharType="begin"/>
      </w:r>
      <w:r w:rsidRPr="001D3FDF">
        <w:instrText xml:space="preserve"> AUTONUM  </w:instrText>
      </w:r>
      <w:r w:rsidRPr="001D3FDF">
        <w:fldChar w:fldCharType="end"/>
      </w:r>
      <w:r w:rsidRPr="001D3FDF">
        <w:tab/>
        <w:t xml:space="preserve">The Council noted that the TC and the CAJ, at their sessions in 2024, had approved the revision of document UPOV/EXN/DEN/3 “Explanatory Notes on Variety Denominations under the UPOV Convention” </w:t>
      </w:r>
      <w:r w:rsidRPr="001D3FDF">
        <w:rPr>
          <w:spacing w:val="-2"/>
        </w:rPr>
        <w:t xml:space="preserve">with the following amendment </w:t>
      </w:r>
      <w:r w:rsidRPr="001D3FDF">
        <w:t xml:space="preserve">(additions indicated with highlighting and </w:t>
      </w:r>
      <w:r w:rsidRPr="001D3FDF">
        <w:rPr>
          <w:highlight w:val="lightGray"/>
          <w:u w:val="single"/>
        </w:rPr>
        <w:t>underline</w:t>
      </w:r>
      <w:r w:rsidRPr="001D3FDF">
        <w:t xml:space="preserve">; and deletions indicated with highlighting and </w:t>
      </w:r>
      <w:r w:rsidRPr="001D3FDF">
        <w:rPr>
          <w:strike/>
          <w:highlight w:val="lightGray"/>
        </w:rPr>
        <w:t>strikethrough</w:t>
      </w:r>
      <w:r w:rsidRPr="001D3FDF">
        <w:t>)</w:t>
      </w:r>
      <w:r w:rsidRPr="001D3FDF">
        <w:rPr>
          <w:spacing w:val="-2"/>
        </w:rPr>
        <w:t>:</w:t>
      </w:r>
    </w:p>
    <w:p w14:paraId="7315D0FF" w14:textId="77777777" w:rsidR="00BA25C9" w:rsidRPr="001D3FDF" w:rsidRDefault="00BA25C9" w:rsidP="00BA25C9">
      <w:pPr>
        <w:pStyle w:val="BasistekstNaktuinbouw"/>
        <w:shd w:val="clear" w:color="auto" w:fill="FFFFFF" w:themeFill="background1"/>
        <w:ind w:left="567" w:right="567"/>
        <w:jc w:val="both"/>
        <w:rPr>
          <w:lang w:val="en-US"/>
        </w:rPr>
      </w:pPr>
    </w:p>
    <w:p w14:paraId="26FFC8F0" w14:textId="77777777" w:rsidR="00BA25C9" w:rsidRPr="001D3FDF" w:rsidRDefault="00BA25C9" w:rsidP="00BA25C9">
      <w:pPr>
        <w:pStyle w:val="BasistekstNaktuinbouw"/>
        <w:shd w:val="clear" w:color="auto" w:fill="FFFFFF" w:themeFill="background1"/>
        <w:ind w:left="567" w:right="567"/>
        <w:jc w:val="both"/>
        <w:rPr>
          <w:rFonts w:eastAsia="MS Mincho"/>
          <w:sz w:val="18"/>
          <w:szCs w:val="16"/>
          <w:highlight w:val="yellow"/>
          <w:lang w:val="en-US" w:eastAsia="ja-JP"/>
        </w:rPr>
      </w:pPr>
      <w:r w:rsidRPr="001D3FDF">
        <w:rPr>
          <w:sz w:val="18"/>
          <w:szCs w:val="16"/>
          <w:lang w:val="en-US"/>
        </w:rPr>
        <w:t>“c)</w:t>
      </w:r>
      <w:r w:rsidRPr="001D3FDF">
        <w:rPr>
          <w:sz w:val="18"/>
          <w:szCs w:val="16"/>
          <w:lang w:val="en-US"/>
        </w:rPr>
        <w:tab/>
      </w:r>
      <w:r w:rsidRPr="001D3FDF">
        <w:rPr>
          <w:rFonts w:eastAsiaTheme="minorEastAsia"/>
          <w:sz w:val="18"/>
          <w:szCs w:val="16"/>
          <w:lang w:val="en-US"/>
        </w:rPr>
        <w:t xml:space="preserve">The </w:t>
      </w:r>
      <w:r w:rsidRPr="001D3FDF">
        <w:rPr>
          <w:rFonts w:eastAsiaTheme="minorEastAsia"/>
          <w:strike/>
          <w:sz w:val="18"/>
          <w:szCs w:val="16"/>
          <w:highlight w:val="lightGray"/>
          <w:lang w:val="en-US"/>
        </w:rPr>
        <w:t>registered</w:t>
      </w:r>
      <w:r w:rsidRPr="001D3FDF">
        <w:rPr>
          <w:rFonts w:eastAsiaTheme="minorEastAsia"/>
          <w:sz w:val="18"/>
          <w:szCs w:val="16"/>
          <w:lang w:val="en-US"/>
        </w:rPr>
        <w:t xml:space="preserve"> </w:t>
      </w:r>
      <w:r w:rsidRPr="001D3FDF">
        <w:rPr>
          <w:rFonts w:eastAsiaTheme="minorEastAsia"/>
          <w:sz w:val="18"/>
          <w:szCs w:val="16"/>
          <w:highlight w:val="lightGray"/>
          <w:u w:val="single"/>
          <w:lang w:val="en-US"/>
        </w:rPr>
        <w:t>proposed</w:t>
      </w:r>
      <w:r w:rsidRPr="001D3FDF">
        <w:rPr>
          <w:rFonts w:eastAsiaTheme="minorEastAsia"/>
          <w:sz w:val="18"/>
          <w:szCs w:val="16"/>
          <w:lang w:val="en-US"/>
        </w:rPr>
        <w:t xml:space="preserve"> denomination</w:t>
      </w:r>
      <w:r w:rsidRPr="001D3FDF">
        <w:rPr>
          <w:rFonts w:eastAsiaTheme="minorEastAsia"/>
          <w:sz w:val="18"/>
          <w:szCs w:val="16"/>
          <w:highlight w:val="lightGray"/>
          <w:u w:val="single"/>
          <w:lang w:val="en-US"/>
        </w:rPr>
        <w:t>s</w:t>
      </w:r>
      <w:r w:rsidRPr="001D3FDF">
        <w:rPr>
          <w:rFonts w:eastAsiaTheme="minorEastAsia"/>
          <w:sz w:val="18"/>
          <w:szCs w:val="16"/>
          <w:lang w:val="en-US"/>
        </w:rPr>
        <w:t xml:space="preserve"> of </w:t>
      </w:r>
      <w:r w:rsidRPr="001D3FDF">
        <w:rPr>
          <w:rFonts w:eastAsiaTheme="minorEastAsia"/>
          <w:strike/>
          <w:sz w:val="18"/>
          <w:szCs w:val="16"/>
          <w:highlight w:val="lightGray"/>
          <w:lang w:val="en-US"/>
        </w:rPr>
        <w:t>an</w:t>
      </w:r>
      <w:r w:rsidRPr="001D3FDF">
        <w:rPr>
          <w:rFonts w:eastAsiaTheme="minorEastAsia"/>
          <w:sz w:val="18"/>
          <w:szCs w:val="16"/>
          <w:lang w:val="en-US"/>
        </w:rPr>
        <w:t xml:space="preserve"> interspecific </w:t>
      </w:r>
      <w:proofErr w:type="gramStart"/>
      <w:r w:rsidRPr="001D3FDF">
        <w:rPr>
          <w:rFonts w:eastAsiaTheme="minorEastAsia"/>
          <w:sz w:val="18"/>
          <w:szCs w:val="16"/>
          <w:lang w:val="en-US"/>
        </w:rPr>
        <w:t>hybrid</w:t>
      </w:r>
      <w:r w:rsidRPr="001D3FDF">
        <w:rPr>
          <w:rFonts w:eastAsiaTheme="minorEastAsia"/>
          <w:sz w:val="18"/>
          <w:szCs w:val="16"/>
          <w:highlight w:val="lightGray"/>
          <w:u w:val="single"/>
          <w:lang w:val="en-US"/>
        </w:rPr>
        <w:t>s</w:t>
      </w:r>
      <w:proofErr w:type="gramEnd"/>
      <w:r w:rsidRPr="001D3FDF">
        <w:rPr>
          <w:rFonts w:eastAsiaTheme="minorEastAsia"/>
          <w:sz w:val="18"/>
          <w:szCs w:val="16"/>
          <w:lang w:val="en-US"/>
        </w:rPr>
        <w:t xml:space="preserve"> </w:t>
      </w:r>
      <w:r w:rsidRPr="001D3FDF">
        <w:rPr>
          <w:rFonts w:eastAsiaTheme="minorEastAsia"/>
          <w:strike/>
          <w:sz w:val="18"/>
          <w:szCs w:val="16"/>
          <w:highlight w:val="lightGray"/>
          <w:lang w:val="en-US"/>
        </w:rPr>
        <w:t>variety</w:t>
      </w:r>
      <w:r w:rsidRPr="001D3FDF">
        <w:rPr>
          <w:rFonts w:eastAsiaTheme="minorEastAsia"/>
          <w:sz w:val="18"/>
          <w:szCs w:val="16"/>
          <w:lang w:val="en-US"/>
        </w:rPr>
        <w:t xml:space="preserve"> with parents from different classes within a genus should be </w:t>
      </w:r>
      <w:r w:rsidRPr="001D3FDF">
        <w:rPr>
          <w:rFonts w:eastAsiaTheme="minorEastAsia"/>
          <w:sz w:val="18"/>
          <w:szCs w:val="16"/>
          <w:highlight w:val="lightGray"/>
          <w:u w:val="single"/>
          <w:lang w:val="en-US"/>
        </w:rPr>
        <w:t>different from</w:t>
      </w:r>
      <w:r w:rsidRPr="001D3FDF">
        <w:rPr>
          <w:rFonts w:eastAsiaTheme="minorEastAsia"/>
          <w:sz w:val="18"/>
          <w:szCs w:val="16"/>
          <w:lang w:val="en-US"/>
        </w:rPr>
        <w:t xml:space="preserve"> </w:t>
      </w:r>
      <w:r w:rsidRPr="001D3FDF">
        <w:rPr>
          <w:rFonts w:eastAsiaTheme="minorEastAsia"/>
          <w:strike/>
          <w:sz w:val="18"/>
          <w:szCs w:val="16"/>
          <w:highlight w:val="lightGray"/>
          <w:lang w:val="en-US"/>
        </w:rPr>
        <w:t>introduced</w:t>
      </w:r>
      <w:r w:rsidRPr="001D3FDF">
        <w:rPr>
          <w:rFonts w:eastAsiaTheme="minorEastAsia"/>
          <w:sz w:val="18"/>
          <w:szCs w:val="16"/>
          <w:lang w:val="en-US"/>
        </w:rPr>
        <w:t xml:space="preserve"> </w:t>
      </w:r>
      <w:r w:rsidRPr="001D3FDF">
        <w:rPr>
          <w:rFonts w:eastAsiaTheme="minorEastAsia"/>
          <w:sz w:val="18"/>
          <w:szCs w:val="16"/>
          <w:highlight w:val="lightGray"/>
          <w:u w:val="single"/>
          <w:lang w:val="en-US"/>
        </w:rPr>
        <w:t>denominations</w:t>
      </w:r>
      <w:r w:rsidRPr="001D3FDF">
        <w:rPr>
          <w:rFonts w:eastAsiaTheme="minorEastAsia"/>
          <w:sz w:val="18"/>
          <w:szCs w:val="16"/>
          <w:lang w:val="en-US"/>
        </w:rPr>
        <w:t xml:space="preserve"> in </w:t>
      </w:r>
      <w:r w:rsidRPr="001D3FDF">
        <w:rPr>
          <w:rFonts w:eastAsiaTheme="minorEastAsia"/>
          <w:strike/>
          <w:sz w:val="18"/>
          <w:szCs w:val="16"/>
          <w:highlight w:val="lightGray"/>
          <w:lang w:val="en-US"/>
        </w:rPr>
        <w:t>all</w:t>
      </w:r>
      <w:r w:rsidRPr="001D3FDF">
        <w:rPr>
          <w:rFonts w:eastAsiaTheme="minorEastAsia"/>
          <w:sz w:val="18"/>
          <w:szCs w:val="16"/>
          <w:lang w:val="en-US"/>
        </w:rPr>
        <w:t xml:space="preserve"> the classes </w:t>
      </w:r>
      <w:r w:rsidRPr="001D3FDF">
        <w:rPr>
          <w:rFonts w:eastAsiaTheme="minorEastAsia"/>
          <w:strike/>
          <w:sz w:val="18"/>
          <w:szCs w:val="16"/>
          <w:highlight w:val="lightGray"/>
          <w:lang w:val="en-US"/>
        </w:rPr>
        <w:t>within a genus</w:t>
      </w:r>
      <w:r w:rsidRPr="001D3FDF">
        <w:rPr>
          <w:rFonts w:eastAsiaTheme="minorEastAsia"/>
          <w:sz w:val="18"/>
          <w:szCs w:val="16"/>
          <w:lang w:val="en-US"/>
        </w:rPr>
        <w:t xml:space="preserve"> of </w:t>
      </w:r>
      <w:r w:rsidRPr="001D3FDF">
        <w:rPr>
          <w:rFonts w:eastAsiaTheme="minorEastAsia"/>
          <w:sz w:val="18"/>
          <w:szCs w:val="16"/>
          <w:highlight w:val="lightGray"/>
          <w:u w:val="single"/>
          <w:lang w:val="en-US"/>
        </w:rPr>
        <w:t>all</w:t>
      </w:r>
      <w:r w:rsidRPr="001D3FDF">
        <w:rPr>
          <w:rFonts w:eastAsiaTheme="minorEastAsia"/>
          <w:sz w:val="18"/>
          <w:szCs w:val="16"/>
          <w:lang w:val="en-US"/>
        </w:rPr>
        <w:t xml:space="preserve"> the parent species.  The UPOV code for an interspecific hybrid variety with parents from different classes within a genus should be associated with the variety denomination classes of all the parent species.  </w:t>
      </w:r>
    </w:p>
    <w:p w14:paraId="3DCC743B" w14:textId="77777777" w:rsidR="00BA25C9" w:rsidRPr="001D3FDF" w:rsidRDefault="00BA25C9" w:rsidP="00BA25C9">
      <w:pPr>
        <w:shd w:val="clear" w:color="auto" w:fill="FFFFFF" w:themeFill="background1"/>
      </w:pPr>
    </w:p>
    <w:p w14:paraId="6793DB7D" w14:textId="79BDF20D" w:rsidR="00BA25C9" w:rsidRPr="001D3FDF" w:rsidRDefault="00BA25C9" w:rsidP="00BA25C9">
      <w:pPr>
        <w:shd w:val="clear" w:color="auto" w:fill="FFFFFF" w:themeFill="background1"/>
      </w:pPr>
      <w:r w:rsidRPr="001D3FDF">
        <w:fldChar w:fldCharType="begin"/>
      </w:r>
      <w:r w:rsidRPr="001D3FDF">
        <w:instrText xml:space="preserve"> AUTONUM  </w:instrText>
      </w:r>
      <w:r w:rsidRPr="001D3FDF">
        <w:fldChar w:fldCharType="end"/>
      </w:r>
      <w:r w:rsidRPr="001D3FDF">
        <w:tab/>
        <w:t>The Council adopted a revision of document UPOV/EXN/DEN/3 “Explanatory Notes on Variety Denominations under the UPOV Convention” (</w:t>
      </w:r>
      <w:hyperlink r:id="rId22" w:history="1">
        <w:r w:rsidRPr="00174520">
          <w:rPr>
            <w:rStyle w:val="Hyperlink"/>
          </w:rPr>
          <w:t>document UPOV/EXN/DEN/4</w:t>
        </w:r>
      </w:hyperlink>
      <w:r w:rsidRPr="001D3FDF">
        <w:t xml:space="preserve">), </w:t>
      </w:r>
      <w:r w:rsidRPr="001D3FDF">
        <w:rPr>
          <w:spacing w:val="-2"/>
        </w:rPr>
        <w:t>with the amendments agreed by the TC and the CAJ.</w:t>
      </w:r>
    </w:p>
    <w:p w14:paraId="36E2700C" w14:textId="77777777" w:rsidR="0013127A" w:rsidRDefault="0013127A" w:rsidP="005F6C47">
      <w:pPr>
        <w:shd w:val="clear" w:color="auto" w:fill="FFFFFF" w:themeFill="background1"/>
      </w:pPr>
    </w:p>
    <w:p w14:paraId="57A6DF73" w14:textId="77777777" w:rsidR="00174520" w:rsidRPr="001D3FDF" w:rsidRDefault="00174520" w:rsidP="00174520">
      <w:pPr>
        <w:tabs>
          <w:tab w:val="left" w:pos="567"/>
          <w:tab w:val="left" w:pos="1134"/>
          <w:tab w:val="left" w:pos="5387"/>
          <w:tab w:val="left" w:pos="5954"/>
        </w:tabs>
      </w:pPr>
    </w:p>
    <w:p w14:paraId="37D71B64" w14:textId="77777777" w:rsidR="00174520" w:rsidRPr="001D3FDF" w:rsidRDefault="00174520" w:rsidP="00174520">
      <w:pPr>
        <w:pStyle w:val="Heading1"/>
      </w:pPr>
      <w:bookmarkStart w:id="40" w:name="_Toc191917573"/>
      <w:r w:rsidRPr="001D3FDF">
        <w:t>Discussion on disease resistance characteristics in DUS examination</w:t>
      </w:r>
      <w:bookmarkEnd w:id="40"/>
    </w:p>
    <w:p w14:paraId="52429249" w14:textId="77777777" w:rsidR="00174520" w:rsidRPr="001D3FDF" w:rsidRDefault="00174520" w:rsidP="00174520"/>
    <w:p w14:paraId="5EF2D4E2" w14:textId="77777777" w:rsidR="00174520" w:rsidRPr="001D3FDF" w:rsidRDefault="00174520" w:rsidP="00174520">
      <w:r w:rsidRPr="001D3FDF">
        <w:fldChar w:fldCharType="begin"/>
      </w:r>
      <w:r w:rsidRPr="001D3FDF">
        <w:instrText xml:space="preserve"> AUTONUM  </w:instrText>
      </w:r>
      <w:r w:rsidRPr="001D3FDF">
        <w:fldChar w:fldCharType="end"/>
      </w:r>
      <w:r w:rsidRPr="001D3FDF">
        <w:tab/>
        <w:t>The TC received the following presentations on disease resistance characteristics in DUS examination:</w:t>
      </w:r>
    </w:p>
    <w:p w14:paraId="24DDBE31" w14:textId="77777777" w:rsidR="00174520" w:rsidRPr="001D3FDF" w:rsidRDefault="00174520" w:rsidP="00174520"/>
    <w:tbl>
      <w:tblPr>
        <w:tblStyle w:val="TableGrid"/>
        <w:tblW w:w="9634" w:type="dxa"/>
        <w:tblLook w:val="04A0" w:firstRow="1" w:lastRow="0" w:firstColumn="1" w:lastColumn="0" w:noHBand="0" w:noVBand="1"/>
      </w:tblPr>
      <w:tblGrid>
        <w:gridCol w:w="5240"/>
        <w:gridCol w:w="4394"/>
      </w:tblGrid>
      <w:tr w:rsidR="00174520" w:rsidRPr="001D3FDF" w14:paraId="5FEA9563" w14:textId="77777777" w:rsidTr="00D60FDA">
        <w:tc>
          <w:tcPr>
            <w:tcW w:w="5240" w:type="dxa"/>
          </w:tcPr>
          <w:p w14:paraId="69D61A57" w14:textId="77777777" w:rsidR="00174520" w:rsidRPr="001D3FDF" w:rsidRDefault="00174520" w:rsidP="00D60FDA">
            <w:pPr>
              <w:jc w:val="left"/>
            </w:pPr>
            <w:r w:rsidRPr="001D3FDF">
              <w:t>Disease resistance characteristic in DUS examination - Introduction</w:t>
            </w:r>
          </w:p>
        </w:tc>
        <w:tc>
          <w:tcPr>
            <w:tcW w:w="4394" w:type="dxa"/>
          </w:tcPr>
          <w:p w14:paraId="55BD72D1" w14:textId="77777777" w:rsidR="00174520" w:rsidRPr="001D3FDF" w:rsidRDefault="00174520" w:rsidP="00D60FDA">
            <w:pPr>
              <w:jc w:val="left"/>
            </w:pPr>
            <w:r w:rsidRPr="001D3FDF">
              <w:t xml:space="preserve">UPOV (Mr. Leontino </w:t>
            </w:r>
            <w:proofErr w:type="spellStart"/>
            <w:r w:rsidRPr="001D3FDF">
              <w:t>Taveira</w:t>
            </w:r>
            <w:proofErr w:type="spellEnd"/>
            <w:r w:rsidRPr="001D3FDF">
              <w:t>)</w:t>
            </w:r>
          </w:p>
        </w:tc>
      </w:tr>
      <w:tr w:rsidR="00174520" w:rsidRPr="001D3FDF" w14:paraId="0AD1B76B" w14:textId="77777777" w:rsidTr="00D60FDA">
        <w:tc>
          <w:tcPr>
            <w:tcW w:w="5240" w:type="dxa"/>
          </w:tcPr>
          <w:p w14:paraId="4571F286" w14:textId="77777777" w:rsidR="00174520" w:rsidRPr="001D3FDF" w:rsidRDefault="00174520" w:rsidP="00D60FDA">
            <w:pPr>
              <w:jc w:val="left"/>
            </w:pPr>
            <w:r w:rsidRPr="001D3FDF">
              <w:t>Disease resistance characteristic in DUS examination - Argentina</w:t>
            </w:r>
          </w:p>
        </w:tc>
        <w:tc>
          <w:tcPr>
            <w:tcW w:w="4394" w:type="dxa"/>
          </w:tcPr>
          <w:p w14:paraId="3F71C650" w14:textId="77777777" w:rsidR="00174520" w:rsidRPr="001D3FDF" w:rsidRDefault="00174520" w:rsidP="00D60FDA">
            <w:pPr>
              <w:jc w:val="left"/>
            </w:pPr>
            <w:r w:rsidRPr="001D3FDF">
              <w:t>Argentina (Mr. Alberto Ballesteros)</w:t>
            </w:r>
          </w:p>
        </w:tc>
      </w:tr>
      <w:tr w:rsidR="00174520" w:rsidRPr="001D3FDF" w14:paraId="3AD7279D" w14:textId="77777777" w:rsidTr="00D60FDA">
        <w:tc>
          <w:tcPr>
            <w:tcW w:w="5240" w:type="dxa"/>
          </w:tcPr>
          <w:p w14:paraId="2A763ADF" w14:textId="77777777" w:rsidR="00174520" w:rsidRPr="001D3FDF" w:rsidRDefault="00174520" w:rsidP="00D60FDA">
            <w:pPr>
              <w:jc w:val="left"/>
            </w:pPr>
            <w:r w:rsidRPr="001D3FDF">
              <w:t>Disease resistance characteristics in DUS examination: CPVO experience</w:t>
            </w:r>
          </w:p>
        </w:tc>
        <w:tc>
          <w:tcPr>
            <w:tcW w:w="4394" w:type="dxa"/>
          </w:tcPr>
          <w:p w14:paraId="14BD3CEE" w14:textId="77777777" w:rsidR="00174520" w:rsidRPr="001D3FDF" w:rsidRDefault="00174520" w:rsidP="00D60FDA">
            <w:pPr>
              <w:jc w:val="left"/>
            </w:pPr>
            <w:r w:rsidRPr="001D3FDF">
              <w:t>European Union (Ms. Celine Morineau)</w:t>
            </w:r>
          </w:p>
        </w:tc>
      </w:tr>
      <w:tr w:rsidR="00174520" w:rsidRPr="001D3FDF" w14:paraId="7FB6D726" w14:textId="77777777" w:rsidTr="00D60FDA">
        <w:tc>
          <w:tcPr>
            <w:tcW w:w="5240" w:type="dxa"/>
          </w:tcPr>
          <w:p w14:paraId="6B1791DE" w14:textId="77777777" w:rsidR="00174520" w:rsidRPr="001D3FDF" w:rsidRDefault="00174520" w:rsidP="00D60FDA">
            <w:pPr>
              <w:jc w:val="left"/>
            </w:pPr>
            <w:r w:rsidRPr="001D3FDF">
              <w:t>Current experience at GEVES concerning the use of disease resistance characteristics in DUS examination France</w:t>
            </w:r>
          </w:p>
        </w:tc>
        <w:tc>
          <w:tcPr>
            <w:tcW w:w="4394" w:type="dxa"/>
          </w:tcPr>
          <w:p w14:paraId="0243D7B4" w14:textId="77777777" w:rsidR="00174520" w:rsidRPr="001D3FDF" w:rsidRDefault="00174520" w:rsidP="00D60FDA">
            <w:pPr>
              <w:jc w:val="left"/>
            </w:pPr>
            <w:r w:rsidRPr="001D3FDF">
              <w:t>France (Ms. Clarisse Leclair)</w:t>
            </w:r>
          </w:p>
        </w:tc>
      </w:tr>
      <w:tr w:rsidR="00174520" w:rsidRPr="001D3FDF" w14:paraId="6923D477" w14:textId="77777777" w:rsidTr="00D60FDA">
        <w:tc>
          <w:tcPr>
            <w:tcW w:w="5240" w:type="dxa"/>
          </w:tcPr>
          <w:p w14:paraId="2468C6F1" w14:textId="77777777" w:rsidR="00174520" w:rsidRPr="001D3FDF" w:rsidRDefault="00174520" w:rsidP="00D60FDA">
            <w:pPr>
              <w:jc w:val="left"/>
            </w:pPr>
            <w:r w:rsidRPr="001D3FDF">
              <w:t>Use of resistance characteristics in DUS in Germany</w:t>
            </w:r>
          </w:p>
        </w:tc>
        <w:tc>
          <w:tcPr>
            <w:tcW w:w="4394" w:type="dxa"/>
          </w:tcPr>
          <w:p w14:paraId="62A4D8F3" w14:textId="77777777" w:rsidR="00174520" w:rsidRPr="001D3FDF" w:rsidRDefault="00174520" w:rsidP="00D60FDA">
            <w:pPr>
              <w:jc w:val="left"/>
            </w:pPr>
            <w:r w:rsidRPr="001D3FDF">
              <w:t>Germany (Ms. Swenja Tams)</w:t>
            </w:r>
          </w:p>
        </w:tc>
      </w:tr>
      <w:tr w:rsidR="00174520" w:rsidRPr="001D3FDF" w14:paraId="73732A15" w14:textId="77777777" w:rsidTr="00D60FDA">
        <w:tc>
          <w:tcPr>
            <w:tcW w:w="5240" w:type="dxa"/>
          </w:tcPr>
          <w:p w14:paraId="1E9AD28B" w14:textId="77777777" w:rsidR="00174520" w:rsidRPr="001D3FDF" w:rsidRDefault="00174520" w:rsidP="00D60FDA">
            <w:pPr>
              <w:jc w:val="left"/>
            </w:pPr>
            <w:r w:rsidRPr="001D3FDF">
              <w:t>Physiological characteristics and Disease resistance characteristics in PVP - Japan</w:t>
            </w:r>
          </w:p>
        </w:tc>
        <w:tc>
          <w:tcPr>
            <w:tcW w:w="4394" w:type="dxa"/>
          </w:tcPr>
          <w:p w14:paraId="348BD4E5" w14:textId="77777777" w:rsidR="00174520" w:rsidRPr="001D3FDF" w:rsidRDefault="00174520" w:rsidP="00D60FDA">
            <w:pPr>
              <w:jc w:val="left"/>
            </w:pPr>
            <w:r w:rsidRPr="001D3FDF">
              <w:t>Japan (Mr. Yoshiyuki Ohno)</w:t>
            </w:r>
          </w:p>
        </w:tc>
      </w:tr>
      <w:tr w:rsidR="00174520" w:rsidRPr="001D3FDF" w14:paraId="5E16B95F" w14:textId="77777777" w:rsidTr="00D60FDA">
        <w:tc>
          <w:tcPr>
            <w:tcW w:w="5240" w:type="dxa"/>
          </w:tcPr>
          <w:p w14:paraId="2422601E" w14:textId="77777777" w:rsidR="00174520" w:rsidRPr="001D3FDF" w:rsidRDefault="00174520" w:rsidP="00D60FDA">
            <w:pPr>
              <w:jc w:val="left"/>
            </w:pPr>
            <w:r w:rsidRPr="001D3FDF">
              <w:t>Importance of disease resistance characteristics for DUS examination - Netherlands</w:t>
            </w:r>
          </w:p>
        </w:tc>
        <w:tc>
          <w:tcPr>
            <w:tcW w:w="4394" w:type="dxa"/>
          </w:tcPr>
          <w:p w14:paraId="55CE155F" w14:textId="77777777" w:rsidR="00174520" w:rsidRPr="001D3FDF" w:rsidRDefault="00174520" w:rsidP="00D60FDA">
            <w:pPr>
              <w:jc w:val="left"/>
            </w:pPr>
            <w:r w:rsidRPr="001D3FDF">
              <w:t xml:space="preserve">Netherlands (Kingdom of the) (Mr. Raoul </w:t>
            </w:r>
            <w:proofErr w:type="spellStart"/>
            <w:r w:rsidRPr="001D3FDF">
              <w:t>Haegens</w:t>
            </w:r>
            <w:proofErr w:type="spellEnd"/>
            <w:r w:rsidRPr="001D3FDF">
              <w:t>)</w:t>
            </w:r>
          </w:p>
        </w:tc>
      </w:tr>
      <w:tr w:rsidR="00174520" w:rsidRPr="001D3FDF" w14:paraId="1C1795D6" w14:textId="77777777" w:rsidTr="00D60FDA">
        <w:tc>
          <w:tcPr>
            <w:tcW w:w="5240" w:type="dxa"/>
          </w:tcPr>
          <w:p w14:paraId="28D265E1" w14:textId="77777777" w:rsidR="00174520" w:rsidRPr="001D3FDF" w:rsidRDefault="00174520" w:rsidP="00D60FDA">
            <w:pPr>
              <w:jc w:val="left"/>
            </w:pPr>
            <w:r w:rsidRPr="001D3FDF">
              <w:t>Disease resistance characteristics used in DUS examinations - United States of America</w:t>
            </w:r>
          </w:p>
        </w:tc>
        <w:tc>
          <w:tcPr>
            <w:tcW w:w="4394" w:type="dxa"/>
          </w:tcPr>
          <w:p w14:paraId="2A9B1F96" w14:textId="77777777" w:rsidR="00174520" w:rsidRPr="001D3FDF" w:rsidRDefault="00174520" w:rsidP="00D60FDA">
            <w:pPr>
              <w:jc w:val="left"/>
            </w:pPr>
            <w:r w:rsidRPr="001D3FDF">
              <w:t>United States of America (Mr. Jeffery Haynes)</w:t>
            </w:r>
          </w:p>
        </w:tc>
      </w:tr>
      <w:tr w:rsidR="00174520" w:rsidRPr="001D3FDF" w14:paraId="45F65434" w14:textId="77777777" w:rsidTr="00D60FDA">
        <w:tc>
          <w:tcPr>
            <w:tcW w:w="5240" w:type="dxa"/>
          </w:tcPr>
          <w:p w14:paraId="4FDBEC23" w14:textId="77777777" w:rsidR="00174520" w:rsidRPr="001D3FDF" w:rsidRDefault="00174520" w:rsidP="00D60FDA">
            <w:pPr>
              <w:jc w:val="left"/>
            </w:pPr>
            <w:r w:rsidRPr="001D3FDF">
              <w:t>Disease Resistance Characteristics in DUS Examination: Breeders’ Perspectives - ISF</w:t>
            </w:r>
          </w:p>
        </w:tc>
        <w:tc>
          <w:tcPr>
            <w:tcW w:w="4394" w:type="dxa"/>
          </w:tcPr>
          <w:p w14:paraId="42FED9CD" w14:textId="77777777" w:rsidR="00174520" w:rsidRPr="001D3FDF" w:rsidRDefault="00174520" w:rsidP="00D60FDA">
            <w:pPr>
              <w:jc w:val="left"/>
            </w:pPr>
            <w:r w:rsidRPr="001D3FDF">
              <w:t>International Seed Federation (Mr. Ben Rivoire)</w:t>
            </w:r>
          </w:p>
        </w:tc>
      </w:tr>
    </w:tbl>
    <w:p w14:paraId="16093AB7" w14:textId="77777777" w:rsidR="00174520" w:rsidRPr="001D3FDF" w:rsidRDefault="00174520" w:rsidP="00174520"/>
    <w:p w14:paraId="7B1E4090" w14:textId="77777777" w:rsidR="00174520" w:rsidRPr="001D3FDF" w:rsidRDefault="00174520" w:rsidP="00174520">
      <w:r w:rsidRPr="001D3FDF">
        <w:fldChar w:fldCharType="begin"/>
      </w:r>
      <w:r w:rsidRPr="001D3FDF">
        <w:instrText xml:space="preserve"> AUTONUM  </w:instrText>
      </w:r>
      <w:r w:rsidRPr="001D3FDF">
        <w:fldChar w:fldCharType="end"/>
      </w:r>
      <w:r w:rsidRPr="001D3FDF">
        <w:tab/>
        <w:t>The TC agreed the following summary of discussions:</w:t>
      </w:r>
    </w:p>
    <w:p w14:paraId="529FDC75" w14:textId="77777777" w:rsidR="00174520" w:rsidRPr="001D3FDF" w:rsidRDefault="00174520" w:rsidP="00174520"/>
    <w:p w14:paraId="59D94FFD" w14:textId="77777777" w:rsidR="00174520" w:rsidRPr="001D3FDF" w:rsidRDefault="00174520" w:rsidP="00174520">
      <w:pPr>
        <w:pStyle w:val="ListParagraph"/>
        <w:numPr>
          <w:ilvl w:val="0"/>
          <w:numId w:val="6"/>
        </w:numPr>
        <w:spacing w:before="60"/>
        <w:ind w:left="567" w:hanging="567"/>
        <w:contextualSpacing w:val="0"/>
      </w:pPr>
      <w:r w:rsidRPr="001D3FDF">
        <w:t>Disease resistance characteristics are important for DUS. Examples were presented for vegetables and agricultural species.</w:t>
      </w:r>
    </w:p>
    <w:p w14:paraId="00DE94CD" w14:textId="77777777" w:rsidR="00174520" w:rsidRPr="001D3FDF" w:rsidRDefault="00174520" w:rsidP="00174520">
      <w:pPr>
        <w:pStyle w:val="ListParagraph"/>
        <w:numPr>
          <w:ilvl w:val="0"/>
          <w:numId w:val="6"/>
        </w:numPr>
        <w:spacing w:before="60"/>
        <w:ind w:left="567" w:hanging="567"/>
      </w:pPr>
      <w:r w:rsidRPr="001D3FDF">
        <w:t>There may be different need for international harmonization through UPOV TGs, more clearly for vegetables.</w:t>
      </w:r>
    </w:p>
    <w:p w14:paraId="75FF218F" w14:textId="77777777" w:rsidR="00174520" w:rsidRPr="001D3FDF" w:rsidRDefault="00174520" w:rsidP="00174520">
      <w:pPr>
        <w:pStyle w:val="ListParagraph"/>
        <w:numPr>
          <w:ilvl w:val="0"/>
          <w:numId w:val="6"/>
        </w:numPr>
        <w:spacing w:before="60"/>
        <w:ind w:left="567" w:hanging="567"/>
        <w:contextualSpacing w:val="0"/>
      </w:pPr>
      <w:r w:rsidRPr="001D3FDF">
        <w:t>Complex interaction pathogen x environment x variety may require frequent review of characteristics in test guidelines, including technical questionnaires</w:t>
      </w:r>
    </w:p>
    <w:p w14:paraId="57B767C8" w14:textId="77777777" w:rsidR="00174520" w:rsidRPr="001D3FDF" w:rsidRDefault="00174520" w:rsidP="00174520">
      <w:pPr>
        <w:pStyle w:val="ListParagraph"/>
        <w:numPr>
          <w:ilvl w:val="0"/>
          <w:numId w:val="6"/>
        </w:numPr>
        <w:spacing w:before="60"/>
        <w:ind w:left="567" w:hanging="567"/>
        <w:contextualSpacing w:val="0"/>
      </w:pPr>
      <w:r w:rsidRPr="001D3FDF">
        <w:t>National, regional and international importance should be considered when deciding for whether to include disease resistance characteristics in test guidelines</w:t>
      </w:r>
      <w:r w:rsidRPr="001D3FDF" w:rsidDel="002017DF">
        <w:t xml:space="preserve"> </w:t>
      </w:r>
    </w:p>
    <w:p w14:paraId="32153A33" w14:textId="77777777" w:rsidR="00174520" w:rsidRPr="001D3FDF" w:rsidRDefault="00174520" w:rsidP="00174520">
      <w:pPr>
        <w:pStyle w:val="ListParagraph"/>
        <w:numPr>
          <w:ilvl w:val="0"/>
          <w:numId w:val="6"/>
        </w:numPr>
        <w:spacing w:before="60"/>
        <w:ind w:left="567" w:hanging="567"/>
        <w:contextualSpacing w:val="0"/>
      </w:pPr>
      <w:r w:rsidRPr="001D3FDF">
        <w:lastRenderedPageBreak/>
        <w:t xml:space="preserve">Clear definition and harmonization of methods is required for reliable descriptions (involvement of DUS experts, phytopathologists and breeders) </w:t>
      </w:r>
    </w:p>
    <w:p w14:paraId="7366887F" w14:textId="77777777" w:rsidR="00174520" w:rsidRPr="001D3FDF" w:rsidRDefault="00174520" w:rsidP="00174520">
      <w:pPr>
        <w:pStyle w:val="ListParagraph"/>
        <w:numPr>
          <w:ilvl w:val="0"/>
          <w:numId w:val="6"/>
        </w:numPr>
        <w:spacing w:before="60"/>
        <w:ind w:left="567" w:hanging="567"/>
        <w:contextualSpacing w:val="0"/>
      </w:pPr>
      <w:r w:rsidRPr="001D3FDF">
        <w:t>Development of new technologies, e.g. molecular markers as alternative methods can improve testing</w:t>
      </w:r>
    </w:p>
    <w:p w14:paraId="3F8F6566" w14:textId="77777777" w:rsidR="00174520" w:rsidRPr="001D3FDF" w:rsidRDefault="00174520" w:rsidP="00174520">
      <w:pPr>
        <w:pStyle w:val="ListParagraph"/>
        <w:numPr>
          <w:ilvl w:val="0"/>
          <w:numId w:val="6"/>
        </w:numPr>
        <w:spacing w:before="60"/>
        <w:ind w:left="567" w:hanging="567"/>
        <w:contextualSpacing w:val="0"/>
      </w:pPr>
      <w:r w:rsidRPr="001D3FDF">
        <w:t xml:space="preserve">Cooperation between authorities in disease resistance testing may be considered </w:t>
      </w:r>
    </w:p>
    <w:p w14:paraId="7B31DE3B" w14:textId="77777777" w:rsidR="00174520" w:rsidRPr="001D3FDF" w:rsidRDefault="00174520" w:rsidP="00174520">
      <w:pPr>
        <w:pStyle w:val="ListParagraph"/>
        <w:numPr>
          <w:ilvl w:val="0"/>
          <w:numId w:val="6"/>
        </w:numPr>
        <w:spacing w:before="60"/>
        <w:ind w:left="567" w:hanging="567"/>
        <w:contextualSpacing w:val="0"/>
      </w:pPr>
      <w:r w:rsidRPr="001D3FDF">
        <w:t>TWP sessions should be used to inform on developments and to consider inclusion in TGs or notification of additional characteristics in the UPOV webpage</w:t>
      </w:r>
    </w:p>
    <w:p w14:paraId="43277804" w14:textId="77777777" w:rsidR="00174520" w:rsidRPr="001D3FDF" w:rsidRDefault="00174520" w:rsidP="00174520">
      <w:pPr>
        <w:pStyle w:val="ListParagraph"/>
        <w:numPr>
          <w:ilvl w:val="0"/>
          <w:numId w:val="6"/>
        </w:numPr>
        <w:spacing w:before="60"/>
        <w:ind w:left="567" w:hanging="567"/>
        <w:contextualSpacing w:val="0"/>
      </w:pPr>
      <w:r w:rsidRPr="001D3FDF">
        <w:t>TWPs may consider addressing specific items on disease resistance characteristics in subgroups to advance discussions, including outside of TWP sessions</w:t>
      </w:r>
    </w:p>
    <w:p w14:paraId="4C0D1CE4" w14:textId="77777777" w:rsidR="00174520" w:rsidRDefault="00174520" w:rsidP="005F6C47">
      <w:pPr>
        <w:shd w:val="clear" w:color="auto" w:fill="FFFFFF" w:themeFill="background1"/>
      </w:pPr>
    </w:p>
    <w:p w14:paraId="404AE4F4" w14:textId="77777777" w:rsidR="00174520" w:rsidRPr="001D3FDF" w:rsidRDefault="00174520" w:rsidP="005F6C47">
      <w:pPr>
        <w:shd w:val="clear" w:color="auto" w:fill="FFFFFF" w:themeFill="background1"/>
      </w:pPr>
    </w:p>
    <w:p w14:paraId="43308583" w14:textId="77777777" w:rsidR="00450619" w:rsidRPr="001D3FDF" w:rsidRDefault="00450619" w:rsidP="00450619">
      <w:pPr>
        <w:pStyle w:val="Heading1"/>
        <w:rPr>
          <w:snapToGrid w:val="0"/>
        </w:rPr>
      </w:pPr>
      <w:bookmarkStart w:id="41" w:name="_Toc191917574"/>
      <w:r w:rsidRPr="001D3FDF">
        <w:rPr>
          <w:snapToGrid w:val="0"/>
        </w:rPr>
        <w:t>Matters arising from the Technical Working Parties</w:t>
      </w:r>
      <w:bookmarkEnd w:id="41"/>
      <w:r w:rsidRPr="001D3FDF">
        <w:rPr>
          <w:snapToGrid w:val="0"/>
        </w:rPr>
        <w:t xml:space="preserve"> </w:t>
      </w:r>
    </w:p>
    <w:p w14:paraId="377ECA1B" w14:textId="77777777" w:rsidR="00450619" w:rsidRPr="001D3FDF" w:rsidRDefault="00450619" w:rsidP="00450619">
      <w:pPr>
        <w:keepNext/>
        <w:ind w:left="567" w:hanging="567"/>
        <w:jc w:val="left"/>
        <w:rPr>
          <w:rFonts w:cs="Arial"/>
          <w:snapToGrid w:val="0"/>
        </w:rPr>
      </w:pPr>
    </w:p>
    <w:p w14:paraId="7841E4BD" w14:textId="77777777" w:rsidR="00450619" w:rsidRPr="001D3FDF" w:rsidRDefault="00450619" w:rsidP="005E7CFA">
      <w:pPr>
        <w:pStyle w:val="Heading2"/>
        <w:rPr>
          <w:rFonts w:eastAsia="MS Mincho"/>
        </w:rPr>
      </w:pPr>
      <w:bookmarkStart w:id="42" w:name="_Toc173848839"/>
      <w:bookmarkStart w:id="43" w:name="_Toc191917575"/>
      <w:r w:rsidRPr="001D3FDF">
        <w:rPr>
          <w:rFonts w:eastAsia="MS Mincho"/>
        </w:rPr>
        <w:t>Assessing distinctness in disease resistance characteristics</w:t>
      </w:r>
      <w:bookmarkEnd w:id="42"/>
      <w:bookmarkEnd w:id="43"/>
    </w:p>
    <w:p w14:paraId="12F11A34" w14:textId="77777777" w:rsidR="00450619" w:rsidRPr="001D3FDF" w:rsidRDefault="00450619" w:rsidP="00450619">
      <w:pPr>
        <w:keepNext/>
        <w:rPr>
          <w:rFonts w:eastAsia="PMingLiU"/>
        </w:rPr>
      </w:pPr>
    </w:p>
    <w:p w14:paraId="4686F3F6" w14:textId="0C99D16A" w:rsidR="00450619" w:rsidRPr="001D3FDF" w:rsidRDefault="00450619" w:rsidP="00450619">
      <w:pPr>
        <w:rPr>
          <w:rFonts w:eastAsia="PMingLiU"/>
        </w:rPr>
      </w:pPr>
      <w:r w:rsidRPr="001D3FDF">
        <w:rPr>
          <w:rFonts w:eastAsia="PMingLiU"/>
        </w:rPr>
        <w:fldChar w:fldCharType="begin"/>
      </w:r>
      <w:r w:rsidRPr="001D3FDF">
        <w:rPr>
          <w:rFonts w:eastAsia="PMingLiU"/>
        </w:rPr>
        <w:instrText xml:space="preserve"> AUTONUM  </w:instrText>
      </w:r>
      <w:r w:rsidRPr="001D3FDF">
        <w:rPr>
          <w:rFonts w:eastAsia="PMingLiU"/>
        </w:rPr>
        <w:fldChar w:fldCharType="end"/>
      </w:r>
      <w:r w:rsidRPr="001D3FDF">
        <w:rPr>
          <w:rFonts w:eastAsia="PMingLiU"/>
        </w:rPr>
        <w:tab/>
        <w:t>The TC</w:t>
      </w:r>
      <w:r w:rsidRPr="001D3FDF">
        <w:rPr>
          <w:vertAlign w:val="superscript"/>
        </w:rPr>
        <w:fldChar w:fldCharType="begin"/>
      </w:r>
      <w:r w:rsidRPr="001D3FDF">
        <w:rPr>
          <w:vertAlign w:val="superscript"/>
        </w:rPr>
        <w:instrText xml:space="preserve"> NOTEREF _Ref189227889 \h  \* MERGEFORMAT </w:instrText>
      </w:r>
      <w:r w:rsidRPr="001D3FDF">
        <w:rPr>
          <w:vertAlign w:val="superscript"/>
        </w:rPr>
      </w:r>
      <w:r w:rsidRPr="001D3FDF">
        <w:rPr>
          <w:vertAlign w:val="superscript"/>
        </w:rPr>
        <w:fldChar w:fldCharType="separate"/>
      </w:r>
      <w:r w:rsidR="00D41377">
        <w:rPr>
          <w:vertAlign w:val="superscript"/>
        </w:rPr>
        <w:t>1</w:t>
      </w:r>
      <w:r w:rsidRPr="001D3FDF">
        <w:rPr>
          <w:vertAlign w:val="superscript"/>
        </w:rPr>
        <w:fldChar w:fldCharType="end"/>
      </w:r>
      <w:r w:rsidRPr="001D3FDF">
        <w:rPr>
          <w:rFonts w:eastAsia="PMingLiU"/>
        </w:rPr>
        <w:t xml:space="preserve"> agreed with the TWV</w:t>
      </w:r>
      <w:r w:rsidRPr="001D3FDF">
        <w:rPr>
          <w:rStyle w:val="FootnoteReference"/>
          <w:rFonts w:eastAsia="PMingLiU"/>
        </w:rPr>
        <w:footnoteReference w:id="4"/>
      </w:r>
      <w:r w:rsidRPr="001D3FDF">
        <w:rPr>
          <w:rFonts w:eastAsia="PMingLiU"/>
        </w:rPr>
        <w:t xml:space="preserve"> to invite the Office of the Union to provide information on challenges and opportunities for disease resistance characteristics in Test Guidelines, for consideration at the fifty-ninth session of the TWV, as set out in </w:t>
      </w:r>
      <w:r w:rsidRPr="001D3FDF">
        <w:rPr>
          <w:rFonts w:cs="Arial"/>
        </w:rPr>
        <w:t xml:space="preserve">document TC/60/3, </w:t>
      </w:r>
      <w:r w:rsidRPr="001D3FDF">
        <w:rPr>
          <w:rFonts w:eastAsia="PMingLiU"/>
        </w:rPr>
        <w:t>paragraph 7.</w:t>
      </w:r>
    </w:p>
    <w:p w14:paraId="163ECA27" w14:textId="77777777" w:rsidR="002F77C7" w:rsidRPr="001D3FDF" w:rsidRDefault="002F77C7" w:rsidP="002F77C7"/>
    <w:p w14:paraId="01DDF358" w14:textId="77777777" w:rsidR="002F77C7" w:rsidRPr="001D3FDF" w:rsidRDefault="002F77C7" w:rsidP="002F77C7">
      <w:r w:rsidRPr="001D3FDF">
        <w:fldChar w:fldCharType="begin"/>
      </w:r>
      <w:r w:rsidRPr="001D3FDF">
        <w:instrText xml:space="preserve"> AUTONUM  </w:instrText>
      </w:r>
      <w:r w:rsidRPr="001D3FDF">
        <w:fldChar w:fldCharType="end"/>
      </w:r>
      <w:r w:rsidRPr="001D3FDF">
        <w:tab/>
        <w:t>The TC noted that more disease resistance characteristics were being proposed in Test Guidelines, requiring more frequent revision and agreed that subgroups of interested experts should be promoted to advance discussions more expeditiously.</w:t>
      </w:r>
    </w:p>
    <w:p w14:paraId="424A119D" w14:textId="77777777" w:rsidR="00450619" w:rsidRPr="001D3FDF" w:rsidRDefault="00450619" w:rsidP="00450619"/>
    <w:p w14:paraId="481CBF27" w14:textId="77777777" w:rsidR="00450619" w:rsidRPr="001D3FDF" w:rsidRDefault="00450619" w:rsidP="00450619">
      <w:pPr>
        <w:pStyle w:val="ListParagraph"/>
        <w:keepNext/>
        <w:tabs>
          <w:tab w:val="left" w:pos="567"/>
          <w:tab w:val="left" w:pos="1134"/>
        </w:tabs>
        <w:ind w:left="0"/>
      </w:pPr>
      <w:r w:rsidRPr="001D3FDF">
        <w:fldChar w:fldCharType="begin"/>
      </w:r>
      <w:r w:rsidRPr="001D3FDF">
        <w:instrText xml:space="preserve"> AUTONUM  </w:instrText>
      </w:r>
      <w:r w:rsidRPr="001D3FDF">
        <w:fldChar w:fldCharType="end"/>
      </w:r>
      <w:r w:rsidRPr="001D3FDF">
        <w:tab/>
        <w:t>The TC noted developments in the TWPs concerning:</w:t>
      </w:r>
    </w:p>
    <w:p w14:paraId="3C410EAE" w14:textId="77777777" w:rsidR="00212E3C" w:rsidRPr="001D3FDF" w:rsidRDefault="00212E3C" w:rsidP="00450619">
      <w:pPr>
        <w:pStyle w:val="ListParagraph"/>
        <w:keepNext/>
        <w:tabs>
          <w:tab w:val="left" w:pos="567"/>
          <w:tab w:val="left" w:pos="1134"/>
        </w:tabs>
        <w:ind w:left="0"/>
        <w:rPr>
          <w:lang w:eastAsia="fr-FR"/>
        </w:rPr>
      </w:pPr>
    </w:p>
    <w:p w14:paraId="0F06E8D8" w14:textId="77777777" w:rsidR="00450619" w:rsidRPr="001D3FDF" w:rsidRDefault="00450619" w:rsidP="00450619">
      <w:pPr>
        <w:pStyle w:val="ListParagraph"/>
        <w:numPr>
          <w:ilvl w:val="0"/>
          <w:numId w:val="3"/>
        </w:numPr>
        <w:tabs>
          <w:tab w:val="left" w:pos="1701"/>
        </w:tabs>
        <w:ind w:left="1134" w:hanging="567"/>
      </w:pPr>
      <w:r w:rsidRPr="001D3FDF">
        <w:t xml:space="preserve">Implementation of Purdy’s notation for pedigrees in UPOV </w:t>
      </w:r>
      <w:proofErr w:type="gramStart"/>
      <w:r w:rsidRPr="001D3FDF">
        <w:t>PRISMA;</w:t>
      </w:r>
      <w:proofErr w:type="gramEnd"/>
    </w:p>
    <w:p w14:paraId="171F536E" w14:textId="77777777" w:rsidR="00450619" w:rsidRPr="001D3FDF" w:rsidRDefault="00450619" w:rsidP="00450619">
      <w:pPr>
        <w:pStyle w:val="ListParagraph"/>
        <w:numPr>
          <w:ilvl w:val="0"/>
          <w:numId w:val="3"/>
        </w:numPr>
        <w:tabs>
          <w:tab w:val="left" w:pos="1701"/>
        </w:tabs>
        <w:ind w:left="1134" w:hanging="567"/>
      </w:pPr>
      <w:r w:rsidRPr="001D3FDF">
        <w:t xml:space="preserve">DUS tests: one site in two years versus two sites in one </w:t>
      </w:r>
      <w:proofErr w:type="gramStart"/>
      <w:r w:rsidRPr="001D3FDF">
        <w:t>year;</w:t>
      </w:r>
      <w:proofErr w:type="gramEnd"/>
    </w:p>
    <w:p w14:paraId="27D055D7" w14:textId="77777777" w:rsidR="00450619" w:rsidRPr="001D3FDF" w:rsidRDefault="00450619" w:rsidP="00450619">
      <w:pPr>
        <w:pStyle w:val="ListParagraph"/>
        <w:numPr>
          <w:ilvl w:val="0"/>
          <w:numId w:val="3"/>
        </w:numPr>
        <w:tabs>
          <w:tab w:val="left" w:pos="1701"/>
        </w:tabs>
        <w:ind w:left="1134" w:hanging="567"/>
      </w:pPr>
      <w:r w:rsidRPr="001D3FDF">
        <w:t xml:space="preserve">Number of growing cycles and concluding examination of fruit </w:t>
      </w:r>
      <w:proofErr w:type="gramStart"/>
      <w:r w:rsidRPr="001D3FDF">
        <w:t>crops;</w:t>
      </w:r>
      <w:proofErr w:type="gramEnd"/>
    </w:p>
    <w:p w14:paraId="7E79D964" w14:textId="77777777" w:rsidR="00450619" w:rsidRPr="001D3FDF" w:rsidRDefault="00450619" w:rsidP="00450619">
      <w:pPr>
        <w:pStyle w:val="ListParagraph"/>
        <w:numPr>
          <w:ilvl w:val="0"/>
          <w:numId w:val="3"/>
        </w:numPr>
        <w:tabs>
          <w:tab w:val="left" w:pos="1701"/>
        </w:tabs>
        <w:ind w:left="1134" w:hanging="567"/>
      </w:pPr>
      <w:r w:rsidRPr="001D3FDF">
        <w:t xml:space="preserve">Procedures for assessment of characteristics with single record (MG) and a number of individual records (MS) for a group of plants or parts of </w:t>
      </w:r>
      <w:proofErr w:type="gramStart"/>
      <w:r w:rsidRPr="001D3FDF">
        <w:t>plants;</w:t>
      </w:r>
      <w:proofErr w:type="gramEnd"/>
    </w:p>
    <w:p w14:paraId="2395CBB0" w14:textId="77777777" w:rsidR="00450619" w:rsidRPr="001D3FDF" w:rsidRDefault="00450619" w:rsidP="00450619">
      <w:pPr>
        <w:pStyle w:val="ListParagraph"/>
        <w:numPr>
          <w:ilvl w:val="0"/>
          <w:numId w:val="3"/>
        </w:numPr>
        <w:tabs>
          <w:tab w:val="left" w:pos="1701"/>
        </w:tabs>
        <w:ind w:left="1134" w:hanging="567"/>
        <w:rPr>
          <w:rFonts w:cs="Arial"/>
        </w:rPr>
      </w:pPr>
      <w:r w:rsidRPr="001D3FDF">
        <w:t xml:space="preserve">Experiences with new types and </w:t>
      </w:r>
      <w:proofErr w:type="gramStart"/>
      <w:r w:rsidRPr="001D3FDF">
        <w:t>species;</w:t>
      </w:r>
      <w:proofErr w:type="gramEnd"/>
    </w:p>
    <w:p w14:paraId="44B3EA3E" w14:textId="77777777" w:rsidR="00450619" w:rsidRPr="001D3FDF" w:rsidRDefault="00450619" w:rsidP="00450619">
      <w:pPr>
        <w:pStyle w:val="ListParagraph"/>
        <w:numPr>
          <w:ilvl w:val="0"/>
          <w:numId w:val="3"/>
        </w:numPr>
        <w:tabs>
          <w:tab w:val="left" w:pos="1701"/>
        </w:tabs>
        <w:ind w:left="1134" w:hanging="567"/>
      </w:pPr>
      <w:r w:rsidRPr="001D3FDF">
        <w:t>Male sterility in Cauliflower (TG/45/7</w:t>
      </w:r>
      <w:proofErr w:type="gramStart"/>
      <w:r w:rsidRPr="001D3FDF">
        <w:t>);</w:t>
      </w:r>
      <w:proofErr w:type="gramEnd"/>
    </w:p>
    <w:p w14:paraId="452E150E" w14:textId="77777777" w:rsidR="00450619" w:rsidRPr="001D3FDF" w:rsidRDefault="00450619" w:rsidP="00450619">
      <w:pPr>
        <w:pStyle w:val="ListParagraph"/>
        <w:numPr>
          <w:ilvl w:val="0"/>
          <w:numId w:val="3"/>
        </w:numPr>
        <w:tabs>
          <w:tab w:val="left" w:pos="1701"/>
        </w:tabs>
        <w:ind w:left="1134" w:hanging="567"/>
      </w:pPr>
      <w:r w:rsidRPr="001D3FDF">
        <w:t xml:space="preserve">Developing new characteristics for Barley variety </w:t>
      </w:r>
      <w:proofErr w:type="gramStart"/>
      <w:r w:rsidRPr="001D3FDF">
        <w:t>examination;</w:t>
      </w:r>
      <w:proofErr w:type="gramEnd"/>
    </w:p>
    <w:p w14:paraId="13EA8D56" w14:textId="77777777" w:rsidR="00450619" w:rsidRPr="001D3FDF" w:rsidRDefault="00450619" w:rsidP="00450619">
      <w:pPr>
        <w:pStyle w:val="ListParagraph"/>
        <w:numPr>
          <w:ilvl w:val="0"/>
          <w:numId w:val="3"/>
        </w:numPr>
        <w:tabs>
          <w:tab w:val="left" w:pos="1701"/>
        </w:tabs>
        <w:ind w:left="1134" w:hanging="567"/>
      </w:pPr>
      <w:r w:rsidRPr="001D3FDF">
        <w:t xml:space="preserve">Information on mutant varieties of apple useful for DUS </w:t>
      </w:r>
      <w:proofErr w:type="gramStart"/>
      <w:r w:rsidRPr="001D3FDF">
        <w:t>examination;</w:t>
      </w:r>
      <w:proofErr w:type="gramEnd"/>
    </w:p>
    <w:p w14:paraId="283CC827" w14:textId="77777777" w:rsidR="00450619" w:rsidRPr="001D3FDF" w:rsidRDefault="00450619" w:rsidP="00450619">
      <w:pPr>
        <w:pStyle w:val="ListParagraph"/>
        <w:numPr>
          <w:ilvl w:val="0"/>
          <w:numId w:val="3"/>
        </w:numPr>
        <w:tabs>
          <w:tab w:val="left" w:pos="1701"/>
        </w:tabs>
        <w:ind w:left="1134" w:hanging="567"/>
        <w:rPr>
          <w:rFonts w:cs="Arial"/>
        </w:rPr>
      </w:pPr>
      <w:r w:rsidRPr="001D3FDF">
        <w:t xml:space="preserve">Image analysis and new technologies in DUS </w:t>
      </w:r>
      <w:proofErr w:type="gramStart"/>
      <w:r w:rsidRPr="001D3FDF">
        <w:t>examination;</w:t>
      </w:r>
      <w:proofErr w:type="gramEnd"/>
    </w:p>
    <w:p w14:paraId="3ED74494" w14:textId="77777777" w:rsidR="00450619" w:rsidRPr="001D3FDF" w:rsidRDefault="00450619" w:rsidP="00450619">
      <w:pPr>
        <w:pStyle w:val="ListParagraph"/>
        <w:numPr>
          <w:ilvl w:val="0"/>
          <w:numId w:val="3"/>
        </w:numPr>
        <w:tabs>
          <w:tab w:val="left" w:pos="1701"/>
        </w:tabs>
        <w:ind w:left="1134" w:hanging="567"/>
      </w:pPr>
      <w:r w:rsidRPr="001D3FDF">
        <w:t xml:space="preserve">Software and statistical analysis methods for DUS examination; and </w:t>
      </w:r>
    </w:p>
    <w:p w14:paraId="636EB562" w14:textId="77777777" w:rsidR="00450619" w:rsidRPr="001D3FDF" w:rsidRDefault="00450619" w:rsidP="00450619">
      <w:pPr>
        <w:pStyle w:val="ListParagraph"/>
        <w:numPr>
          <w:ilvl w:val="0"/>
          <w:numId w:val="3"/>
        </w:numPr>
        <w:tabs>
          <w:tab w:val="left" w:pos="1701"/>
        </w:tabs>
        <w:ind w:left="1134" w:hanging="567"/>
      </w:pPr>
      <w:r w:rsidRPr="001D3FDF">
        <w:t>Phenotyping and image analysis</w:t>
      </w:r>
    </w:p>
    <w:p w14:paraId="1CEAFCCD" w14:textId="77777777" w:rsidR="00450619" w:rsidRPr="001D3FDF" w:rsidRDefault="00450619" w:rsidP="00450619"/>
    <w:p w14:paraId="20CDAE7F" w14:textId="77777777" w:rsidR="00050E16" w:rsidRPr="001D3FDF" w:rsidRDefault="00050E16" w:rsidP="009B440E">
      <w:pPr>
        <w:jc w:val="left"/>
      </w:pPr>
    </w:p>
    <w:p w14:paraId="48E9035B" w14:textId="7BC88F22" w:rsidR="00212E3C" w:rsidRPr="001D3FDF" w:rsidRDefault="00763628" w:rsidP="00B72BDB">
      <w:pPr>
        <w:pStyle w:val="Heading1"/>
      </w:pPr>
      <w:bookmarkStart w:id="44" w:name="_Toc191917576"/>
      <w:r w:rsidRPr="007C108C">
        <w:t xml:space="preserve">seminar </w:t>
      </w:r>
      <w:r w:rsidRPr="007C108C">
        <w:rPr>
          <w:snapToGrid w:val="0"/>
        </w:rPr>
        <w:t>on cooperation with breeders in DUS examination</w:t>
      </w:r>
      <w:bookmarkEnd w:id="44"/>
    </w:p>
    <w:p w14:paraId="153BA24C" w14:textId="77777777" w:rsidR="00763628" w:rsidRPr="00FE6B53" w:rsidRDefault="00763628" w:rsidP="00C13C0A">
      <w:pPr>
        <w:rPr>
          <w:highlight w:val="yellow"/>
        </w:rPr>
      </w:pPr>
    </w:p>
    <w:p w14:paraId="6A720EDD" w14:textId="6142410F" w:rsidR="00C13C0A" w:rsidRDefault="00C13C0A" w:rsidP="00C13C0A">
      <w:pPr>
        <w:rPr>
          <w:snapToGrid w:val="0"/>
        </w:rPr>
      </w:pPr>
      <w:r w:rsidRPr="007C108C">
        <w:fldChar w:fldCharType="begin"/>
      </w:r>
      <w:r w:rsidRPr="007C108C">
        <w:instrText xml:space="preserve"> AUTONUM  </w:instrText>
      </w:r>
      <w:r w:rsidRPr="007C108C">
        <w:fldChar w:fldCharType="end"/>
      </w:r>
      <w:r w:rsidRPr="007C108C">
        <w:tab/>
        <w:t xml:space="preserve">The </w:t>
      </w:r>
      <w:bookmarkStart w:id="45" w:name="_Hlk149133237"/>
      <w:r w:rsidRPr="007C108C">
        <w:t>CAJ</w:t>
      </w:r>
      <w:r w:rsidR="00763628">
        <w:rPr>
          <w:rStyle w:val="FootnoteReference"/>
        </w:rPr>
        <w:footnoteReference w:id="5"/>
      </w:r>
      <w:r w:rsidRPr="007C108C">
        <w:t xml:space="preserve"> a</w:t>
      </w:r>
      <w:bookmarkEnd w:id="45"/>
      <w:r w:rsidRPr="007C108C">
        <w:t xml:space="preserve">greed to organize a seminar </w:t>
      </w:r>
      <w:r w:rsidRPr="007C108C">
        <w:rPr>
          <w:snapToGrid w:val="0"/>
        </w:rPr>
        <w:t>to create awareness on cooperation with breeders in DUS</w:t>
      </w:r>
      <w:r w:rsidR="00FF483B">
        <w:rPr>
          <w:snapToGrid w:val="0"/>
        </w:rPr>
        <w:t> </w:t>
      </w:r>
      <w:r w:rsidRPr="007C108C">
        <w:rPr>
          <w:snapToGrid w:val="0"/>
        </w:rPr>
        <w:t>examination</w:t>
      </w:r>
      <w:r>
        <w:rPr>
          <w:snapToGrid w:val="0"/>
        </w:rPr>
        <w:t>. The seminar will take place in the afternoon on Wednesday October 22, 2025. The seminar would be preceded by preparatory webinars that would be recorded. Following the seminar, follow-up actions would be taken such as compiling presentations and documentations that might be used for training purposes. If appropriate, guidance on the cooperation with breeders in examinations might be developed. The following Roadmap can be envisaged.</w:t>
      </w:r>
    </w:p>
    <w:p w14:paraId="34B12607" w14:textId="77777777" w:rsidR="00C13C0A" w:rsidRDefault="00C13C0A" w:rsidP="00C13C0A">
      <w:pPr>
        <w:rPr>
          <w:snapToGrid w:val="0"/>
        </w:rPr>
      </w:pPr>
    </w:p>
    <w:p w14:paraId="0B0CAA0C" w14:textId="77777777" w:rsidR="00C13C0A" w:rsidRPr="005A1D79" w:rsidRDefault="00C13C0A" w:rsidP="00C13C0A">
      <w:pPr>
        <w:pStyle w:val="ListParagraph"/>
        <w:numPr>
          <w:ilvl w:val="0"/>
          <w:numId w:val="8"/>
        </w:numPr>
        <w:rPr>
          <w:snapToGrid w:val="0"/>
        </w:rPr>
      </w:pPr>
      <w:r w:rsidRPr="005A1D79">
        <w:rPr>
          <w:snapToGrid w:val="0"/>
        </w:rPr>
        <w:t>Preparatory webinars in 2025</w:t>
      </w:r>
    </w:p>
    <w:p w14:paraId="7FE4371E" w14:textId="77777777" w:rsidR="00C13C0A" w:rsidRPr="006A1A2A" w:rsidRDefault="00C13C0A" w:rsidP="00C13C0A">
      <w:pPr>
        <w:pStyle w:val="ListParagraph"/>
        <w:numPr>
          <w:ilvl w:val="0"/>
          <w:numId w:val="7"/>
        </w:numPr>
      </w:pPr>
      <w:r w:rsidRPr="006A1A2A">
        <w:rPr>
          <w:snapToGrid w:val="0"/>
        </w:rPr>
        <w:t xml:space="preserve">Seminar October 22, 2025  </w:t>
      </w:r>
    </w:p>
    <w:p w14:paraId="712372E8" w14:textId="77777777" w:rsidR="00C13C0A" w:rsidRPr="006A1A2A" w:rsidRDefault="00C13C0A" w:rsidP="00C13C0A">
      <w:pPr>
        <w:pStyle w:val="ListParagraph"/>
        <w:numPr>
          <w:ilvl w:val="0"/>
          <w:numId w:val="7"/>
        </w:numPr>
      </w:pPr>
      <w:r w:rsidRPr="006A1A2A">
        <w:rPr>
          <w:snapToGrid w:val="0"/>
        </w:rPr>
        <w:t>Compiling information for training module, by December 2025</w:t>
      </w:r>
    </w:p>
    <w:p w14:paraId="77FC159B" w14:textId="45C6B3D1" w:rsidR="00C13C0A" w:rsidRPr="006A1A2A" w:rsidRDefault="00C13C0A" w:rsidP="00C13C0A">
      <w:pPr>
        <w:pStyle w:val="ListParagraph"/>
        <w:numPr>
          <w:ilvl w:val="0"/>
          <w:numId w:val="7"/>
        </w:numPr>
      </w:pPr>
      <w:r w:rsidRPr="006A1A2A">
        <w:t>Gathering information / practice</w:t>
      </w:r>
      <w:r>
        <w:t>s</w:t>
      </w:r>
      <w:r w:rsidRPr="006A1A2A">
        <w:t xml:space="preserve"> /</w:t>
      </w:r>
      <w:r w:rsidR="00FF483B">
        <w:t xml:space="preserve"> </w:t>
      </w:r>
      <w:r w:rsidRPr="006A1A2A">
        <w:t xml:space="preserve">examples to be </w:t>
      </w:r>
      <w:r>
        <w:t>presented</w:t>
      </w:r>
      <w:r w:rsidRPr="006A1A2A">
        <w:t xml:space="preserve"> in meetings of UPOV bodies in 2026 </w:t>
      </w:r>
    </w:p>
    <w:p w14:paraId="794D9980" w14:textId="77777777" w:rsidR="00C13C0A" w:rsidRPr="001D3FDF" w:rsidRDefault="00C13C0A" w:rsidP="00C13C0A">
      <w:pPr>
        <w:tabs>
          <w:tab w:val="left" w:pos="968"/>
        </w:tabs>
      </w:pPr>
    </w:p>
    <w:p w14:paraId="31180B1E" w14:textId="77777777" w:rsidR="00212E3C" w:rsidRPr="001D3FDF" w:rsidRDefault="00212E3C" w:rsidP="00212E3C"/>
    <w:p w14:paraId="026F4695" w14:textId="77777777" w:rsidR="00212E3C" w:rsidRPr="001D3FDF" w:rsidRDefault="00212E3C" w:rsidP="00301E96">
      <w:pPr>
        <w:pStyle w:val="Heading1"/>
      </w:pPr>
      <w:bookmarkStart w:id="46" w:name="_Toc191917577"/>
      <w:bookmarkStart w:id="47" w:name="_Hlk190426287"/>
      <w:r w:rsidRPr="001D3FDF">
        <w:lastRenderedPageBreak/>
        <w:t>Measures to improve support provided for DUS examination</w:t>
      </w:r>
      <w:bookmarkEnd w:id="46"/>
    </w:p>
    <w:p w14:paraId="01F37CF4" w14:textId="77777777" w:rsidR="00212E3C" w:rsidRPr="001D3FDF" w:rsidRDefault="00212E3C" w:rsidP="00301E96">
      <w:pPr>
        <w:keepNext/>
      </w:pPr>
    </w:p>
    <w:p w14:paraId="5E5C9F98" w14:textId="77777777" w:rsidR="003268C5" w:rsidRPr="001D3FDF" w:rsidRDefault="003268C5" w:rsidP="00301E96">
      <w:pPr>
        <w:pStyle w:val="Heading2"/>
      </w:pPr>
      <w:bookmarkStart w:id="48" w:name="_Toc178944579"/>
      <w:bookmarkStart w:id="49" w:name="_Toc191917578"/>
      <w:bookmarkEnd w:id="47"/>
      <w:r w:rsidRPr="001D3FDF">
        <w:t>TGP Documents: subgroups and leading experts</w:t>
      </w:r>
      <w:bookmarkEnd w:id="48"/>
      <w:bookmarkEnd w:id="49"/>
    </w:p>
    <w:p w14:paraId="2263857A" w14:textId="77777777" w:rsidR="003268C5" w:rsidRPr="001D3FDF" w:rsidRDefault="003268C5" w:rsidP="00301E96">
      <w:pPr>
        <w:keepNext/>
      </w:pPr>
    </w:p>
    <w:p w14:paraId="5F046B71" w14:textId="307921C5" w:rsidR="003268C5" w:rsidRPr="001D3FDF" w:rsidRDefault="003268C5" w:rsidP="00301E96">
      <w:pPr>
        <w:keepNext/>
      </w:pPr>
      <w:r w:rsidRPr="001D3FDF">
        <w:fldChar w:fldCharType="begin"/>
      </w:r>
      <w:r w:rsidRPr="001D3FDF">
        <w:instrText xml:space="preserve"> AUTONUM  </w:instrText>
      </w:r>
      <w:r w:rsidRPr="001D3FDF">
        <w:fldChar w:fldCharType="end"/>
      </w:r>
      <w:r w:rsidRPr="001D3FDF">
        <w:tab/>
        <w:t>The TC</w:t>
      </w:r>
      <w:r w:rsidR="00C215EC">
        <w:rPr>
          <w:rStyle w:val="FootnoteReference"/>
        </w:rPr>
        <w:footnoteReference w:id="6"/>
      </w:r>
      <w:r w:rsidRPr="001D3FDF">
        <w:t xml:space="preserve"> agreed to utilize, as appropriate, guidance on the role of the leading expert in document TGP/7 “Development of Test Guidelines” for matters on amending or developing guidance in TGP documents</w:t>
      </w:r>
      <w:r w:rsidR="00C215EC">
        <w:t>.</w:t>
      </w:r>
    </w:p>
    <w:p w14:paraId="479AAAE3" w14:textId="77777777" w:rsidR="003268C5" w:rsidRPr="001D3FDF" w:rsidRDefault="003268C5" w:rsidP="003268C5"/>
    <w:p w14:paraId="139AA254" w14:textId="77777777" w:rsidR="003268C5" w:rsidRPr="001D3FDF" w:rsidRDefault="003268C5" w:rsidP="003268C5">
      <w:r w:rsidRPr="001D3FDF">
        <w:fldChar w:fldCharType="begin"/>
      </w:r>
      <w:r w:rsidRPr="001D3FDF">
        <w:instrText xml:space="preserve"> AUTONUM  </w:instrText>
      </w:r>
      <w:r w:rsidRPr="001D3FDF">
        <w:fldChar w:fldCharType="end"/>
      </w:r>
      <w:r w:rsidRPr="001D3FDF">
        <w:tab/>
        <w:t>The TC agreed to request the TWPs to invite experts from members of the Union to lead discussions on proposals for developing or amending guidance, including for TGP documents.</w:t>
      </w:r>
    </w:p>
    <w:p w14:paraId="6EDB7B9A" w14:textId="77777777" w:rsidR="00212E3C" w:rsidRDefault="00212E3C" w:rsidP="00212E3C"/>
    <w:p w14:paraId="0F90A896" w14:textId="77777777" w:rsidR="00FF483B" w:rsidRPr="001D3FDF" w:rsidRDefault="00FF483B" w:rsidP="00212E3C"/>
    <w:p w14:paraId="7521B5F5" w14:textId="77777777" w:rsidR="00212E3C" w:rsidRPr="001D3FDF" w:rsidRDefault="00212E3C" w:rsidP="00B72BDB">
      <w:pPr>
        <w:pStyle w:val="Heading2"/>
      </w:pPr>
      <w:bookmarkStart w:id="50" w:name="_Toc178944587"/>
      <w:bookmarkStart w:id="51" w:name="_Toc191917579"/>
      <w:r w:rsidRPr="001D3FDF">
        <w:t>Performance indicators</w:t>
      </w:r>
      <w:bookmarkEnd w:id="50"/>
      <w:bookmarkEnd w:id="51"/>
    </w:p>
    <w:p w14:paraId="294E7151" w14:textId="77777777" w:rsidR="00212E3C" w:rsidRPr="001D3FDF" w:rsidRDefault="00212E3C" w:rsidP="00212E3C"/>
    <w:p w14:paraId="415DE6E6" w14:textId="77777777" w:rsidR="00212E3C" w:rsidRPr="001D3FDF" w:rsidRDefault="00212E3C" w:rsidP="00212E3C">
      <w:r w:rsidRPr="001D3FDF">
        <w:fldChar w:fldCharType="begin"/>
      </w:r>
      <w:r w:rsidRPr="001D3FDF">
        <w:instrText xml:space="preserve"> AUTONUM  </w:instrText>
      </w:r>
      <w:r w:rsidRPr="001D3FDF">
        <w:fldChar w:fldCharType="end"/>
      </w:r>
      <w:r w:rsidRPr="001D3FDF">
        <w:tab/>
        <w:t xml:space="preserve">The TC reviewed the work of the TWPs </w:t>
      </w:r>
      <w:proofErr w:type="gramStart"/>
      <w:r w:rsidRPr="001D3FDF">
        <w:t>on the basis of</w:t>
      </w:r>
      <w:proofErr w:type="gramEnd"/>
      <w:r w:rsidRPr="001D3FDF">
        <w:t xml:space="preserve"> the performance indicators and agreed that no further indicators should be established at this stage.</w:t>
      </w:r>
    </w:p>
    <w:p w14:paraId="4A6FE16B" w14:textId="77777777" w:rsidR="00212E3C" w:rsidRPr="001D3FDF" w:rsidRDefault="00212E3C" w:rsidP="00212E3C"/>
    <w:p w14:paraId="412793DF" w14:textId="77777777" w:rsidR="00212E3C" w:rsidRPr="001D3FDF" w:rsidRDefault="00212E3C" w:rsidP="00212E3C">
      <w:r w:rsidRPr="001D3FDF">
        <w:fldChar w:fldCharType="begin"/>
      </w:r>
      <w:r w:rsidRPr="001D3FDF">
        <w:instrText xml:space="preserve"> AUTONUM  </w:instrText>
      </w:r>
      <w:r w:rsidRPr="001D3FDF">
        <w:fldChar w:fldCharType="end"/>
      </w:r>
      <w:r w:rsidRPr="001D3FDF">
        <w:tab/>
        <w:t xml:space="preserve">The TC noted the satisfaction survey conducted with participants at the meetings of the TWPs in 2024, as presented in Annex V to document TC/60/6 and agreed to invite the Office of the Union to continue regularly surveying members and observer organizations on their satisfaction with the support for DUS examination provided by UPOV through the TC and </w:t>
      </w:r>
      <w:proofErr w:type="spellStart"/>
      <w:r w:rsidRPr="001D3FDF">
        <w:t>TWPs.</w:t>
      </w:r>
      <w:proofErr w:type="spellEnd"/>
    </w:p>
    <w:p w14:paraId="2660AF39" w14:textId="77777777" w:rsidR="00212E3C" w:rsidRPr="001D3FDF" w:rsidRDefault="00212E3C" w:rsidP="00212E3C"/>
    <w:p w14:paraId="060A61F0" w14:textId="77777777" w:rsidR="00B72BDB" w:rsidRDefault="00B72BDB" w:rsidP="009B440E">
      <w:pPr>
        <w:jc w:val="left"/>
      </w:pPr>
    </w:p>
    <w:p w14:paraId="6854D49A" w14:textId="77777777" w:rsidR="00F105A4" w:rsidRDefault="00F105A4" w:rsidP="009B440E">
      <w:pPr>
        <w:jc w:val="left"/>
      </w:pPr>
    </w:p>
    <w:p w14:paraId="04F46D24" w14:textId="270CEFFC" w:rsidR="00F105A4" w:rsidRDefault="00F105A4" w:rsidP="00F105A4">
      <w:pPr>
        <w:jc w:val="right"/>
      </w:pPr>
      <w:r w:rsidRPr="007D274F">
        <w:t>[</w:t>
      </w:r>
      <w:r w:rsidR="00301E96" w:rsidRPr="007D274F">
        <w:t>End of document</w:t>
      </w:r>
      <w:r w:rsidRPr="007D274F">
        <w:t>]</w:t>
      </w:r>
    </w:p>
    <w:p w14:paraId="21498749" w14:textId="77777777" w:rsidR="00E35C15" w:rsidRPr="001D3FDF" w:rsidRDefault="00E35C15" w:rsidP="00E35C15"/>
    <w:sectPr w:rsidR="00E35C15" w:rsidRPr="001D3FDF" w:rsidSect="00301E96">
      <w:headerReference w:type="default" r:id="rId23"/>
      <w:headerReference w:type="first" r:id="rId24"/>
      <w:pgSz w:w="11907" w:h="16840" w:code="9"/>
      <w:pgMar w:top="510" w:right="1134" w:bottom="993"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50E50" w14:textId="77777777" w:rsidR="00E2576A" w:rsidRDefault="00E2576A" w:rsidP="006655D3">
      <w:r>
        <w:separator/>
      </w:r>
    </w:p>
    <w:p w14:paraId="06F2EF61" w14:textId="77777777" w:rsidR="00E2576A" w:rsidRDefault="00E2576A" w:rsidP="006655D3"/>
    <w:p w14:paraId="30D60753" w14:textId="77777777" w:rsidR="00E2576A" w:rsidRDefault="00E2576A" w:rsidP="006655D3"/>
  </w:endnote>
  <w:endnote w:type="continuationSeparator" w:id="0">
    <w:p w14:paraId="453BAACE" w14:textId="77777777" w:rsidR="00E2576A" w:rsidRDefault="00E2576A" w:rsidP="006655D3">
      <w:r>
        <w:separator/>
      </w:r>
    </w:p>
    <w:p w14:paraId="1D146B78" w14:textId="77777777" w:rsidR="00E2576A" w:rsidRPr="00294751" w:rsidRDefault="00E2576A">
      <w:pPr>
        <w:pStyle w:val="Footer"/>
        <w:spacing w:after="60"/>
        <w:rPr>
          <w:sz w:val="18"/>
          <w:lang w:val="fr-FR"/>
        </w:rPr>
      </w:pPr>
      <w:r w:rsidRPr="00294751">
        <w:rPr>
          <w:sz w:val="18"/>
          <w:lang w:val="fr-FR"/>
        </w:rPr>
        <w:t>[Suite de la note de la page précédente]</w:t>
      </w:r>
    </w:p>
    <w:p w14:paraId="336B8AC6" w14:textId="77777777" w:rsidR="00E2576A" w:rsidRPr="00294751" w:rsidRDefault="00E2576A" w:rsidP="006655D3">
      <w:pPr>
        <w:rPr>
          <w:lang w:val="fr-FR"/>
        </w:rPr>
      </w:pPr>
    </w:p>
    <w:p w14:paraId="3FB79FE7" w14:textId="77777777" w:rsidR="00E2576A" w:rsidRPr="00294751" w:rsidRDefault="00E2576A" w:rsidP="006655D3">
      <w:pPr>
        <w:rPr>
          <w:lang w:val="fr-FR"/>
        </w:rPr>
      </w:pPr>
    </w:p>
  </w:endnote>
  <w:endnote w:type="continuationNotice" w:id="1">
    <w:p w14:paraId="3DFD4908" w14:textId="77777777" w:rsidR="00E2576A" w:rsidRPr="00294751" w:rsidRDefault="00E2576A" w:rsidP="006655D3">
      <w:pPr>
        <w:rPr>
          <w:lang w:val="fr-FR"/>
        </w:rPr>
      </w:pPr>
      <w:r w:rsidRPr="00294751">
        <w:rPr>
          <w:lang w:val="fr-FR"/>
        </w:rPr>
        <w:t>[Suite de la note page suivante]</w:t>
      </w:r>
    </w:p>
    <w:p w14:paraId="38E78529" w14:textId="77777777" w:rsidR="00E2576A" w:rsidRPr="00294751" w:rsidRDefault="00E2576A" w:rsidP="006655D3">
      <w:pPr>
        <w:rPr>
          <w:lang w:val="fr-FR"/>
        </w:rPr>
      </w:pPr>
    </w:p>
    <w:p w14:paraId="24EC4ACA" w14:textId="77777777" w:rsidR="00E2576A" w:rsidRPr="00294751" w:rsidRDefault="00E2576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E86B1" w14:textId="77777777" w:rsidR="00E2576A" w:rsidRDefault="00E2576A" w:rsidP="006655D3">
      <w:r>
        <w:separator/>
      </w:r>
    </w:p>
  </w:footnote>
  <w:footnote w:type="continuationSeparator" w:id="0">
    <w:p w14:paraId="047CA2BD" w14:textId="77777777" w:rsidR="00E2576A" w:rsidRDefault="00E2576A" w:rsidP="006655D3">
      <w:r>
        <w:separator/>
      </w:r>
    </w:p>
  </w:footnote>
  <w:footnote w:type="continuationNotice" w:id="1">
    <w:p w14:paraId="78C25FD4" w14:textId="77777777" w:rsidR="00E2576A" w:rsidRPr="00AB530F" w:rsidRDefault="00E2576A" w:rsidP="00AB530F">
      <w:pPr>
        <w:pStyle w:val="Footer"/>
      </w:pPr>
    </w:p>
  </w:footnote>
  <w:footnote w:id="2">
    <w:p w14:paraId="791D390E" w14:textId="27EB619A" w:rsidR="00450619" w:rsidRDefault="00450619">
      <w:pPr>
        <w:pStyle w:val="FootnoteText"/>
      </w:pPr>
      <w:r>
        <w:rPr>
          <w:rStyle w:val="FootnoteReference"/>
        </w:rPr>
        <w:footnoteRef/>
      </w:r>
      <w:r>
        <w:t xml:space="preserve"> </w:t>
      </w:r>
      <w:r w:rsidRPr="00450619">
        <w:t xml:space="preserve">TC, </w:t>
      </w:r>
      <w:r>
        <w:t xml:space="preserve">sixtieth </w:t>
      </w:r>
      <w:r w:rsidRPr="00450619">
        <w:t>session, held in Geneva on October 2</w:t>
      </w:r>
      <w:r>
        <w:t>1</w:t>
      </w:r>
      <w:r w:rsidRPr="00450619">
        <w:t xml:space="preserve"> and 2</w:t>
      </w:r>
      <w:r>
        <w:t>2</w:t>
      </w:r>
      <w:r w:rsidRPr="00450619">
        <w:t>, 202</w:t>
      </w:r>
      <w:r>
        <w:t>4</w:t>
      </w:r>
      <w:r w:rsidRPr="00450619">
        <w:t>.</w:t>
      </w:r>
    </w:p>
  </w:footnote>
  <w:footnote w:id="3">
    <w:p w14:paraId="39000C34" w14:textId="49569841" w:rsidR="005F6C47" w:rsidRDefault="005F6C47" w:rsidP="007740E9">
      <w:pPr>
        <w:pStyle w:val="FootnoteText"/>
      </w:pPr>
      <w:r>
        <w:rPr>
          <w:rStyle w:val="FootnoteReference"/>
        </w:rPr>
        <w:footnoteRef/>
      </w:r>
      <w:r w:rsidR="00450619">
        <w:t xml:space="preserve"> </w:t>
      </w:r>
      <w:r w:rsidR="007740E9">
        <w:t>S</w:t>
      </w:r>
      <w:r>
        <w:t xml:space="preserve">ource: </w:t>
      </w:r>
      <w:hyperlink r:id="rId1" w:history="1">
        <w:r>
          <w:rPr>
            <w:rStyle w:val="Hyperlink"/>
          </w:rPr>
          <w:t>https://worldseed.org/</w:t>
        </w:r>
      </w:hyperlink>
    </w:p>
  </w:footnote>
  <w:footnote w:id="4">
    <w:p w14:paraId="74F14886" w14:textId="5BDFC846" w:rsidR="00450619" w:rsidRDefault="00450619">
      <w:pPr>
        <w:pStyle w:val="FootnoteText"/>
      </w:pPr>
      <w:r>
        <w:rPr>
          <w:rStyle w:val="FootnoteReference"/>
        </w:rPr>
        <w:footnoteRef/>
      </w:r>
      <w:r>
        <w:t xml:space="preserve"> </w:t>
      </w:r>
      <w:r w:rsidRPr="00450619">
        <w:t>TWV, at its fifty-eighth session, held via electronic means, from April 22 to 25, 2024</w:t>
      </w:r>
      <w:r w:rsidR="005E7CFA">
        <w:t>.</w:t>
      </w:r>
    </w:p>
  </w:footnote>
  <w:footnote w:id="5">
    <w:p w14:paraId="329FB5FD" w14:textId="1A566C95" w:rsidR="00763628" w:rsidRDefault="00763628">
      <w:pPr>
        <w:pStyle w:val="FootnoteText"/>
      </w:pPr>
      <w:r>
        <w:rPr>
          <w:rStyle w:val="FootnoteReference"/>
        </w:rPr>
        <w:footnoteRef/>
      </w:r>
      <w:r>
        <w:t xml:space="preserve"> CAJ, at its eighty-first session, held in Geneva, on October 23, 2024. See document CAJ/81/7 “Report”, paragraph 39</w:t>
      </w:r>
    </w:p>
  </w:footnote>
  <w:footnote w:id="6">
    <w:p w14:paraId="32115D02" w14:textId="5B87A2E5" w:rsidR="00C215EC" w:rsidRDefault="00C215EC">
      <w:pPr>
        <w:pStyle w:val="FootnoteText"/>
      </w:pPr>
      <w:r>
        <w:rPr>
          <w:rStyle w:val="FootnoteReference"/>
        </w:rPr>
        <w:footnoteRef/>
      </w:r>
      <w:r>
        <w:t xml:space="preserve"> TC, at its sixtieth session, held in Geneva on October 21 and 22, 2024. See document TC/60/8 “Report”, paragraphs 41 and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B1AE6" w14:textId="77777777" w:rsidR="00E35C15" w:rsidRPr="00C5280D" w:rsidRDefault="00E35C15" w:rsidP="00EB048E">
    <w:pPr>
      <w:pStyle w:val="Header"/>
      <w:rPr>
        <w:rStyle w:val="PageNumber"/>
        <w:lang w:val="en-US"/>
      </w:rPr>
    </w:pPr>
    <w:r>
      <w:rPr>
        <w:rStyle w:val="PageNumber"/>
        <w:lang w:val="en-US"/>
      </w:rPr>
      <w:t>TWP/9/1</w:t>
    </w:r>
  </w:p>
  <w:p w14:paraId="0033ABA5" w14:textId="765E4B39" w:rsidR="00E35C15" w:rsidRPr="00C5280D" w:rsidRDefault="00E35C15"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594C945C" w14:textId="77777777" w:rsidR="00E35C15" w:rsidRPr="00C5280D" w:rsidRDefault="00E35C15"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C8592" w14:textId="25BC938A" w:rsidR="003C306B" w:rsidRDefault="003C3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5776"/>
    <w:multiLevelType w:val="hybridMultilevel"/>
    <w:tmpl w:val="FB7C4D32"/>
    <w:lvl w:ilvl="0" w:tplc="8F647C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15586"/>
    <w:multiLevelType w:val="hybridMultilevel"/>
    <w:tmpl w:val="78AE1224"/>
    <w:lvl w:ilvl="0" w:tplc="EFA4EC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90EAF"/>
    <w:multiLevelType w:val="hybridMultilevel"/>
    <w:tmpl w:val="4F8C24BC"/>
    <w:lvl w:ilvl="0" w:tplc="FFFFFFFF">
      <w:start w:val="1"/>
      <w:numFmt w:val="low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41AA6440"/>
    <w:multiLevelType w:val="hybridMultilevel"/>
    <w:tmpl w:val="12F4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B4B56"/>
    <w:multiLevelType w:val="hybridMultilevel"/>
    <w:tmpl w:val="4F8C24BC"/>
    <w:lvl w:ilvl="0" w:tplc="64F0AAC8">
      <w:start w:val="1"/>
      <w:numFmt w:val="lowerRoman"/>
      <w:lvlText w:val="(%1)"/>
      <w:lvlJc w:val="left"/>
      <w:pPr>
        <w:ind w:left="1287" w:hanging="72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6" w15:restartNumberingAfterBreak="0">
    <w:nsid w:val="586D0DA7"/>
    <w:multiLevelType w:val="hybridMultilevel"/>
    <w:tmpl w:val="F08E2BC8"/>
    <w:lvl w:ilvl="0" w:tplc="CEFE85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B84402"/>
    <w:multiLevelType w:val="hybridMultilevel"/>
    <w:tmpl w:val="810A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A24B75"/>
    <w:multiLevelType w:val="hybridMultilevel"/>
    <w:tmpl w:val="96D27190"/>
    <w:lvl w:ilvl="0" w:tplc="A5961838">
      <w:start w:val="1"/>
      <w:numFmt w:val="lowerLetter"/>
      <w:lvlText w:val="(%1)"/>
      <w:lvlJc w:val="left"/>
      <w:pPr>
        <w:ind w:left="1140" w:hanging="570"/>
      </w:pPr>
      <w:rPr>
        <w:rFonts w:hint="default"/>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9" w15:restartNumberingAfterBreak="0">
    <w:nsid w:val="6FBB2CDB"/>
    <w:multiLevelType w:val="hybridMultilevel"/>
    <w:tmpl w:val="F7E2408C"/>
    <w:lvl w:ilvl="0" w:tplc="FFFFFFFF">
      <w:start w:val="1"/>
      <w:numFmt w:val="lowerRoman"/>
      <w:lvlText w:val="(%1)"/>
      <w:lvlJc w:val="left"/>
      <w:pPr>
        <w:ind w:left="1287"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14889006">
    <w:abstractNumId w:val="5"/>
  </w:num>
  <w:num w:numId="2" w16cid:durableId="702480942">
    <w:abstractNumId w:val="8"/>
  </w:num>
  <w:num w:numId="3" w16cid:durableId="1812792951">
    <w:abstractNumId w:val="4"/>
  </w:num>
  <w:num w:numId="4" w16cid:durableId="104925343">
    <w:abstractNumId w:val="2"/>
  </w:num>
  <w:num w:numId="5" w16cid:durableId="1711032594">
    <w:abstractNumId w:val="9"/>
  </w:num>
  <w:num w:numId="6" w16cid:durableId="2103795671">
    <w:abstractNumId w:val="1"/>
  </w:num>
  <w:num w:numId="7" w16cid:durableId="807354543">
    <w:abstractNumId w:val="3"/>
  </w:num>
  <w:num w:numId="8" w16cid:durableId="271598541">
    <w:abstractNumId w:val="7"/>
  </w:num>
  <w:num w:numId="9" w16cid:durableId="1523788010">
    <w:abstractNumId w:val="0"/>
  </w:num>
  <w:num w:numId="10" w16cid:durableId="975598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76A"/>
    <w:rsid w:val="00002919"/>
    <w:rsid w:val="00010CF3"/>
    <w:rsid w:val="00011896"/>
    <w:rsid w:val="00011A5C"/>
    <w:rsid w:val="00011E27"/>
    <w:rsid w:val="000148BC"/>
    <w:rsid w:val="000224B0"/>
    <w:rsid w:val="0002410A"/>
    <w:rsid w:val="00024AB8"/>
    <w:rsid w:val="00030854"/>
    <w:rsid w:val="00036028"/>
    <w:rsid w:val="00036B5C"/>
    <w:rsid w:val="0004198B"/>
    <w:rsid w:val="00044642"/>
    <w:rsid w:val="000446B9"/>
    <w:rsid w:val="00047E21"/>
    <w:rsid w:val="00050E16"/>
    <w:rsid w:val="00072258"/>
    <w:rsid w:val="00085505"/>
    <w:rsid w:val="000A39F1"/>
    <w:rsid w:val="000B2834"/>
    <w:rsid w:val="000C4E25"/>
    <w:rsid w:val="000C7021"/>
    <w:rsid w:val="000C7744"/>
    <w:rsid w:val="000D6BBC"/>
    <w:rsid w:val="000D7780"/>
    <w:rsid w:val="000E636A"/>
    <w:rsid w:val="000F2F11"/>
    <w:rsid w:val="00100A5F"/>
    <w:rsid w:val="00105929"/>
    <w:rsid w:val="00110BED"/>
    <w:rsid w:val="00110C36"/>
    <w:rsid w:val="001131D5"/>
    <w:rsid w:val="00114547"/>
    <w:rsid w:val="0013127A"/>
    <w:rsid w:val="00141B71"/>
    <w:rsid w:val="00141DB8"/>
    <w:rsid w:val="001512DD"/>
    <w:rsid w:val="00172084"/>
    <w:rsid w:val="00174520"/>
    <w:rsid w:val="0017474A"/>
    <w:rsid w:val="001758C6"/>
    <w:rsid w:val="00182B99"/>
    <w:rsid w:val="001A626A"/>
    <w:rsid w:val="001C1525"/>
    <w:rsid w:val="001D3FDF"/>
    <w:rsid w:val="001E06EE"/>
    <w:rsid w:val="00212E3C"/>
    <w:rsid w:val="0021332C"/>
    <w:rsid w:val="00213982"/>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2F77C7"/>
    <w:rsid w:val="00301E96"/>
    <w:rsid w:val="00305A7F"/>
    <w:rsid w:val="003152FE"/>
    <w:rsid w:val="003268C5"/>
    <w:rsid w:val="00327436"/>
    <w:rsid w:val="00344BD6"/>
    <w:rsid w:val="0035528D"/>
    <w:rsid w:val="00361821"/>
    <w:rsid w:val="00361E9E"/>
    <w:rsid w:val="00374366"/>
    <w:rsid w:val="003753EE"/>
    <w:rsid w:val="00390597"/>
    <w:rsid w:val="003A0835"/>
    <w:rsid w:val="003A5AAF"/>
    <w:rsid w:val="003B700A"/>
    <w:rsid w:val="003C306B"/>
    <w:rsid w:val="003C7FBE"/>
    <w:rsid w:val="003D227C"/>
    <w:rsid w:val="003D2B4D"/>
    <w:rsid w:val="003E3B3F"/>
    <w:rsid w:val="003F37F5"/>
    <w:rsid w:val="00425A52"/>
    <w:rsid w:val="00444A88"/>
    <w:rsid w:val="00450619"/>
    <w:rsid w:val="00474DA4"/>
    <w:rsid w:val="00476B4D"/>
    <w:rsid w:val="004805FA"/>
    <w:rsid w:val="004839D7"/>
    <w:rsid w:val="00493073"/>
    <w:rsid w:val="004935D2"/>
    <w:rsid w:val="004B0732"/>
    <w:rsid w:val="004B1215"/>
    <w:rsid w:val="004D047D"/>
    <w:rsid w:val="004F1E9E"/>
    <w:rsid w:val="004F305A"/>
    <w:rsid w:val="00501A2D"/>
    <w:rsid w:val="00512164"/>
    <w:rsid w:val="00512DD6"/>
    <w:rsid w:val="00520297"/>
    <w:rsid w:val="00526541"/>
    <w:rsid w:val="005338F9"/>
    <w:rsid w:val="00533D15"/>
    <w:rsid w:val="0054281C"/>
    <w:rsid w:val="00544581"/>
    <w:rsid w:val="0055268D"/>
    <w:rsid w:val="00555CCA"/>
    <w:rsid w:val="00575DE2"/>
    <w:rsid w:val="00576BE4"/>
    <w:rsid w:val="005779DB"/>
    <w:rsid w:val="005871D9"/>
    <w:rsid w:val="005A2A67"/>
    <w:rsid w:val="005A400A"/>
    <w:rsid w:val="005A5C32"/>
    <w:rsid w:val="005B269D"/>
    <w:rsid w:val="005C24B7"/>
    <w:rsid w:val="005D6DE8"/>
    <w:rsid w:val="005E7466"/>
    <w:rsid w:val="005E7CFA"/>
    <w:rsid w:val="005F4E59"/>
    <w:rsid w:val="005F6C47"/>
    <w:rsid w:val="005F7B92"/>
    <w:rsid w:val="00612379"/>
    <w:rsid w:val="006153B6"/>
    <w:rsid w:val="0061555F"/>
    <w:rsid w:val="00620549"/>
    <w:rsid w:val="006245ED"/>
    <w:rsid w:val="006339FF"/>
    <w:rsid w:val="00636CA6"/>
    <w:rsid w:val="00641200"/>
    <w:rsid w:val="00645CA8"/>
    <w:rsid w:val="006655D3"/>
    <w:rsid w:val="00667404"/>
    <w:rsid w:val="006848B7"/>
    <w:rsid w:val="00687EB4"/>
    <w:rsid w:val="00695C56"/>
    <w:rsid w:val="006A5CDE"/>
    <w:rsid w:val="006A644A"/>
    <w:rsid w:val="006B17D2"/>
    <w:rsid w:val="006B1D80"/>
    <w:rsid w:val="006B3B84"/>
    <w:rsid w:val="006C224E"/>
    <w:rsid w:val="006C5ADB"/>
    <w:rsid w:val="006D780A"/>
    <w:rsid w:val="007024AD"/>
    <w:rsid w:val="00704ECF"/>
    <w:rsid w:val="0071271E"/>
    <w:rsid w:val="00732DEC"/>
    <w:rsid w:val="00735BD5"/>
    <w:rsid w:val="007451EC"/>
    <w:rsid w:val="0074642E"/>
    <w:rsid w:val="007472A1"/>
    <w:rsid w:val="00751613"/>
    <w:rsid w:val="00753EE9"/>
    <w:rsid w:val="007556F6"/>
    <w:rsid w:val="00760EEF"/>
    <w:rsid w:val="00763628"/>
    <w:rsid w:val="007740E9"/>
    <w:rsid w:val="00777EE5"/>
    <w:rsid w:val="00784836"/>
    <w:rsid w:val="0079023E"/>
    <w:rsid w:val="007A2854"/>
    <w:rsid w:val="007A60C4"/>
    <w:rsid w:val="007C1D92"/>
    <w:rsid w:val="007C4CB9"/>
    <w:rsid w:val="007C63A7"/>
    <w:rsid w:val="007D0B9D"/>
    <w:rsid w:val="007D19B0"/>
    <w:rsid w:val="007D274F"/>
    <w:rsid w:val="007D3B4B"/>
    <w:rsid w:val="007F498F"/>
    <w:rsid w:val="00801BED"/>
    <w:rsid w:val="0080679D"/>
    <w:rsid w:val="008108B0"/>
    <w:rsid w:val="00811B20"/>
    <w:rsid w:val="00812609"/>
    <w:rsid w:val="00813DEC"/>
    <w:rsid w:val="008211B5"/>
    <w:rsid w:val="0082296E"/>
    <w:rsid w:val="00824099"/>
    <w:rsid w:val="008410FE"/>
    <w:rsid w:val="008416E9"/>
    <w:rsid w:val="00846D7C"/>
    <w:rsid w:val="008503FB"/>
    <w:rsid w:val="00854382"/>
    <w:rsid w:val="0086695C"/>
    <w:rsid w:val="00867AC1"/>
    <w:rsid w:val="008751DE"/>
    <w:rsid w:val="00877239"/>
    <w:rsid w:val="00890DF8"/>
    <w:rsid w:val="008A0ADE"/>
    <w:rsid w:val="008A743F"/>
    <w:rsid w:val="008C0970"/>
    <w:rsid w:val="008D0BC5"/>
    <w:rsid w:val="008D2CF7"/>
    <w:rsid w:val="008D3A89"/>
    <w:rsid w:val="008D4B93"/>
    <w:rsid w:val="00900C26"/>
    <w:rsid w:val="0090197F"/>
    <w:rsid w:val="00903264"/>
    <w:rsid w:val="00906DDC"/>
    <w:rsid w:val="00934E09"/>
    <w:rsid w:val="00936253"/>
    <w:rsid w:val="00940D46"/>
    <w:rsid w:val="009413F1"/>
    <w:rsid w:val="009474CA"/>
    <w:rsid w:val="00951234"/>
    <w:rsid w:val="00952DD4"/>
    <w:rsid w:val="009561F4"/>
    <w:rsid w:val="00965AE7"/>
    <w:rsid w:val="00970FED"/>
    <w:rsid w:val="00972CF1"/>
    <w:rsid w:val="009740A7"/>
    <w:rsid w:val="00992D82"/>
    <w:rsid w:val="00997029"/>
    <w:rsid w:val="009A7339"/>
    <w:rsid w:val="009B440E"/>
    <w:rsid w:val="009D0DD0"/>
    <w:rsid w:val="009D4BD7"/>
    <w:rsid w:val="009D690D"/>
    <w:rsid w:val="009E65B6"/>
    <w:rsid w:val="009F0A51"/>
    <w:rsid w:val="009F77CF"/>
    <w:rsid w:val="00A03343"/>
    <w:rsid w:val="00A24C10"/>
    <w:rsid w:val="00A27ECF"/>
    <w:rsid w:val="00A42AC3"/>
    <w:rsid w:val="00A430CF"/>
    <w:rsid w:val="00A54309"/>
    <w:rsid w:val="00A610A9"/>
    <w:rsid w:val="00A80F2A"/>
    <w:rsid w:val="00A85F2F"/>
    <w:rsid w:val="00A96C33"/>
    <w:rsid w:val="00AA3E51"/>
    <w:rsid w:val="00AA49F2"/>
    <w:rsid w:val="00AB2B93"/>
    <w:rsid w:val="00AB530F"/>
    <w:rsid w:val="00AB7E5B"/>
    <w:rsid w:val="00AC11C1"/>
    <w:rsid w:val="00AC2883"/>
    <w:rsid w:val="00AE0EF1"/>
    <w:rsid w:val="00AE2937"/>
    <w:rsid w:val="00B07301"/>
    <w:rsid w:val="00B11F3E"/>
    <w:rsid w:val="00B224DE"/>
    <w:rsid w:val="00B324D4"/>
    <w:rsid w:val="00B37D90"/>
    <w:rsid w:val="00B46575"/>
    <w:rsid w:val="00B61777"/>
    <w:rsid w:val="00B622E6"/>
    <w:rsid w:val="00B71862"/>
    <w:rsid w:val="00B72BDB"/>
    <w:rsid w:val="00B77A66"/>
    <w:rsid w:val="00B83E82"/>
    <w:rsid w:val="00B84BBD"/>
    <w:rsid w:val="00B97BB8"/>
    <w:rsid w:val="00BA25C9"/>
    <w:rsid w:val="00BA43FB"/>
    <w:rsid w:val="00BC127D"/>
    <w:rsid w:val="00BC1FE6"/>
    <w:rsid w:val="00BC5048"/>
    <w:rsid w:val="00BD3162"/>
    <w:rsid w:val="00C061B6"/>
    <w:rsid w:val="00C13C0A"/>
    <w:rsid w:val="00C144AF"/>
    <w:rsid w:val="00C162CB"/>
    <w:rsid w:val="00C164BE"/>
    <w:rsid w:val="00C215EC"/>
    <w:rsid w:val="00C2446C"/>
    <w:rsid w:val="00C27FA8"/>
    <w:rsid w:val="00C32A85"/>
    <w:rsid w:val="00C36AE5"/>
    <w:rsid w:val="00C37C67"/>
    <w:rsid w:val="00C41F17"/>
    <w:rsid w:val="00C437A3"/>
    <w:rsid w:val="00C527FA"/>
    <w:rsid w:val="00C5280D"/>
    <w:rsid w:val="00C5314B"/>
    <w:rsid w:val="00C53EB3"/>
    <w:rsid w:val="00C5791C"/>
    <w:rsid w:val="00C66290"/>
    <w:rsid w:val="00C71281"/>
    <w:rsid w:val="00C72B7A"/>
    <w:rsid w:val="00C75130"/>
    <w:rsid w:val="00C973F2"/>
    <w:rsid w:val="00CA304C"/>
    <w:rsid w:val="00CA35A0"/>
    <w:rsid w:val="00CA774A"/>
    <w:rsid w:val="00CB4921"/>
    <w:rsid w:val="00CC11B0"/>
    <w:rsid w:val="00CC2841"/>
    <w:rsid w:val="00CC494F"/>
    <w:rsid w:val="00CE4CC4"/>
    <w:rsid w:val="00CF1330"/>
    <w:rsid w:val="00CF3917"/>
    <w:rsid w:val="00CF7E36"/>
    <w:rsid w:val="00D0106A"/>
    <w:rsid w:val="00D35881"/>
    <w:rsid w:val="00D3708D"/>
    <w:rsid w:val="00D40426"/>
    <w:rsid w:val="00D40BAB"/>
    <w:rsid w:val="00D41377"/>
    <w:rsid w:val="00D43FF2"/>
    <w:rsid w:val="00D54FDE"/>
    <w:rsid w:val="00D57C96"/>
    <w:rsid w:val="00D57D18"/>
    <w:rsid w:val="00D70E65"/>
    <w:rsid w:val="00D81E08"/>
    <w:rsid w:val="00D91203"/>
    <w:rsid w:val="00D95174"/>
    <w:rsid w:val="00D95313"/>
    <w:rsid w:val="00DA2918"/>
    <w:rsid w:val="00DA4973"/>
    <w:rsid w:val="00DA6F36"/>
    <w:rsid w:val="00DB596E"/>
    <w:rsid w:val="00DB7773"/>
    <w:rsid w:val="00DC00EA"/>
    <w:rsid w:val="00DC3802"/>
    <w:rsid w:val="00DD6208"/>
    <w:rsid w:val="00DF7E99"/>
    <w:rsid w:val="00E07D87"/>
    <w:rsid w:val="00E249C8"/>
    <w:rsid w:val="00E2576A"/>
    <w:rsid w:val="00E2674F"/>
    <w:rsid w:val="00E32F7E"/>
    <w:rsid w:val="00E35C15"/>
    <w:rsid w:val="00E5267B"/>
    <w:rsid w:val="00E53166"/>
    <w:rsid w:val="00E54168"/>
    <w:rsid w:val="00E559F0"/>
    <w:rsid w:val="00E63C0E"/>
    <w:rsid w:val="00E72D49"/>
    <w:rsid w:val="00E7593C"/>
    <w:rsid w:val="00E76526"/>
    <w:rsid w:val="00E7678A"/>
    <w:rsid w:val="00E935F1"/>
    <w:rsid w:val="00E94A81"/>
    <w:rsid w:val="00EA1FFB"/>
    <w:rsid w:val="00EB048E"/>
    <w:rsid w:val="00EB4E9C"/>
    <w:rsid w:val="00EE34DF"/>
    <w:rsid w:val="00EF2F89"/>
    <w:rsid w:val="00F03E98"/>
    <w:rsid w:val="00F105A4"/>
    <w:rsid w:val="00F1237A"/>
    <w:rsid w:val="00F22CBD"/>
    <w:rsid w:val="00F23157"/>
    <w:rsid w:val="00F272F1"/>
    <w:rsid w:val="00F31412"/>
    <w:rsid w:val="00F35A68"/>
    <w:rsid w:val="00F45372"/>
    <w:rsid w:val="00F560F7"/>
    <w:rsid w:val="00F6334D"/>
    <w:rsid w:val="00F63599"/>
    <w:rsid w:val="00F64B28"/>
    <w:rsid w:val="00F65B22"/>
    <w:rsid w:val="00F71781"/>
    <w:rsid w:val="00FA49AB"/>
    <w:rsid w:val="00FC0064"/>
    <w:rsid w:val="00FC5FD0"/>
    <w:rsid w:val="00FD1504"/>
    <w:rsid w:val="00FD5A7E"/>
    <w:rsid w:val="00FE39C7"/>
    <w:rsid w:val="00FF1093"/>
    <w:rsid w:val="00FF483B"/>
    <w:rsid w:val="00FF4D07"/>
    <w:rsid w:val="00FF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FFDC6"/>
  <w15:docId w15:val="{3EE3AA3E-A328-4CB8-8909-CAE9B92D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7A3"/>
    <w:pPr>
      <w:jc w:val="both"/>
    </w:pPr>
    <w:rPr>
      <w:rFonts w:ascii="Arial" w:hAnsi="Arial"/>
    </w:rPr>
  </w:style>
  <w:style w:type="paragraph" w:styleId="Heading1">
    <w:name w:val="heading 1"/>
    <w:next w:val="Normal"/>
    <w:link w:val="Heading1Char"/>
    <w:autoRedefine/>
    <w:qFormat/>
    <w:rsid w:val="00C437A3"/>
    <w:pPr>
      <w:keepNext/>
      <w:jc w:val="both"/>
      <w:outlineLvl w:val="0"/>
    </w:pPr>
    <w:rPr>
      <w:rFonts w:ascii="Arial" w:hAnsi="Arial"/>
      <w:caps/>
    </w:rPr>
  </w:style>
  <w:style w:type="paragraph" w:styleId="Heading2">
    <w:name w:val="heading 2"/>
    <w:aliases w:val="VARIETY,variety"/>
    <w:next w:val="Normal"/>
    <w:link w:val="Heading2Char"/>
    <w:autoRedefine/>
    <w:qFormat/>
    <w:rsid w:val="00C437A3"/>
    <w:pPr>
      <w:keepNext/>
      <w:jc w:val="both"/>
      <w:outlineLvl w:val="1"/>
    </w:pPr>
    <w:rPr>
      <w:rFonts w:ascii="Arial" w:hAnsi="Arial"/>
      <w:u w:val="single"/>
    </w:rPr>
  </w:style>
  <w:style w:type="paragraph" w:styleId="Heading3">
    <w:name w:val="heading 3"/>
    <w:next w:val="Normal"/>
    <w:link w:val="Heading3Char"/>
    <w:autoRedefine/>
    <w:qFormat/>
    <w:rsid w:val="005F6C47"/>
    <w:pPr>
      <w:keepNext/>
      <w:jc w:val="both"/>
      <w:outlineLvl w:val="2"/>
    </w:pPr>
    <w:rPr>
      <w:rFonts w:ascii="Arial" w:hAnsi="Arial"/>
      <w:i/>
      <w:spacing w:val="-2"/>
    </w:rPr>
  </w:style>
  <w:style w:type="paragraph" w:styleId="Heading4">
    <w:name w:val="heading 4"/>
    <w:next w:val="Normal"/>
    <w:link w:val="Heading4Char"/>
    <w:autoRedefine/>
    <w:qFormat/>
    <w:rsid w:val="00BA25C9"/>
    <w:pPr>
      <w:keepNext/>
      <w:ind w:left="1701"/>
      <w:jc w:val="both"/>
      <w:outlineLvl w:val="3"/>
    </w:pPr>
    <w:rPr>
      <w:rFonts w:ascii="Arial" w:hAnsi="Arial"/>
      <w:u w:val="single"/>
      <w:lang w:val="fr-FR"/>
    </w:rPr>
  </w:style>
  <w:style w:type="paragraph" w:styleId="Heading5">
    <w:name w:val="heading 5"/>
    <w:next w:val="Normal"/>
    <w:link w:val="Heading5Char"/>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link w:val="FootnoteTextChar"/>
    <w:autoRedefine/>
    <w:rsid w:val="007740E9"/>
    <w:pPr>
      <w:spacing w:before="60"/>
      <w:ind w:left="284" w:hanging="284"/>
      <w:jc w:val="both"/>
    </w:pPr>
    <w:rPr>
      <w:rFonts w:ascii="Arial" w:hAnsi="Arial"/>
      <w:sz w:val="16"/>
    </w:rPr>
  </w:style>
  <w:style w:type="character" w:styleId="FootnoteReference">
    <w:name w:val="footnote reference"/>
    <w:basedOn w:val="DefaultParagraphFont"/>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1D3FDF"/>
    <w:pPr>
      <w:tabs>
        <w:tab w:val="right" w:leader="dot" w:pos="9639"/>
      </w:tabs>
      <w:spacing w:before="60"/>
      <w:ind w:left="284" w:right="851"/>
      <w:jc w:val="left"/>
    </w:pPr>
    <w:rPr>
      <w:rFonts w:eastAsiaTheme="minorHAnsi" w:cs="Arial"/>
      <w:noProof/>
      <w:sz w:val="18"/>
      <w:szCs w:val="18"/>
    </w:rPr>
  </w:style>
  <w:style w:type="paragraph" w:styleId="TOC3">
    <w:name w:val="toc 3"/>
    <w:next w:val="Normal"/>
    <w:uiPriority w:val="39"/>
    <w:qFormat/>
    <w:rsid w:val="001D3FDF"/>
    <w:pPr>
      <w:tabs>
        <w:tab w:val="right" w:leader="dot" w:pos="9639"/>
      </w:tabs>
      <w:spacing w:before="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uiPriority w:val="39"/>
    <w:rsid w:val="001D3FDF"/>
    <w:pPr>
      <w:tabs>
        <w:tab w:val="right" w:leader="dot" w:pos="9639"/>
      </w:tabs>
      <w:spacing w:before="60"/>
      <w:ind w:left="851" w:right="851"/>
      <w:contextualSpacing/>
    </w:pPr>
    <w:rPr>
      <w:rFonts w:ascii="Arial" w:hAnsi="Arial"/>
      <w:iCs/>
      <w:noProof/>
      <w:sz w:val="18"/>
      <w:lang w:val="fr-FR"/>
    </w:rPr>
  </w:style>
  <w:style w:type="paragraph" w:styleId="TOC1">
    <w:name w:val="toc 1"/>
    <w:basedOn w:val="Normal"/>
    <w:next w:val="Normal"/>
    <w:uiPriority w:val="39"/>
    <w:qFormat/>
    <w:rsid w:val="001D3FDF"/>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1Char">
    <w:name w:val="Heading 1 Char"/>
    <w:basedOn w:val="DefaultParagraphFont"/>
    <w:link w:val="Heading1"/>
    <w:rsid w:val="004839D7"/>
    <w:rPr>
      <w:rFonts w:ascii="Arial" w:hAnsi="Arial"/>
      <w:caps/>
    </w:rPr>
  </w:style>
  <w:style w:type="character" w:customStyle="1" w:styleId="Heading2Char">
    <w:name w:val="Heading 2 Char"/>
    <w:aliases w:val="VARIETY Char,variety Char"/>
    <w:link w:val="Heading2"/>
    <w:locked/>
    <w:rsid w:val="005F6C47"/>
    <w:rPr>
      <w:rFonts w:ascii="Arial" w:hAnsi="Arial"/>
      <w:u w:val="single"/>
    </w:rPr>
  </w:style>
  <w:style w:type="character" w:customStyle="1" w:styleId="FootnoteTextChar">
    <w:name w:val="Footnote Text Char"/>
    <w:basedOn w:val="DefaultParagraphFont"/>
    <w:link w:val="FootnoteText"/>
    <w:rsid w:val="007740E9"/>
    <w:rPr>
      <w:rFonts w:ascii="Arial" w:hAnsi="Arial"/>
      <w:sz w:val="16"/>
    </w:rPr>
  </w:style>
  <w:style w:type="paragraph" w:styleId="ListParagraph">
    <w:name w:val="List Paragraph"/>
    <w:aliases w:val="auto_list_(i),List Paragraph1"/>
    <w:basedOn w:val="Normal"/>
    <w:link w:val="ListParagraphChar"/>
    <w:uiPriority w:val="34"/>
    <w:qFormat/>
    <w:rsid w:val="005F6C47"/>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5F6C47"/>
    <w:rPr>
      <w:rFonts w:ascii="Arial" w:hAnsi="Arial"/>
    </w:rPr>
  </w:style>
  <w:style w:type="paragraph" w:customStyle="1" w:styleId="BasistekstNaktuinbouw">
    <w:name w:val="Basistekst Naktuinbouw"/>
    <w:basedOn w:val="Normal"/>
    <w:qFormat/>
    <w:rsid w:val="005F6C47"/>
    <w:pPr>
      <w:spacing w:line="240" w:lineRule="atLeast"/>
      <w:jc w:val="left"/>
    </w:pPr>
    <w:rPr>
      <w:rFonts w:cs="Maiandra GD"/>
      <w:color w:val="000000" w:themeColor="text1"/>
      <w:szCs w:val="18"/>
      <w:lang w:val="nl-NL" w:eastAsia="nl-NL"/>
    </w:rPr>
  </w:style>
  <w:style w:type="character" w:customStyle="1" w:styleId="Heading4Char">
    <w:name w:val="Heading 4 Char"/>
    <w:basedOn w:val="DefaultParagraphFont"/>
    <w:link w:val="Heading4"/>
    <w:rsid w:val="00BA25C9"/>
    <w:rPr>
      <w:rFonts w:ascii="Arial" w:hAnsi="Arial"/>
      <w:u w:val="single"/>
      <w:lang w:val="fr-FR"/>
    </w:rPr>
  </w:style>
  <w:style w:type="character" w:customStyle="1" w:styleId="Heading5Char">
    <w:name w:val="Heading 5 Char"/>
    <w:basedOn w:val="DefaultParagraphFont"/>
    <w:link w:val="Heading5"/>
    <w:rsid w:val="0013127A"/>
    <w:rPr>
      <w:rFonts w:ascii="Arial" w:hAnsi="Arial"/>
      <w:i/>
    </w:rPr>
  </w:style>
  <w:style w:type="character" w:customStyle="1" w:styleId="Heading3Char">
    <w:name w:val="Heading 3 Char"/>
    <w:basedOn w:val="DefaultParagraphFont"/>
    <w:link w:val="Heading3"/>
    <w:rsid w:val="00450619"/>
    <w:rPr>
      <w:rFonts w:ascii="Arial" w:hAnsi="Arial"/>
      <w:i/>
      <w:spacing w:val="-2"/>
    </w:rPr>
  </w:style>
  <w:style w:type="table" w:styleId="TableGrid">
    <w:name w:val="Table Grid"/>
    <w:basedOn w:val="TableNormal"/>
    <w:rsid w:val="00841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A60C4"/>
    <w:rPr>
      <w:color w:val="605E5C"/>
      <w:shd w:val="clear" w:color="auto" w:fill="E1DFDD"/>
    </w:rPr>
  </w:style>
  <w:style w:type="character" w:styleId="FollowedHyperlink">
    <w:name w:val="FollowedHyperlink"/>
    <w:basedOn w:val="DefaultParagraphFont"/>
    <w:semiHidden/>
    <w:unhideWhenUsed/>
    <w:rsid w:val="00FF48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787285">
      <w:bodyDiv w:val="1"/>
      <w:marLeft w:val="0"/>
      <w:marRight w:val="0"/>
      <w:marTop w:val="0"/>
      <w:marBottom w:val="0"/>
      <w:divBdr>
        <w:top w:val="none" w:sz="0" w:space="0" w:color="auto"/>
        <w:left w:val="none" w:sz="0" w:space="0" w:color="auto"/>
        <w:bottom w:val="none" w:sz="0" w:space="0" w:color="auto"/>
        <w:right w:val="none" w:sz="0" w:space="0" w:color="auto"/>
      </w:divBdr>
    </w:div>
    <w:div w:id="1750032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meetings/en/doc_details.jsp?meeting_id=85858&amp;doc_id=642196" TargetMode="External"/><Relationship Id="rId18" Type="http://schemas.openxmlformats.org/officeDocument/2006/relationships/hyperlink" Target="https://www.upov.int/edocs/tgpdocs/en/tgp_7.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pov.int/edocs/infdocs/en/upov_inf_22.pdf" TargetMode="External"/><Relationship Id="rId7" Type="http://schemas.openxmlformats.org/officeDocument/2006/relationships/endnotes" Target="endnotes.xml"/><Relationship Id="rId12" Type="http://schemas.openxmlformats.org/officeDocument/2006/relationships/hyperlink" Target="https://www.upov.int/meetings/en/doc_details.jsp?meeting_id=85858&amp;doc_id=642196" TargetMode="External"/><Relationship Id="rId17" Type="http://schemas.openxmlformats.org/officeDocument/2006/relationships/hyperlink" Target="https://www.upov.int/meetings/en/doc_details.jsp?meeting_id=85858&amp;doc_id=64219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pov.int/meetings/en/doc_details.jsp?meeting_id=85858&amp;doc_id=642193" TargetMode="External"/><Relationship Id="rId20" Type="http://schemas.openxmlformats.org/officeDocument/2006/relationships/hyperlink" Target="https://www.upov.int/edocs/infdocs/en/upov_inf_1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n/doc_details.jsp?meeting_id=85858&amp;doc_id=642193"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pov.int/meetings/en/doc_details.jsp?meeting_id=85858&amp;doc_id=642173" TargetMode="External"/><Relationship Id="rId23" Type="http://schemas.openxmlformats.org/officeDocument/2006/relationships/header" Target="header1.xml"/><Relationship Id="rId10" Type="http://schemas.openxmlformats.org/officeDocument/2006/relationships/hyperlink" Target="https://www.upov.int/meetings/en/doc_details.jsp?meeting_id=85858&amp;doc_id=642173" TargetMode="External"/><Relationship Id="rId19" Type="http://schemas.openxmlformats.org/officeDocument/2006/relationships/hyperlink" Target="https://www.upov.int/edocs/tgpdocs/en/tgp_12.pdf" TargetMode="External"/><Relationship Id="rId4" Type="http://schemas.openxmlformats.org/officeDocument/2006/relationships/settings" Target="settings.xml"/><Relationship Id="rId9" Type="http://schemas.openxmlformats.org/officeDocument/2006/relationships/hyperlink" Target="https://www.upov.int/meetings/en/doc_details.jsp?meeting_id=85858&amp;doc_id=642196" TargetMode="External"/><Relationship Id="rId14" Type="http://schemas.openxmlformats.org/officeDocument/2006/relationships/hyperlink" Target="https://www.upov.int/meetings/en/doc_details.jsp?meeting_id=85858&amp;doc_id=642173" TargetMode="External"/><Relationship Id="rId22" Type="http://schemas.openxmlformats.org/officeDocument/2006/relationships/hyperlink" Target="https://www.upov.int/edocs/expndocs/en/upov_exn_de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orldsee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9\template\routing_slip_with_doc_twp_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07A68-690D-49C4-9F97-D94D3BF1E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routing_slip_with_doc_twp_9</Template>
  <TotalTime>495</TotalTime>
  <Pages>8</Pages>
  <Words>2954</Words>
  <Characters>20030</Characters>
  <Application>Microsoft Office Word</Application>
  <DocSecurity>0</DocSecurity>
  <Lines>770</Lines>
  <Paragraphs>314</Paragraphs>
  <ScaleCrop>false</ScaleCrop>
  <HeadingPairs>
    <vt:vector size="2" baseType="variant">
      <vt:variant>
        <vt:lpstr>Title</vt:lpstr>
      </vt:variant>
      <vt:variant>
        <vt:i4>1</vt:i4>
      </vt:variant>
    </vt:vector>
  </HeadingPairs>
  <TitlesOfParts>
    <vt:vector size="1" baseType="lpstr">
      <vt:lpstr>TWP/9/1</vt:lpstr>
    </vt:vector>
  </TitlesOfParts>
  <Company>UPOV</Company>
  <LinksUpToDate>false</LinksUpToDate>
  <CharactersWithSpaces>22670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TWP/9/1</dc:title>
  <dc:subject>Report on developments in UPOV</dc:subject>
  <dc:creator>SANCHEZ VIZCAINO GOMEZ Rosa Maria</dc:creator>
  <cp:lastModifiedBy>MAY Jessica</cp:lastModifiedBy>
  <cp:revision>46</cp:revision>
  <cp:lastPrinted>2025-03-03T15:47:00Z</cp:lastPrinted>
  <dcterms:created xsi:type="dcterms:W3CDTF">2025-01-31T10:19:00Z</dcterms:created>
  <dcterms:modified xsi:type="dcterms:W3CDTF">2025-03-12T12:07:00Z</dcterms:modified>
</cp:coreProperties>
</file>