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43E60" w14:paraId="60E5FFE6" w14:textId="77777777" w:rsidTr="00EB4E9C">
        <w:tc>
          <w:tcPr>
            <w:tcW w:w="6522" w:type="dxa"/>
          </w:tcPr>
          <w:p w14:paraId="5946AFA4" w14:textId="77777777" w:rsidR="00DC3802" w:rsidRPr="00F43E60" w:rsidRDefault="00DC3802" w:rsidP="00AC2883">
            <w:r w:rsidRPr="00F43E60">
              <w:rPr>
                <w:noProof/>
              </w:rPr>
              <w:drawing>
                <wp:inline distT="0" distB="0" distL="0" distR="0" wp14:anchorId="3ADCB642" wp14:editId="4048CE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7CD0FDB" w14:textId="77777777" w:rsidR="00DC3802" w:rsidRPr="00F43E60" w:rsidRDefault="00DC3802" w:rsidP="00AC2883">
            <w:pPr>
              <w:pStyle w:val="Lettrine"/>
            </w:pPr>
            <w:r w:rsidRPr="00F43E60">
              <w:t>E</w:t>
            </w:r>
          </w:p>
        </w:tc>
      </w:tr>
      <w:tr w:rsidR="00DC3802" w:rsidRPr="00F43E60" w14:paraId="1A2A0138" w14:textId="77777777" w:rsidTr="00645CA8">
        <w:trPr>
          <w:trHeight w:val="219"/>
        </w:trPr>
        <w:tc>
          <w:tcPr>
            <w:tcW w:w="6522" w:type="dxa"/>
          </w:tcPr>
          <w:p w14:paraId="7297155C" w14:textId="77777777" w:rsidR="00DC3802" w:rsidRPr="00F43E60" w:rsidRDefault="00DC3802" w:rsidP="00AC2883">
            <w:pPr>
              <w:pStyle w:val="upove"/>
            </w:pPr>
            <w:r w:rsidRPr="00F43E60">
              <w:t>International Union for the Protection of New Varieties of Plants</w:t>
            </w:r>
          </w:p>
        </w:tc>
        <w:tc>
          <w:tcPr>
            <w:tcW w:w="3117" w:type="dxa"/>
          </w:tcPr>
          <w:p w14:paraId="291B5F76" w14:textId="77777777" w:rsidR="00DC3802" w:rsidRPr="00F43E60" w:rsidRDefault="00DC3802" w:rsidP="00DA4973"/>
        </w:tc>
      </w:tr>
    </w:tbl>
    <w:p w14:paraId="587D8288" w14:textId="77777777" w:rsidR="00DC3802" w:rsidRPr="00F43E60" w:rsidRDefault="00DC3802" w:rsidP="00DC3802"/>
    <w:p w14:paraId="6205764B" w14:textId="77777777" w:rsidR="002172DA" w:rsidRPr="00F43E60"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F43E60" w14:paraId="067C2D90" w14:textId="77777777" w:rsidTr="004226CC">
        <w:tc>
          <w:tcPr>
            <w:tcW w:w="6512" w:type="dxa"/>
          </w:tcPr>
          <w:p w14:paraId="3EF5275A" w14:textId="77777777" w:rsidR="002C2414" w:rsidRPr="00F43E60" w:rsidRDefault="002C2414" w:rsidP="002C2414">
            <w:pPr>
              <w:pStyle w:val="Sessiontc"/>
            </w:pPr>
            <w:r w:rsidRPr="00F43E60">
              <w:t>Technical Working Party for Ornamental Plants and Forest Trees</w:t>
            </w:r>
          </w:p>
          <w:p w14:paraId="1087E8D0" w14:textId="5DF387E7" w:rsidR="002172DA" w:rsidRPr="00F43E60" w:rsidRDefault="002C2414" w:rsidP="002C2414">
            <w:pPr>
              <w:pStyle w:val="Sessiontcplacedate"/>
              <w:rPr>
                <w:sz w:val="22"/>
              </w:rPr>
            </w:pPr>
            <w:r w:rsidRPr="00F43E60">
              <w:t>Fifty-Seventh Session</w:t>
            </w:r>
            <w:r w:rsidRPr="00F43E60">
              <w:br/>
              <w:t xml:space="preserve">Roelofarendsveen, Kingdom of the Netherlands, </w:t>
            </w:r>
            <w:r w:rsidRPr="00F43E60">
              <w:br/>
              <w:t>March 31 to April 3, 2025</w:t>
            </w:r>
          </w:p>
        </w:tc>
        <w:tc>
          <w:tcPr>
            <w:tcW w:w="3127" w:type="dxa"/>
          </w:tcPr>
          <w:p w14:paraId="48FB20AB" w14:textId="3FD09B15" w:rsidR="002172DA" w:rsidRPr="00F43E60" w:rsidRDefault="002172DA" w:rsidP="004226CC">
            <w:pPr>
              <w:pStyle w:val="Doccode"/>
            </w:pPr>
            <w:r w:rsidRPr="00F43E60">
              <w:t>TWO/5</w:t>
            </w:r>
            <w:r w:rsidR="002C2414" w:rsidRPr="00F43E60">
              <w:t>7</w:t>
            </w:r>
            <w:r w:rsidRPr="00F43E60">
              <w:t>/</w:t>
            </w:r>
            <w:r w:rsidR="00363EA2" w:rsidRPr="00F43E60">
              <w:t>2</w:t>
            </w:r>
          </w:p>
          <w:p w14:paraId="6521274C" w14:textId="77777777" w:rsidR="002172DA" w:rsidRPr="00F43E60" w:rsidRDefault="002172DA" w:rsidP="004226CC">
            <w:pPr>
              <w:pStyle w:val="Docoriginal"/>
            </w:pPr>
            <w:r w:rsidRPr="00F43E60">
              <w:t>Original:</w:t>
            </w:r>
            <w:r w:rsidRPr="00F43E60">
              <w:rPr>
                <w:b w:val="0"/>
                <w:spacing w:val="0"/>
              </w:rPr>
              <w:t xml:space="preserve">  English</w:t>
            </w:r>
          </w:p>
          <w:p w14:paraId="43ED6D05" w14:textId="6CC3EE97" w:rsidR="002172DA" w:rsidRPr="00F43E60" w:rsidRDefault="002172DA" w:rsidP="0075023D">
            <w:pPr>
              <w:pStyle w:val="Docoriginal"/>
            </w:pPr>
            <w:r w:rsidRPr="00F43E60">
              <w:t>Date:</w:t>
            </w:r>
            <w:r w:rsidRPr="00F43E60">
              <w:rPr>
                <w:b w:val="0"/>
                <w:spacing w:val="0"/>
              </w:rPr>
              <w:t xml:space="preserve">  </w:t>
            </w:r>
            <w:r w:rsidR="00611E3E" w:rsidRPr="00D76EA3">
              <w:rPr>
                <w:b w:val="0"/>
                <w:spacing w:val="0"/>
              </w:rPr>
              <w:t xml:space="preserve">April </w:t>
            </w:r>
            <w:r w:rsidR="00D76EA3" w:rsidRPr="00D76EA3">
              <w:rPr>
                <w:b w:val="0"/>
                <w:spacing w:val="0"/>
              </w:rPr>
              <w:t>7</w:t>
            </w:r>
            <w:r w:rsidRPr="00D76EA3">
              <w:rPr>
                <w:b w:val="0"/>
                <w:spacing w:val="0"/>
              </w:rPr>
              <w:t>, 202</w:t>
            </w:r>
            <w:r w:rsidR="002C2414" w:rsidRPr="00D76EA3">
              <w:rPr>
                <w:b w:val="0"/>
                <w:spacing w:val="0"/>
              </w:rPr>
              <w:t>5</w:t>
            </w:r>
          </w:p>
        </w:tc>
      </w:tr>
    </w:tbl>
    <w:p w14:paraId="64ECB17F" w14:textId="77777777" w:rsidR="002172DA" w:rsidRPr="00F43E60" w:rsidRDefault="00363EA2" w:rsidP="002172DA">
      <w:pPr>
        <w:pStyle w:val="Titleofdoc0"/>
      </w:pPr>
      <w:bookmarkStart w:id="0" w:name="TitleOfDoc"/>
      <w:bookmarkEnd w:id="0"/>
      <w:r w:rsidRPr="00F43E60">
        <w:t>Reports on Developments in Plant Variety Protection from Members and Observers</w:t>
      </w:r>
    </w:p>
    <w:p w14:paraId="67623A37" w14:textId="77777777" w:rsidR="002172DA" w:rsidRPr="00F43E60" w:rsidRDefault="002172DA" w:rsidP="002172DA">
      <w:pPr>
        <w:pStyle w:val="preparedby1"/>
      </w:pPr>
      <w:bookmarkStart w:id="1" w:name="Prepared"/>
      <w:bookmarkEnd w:id="1"/>
      <w:r w:rsidRPr="00F43E60">
        <w:t>Document prepared by the Office of the Union</w:t>
      </w:r>
    </w:p>
    <w:p w14:paraId="3E602B18" w14:textId="77777777" w:rsidR="002172DA" w:rsidRPr="00F43E60" w:rsidRDefault="002172DA" w:rsidP="002172DA">
      <w:pPr>
        <w:pStyle w:val="Disclaimer"/>
      </w:pPr>
      <w:r w:rsidRPr="00F43E60">
        <w:t>Disclaimer:  this document does not represent UPOV policies or guidance</w:t>
      </w:r>
    </w:p>
    <w:p w14:paraId="0A620CC4" w14:textId="77777777" w:rsidR="00363EA2" w:rsidRPr="00F43E60" w:rsidRDefault="00363EA2" w:rsidP="00363EA2">
      <w:pPr>
        <w:tabs>
          <w:tab w:val="left" w:pos="567"/>
        </w:tabs>
        <w:rPr>
          <w:rFonts w:cs="Arial"/>
          <w:snapToGrid w:val="0"/>
        </w:rPr>
      </w:pPr>
      <w:r w:rsidRPr="00F43E60">
        <w:rPr>
          <w:rFonts w:cs="Arial"/>
        </w:rPr>
        <w:fldChar w:fldCharType="begin"/>
      </w:r>
      <w:r w:rsidRPr="00F43E60">
        <w:rPr>
          <w:rFonts w:cs="Arial"/>
        </w:rPr>
        <w:instrText xml:space="preserve"> AUTONUM  </w:instrText>
      </w:r>
      <w:r w:rsidRPr="00F43E60">
        <w:rPr>
          <w:rFonts w:cs="Arial"/>
        </w:rPr>
        <w:fldChar w:fldCharType="end"/>
      </w:r>
      <w:r w:rsidRPr="00F43E60">
        <w:rPr>
          <w:rFonts w:cs="Arial"/>
        </w:rPr>
        <w:tab/>
        <w:t xml:space="preserve">The Technical Committee (TC), at its </w:t>
      </w:r>
      <w:r w:rsidRPr="00F43E60">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6E9074E5" w14:textId="77777777" w:rsidR="00363EA2" w:rsidRPr="00F43E60" w:rsidRDefault="00363EA2" w:rsidP="00363EA2">
      <w:pPr>
        <w:tabs>
          <w:tab w:val="left" w:pos="567"/>
        </w:tabs>
        <w:rPr>
          <w:rFonts w:cs="Arial"/>
          <w:snapToGrid w:val="0"/>
        </w:rPr>
      </w:pPr>
    </w:p>
    <w:p w14:paraId="36E17026" w14:textId="71F180A3" w:rsidR="00363EA2" w:rsidRPr="00F43E60" w:rsidRDefault="00363EA2" w:rsidP="00363EA2">
      <w:pPr>
        <w:tabs>
          <w:tab w:val="left" w:pos="567"/>
        </w:tabs>
        <w:rPr>
          <w:rFonts w:cs="Arial"/>
          <w:snapToGrid w:val="0"/>
        </w:rPr>
      </w:pPr>
      <w:r w:rsidRPr="00F43E60">
        <w:rPr>
          <w:rFonts w:cs="Arial"/>
          <w:snapToGrid w:val="0"/>
        </w:rPr>
        <w:fldChar w:fldCharType="begin"/>
      </w:r>
      <w:r w:rsidRPr="00F43E60">
        <w:rPr>
          <w:rFonts w:cs="Arial"/>
          <w:snapToGrid w:val="0"/>
        </w:rPr>
        <w:instrText xml:space="preserve"> AUTONUM  \* Arabic </w:instrText>
      </w:r>
      <w:r w:rsidRPr="00F43E60">
        <w:rPr>
          <w:rFonts w:cs="Arial"/>
          <w:snapToGrid w:val="0"/>
        </w:rPr>
        <w:fldChar w:fldCharType="end"/>
      </w:r>
      <w:r w:rsidRPr="00F43E60">
        <w:rPr>
          <w:rFonts w:cs="Arial"/>
          <w:snapToGrid w:val="0"/>
        </w:rPr>
        <w:tab/>
        <w:t xml:space="preserve">Written reports were invited by the Office of the Union in </w:t>
      </w:r>
      <w:r w:rsidRPr="00F43E60">
        <w:rPr>
          <w:rFonts w:cs="Arial"/>
        </w:rPr>
        <w:t>Circular E-2</w:t>
      </w:r>
      <w:r w:rsidR="002C2414" w:rsidRPr="00F43E60">
        <w:rPr>
          <w:rFonts w:cs="Arial"/>
        </w:rPr>
        <w:t>5</w:t>
      </w:r>
      <w:r w:rsidRPr="00F43E60">
        <w:rPr>
          <w:rFonts w:cs="Arial"/>
        </w:rPr>
        <w:t>/0</w:t>
      </w:r>
      <w:r w:rsidR="002C2414" w:rsidRPr="00F43E60">
        <w:rPr>
          <w:rFonts w:cs="Arial"/>
        </w:rPr>
        <w:t>01</w:t>
      </w:r>
      <w:r w:rsidRPr="00F43E60">
        <w:rPr>
          <w:rFonts w:cs="Arial"/>
        </w:rPr>
        <w:t xml:space="preserve"> of </w:t>
      </w:r>
      <w:r w:rsidR="002C2414" w:rsidRPr="00F43E60">
        <w:rPr>
          <w:rFonts w:cs="Arial"/>
        </w:rPr>
        <w:t>January 21</w:t>
      </w:r>
      <w:r w:rsidRPr="00F43E60">
        <w:rPr>
          <w:rFonts w:cs="Arial"/>
        </w:rPr>
        <w:t>, 202</w:t>
      </w:r>
      <w:r w:rsidR="002C2414" w:rsidRPr="00F43E60">
        <w:rPr>
          <w:rFonts w:cs="Arial"/>
        </w:rPr>
        <w:t>5</w:t>
      </w:r>
      <w:r w:rsidRPr="00F43E60">
        <w:rPr>
          <w:rFonts w:cs="Arial"/>
          <w:snapToGrid w:val="0"/>
        </w:rPr>
        <w:t>.  The following reports were received in alphabetical order):</w:t>
      </w:r>
    </w:p>
    <w:p w14:paraId="01983E7F" w14:textId="77777777" w:rsidR="00363EA2" w:rsidRPr="00F43E60" w:rsidRDefault="00363EA2" w:rsidP="00363EA2">
      <w:pPr>
        <w:tabs>
          <w:tab w:val="left" w:pos="567"/>
        </w:tabs>
        <w:rPr>
          <w:rFonts w:cs="Arial"/>
          <w:snapToGrid w:val="0"/>
          <w:u w:val="single"/>
        </w:rPr>
      </w:pPr>
    </w:p>
    <w:p w14:paraId="48A235B3" w14:textId="4CE12FE8" w:rsidR="00363EA2" w:rsidRPr="00F43E60" w:rsidRDefault="00363EA2" w:rsidP="00363EA2">
      <w:pPr>
        <w:numPr>
          <w:ilvl w:val="0"/>
          <w:numId w:val="2"/>
        </w:numPr>
        <w:contextualSpacing/>
        <w:rPr>
          <w:rFonts w:eastAsiaTheme="minorEastAsia" w:cs="Arial"/>
          <w:snapToGrid w:val="0"/>
          <w:lang w:eastAsia="ja-JP"/>
        </w:rPr>
      </w:pPr>
      <w:r w:rsidRPr="00F43E60">
        <w:rPr>
          <w:rFonts w:cs="Arial"/>
          <w:snapToGrid w:val="0"/>
          <w:u w:val="single"/>
        </w:rPr>
        <w:t>Members of the Union</w:t>
      </w:r>
      <w:r w:rsidRPr="00F43E60">
        <w:rPr>
          <w:rFonts w:cs="Arial"/>
          <w:snapToGrid w:val="0"/>
        </w:rPr>
        <w:t xml:space="preserve">:  Annexes </w:t>
      </w:r>
      <w:r w:rsidRPr="00C548C5">
        <w:rPr>
          <w:rFonts w:cs="Arial"/>
          <w:snapToGrid w:val="0"/>
        </w:rPr>
        <w:t xml:space="preserve">I to </w:t>
      </w:r>
      <w:r w:rsidR="00DE08FF" w:rsidRPr="00C548C5">
        <w:rPr>
          <w:rFonts w:cs="Arial"/>
          <w:snapToGrid w:val="0"/>
        </w:rPr>
        <w:t>V</w:t>
      </w:r>
      <w:r w:rsidRPr="00C548C5">
        <w:rPr>
          <w:rFonts w:cs="Arial"/>
          <w:snapToGrid w:val="0"/>
        </w:rPr>
        <w:t>:</w:t>
      </w:r>
      <w:r w:rsidRPr="00F43E60">
        <w:rPr>
          <w:rFonts w:cs="Arial"/>
          <w:snapToGrid w:val="0"/>
        </w:rPr>
        <w:t xml:space="preserve">  </w:t>
      </w:r>
      <w:r w:rsidR="00611E3E" w:rsidRPr="00655B2C">
        <w:rPr>
          <w:rFonts w:cs="Arial"/>
          <w:snapToGrid w:val="0"/>
        </w:rPr>
        <w:t xml:space="preserve">European Union, </w:t>
      </w:r>
      <w:r w:rsidR="002C2414" w:rsidRPr="00655B2C">
        <w:rPr>
          <w:rFonts w:cs="Arial"/>
          <w:snapToGrid w:val="0"/>
        </w:rPr>
        <w:t>Fr</w:t>
      </w:r>
      <w:r w:rsidR="002C2414" w:rsidRPr="00F43E60">
        <w:rPr>
          <w:rFonts w:cs="Arial"/>
          <w:snapToGrid w:val="0"/>
        </w:rPr>
        <w:t>ance</w:t>
      </w:r>
      <w:r w:rsidR="000E577F" w:rsidRPr="00F43E60">
        <w:rPr>
          <w:rFonts w:cs="Arial"/>
          <w:snapToGrid w:val="0"/>
        </w:rPr>
        <w:t xml:space="preserve">, </w:t>
      </w:r>
      <w:r w:rsidRPr="00F43E60">
        <w:rPr>
          <w:rFonts w:cs="Arial"/>
          <w:snapToGrid w:val="0"/>
        </w:rPr>
        <w:t>Japan</w:t>
      </w:r>
      <w:r w:rsidR="00DE08FF">
        <w:rPr>
          <w:rFonts w:cs="Arial"/>
          <w:snapToGrid w:val="0"/>
        </w:rPr>
        <w:t>,</w:t>
      </w:r>
      <w:r w:rsidR="002C2414" w:rsidRPr="00F43E60">
        <w:rPr>
          <w:rFonts w:cs="Arial"/>
          <w:snapToGrid w:val="0"/>
        </w:rPr>
        <w:t xml:space="preserve"> the</w:t>
      </w:r>
      <w:r w:rsidRPr="00F43E60">
        <w:rPr>
          <w:rFonts w:cs="Arial"/>
          <w:snapToGrid w:val="0"/>
        </w:rPr>
        <w:t xml:space="preserve"> Netherlands (Kingdom</w:t>
      </w:r>
      <w:r w:rsidR="003D46E8">
        <w:rPr>
          <w:rFonts w:cs="Arial"/>
          <w:snapToGrid w:val="0"/>
        </w:rPr>
        <w:t> </w:t>
      </w:r>
      <w:r w:rsidRPr="00F43E60">
        <w:rPr>
          <w:rFonts w:cs="Arial"/>
          <w:snapToGrid w:val="0"/>
        </w:rPr>
        <w:t>of)</w:t>
      </w:r>
      <w:r w:rsidR="00DE08FF">
        <w:rPr>
          <w:rFonts w:cs="Arial"/>
          <w:snapToGrid w:val="0"/>
        </w:rPr>
        <w:t xml:space="preserve"> and the United Kingdom</w:t>
      </w:r>
    </w:p>
    <w:p w14:paraId="11F2EA46" w14:textId="77777777" w:rsidR="00363EA2" w:rsidRPr="00F43E60" w:rsidRDefault="00363EA2" w:rsidP="00363EA2">
      <w:pPr>
        <w:rPr>
          <w:rFonts w:eastAsiaTheme="minorEastAsia" w:cs="Arial"/>
          <w:snapToGrid w:val="0"/>
          <w:lang w:eastAsia="ja-JP"/>
        </w:rPr>
      </w:pPr>
    </w:p>
    <w:p w14:paraId="3981907A" w14:textId="77777777" w:rsidR="00363EA2" w:rsidRPr="00F43E60" w:rsidRDefault="00363EA2" w:rsidP="00363EA2">
      <w:pPr>
        <w:tabs>
          <w:tab w:val="left" w:pos="567"/>
        </w:tabs>
        <w:rPr>
          <w:rFonts w:cs="Arial"/>
          <w:snapToGrid w:val="0"/>
        </w:rPr>
      </w:pPr>
    </w:p>
    <w:p w14:paraId="3A906041" w14:textId="77777777" w:rsidR="00363EA2" w:rsidRPr="00F43E60" w:rsidRDefault="00363EA2" w:rsidP="00363EA2">
      <w:pPr>
        <w:tabs>
          <w:tab w:val="left" w:pos="567"/>
        </w:tabs>
        <w:rPr>
          <w:rFonts w:cs="Arial"/>
          <w:snapToGrid w:val="0"/>
        </w:rPr>
      </w:pPr>
    </w:p>
    <w:p w14:paraId="4FC95F7A" w14:textId="77777777" w:rsidR="00363EA2" w:rsidRPr="00F43E60" w:rsidRDefault="00363EA2" w:rsidP="00363EA2">
      <w:pPr>
        <w:jc w:val="right"/>
        <w:rPr>
          <w:snapToGrid w:val="0"/>
        </w:rPr>
      </w:pPr>
      <w:r w:rsidRPr="00F43E60">
        <w:rPr>
          <w:snapToGrid w:val="0"/>
        </w:rPr>
        <w:t>[Annexes follow]</w:t>
      </w:r>
    </w:p>
    <w:p w14:paraId="7B609832" w14:textId="77777777" w:rsidR="00C04852" w:rsidRPr="00F43E60" w:rsidRDefault="00C04852" w:rsidP="00363EA2">
      <w:pPr>
        <w:sectPr w:rsidR="00C04852" w:rsidRPr="00F43E60" w:rsidSect="005E7466">
          <w:headerReference w:type="default" r:id="rId9"/>
          <w:headerReference w:type="first" r:id="rId10"/>
          <w:pgSz w:w="11907" w:h="16840" w:code="9"/>
          <w:pgMar w:top="510" w:right="1134" w:bottom="1134" w:left="1134" w:header="510" w:footer="680" w:gutter="0"/>
          <w:pgNumType w:start="1"/>
          <w:cols w:space="720"/>
          <w:titlePg/>
        </w:sectPr>
      </w:pPr>
    </w:p>
    <w:p w14:paraId="43BB9DF1" w14:textId="77777777" w:rsidR="00050E16" w:rsidRDefault="00050E16" w:rsidP="00C04852">
      <w:pPr>
        <w:jc w:val="center"/>
      </w:pPr>
    </w:p>
    <w:p w14:paraId="3C35AE35" w14:textId="4CA72460" w:rsidR="003D46E8" w:rsidRDefault="003D46E8" w:rsidP="00C04852">
      <w:pPr>
        <w:jc w:val="center"/>
      </w:pPr>
      <w:r>
        <w:t>EUROPEAN UNION</w:t>
      </w:r>
    </w:p>
    <w:p w14:paraId="703748FA" w14:textId="77777777" w:rsidR="003D46E8" w:rsidRDefault="003D46E8" w:rsidP="00C04852">
      <w:pPr>
        <w:jc w:val="center"/>
      </w:pPr>
    </w:p>
    <w:p w14:paraId="5DBF4DBB" w14:textId="77777777" w:rsidR="003D46E8" w:rsidRPr="00F43E60" w:rsidRDefault="003D46E8" w:rsidP="003D46E8">
      <w:pPr>
        <w:rPr>
          <w:rFonts w:eastAsia="Cambria"/>
        </w:rPr>
      </w:pPr>
    </w:p>
    <w:p w14:paraId="2890002A" w14:textId="70A6DAC9" w:rsidR="003D46E8" w:rsidRDefault="003D46E8" w:rsidP="003D46E8">
      <w:pPr>
        <w:pStyle w:val="Heading1"/>
      </w:pPr>
      <w:bookmarkStart w:id="2" w:name="_Toc8669123"/>
      <w:r w:rsidRPr="003D46E8">
        <w:t xml:space="preserve">CPVO statistics and </w:t>
      </w:r>
      <w:bookmarkEnd w:id="2"/>
      <w:r w:rsidRPr="003D46E8">
        <w:t>activities</w:t>
      </w:r>
    </w:p>
    <w:p w14:paraId="6D15CC59" w14:textId="77777777" w:rsidR="003D46E8" w:rsidRPr="003D46E8" w:rsidRDefault="003D46E8" w:rsidP="003D46E8"/>
    <w:p w14:paraId="37630D58" w14:textId="77777777" w:rsidR="003D46E8" w:rsidRDefault="003D46E8" w:rsidP="003D46E8">
      <w:pPr>
        <w:pStyle w:val="Heading2"/>
        <w:rPr>
          <w:rFonts w:eastAsia="Cambria"/>
          <w:lang w:val="en-GB"/>
        </w:rPr>
      </w:pPr>
      <w:r w:rsidRPr="003D46E8">
        <w:rPr>
          <w:rFonts w:eastAsia="Cambria"/>
          <w:lang w:val="en-GB"/>
        </w:rPr>
        <w:t>Statistics</w:t>
      </w:r>
    </w:p>
    <w:p w14:paraId="4A10D2E7" w14:textId="77777777" w:rsidR="003D46E8" w:rsidRPr="003D46E8" w:rsidRDefault="003D46E8" w:rsidP="003D46E8">
      <w:pPr>
        <w:rPr>
          <w:rFonts w:eastAsia="Cambria"/>
          <w:lang w:val="en-GB"/>
        </w:rPr>
      </w:pPr>
    </w:p>
    <w:p w14:paraId="6E03CABF" w14:textId="77777777" w:rsidR="003D46E8" w:rsidRDefault="003D46E8" w:rsidP="003D46E8">
      <w:pPr>
        <w:rPr>
          <w:rFonts w:eastAsia="Cambria"/>
          <w:lang w:val="en-GB"/>
        </w:rPr>
      </w:pPr>
      <w:r w:rsidRPr="003D46E8">
        <w:rPr>
          <w:rFonts w:eastAsia="Cambria"/>
          <w:lang w:val="en-GB"/>
        </w:rPr>
        <w:t xml:space="preserve">CPVO applications increased in 2024, with 3268 applications in total (previous year: 2866, +14%). </w:t>
      </w:r>
    </w:p>
    <w:p w14:paraId="480C62FB" w14:textId="77777777" w:rsidR="003D46E8" w:rsidRPr="003D46E8" w:rsidRDefault="003D46E8" w:rsidP="003D46E8">
      <w:pPr>
        <w:rPr>
          <w:rFonts w:eastAsia="Cambria"/>
          <w:lang w:val="en-GB"/>
        </w:rPr>
      </w:pPr>
    </w:p>
    <w:p w14:paraId="2286032A" w14:textId="77777777" w:rsidR="003D46E8" w:rsidRDefault="003D46E8" w:rsidP="003D46E8">
      <w:pPr>
        <w:rPr>
          <w:rFonts w:eastAsia="Cambria"/>
          <w:lang w:val="en-GB"/>
        </w:rPr>
      </w:pPr>
      <w:r w:rsidRPr="003D46E8">
        <w:rPr>
          <w:rFonts w:eastAsia="Cambria"/>
          <w:lang w:val="en-GB"/>
        </w:rPr>
        <w:t xml:space="preserve">The distribution between crop sectors was as follows: </w:t>
      </w:r>
    </w:p>
    <w:p w14:paraId="10FF15EB" w14:textId="77777777" w:rsidR="003D46E8" w:rsidRPr="003D46E8" w:rsidRDefault="003D46E8" w:rsidP="003D46E8">
      <w:pPr>
        <w:rPr>
          <w:rFonts w:eastAsia="Cambria"/>
          <w:lang w:val="en-GB"/>
        </w:rPr>
      </w:pPr>
    </w:p>
    <w:p w14:paraId="0A342CD1" w14:textId="77777777" w:rsidR="003D46E8" w:rsidRPr="003D46E8" w:rsidRDefault="003D46E8" w:rsidP="003D46E8">
      <w:pPr>
        <w:numPr>
          <w:ilvl w:val="0"/>
          <w:numId w:val="28"/>
        </w:numPr>
        <w:suppressAutoHyphens/>
        <w:spacing w:after="80" w:line="256" w:lineRule="auto"/>
        <w:ind w:left="567"/>
        <w:rPr>
          <w:rFonts w:eastAsia="Cambria" w:cs="Arial"/>
          <w:b/>
          <w:spacing w:val="-3"/>
          <w:lang w:val="en-GB"/>
        </w:rPr>
      </w:pPr>
      <w:r w:rsidRPr="003D46E8">
        <w:rPr>
          <w:rFonts w:eastAsia="Cambria" w:cs="Arial"/>
          <w:b/>
          <w:spacing w:val="-3"/>
          <w:lang w:val="en-GB"/>
        </w:rPr>
        <w:t>Ornamental, 1130 applications (34.58%), previous year (1088 applications, 38%),</w:t>
      </w:r>
    </w:p>
    <w:p w14:paraId="0EA7F724" w14:textId="77777777" w:rsidR="003D46E8" w:rsidRPr="003D46E8" w:rsidRDefault="003D46E8" w:rsidP="003D46E8">
      <w:pPr>
        <w:numPr>
          <w:ilvl w:val="0"/>
          <w:numId w:val="28"/>
        </w:numPr>
        <w:suppressAutoHyphens/>
        <w:spacing w:after="80" w:line="256" w:lineRule="auto"/>
        <w:ind w:left="567"/>
        <w:rPr>
          <w:rFonts w:eastAsia="Cambria" w:cs="Arial"/>
          <w:bCs/>
          <w:spacing w:val="-3"/>
          <w:lang w:val="en-GB"/>
        </w:rPr>
      </w:pPr>
      <w:r w:rsidRPr="003D46E8">
        <w:rPr>
          <w:rFonts w:eastAsia="Cambria" w:cs="Arial"/>
          <w:bCs/>
          <w:spacing w:val="-3"/>
          <w:lang w:val="en-GB"/>
        </w:rPr>
        <w:t>Agricultural, 1132 applications (34.64%), previous year (841 applications, 29.5%),</w:t>
      </w:r>
    </w:p>
    <w:p w14:paraId="5CC0CFCE" w14:textId="77777777" w:rsidR="003D46E8" w:rsidRPr="003D46E8" w:rsidRDefault="003D46E8" w:rsidP="003D46E8">
      <w:pPr>
        <w:numPr>
          <w:ilvl w:val="0"/>
          <w:numId w:val="28"/>
        </w:numPr>
        <w:suppressAutoHyphens/>
        <w:spacing w:after="80" w:line="256" w:lineRule="auto"/>
        <w:ind w:left="567"/>
        <w:rPr>
          <w:rFonts w:eastAsia="Cambria" w:cs="Arial"/>
          <w:spacing w:val="-3"/>
          <w:lang w:val="en-GB"/>
        </w:rPr>
      </w:pPr>
      <w:r w:rsidRPr="003D46E8">
        <w:rPr>
          <w:rFonts w:eastAsia="Cambria" w:cs="Arial"/>
          <w:spacing w:val="-3"/>
          <w:lang w:val="en-GB"/>
        </w:rPr>
        <w:t>Vegetable, 748 applications (22.89%), previous year (670 applications, 23%),</w:t>
      </w:r>
    </w:p>
    <w:p w14:paraId="6BF106B9" w14:textId="77777777" w:rsidR="003D46E8" w:rsidRDefault="003D46E8" w:rsidP="003D46E8">
      <w:pPr>
        <w:numPr>
          <w:ilvl w:val="0"/>
          <w:numId w:val="28"/>
        </w:numPr>
        <w:suppressAutoHyphens/>
        <w:spacing w:after="80" w:line="256" w:lineRule="auto"/>
        <w:ind w:left="567"/>
        <w:rPr>
          <w:rFonts w:eastAsia="Cambria" w:cs="Arial"/>
          <w:bCs/>
          <w:spacing w:val="-3"/>
          <w:lang w:val="en-GB"/>
        </w:rPr>
      </w:pPr>
      <w:r w:rsidRPr="003D46E8">
        <w:rPr>
          <w:rFonts w:eastAsia="Cambria" w:cs="Arial"/>
          <w:bCs/>
          <w:spacing w:val="-3"/>
          <w:lang w:val="en-GB"/>
        </w:rPr>
        <w:t>Fruit, 258 applications (7.89%), previous year (267 applications, 9.5%).</w:t>
      </w:r>
    </w:p>
    <w:p w14:paraId="10938247" w14:textId="77777777" w:rsidR="003D46E8" w:rsidRPr="003D46E8" w:rsidRDefault="003D46E8" w:rsidP="00C548C5">
      <w:pPr>
        <w:rPr>
          <w:rFonts w:eastAsia="Cambria"/>
          <w:lang w:val="en-GB"/>
        </w:rPr>
      </w:pPr>
    </w:p>
    <w:p w14:paraId="189BCED6" w14:textId="77777777" w:rsidR="003D46E8" w:rsidRDefault="003D46E8" w:rsidP="003D46E8">
      <w:pPr>
        <w:rPr>
          <w:rFonts w:eastAsia="Cambria"/>
          <w:lang w:val="en-GB"/>
        </w:rPr>
      </w:pPr>
      <w:r w:rsidRPr="003D46E8">
        <w:rPr>
          <w:rFonts w:eastAsia="Cambria"/>
          <w:lang w:val="en-GB"/>
        </w:rPr>
        <w:t xml:space="preserve">The increase in the number of applications was in the agricultural sector (+34.60%), in the ornamental sector (+3.86%) and in the vegetable sector (+11.64%) is contrasted by a slight decrease in application in the fruit sector last year (-9 applications; -3.37%). </w:t>
      </w:r>
    </w:p>
    <w:p w14:paraId="299EC0C1" w14:textId="77777777" w:rsidR="003D46E8" w:rsidRPr="003D46E8" w:rsidRDefault="003D46E8" w:rsidP="003D46E8">
      <w:pPr>
        <w:rPr>
          <w:rFonts w:eastAsia="Cambria"/>
          <w:lang w:val="en-GB"/>
        </w:rPr>
      </w:pPr>
    </w:p>
    <w:p w14:paraId="2C5AA350" w14:textId="33CAA1B6" w:rsidR="003D46E8" w:rsidRDefault="003D46E8" w:rsidP="003D46E8">
      <w:pPr>
        <w:rPr>
          <w:rFonts w:eastAsia="Cambria"/>
          <w:lang w:val="en-IE"/>
        </w:rPr>
      </w:pPr>
      <w:r w:rsidRPr="003D46E8">
        <w:rPr>
          <w:rFonts w:eastAsia="Cambria"/>
          <w:lang w:val="en-GB"/>
        </w:rPr>
        <w:t xml:space="preserve">In 2024, the Office granted 2 605 titles for Community protection; 31 317 titles were in force by the end of the year. National authorities from all over the world regularly base their decisions on applications for CPVRs on technical examinations carried out on behalf of the CPVO (international cooperation, takeover of reports). In 2024, the CPVO provided 588 technical reports to 34 countries (550 in 2022 and 1266 in 2023), among which 336 in the ornamental sector. The five countries from which most requests emanated were </w:t>
      </w:r>
      <w:bookmarkStart w:id="3" w:name="_Hlk164172175"/>
      <w:r>
        <w:rPr>
          <w:rFonts w:eastAsia="Cambria"/>
          <w:lang w:val="en-GB"/>
        </w:rPr>
        <w:t xml:space="preserve">the </w:t>
      </w:r>
      <w:r w:rsidRPr="003D46E8">
        <w:rPr>
          <w:rFonts w:eastAsia="Cambria"/>
          <w:lang w:val="en-GB"/>
        </w:rPr>
        <w:t xml:space="preserve">United Kingdom, Colombia, Canada, Kenya, and </w:t>
      </w:r>
      <w:bookmarkEnd w:id="3"/>
      <w:r w:rsidRPr="003D46E8">
        <w:rPr>
          <w:rFonts w:eastAsia="Cambria"/>
          <w:lang w:val="en-GB"/>
        </w:rPr>
        <w:t>Brazil.</w:t>
      </w:r>
      <w:bookmarkStart w:id="4" w:name="_Hlk164172187"/>
      <w:r w:rsidRPr="003D46E8">
        <w:rPr>
          <w:rFonts w:eastAsia="Cambria"/>
          <w:lang w:val="en-GB"/>
        </w:rPr>
        <w:t xml:space="preserve"> More statistics are available on the CPVO website: </w:t>
      </w:r>
      <w:hyperlink r:id="rId11" w:history="1">
        <w:r w:rsidRPr="003D46E8">
          <w:rPr>
            <w:rFonts w:eastAsia="Cambria"/>
            <w:color w:val="0000FF"/>
            <w:u w:val="single"/>
            <w:lang w:val="en-IE"/>
          </w:rPr>
          <w:t>Statistics | CPVO (europa.eu)</w:t>
        </w:r>
      </w:hyperlink>
    </w:p>
    <w:p w14:paraId="01D0E302" w14:textId="77777777" w:rsidR="003D46E8" w:rsidRPr="003D46E8" w:rsidRDefault="003D46E8" w:rsidP="003D46E8">
      <w:pPr>
        <w:rPr>
          <w:rFonts w:eastAsia="Cambria"/>
          <w:lang w:val="en-IE"/>
        </w:rPr>
      </w:pPr>
    </w:p>
    <w:bookmarkEnd w:id="4"/>
    <w:p w14:paraId="2C37F70D" w14:textId="77777777" w:rsidR="003D46E8" w:rsidRDefault="003D46E8" w:rsidP="003D46E8">
      <w:pPr>
        <w:pStyle w:val="Heading2"/>
        <w:rPr>
          <w:rFonts w:eastAsia="Cambria"/>
          <w:lang w:val="en-GB"/>
        </w:rPr>
      </w:pPr>
      <w:r w:rsidRPr="003D46E8">
        <w:rPr>
          <w:rFonts w:eastAsia="Cambria"/>
          <w:lang w:val="en-GB"/>
        </w:rPr>
        <w:t xml:space="preserve">Administrative Council (AC) </w:t>
      </w:r>
    </w:p>
    <w:p w14:paraId="11D713D0" w14:textId="77777777" w:rsidR="003D46E8" w:rsidRPr="003D46E8" w:rsidRDefault="003D46E8" w:rsidP="003D46E8">
      <w:pPr>
        <w:rPr>
          <w:rFonts w:eastAsia="Cambria"/>
          <w:lang w:val="en-GB"/>
        </w:rPr>
      </w:pPr>
    </w:p>
    <w:p w14:paraId="7A0D7008" w14:textId="77777777" w:rsidR="003D46E8" w:rsidRDefault="003D46E8" w:rsidP="003D46E8">
      <w:pPr>
        <w:rPr>
          <w:rFonts w:eastAsia="Cambria"/>
          <w:lang w:val="en-GB"/>
        </w:rPr>
      </w:pPr>
      <w:r w:rsidRPr="003D46E8">
        <w:rPr>
          <w:rFonts w:eastAsia="Cambria"/>
          <w:lang w:val="en-GB"/>
        </w:rPr>
        <w:t>The CPVO is supervised by an Administrative Council (AC) comprising representatives of the Member States and the European Commission and their alternates. In 2024, the members of the AC adopted the following:</w:t>
      </w:r>
    </w:p>
    <w:p w14:paraId="0292FC8E" w14:textId="77777777" w:rsidR="003D46E8" w:rsidRPr="003D46E8" w:rsidRDefault="003D46E8" w:rsidP="00C548C5">
      <w:pPr>
        <w:rPr>
          <w:rFonts w:eastAsia="Cambria"/>
          <w:highlight w:val="yellow"/>
          <w:lang w:val="en-GB"/>
        </w:rPr>
      </w:pPr>
    </w:p>
    <w:p w14:paraId="708FD997" w14:textId="77777777" w:rsidR="003D46E8" w:rsidRPr="003D46E8" w:rsidRDefault="003D46E8" w:rsidP="003D46E8">
      <w:pPr>
        <w:numPr>
          <w:ilvl w:val="0"/>
          <w:numId w:val="29"/>
        </w:numPr>
        <w:suppressAutoHyphens/>
        <w:spacing w:after="80" w:line="256" w:lineRule="auto"/>
        <w:ind w:left="709"/>
        <w:contextualSpacing/>
        <w:rPr>
          <w:rFonts w:eastAsia="Cambria" w:cs="Arial"/>
          <w:bCs/>
          <w:i/>
          <w:iCs/>
          <w:spacing w:val="-3"/>
          <w:lang w:val="en-GB"/>
        </w:rPr>
      </w:pPr>
      <w:r w:rsidRPr="003D46E8">
        <w:rPr>
          <w:rFonts w:eastAsia="Cambria" w:cs="Arial"/>
          <w:bCs/>
          <w:spacing w:val="-3"/>
          <w:lang w:val="en-GB"/>
        </w:rPr>
        <w:t>AC agreement for cooperation with China (MARA) to organize DUS examination or take-over of DUS reports of several species of Mushrooms (</w:t>
      </w:r>
      <w:proofErr w:type="spellStart"/>
      <w:r w:rsidRPr="003D46E8">
        <w:rPr>
          <w:rFonts w:eastAsia="Cambria" w:cs="Arial"/>
          <w:bCs/>
          <w:i/>
          <w:iCs/>
          <w:spacing w:val="-3"/>
          <w:lang w:val="en-GB"/>
        </w:rPr>
        <w:t>Flammulina</w:t>
      </w:r>
      <w:proofErr w:type="spellEnd"/>
      <w:r w:rsidRPr="003D46E8">
        <w:rPr>
          <w:rFonts w:eastAsia="Cambria" w:cs="Arial"/>
          <w:bCs/>
          <w:i/>
          <w:iCs/>
          <w:spacing w:val="-3"/>
          <w:lang w:val="en-GB"/>
        </w:rPr>
        <w:t xml:space="preserve"> </w:t>
      </w:r>
      <w:proofErr w:type="spellStart"/>
      <w:r w:rsidRPr="003D46E8">
        <w:rPr>
          <w:rFonts w:eastAsia="Cambria" w:cs="Arial"/>
          <w:bCs/>
          <w:i/>
          <w:iCs/>
          <w:spacing w:val="-3"/>
          <w:lang w:val="en-GB"/>
        </w:rPr>
        <w:t>velutipes</w:t>
      </w:r>
      <w:proofErr w:type="spellEnd"/>
      <w:r w:rsidRPr="003D46E8">
        <w:rPr>
          <w:rFonts w:eastAsia="Cambria" w:cs="Arial"/>
          <w:bCs/>
          <w:spacing w:val="-3"/>
          <w:lang w:val="en-GB"/>
        </w:rPr>
        <w:t xml:space="preserve"> (Fr.) Sing, </w:t>
      </w:r>
      <w:proofErr w:type="spellStart"/>
      <w:r w:rsidRPr="003D46E8">
        <w:rPr>
          <w:rFonts w:eastAsia="Cambria" w:cs="Arial"/>
          <w:bCs/>
          <w:i/>
          <w:iCs/>
          <w:spacing w:val="-3"/>
          <w:lang w:val="en-GB"/>
        </w:rPr>
        <w:t>Hypsizygus</w:t>
      </w:r>
      <w:proofErr w:type="spellEnd"/>
      <w:r w:rsidRPr="003D46E8">
        <w:rPr>
          <w:rFonts w:eastAsia="Cambria" w:cs="Arial"/>
          <w:bCs/>
          <w:i/>
          <w:iCs/>
          <w:spacing w:val="-3"/>
          <w:lang w:val="en-GB"/>
        </w:rPr>
        <w:t xml:space="preserve"> </w:t>
      </w:r>
      <w:proofErr w:type="spellStart"/>
      <w:r w:rsidRPr="003D46E8">
        <w:rPr>
          <w:rFonts w:eastAsia="Cambria" w:cs="Arial"/>
          <w:bCs/>
          <w:i/>
          <w:iCs/>
          <w:spacing w:val="-3"/>
          <w:lang w:val="en-GB"/>
        </w:rPr>
        <w:t>marmoreus</w:t>
      </w:r>
      <w:proofErr w:type="spellEnd"/>
      <w:r w:rsidRPr="003D46E8">
        <w:rPr>
          <w:rFonts w:eastAsia="Cambria" w:cs="Arial"/>
          <w:bCs/>
          <w:spacing w:val="-3"/>
          <w:lang w:val="en-GB"/>
        </w:rPr>
        <w:t xml:space="preserve"> (Peck) Bigelow, </w:t>
      </w:r>
      <w:r w:rsidRPr="003D46E8">
        <w:rPr>
          <w:rFonts w:eastAsia="Cambria" w:cs="Arial"/>
          <w:bCs/>
          <w:i/>
          <w:iCs/>
          <w:spacing w:val="-3"/>
          <w:lang w:val="en-GB"/>
        </w:rPr>
        <w:t xml:space="preserve">Lentinula edodes </w:t>
      </w:r>
      <w:r w:rsidRPr="003D46E8">
        <w:rPr>
          <w:rFonts w:eastAsia="Cambria" w:cs="Arial"/>
          <w:bCs/>
          <w:spacing w:val="-3"/>
          <w:lang w:val="en-GB"/>
        </w:rPr>
        <w:t xml:space="preserve">(Berk.) Pegler, </w:t>
      </w:r>
      <w:r w:rsidRPr="003D46E8">
        <w:rPr>
          <w:rFonts w:eastAsia="Cambria" w:cs="Arial"/>
          <w:bCs/>
          <w:i/>
          <w:iCs/>
          <w:spacing w:val="-3"/>
          <w:lang w:val="en-GB"/>
        </w:rPr>
        <w:t xml:space="preserve">Morchella </w:t>
      </w:r>
      <w:r w:rsidRPr="003D46E8">
        <w:rPr>
          <w:rFonts w:eastAsia="Cambria" w:cs="Arial"/>
          <w:bCs/>
          <w:spacing w:val="-3"/>
          <w:lang w:val="en-GB"/>
        </w:rPr>
        <w:t>Dill. ex. Pers.</w:t>
      </w:r>
    </w:p>
    <w:p w14:paraId="599B6B44" w14:textId="77777777" w:rsidR="003D46E8" w:rsidRPr="003D46E8" w:rsidRDefault="003D46E8" w:rsidP="003D46E8">
      <w:pPr>
        <w:numPr>
          <w:ilvl w:val="0"/>
          <w:numId w:val="29"/>
        </w:numPr>
        <w:suppressAutoHyphens/>
        <w:spacing w:after="80" w:line="256" w:lineRule="auto"/>
        <w:contextualSpacing/>
        <w:rPr>
          <w:rFonts w:eastAsia="Cambria" w:cs="Arial"/>
          <w:bCs/>
          <w:spacing w:val="-3"/>
          <w:lang w:val="en-GB"/>
        </w:rPr>
      </w:pPr>
      <w:r w:rsidRPr="003D46E8">
        <w:rPr>
          <w:rFonts w:eastAsia="Cambria" w:cs="Arial"/>
          <w:bCs/>
          <w:spacing w:val="-3"/>
          <w:lang w:val="en-GB"/>
        </w:rPr>
        <w:t>Agreement on reviewed of the CPVO Policy on Plant material submitted for DUS testing: clarification that “Material” also covers DNA; clarification on the use of material for R&amp;D purpose.</w:t>
      </w:r>
    </w:p>
    <w:p w14:paraId="3A6F01D2" w14:textId="77777777" w:rsidR="003D46E8" w:rsidRPr="003D46E8" w:rsidRDefault="003D46E8" w:rsidP="003D46E8">
      <w:pPr>
        <w:numPr>
          <w:ilvl w:val="0"/>
          <w:numId w:val="29"/>
        </w:numPr>
        <w:suppressAutoHyphens/>
        <w:spacing w:after="80" w:line="256" w:lineRule="auto"/>
        <w:contextualSpacing/>
        <w:rPr>
          <w:rFonts w:eastAsia="Cambria" w:cs="Arial"/>
          <w:bCs/>
          <w:spacing w:val="-3"/>
          <w:lang w:val="en-GB"/>
        </w:rPr>
      </w:pPr>
      <w:r w:rsidRPr="003D46E8">
        <w:rPr>
          <w:rFonts w:eastAsia="Cambria" w:cs="Arial"/>
          <w:bCs/>
          <w:spacing w:val="-3"/>
          <w:lang w:val="en-GB"/>
        </w:rPr>
        <w:t>In the course of 2024, the following technical protocols were adopted by the AC, based on the UPOV TGs.</w:t>
      </w:r>
    </w:p>
    <w:tbl>
      <w:tblPr>
        <w:tblW w:w="9654" w:type="dxa"/>
        <w:tblBorders>
          <w:insideH w:val="single" w:sz="4" w:space="0" w:color="767171"/>
        </w:tblBorders>
        <w:shd w:val="clear" w:color="auto" w:fill="FFFFFF"/>
        <w:tblLook w:val="04A0" w:firstRow="1" w:lastRow="0" w:firstColumn="1" w:lastColumn="0" w:noHBand="0" w:noVBand="1"/>
      </w:tblPr>
      <w:tblGrid>
        <w:gridCol w:w="2992"/>
        <w:gridCol w:w="4626"/>
        <w:gridCol w:w="2036"/>
      </w:tblGrid>
      <w:tr w:rsidR="003D46E8" w:rsidRPr="003D46E8" w14:paraId="574879BB" w14:textId="77777777" w:rsidTr="003D46E8">
        <w:trPr>
          <w:trHeight w:val="20"/>
        </w:trPr>
        <w:tc>
          <w:tcPr>
            <w:tcW w:w="2992" w:type="dxa"/>
            <w:tcBorders>
              <w:top w:val="nil"/>
              <w:left w:val="nil"/>
              <w:bottom w:val="single" w:sz="4" w:space="0" w:color="767171"/>
              <w:right w:val="nil"/>
            </w:tcBorders>
            <w:shd w:val="clear" w:color="auto" w:fill="auto"/>
            <w:tcMar>
              <w:top w:w="15" w:type="dxa"/>
              <w:left w:w="15" w:type="dxa"/>
              <w:bottom w:w="15" w:type="dxa"/>
              <w:right w:w="15" w:type="dxa"/>
            </w:tcMar>
            <w:hideMark/>
          </w:tcPr>
          <w:p w14:paraId="4FA5A144"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common millet</w:t>
            </w:r>
          </w:p>
        </w:tc>
        <w:tc>
          <w:tcPr>
            <w:tcW w:w="462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20288E96" w14:textId="77777777" w:rsidR="003D46E8" w:rsidRPr="003D46E8" w:rsidRDefault="003D46E8" w:rsidP="003D46E8">
            <w:pPr>
              <w:suppressAutoHyphens/>
              <w:spacing w:before="100" w:beforeAutospacing="1" w:after="100" w:afterAutospacing="1"/>
              <w:jc w:val="left"/>
              <w:rPr>
                <w:rFonts w:cs="Arial"/>
                <w:bCs/>
                <w:i/>
                <w:iCs/>
                <w:color w:val="222222"/>
                <w:spacing w:val="-3"/>
                <w:lang w:val="en-GB" w:eastAsia="en-GB"/>
              </w:rPr>
            </w:pPr>
            <w:r w:rsidRPr="003D46E8">
              <w:rPr>
                <w:rFonts w:cs="Arial"/>
                <w:bCs/>
                <w:i/>
                <w:iCs/>
                <w:color w:val="222222"/>
                <w:spacing w:val="-3"/>
                <w:lang w:val="pt-BR" w:eastAsia="en-GB"/>
              </w:rPr>
              <w:t xml:space="preserve">Panicum miliaceum </w:t>
            </w:r>
            <w:r w:rsidRPr="003D46E8">
              <w:rPr>
                <w:rFonts w:cs="Arial"/>
                <w:bCs/>
                <w:color w:val="222222"/>
                <w:spacing w:val="-3"/>
                <w:lang w:val="pt-BR" w:eastAsia="en-GB"/>
              </w:rPr>
              <w:t>L.</w:t>
            </w:r>
          </w:p>
        </w:tc>
        <w:tc>
          <w:tcPr>
            <w:tcW w:w="203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4EF2E503"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s-ES" w:eastAsia="en-GB"/>
              </w:rPr>
            </w:pPr>
            <w:r w:rsidRPr="003D46E8">
              <w:rPr>
                <w:rFonts w:cs="Arial"/>
                <w:bCs/>
                <w:color w:val="222222"/>
                <w:spacing w:val="-3"/>
                <w:lang w:val="pt-BR" w:eastAsia="en-GB"/>
              </w:rPr>
              <w:t xml:space="preserve">CPVO-TP/248/1   </w:t>
            </w:r>
          </w:p>
        </w:tc>
      </w:tr>
      <w:tr w:rsidR="003D46E8" w:rsidRPr="003D46E8" w14:paraId="1EBEC357"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272EC61"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Cauliflower</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DE2F8DD" w14:textId="77777777" w:rsidR="003D46E8" w:rsidRPr="003D46E8" w:rsidRDefault="003D46E8" w:rsidP="003D46E8">
            <w:pPr>
              <w:suppressAutoHyphens/>
              <w:spacing w:before="100" w:beforeAutospacing="1" w:after="100" w:afterAutospacing="1"/>
              <w:jc w:val="left"/>
              <w:rPr>
                <w:rFonts w:cs="Arial"/>
                <w:bCs/>
                <w:color w:val="222222"/>
                <w:spacing w:val="-3"/>
                <w:lang w:val="es-ES" w:eastAsia="en-GB"/>
              </w:rPr>
            </w:pPr>
            <w:proofErr w:type="spellStart"/>
            <w:r w:rsidRPr="003D46E8">
              <w:rPr>
                <w:rFonts w:cs="Arial"/>
                <w:bCs/>
                <w:i/>
                <w:iCs/>
                <w:color w:val="222222"/>
                <w:spacing w:val="-3"/>
                <w:lang w:val="es-ES" w:eastAsia="en-GB"/>
              </w:rPr>
              <w:t>Brassica</w:t>
            </w:r>
            <w:proofErr w:type="spellEnd"/>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oleracea</w:t>
            </w:r>
            <w:proofErr w:type="spellEnd"/>
            <w:r w:rsidRPr="003D46E8">
              <w:rPr>
                <w:rFonts w:cs="Arial"/>
                <w:bCs/>
                <w:i/>
                <w:iCs/>
                <w:color w:val="222222"/>
                <w:spacing w:val="-3"/>
                <w:lang w:val="es-ES" w:eastAsia="en-GB"/>
              </w:rPr>
              <w:t xml:space="preserve"> </w:t>
            </w:r>
            <w:r w:rsidRPr="003D46E8">
              <w:rPr>
                <w:rFonts w:cs="Arial"/>
                <w:bCs/>
                <w:color w:val="222222"/>
                <w:spacing w:val="-3"/>
                <w:lang w:val="es-ES" w:eastAsia="en-GB"/>
              </w:rPr>
              <w:t>L.</w:t>
            </w:r>
            <w:r w:rsidRPr="003D46E8">
              <w:rPr>
                <w:rFonts w:cs="Arial"/>
                <w:bCs/>
                <w:i/>
                <w:iCs/>
                <w:color w:val="222222"/>
                <w:spacing w:val="-3"/>
                <w:lang w:val="es-ES" w:eastAsia="en-GB"/>
              </w:rPr>
              <w:t xml:space="preserve"> </w:t>
            </w:r>
            <w:proofErr w:type="spellStart"/>
            <w:r w:rsidRPr="003D46E8">
              <w:rPr>
                <w:rFonts w:cs="Arial"/>
                <w:bCs/>
                <w:color w:val="222222"/>
                <w:spacing w:val="-3"/>
                <w:lang w:val="es-ES" w:eastAsia="en-GB"/>
              </w:rPr>
              <w:t>convar</w:t>
            </w:r>
            <w:proofErr w:type="spellEnd"/>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botrytis</w:t>
            </w:r>
            <w:proofErr w:type="spellEnd"/>
            <w:r w:rsidRPr="003D46E8">
              <w:rPr>
                <w:rFonts w:cs="Arial"/>
                <w:bCs/>
                <w:i/>
                <w:iCs/>
                <w:color w:val="222222"/>
                <w:spacing w:val="-3"/>
                <w:lang w:val="es-ES" w:eastAsia="en-GB"/>
              </w:rPr>
              <w:t xml:space="preserve"> </w:t>
            </w:r>
            <w:r w:rsidRPr="003D46E8">
              <w:rPr>
                <w:rFonts w:cs="Arial"/>
                <w:bCs/>
                <w:color w:val="222222"/>
                <w:spacing w:val="-3"/>
                <w:lang w:val="es-ES" w:eastAsia="en-GB"/>
              </w:rPr>
              <w:t>(L.)</w:t>
            </w:r>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Alef</w:t>
            </w:r>
            <w:proofErr w:type="spellEnd"/>
            <w:r w:rsidRPr="003D46E8">
              <w:rPr>
                <w:rFonts w:cs="Arial"/>
                <w:bCs/>
                <w:i/>
                <w:iCs/>
                <w:color w:val="222222"/>
                <w:spacing w:val="-3"/>
                <w:lang w:val="es-ES" w:eastAsia="en-GB"/>
              </w:rPr>
              <w:t xml:space="preserve">. </w:t>
            </w:r>
            <w:proofErr w:type="spellStart"/>
            <w:r w:rsidRPr="003D46E8">
              <w:rPr>
                <w:rFonts w:cs="Arial"/>
                <w:bCs/>
                <w:color w:val="222222"/>
                <w:spacing w:val="-3"/>
                <w:lang w:val="es-ES" w:eastAsia="en-GB"/>
              </w:rPr>
              <w:t>var</w:t>
            </w:r>
            <w:proofErr w:type="spellEnd"/>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botrytis</w:t>
            </w:r>
            <w:proofErr w:type="spellEnd"/>
            <w:r w:rsidRPr="003D46E8">
              <w:rPr>
                <w:rFonts w:cs="Arial"/>
                <w:bCs/>
                <w:i/>
                <w:iCs/>
                <w:color w:val="222222"/>
                <w:spacing w:val="-3"/>
                <w:lang w:val="es-ES" w:eastAsia="en-GB"/>
              </w:rPr>
              <w:t xml:space="preserve"> L.</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77215E4"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val="es-ES" w:eastAsia="en-GB"/>
              </w:rPr>
              <w:t>CPVO-TP/045/2-Rev.3</w:t>
            </w:r>
            <w:r w:rsidRPr="003D46E8">
              <w:rPr>
                <w:rFonts w:cs="Arial"/>
                <w:bCs/>
                <w:color w:val="222222"/>
                <w:spacing w:val="-3"/>
                <w:lang w:val="es-ES" w:eastAsia="en-GB"/>
              </w:rPr>
              <w:tab/>
            </w:r>
          </w:p>
        </w:tc>
      </w:tr>
      <w:tr w:rsidR="003D46E8" w:rsidRPr="003D46E8" w14:paraId="424E826D"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758AF95"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red cabbage, white cabbage, savoy cabbage</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054ABD7" w14:textId="77777777" w:rsidR="003D46E8" w:rsidRPr="003D46E8" w:rsidRDefault="003D46E8" w:rsidP="003D46E8">
            <w:pPr>
              <w:suppressAutoHyphens/>
              <w:spacing w:before="100" w:beforeAutospacing="1" w:after="100" w:afterAutospacing="1"/>
              <w:jc w:val="left"/>
              <w:rPr>
                <w:rFonts w:cs="Arial"/>
                <w:bCs/>
                <w:color w:val="222222"/>
                <w:spacing w:val="-3"/>
                <w:lang w:val="es-ES" w:eastAsia="en-GB"/>
              </w:rPr>
            </w:pPr>
            <w:r w:rsidRPr="003D46E8">
              <w:rPr>
                <w:rFonts w:cs="Arial"/>
                <w:bCs/>
                <w:i/>
                <w:iCs/>
                <w:color w:val="222222"/>
                <w:spacing w:val="-3"/>
                <w:lang w:val="it-IT" w:eastAsia="en-GB"/>
              </w:rPr>
              <w:t xml:space="preserve">Brassica oleracea </w:t>
            </w:r>
            <w:r w:rsidRPr="003D46E8">
              <w:rPr>
                <w:rFonts w:cs="Arial"/>
                <w:bCs/>
                <w:color w:val="222222"/>
                <w:spacing w:val="-3"/>
                <w:lang w:val="it-IT" w:eastAsia="en-GB"/>
              </w:rPr>
              <w:t>L</w:t>
            </w:r>
            <w:r w:rsidRPr="003D46E8">
              <w:rPr>
                <w:rFonts w:cs="Arial"/>
                <w:bCs/>
                <w:i/>
                <w:iCs/>
                <w:color w:val="222222"/>
                <w:spacing w:val="-3"/>
                <w:lang w:val="it-IT" w:eastAsia="en-GB"/>
              </w:rPr>
              <w:t xml:space="preserve">. var. capitata </w:t>
            </w:r>
            <w:r w:rsidRPr="003D46E8">
              <w:rPr>
                <w:rFonts w:cs="Arial"/>
                <w:bCs/>
                <w:color w:val="222222"/>
                <w:spacing w:val="-3"/>
                <w:lang w:val="it-IT" w:eastAsia="en-GB"/>
              </w:rPr>
              <w:t xml:space="preserve">L. </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B51203D"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val="it-IT" w:eastAsia="en-GB"/>
              </w:rPr>
              <w:t>CPVO-TP/048/3-Rev.3</w:t>
            </w:r>
          </w:p>
        </w:tc>
      </w:tr>
      <w:tr w:rsidR="003D46E8" w:rsidRPr="003D46E8" w14:paraId="1CDFB4E9"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8EE6743"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 xml:space="preserve">Brussels sprout </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CFC631C" w14:textId="77777777" w:rsidR="003D46E8" w:rsidRPr="003D46E8" w:rsidRDefault="003D46E8" w:rsidP="003D46E8">
            <w:pPr>
              <w:suppressAutoHyphens/>
              <w:spacing w:before="100" w:beforeAutospacing="1" w:after="100" w:afterAutospacing="1"/>
              <w:jc w:val="left"/>
              <w:rPr>
                <w:rFonts w:cs="Arial"/>
                <w:bCs/>
                <w:color w:val="222222"/>
                <w:spacing w:val="-3"/>
                <w:lang w:val="es-ES" w:eastAsia="en-GB"/>
              </w:rPr>
            </w:pPr>
            <w:r w:rsidRPr="003D46E8">
              <w:rPr>
                <w:rFonts w:cs="Arial"/>
                <w:bCs/>
                <w:i/>
                <w:iCs/>
                <w:color w:val="222222"/>
                <w:spacing w:val="-3"/>
                <w:lang w:val="it-IT" w:eastAsia="en-GB"/>
              </w:rPr>
              <w:t xml:space="preserve">Brassica oleracea </w:t>
            </w:r>
            <w:r w:rsidRPr="003D46E8">
              <w:rPr>
                <w:rFonts w:cs="Arial"/>
                <w:bCs/>
                <w:color w:val="222222"/>
                <w:spacing w:val="-3"/>
                <w:lang w:val="it-IT" w:eastAsia="en-GB"/>
              </w:rPr>
              <w:t>L.</w:t>
            </w:r>
            <w:r w:rsidRPr="003D46E8">
              <w:rPr>
                <w:rFonts w:cs="Arial"/>
                <w:bCs/>
                <w:i/>
                <w:iCs/>
                <w:color w:val="222222"/>
                <w:spacing w:val="-3"/>
                <w:lang w:val="it-IT" w:eastAsia="en-GB"/>
              </w:rPr>
              <w:t xml:space="preserve"> var. gemmifera Zenker</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97306FC"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val="it-IT" w:eastAsia="en-GB"/>
              </w:rPr>
              <w:t>CPVO-TP/054/2-Rev.2</w:t>
            </w:r>
          </w:p>
        </w:tc>
      </w:tr>
      <w:tr w:rsidR="003D46E8" w:rsidRPr="003D46E8" w14:paraId="5F41CCD2"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D2C0D6F"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Kohlrabi</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E0C3D68" w14:textId="77777777" w:rsidR="003D46E8" w:rsidRPr="003D46E8" w:rsidRDefault="003D46E8" w:rsidP="003D46E8">
            <w:pPr>
              <w:suppressAutoHyphens/>
              <w:spacing w:before="100" w:beforeAutospacing="1" w:after="100" w:afterAutospacing="1"/>
              <w:jc w:val="left"/>
              <w:rPr>
                <w:rFonts w:cs="Arial"/>
                <w:bCs/>
                <w:color w:val="222222"/>
                <w:spacing w:val="-3"/>
                <w:lang w:val="en-IE" w:eastAsia="en-GB"/>
              </w:rPr>
            </w:pPr>
            <w:r w:rsidRPr="003D46E8">
              <w:rPr>
                <w:rFonts w:cs="Arial"/>
                <w:bCs/>
                <w:i/>
                <w:iCs/>
                <w:color w:val="222222"/>
                <w:spacing w:val="-3"/>
                <w:lang w:val="it-IT" w:eastAsia="en-GB"/>
              </w:rPr>
              <w:t xml:space="preserve">Brassica oleracea </w:t>
            </w:r>
            <w:r w:rsidRPr="003D46E8">
              <w:rPr>
                <w:rFonts w:cs="Arial"/>
                <w:bCs/>
                <w:color w:val="222222"/>
                <w:spacing w:val="-3"/>
                <w:lang w:val="it-IT" w:eastAsia="en-GB"/>
              </w:rPr>
              <w:t>L.</w:t>
            </w:r>
            <w:r w:rsidRPr="003D46E8">
              <w:rPr>
                <w:rFonts w:cs="Arial"/>
                <w:bCs/>
                <w:i/>
                <w:iCs/>
                <w:color w:val="222222"/>
                <w:spacing w:val="-3"/>
                <w:lang w:val="it-IT" w:eastAsia="en-GB"/>
              </w:rPr>
              <w:t xml:space="preserve"> var. gongylodes </w:t>
            </w:r>
            <w:r w:rsidRPr="003D46E8">
              <w:rPr>
                <w:rFonts w:cs="Arial"/>
                <w:bCs/>
                <w:color w:val="222222"/>
                <w:spacing w:val="-3"/>
                <w:lang w:val="it-IT" w:eastAsia="en-GB"/>
              </w:rPr>
              <w:t>L.</w:t>
            </w:r>
            <w:r w:rsidRPr="003D46E8">
              <w:rPr>
                <w:rFonts w:cs="Arial"/>
                <w:bCs/>
                <w:i/>
                <w:iCs/>
                <w:color w:val="222222"/>
                <w:spacing w:val="-3"/>
                <w:lang w:val="it-IT" w:eastAsia="en-GB"/>
              </w:rPr>
              <w:t xml:space="preserve"> (Brassica oleradea Kohlrabi Group) </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69C8FB5"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val="es-ES" w:eastAsia="en-GB"/>
              </w:rPr>
              <w:t>CPVO-TP/151/2-Rev.3</w:t>
            </w:r>
          </w:p>
        </w:tc>
      </w:tr>
      <w:tr w:rsidR="003D46E8" w:rsidRPr="003D46E8" w14:paraId="0FF5CA36"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A5B8BB9"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Broccoli</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50C2694" w14:textId="77777777" w:rsidR="003D46E8" w:rsidRPr="003D46E8" w:rsidRDefault="003D46E8" w:rsidP="003D46E8">
            <w:pPr>
              <w:suppressAutoHyphens/>
              <w:spacing w:before="100" w:beforeAutospacing="1" w:after="100" w:afterAutospacing="1"/>
              <w:ind w:right="-297"/>
              <w:jc w:val="left"/>
              <w:rPr>
                <w:rFonts w:cs="Arial"/>
                <w:bCs/>
                <w:i/>
                <w:iCs/>
                <w:color w:val="222222"/>
                <w:spacing w:val="-3"/>
                <w:lang w:val="es-ES" w:eastAsia="en-GB"/>
              </w:rPr>
            </w:pPr>
            <w:proofErr w:type="spellStart"/>
            <w:r w:rsidRPr="003D46E8">
              <w:rPr>
                <w:rFonts w:cs="Arial"/>
                <w:bCs/>
                <w:i/>
                <w:iCs/>
                <w:color w:val="222222"/>
                <w:spacing w:val="-3"/>
                <w:lang w:val="es-ES" w:eastAsia="en-GB"/>
              </w:rPr>
              <w:t>Brassica</w:t>
            </w:r>
            <w:proofErr w:type="spellEnd"/>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oleracea</w:t>
            </w:r>
            <w:proofErr w:type="spellEnd"/>
            <w:r w:rsidRPr="003D46E8">
              <w:rPr>
                <w:rFonts w:cs="Arial"/>
                <w:bCs/>
                <w:i/>
                <w:iCs/>
                <w:color w:val="222222"/>
                <w:spacing w:val="-3"/>
                <w:lang w:val="es-ES" w:eastAsia="en-GB"/>
              </w:rPr>
              <w:t xml:space="preserve"> </w:t>
            </w:r>
            <w:r w:rsidRPr="003D46E8">
              <w:rPr>
                <w:rFonts w:cs="Arial"/>
                <w:bCs/>
                <w:color w:val="222222"/>
                <w:spacing w:val="-3"/>
                <w:lang w:val="es-ES" w:eastAsia="en-GB"/>
              </w:rPr>
              <w:t>L.</w:t>
            </w:r>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var</w:t>
            </w:r>
            <w:proofErr w:type="spellEnd"/>
            <w:r w:rsidRPr="003D46E8">
              <w:rPr>
                <w:rFonts w:cs="Arial"/>
                <w:bCs/>
                <w:i/>
                <w:iCs/>
                <w:color w:val="222222"/>
                <w:spacing w:val="-3"/>
                <w:lang w:val="es-ES" w:eastAsia="en-GB"/>
              </w:rPr>
              <w:t xml:space="preserve">. </w:t>
            </w:r>
            <w:proofErr w:type="spellStart"/>
            <w:r w:rsidRPr="003D46E8">
              <w:rPr>
                <w:rFonts w:cs="Arial"/>
                <w:bCs/>
                <w:i/>
                <w:iCs/>
                <w:color w:val="222222"/>
                <w:spacing w:val="-3"/>
                <w:lang w:val="es-ES" w:eastAsia="en-GB"/>
              </w:rPr>
              <w:t>italica</w:t>
            </w:r>
            <w:proofErr w:type="spellEnd"/>
            <w:r w:rsidRPr="003D46E8">
              <w:rPr>
                <w:rFonts w:cs="Arial"/>
                <w:bCs/>
                <w:i/>
                <w:iCs/>
                <w:color w:val="222222"/>
                <w:spacing w:val="-3"/>
                <w:lang w:val="es-ES" w:eastAsia="en-GB"/>
              </w:rPr>
              <w:t xml:space="preserve"> </w:t>
            </w:r>
            <w:proofErr w:type="spellStart"/>
            <w:r w:rsidRPr="003D46E8">
              <w:rPr>
                <w:rFonts w:cs="Arial"/>
                <w:bCs/>
                <w:color w:val="222222"/>
                <w:spacing w:val="-3"/>
                <w:lang w:val="es-ES" w:eastAsia="en-GB"/>
              </w:rPr>
              <w:t>Plenck</w:t>
            </w:r>
            <w:proofErr w:type="spellEnd"/>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E30C4AB"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val="en-IE" w:eastAsia="en-GB"/>
              </w:rPr>
              <w:t>CPVO-TP/068/1</w:t>
            </w:r>
          </w:p>
        </w:tc>
      </w:tr>
      <w:tr w:rsidR="003D46E8" w:rsidRPr="003D46E8" w14:paraId="0D8278A6"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35B3748"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Lettuce</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D64B1CE" w14:textId="77777777" w:rsidR="003D46E8" w:rsidRPr="003D46E8" w:rsidRDefault="003D46E8" w:rsidP="003D46E8">
            <w:pPr>
              <w:suppressAutoHyphens/>
              <w:spacing w:before="100" w:beforeAutospacing="1" w:after="100" w:afterAutospacing="1"/>
              <w:jc w:val="left"/>
              <w:rPr>
                <w:rFonts w:cs="Arial"/>
                <w:bCs/>
                <w:color w:val="222222"/>
                <w:spacing w:val="-3"/>
                <w:lang w:val="en-IE" w:eastAsia="en-GB"/>
              </w:rPr>
            </w:pPr>
            <w:r w:rsidRPr="003D46E8">
              <w:rPr>
                <w:rFonts w:cs="Arial"/>
                <w:bCs/>
                <w:i/>
                <w:iCs/>
                <w:color w:val="222222"/>
                <w:spacing w:val="-3"/>
                <w:lang w:eastAsia="en-GB"/>
              </w:rPr>
              <w:t xml:space="preserve">Lactuca sativa </w:t>
            </w:r>
            <w:r w:rsidRPr="003D46E8">
              <w:rPr>
                <w:rFonts w:cs="Arial"/>
                <w:bCs/>
                <w:color w:val="222222"/>
                <w:spacing w:val="-3"/>
                <w:lang w:eastAsia="en-GB"/>
              </w:rPr>
              <w:t>L</w:t>
            </w:r>
            <w:r w:rsidRPr="003D46E8">
              <w:rPr>
                <w:rFonts w:cs="Arial"/>
                <w:bCs/>
                <w:color w:val="222222"/>
                <w:spacing w:val="-3"/>
                <w:lang w:val="en-IE" w:eastAsia="en-GB"/>
              </w:rPr>
              <w:t>.</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B05EDD9"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eastAsia="en-GB"/>
              </w:rPr>
              <w:t>CPVO-TP/013/6-Rev4</w:t>
            </w:r>
          </w:p>
        </w:tc>
      </w:tr>
      <w:tr w:rsidR="003D46E8" w:rsidRPr="003D46E8" w14:paraId="67A925EB"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15B3179"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 xml:space="preserve">radish, black radish, </w:t>
            </w:r>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285DF81" w14:textId="77777777" w:rsidR="003D46E8" w:rsidRPr="003D46E8" w:rsidRDefault="003D46E8" w:rsidP="003D46E8">
            <w:pPr>
              <w:suppressAutoHyphens/>
              <w:spacing w:before="100" w:beforeAutospacing="1" w:after="100" w:afterAutospacing="1"/>
              <w:jc w:val="left"/>
              <w:rPr>
                <w:rFonts w:cs="Arial"/>
                <w:bCs/>
                <w:color w:val="222222"/>
                <w:spacing w:val="-3"/>
                <w:lang w:val="fr-FR" w:eastAsia="en-GB"/>
              </w:rPr>
            </w:pPr>
            <w:proofErr w:type="spellStart"/>
            <w:r w:rsidRPr="003D46E8">
              <w:rPr>
                <w:rFonts w:cs="Arial"/>
                <w:bCs/>
                <w:i/>
                <w:iCs/>
                <w:color w:val="222222"/>
                <w:spacing w:val="-3"/>
                <w:lang w:val="fr-FR" w:eastAsia="en-GB"/>
              </w:rPr>
              <w:t>Raphanus</w:t>
            </w:r>
            <w:proofErr w:type="spellEnd"/>
            <w:r w:rsidRPr="003D46E8">
              <w:rPr>
                <w:rFonts w:cs="Arial"/>
                <w:bCs/>
                <w:i/>
                <w:iCs/>
                <w:color w:val="222222"/>
                <w:spacing w:val="-3"/>
                <w:lang w:val="fr-FR" w:eastAsia="en-GB"/>
              </w:rPr>
              <w:t xml:space="preserve"> </w:t>
            </w:r>
            <w:proofErr w:type="spellStart"/>
            <w:r w:rsidRPr="003D46E8">
              <w:rPr>
                <w:rFonts w:cs="Arial"/>
                <w:bCs/>
                <w:i/>
                <w:iCs/>
                <w:color w:val="222222"/>
                <w:spacing w:val="-3"/>
                <w:lang w:val="fr-FR" w:eastAsia="en-GB"/>
              </w:rPr>
              <w:t>sativus</w:t>
            </w:r>
            <w:proofErr w:type="spellEnd"/>
            <w:r w:rsidRPr="003D46E8">
              <w:rPr>
                <w:rFonts w:cs="Arial"/>
                <w:bCs/>
                <w:i/>
                <w:iCs/>
                <w:color w:val="222222"/>
                <w:spacing w:val="-3"/>
                <w:lang w:val="fr-FR" w:eastAsia="en-GB"/>
              </w:rPr>
              <w:t xml:space="preserve"> </w:t>
            </w:r>
            <w:r w:rsidRPr="003D46E8">
              <w:rPr>
                <w:rFonts w:cs="Arial"/>
                <w:bCs/>
                <w:color w:val="222222"/>
                <w:spacing w:val="-3"/>
                <w:lang w:val="fr-FR" w:eastAsia="en-GB"/>
              </w:rPr>
              <w:t>L</w:t>
            </w:r>
            <w:r w:rsidRPr="003D46E8">
              <w:rPr>
                <w:rFonts w:cs="Arial"/>
                <w:bCs/>
                <w:i/>
                <w:iCs/>
                <w:color w:val="222222"/>
                <w:spacing w:val="-3"/>
                <w:lang w:val="fr-FR" w:eastAsia="en-GB"/>
              </w:rPr>
              <w:t xml:space="preserve">. var. </w:t>
            </w:r>
            <w:proofErr w:type="spellStart"/>
            <w:proofErr w:type="gramStart"/>
            <w:r w:rsidRPr="003D46E8">
              <w:rPr>
                <w:rFonts w:cs="Arial"/>
                <w:bCs/>
                <w:i/>
                <w:iCs/>
                <w:color w:val="222222"/>
                <w:spacing w:val="-3"/>
                <w:lang w:val="fr-FR" w:eastAsia="en-GB"/>
              </w:rPr>
              <w:t>sativus</w:t>
            </w:r>
            <w:proofErr w:type="spellEnd"/>
            <w:r w:rsidRPr="003D46E8">
              <w:rPr>
                <w:rFonts w:cs="Arial"/>
                <w:bCs/>
                <w:i/>
                <w:iCs/>
                <w:color w:val="222222"/>
                <w:spacing w:val="-3"/>
                <w:lang w:val="fr-FR" w:eastAsia="en-GB"/>
              </w:rPr>
              <w:t>;</w:t>
            </w:r>
            <w:proofErr w:type="gramEnd"/>
            <w:r w:rsidRPr="003D46E8">
              <w:rPr>
                <w:rFonts w:cs="Arial"/>
                <w:bCs/>
                <w:i/>
                <w:iCs/>
                <w:color w:val="222222"/>
                <w:spacing w:val="-3"/>
                <w:lang w:val="fr-FR" w:eastAsia="en-GB"/>
              </w:rPr>
              <w:t xml:space="preserve"> </w:t>
            </w:r>
            <w:r w:rsidRPr="003D46E8">
              <w:rPr>
                <w:rFonts w:cs="Arial"/>
                <w:bCs/>
                <w:i/>
                <w:iCs/>
                <w:color w:val="222222"/>
                <w:spacing w:val="-3"/>
                <w:lang w:eastAsia="en-GB"/>
              </w:rPr>
              <w:t xml:space="preserve">Raphanus sativus </w:t>
            </w:r>
            <w:r w:rsidRPr="003D46E8">
              <w:rPr>
                <w:rFonts w:cs="Arial"/>
                <w:bCs/>
                <w:color w:val="222222"/>
                <w:spacing w:val="-3"/>
                <w:lang w:eastAsia="en-GB"/>
              </w:rPr>
              <w:t>L.</w:t>
            </w:r>
            <w:r w:rsidRPr="003D46E8">
              <w:rPr>
                <w:rFonts w:cs="Arial"/>
                <w:bCs/>
                <w:i/>
                <w:iCs/>
                <w:color w:val="222222"/>
                <w:spacing w:val="-3"/>
                <w:lang w:eastAsia="en-GB"/>
              </w:rPr>
              <w:t xml:space="preserve"> var. </w:t>
            </w:r>
            <w:proofErr w:type="spellStart"/>
            <w:r w:rsidRPr="003D46E8">
              <w:rPr>
                <w:rFonts w:cs="Arial"/>
                <w:bCs/>
                <w:i/>
                <w:iCs/>
                <w:color w:val="222222"/>
                <w:spacing w:val="-3"/>
                <w:lang w:eastAsia="en-GB"/>
              </w:rPr>
              <w:t>niger</w:t>
            </w:r>
            <w:proofErr w:type="spellEnd"/>
            <w:r w:rsidRPr="003D46E8">
              <w:rPr>
                <w:rFonts w:cs="Arial"/>
                <w:bCs/>
                <w:i/>
                <w:iCs/>
                <w:color w:val="222222"/>
                <w:spacing w:val="-3"/>
                <w:lang w:eastAsia="en-GB"/>
              </w:rPr>
              <w:t xml:space="preserve"> (Miller) </w:t>
            </w:r>
            <w:r w:rsidRPr="003D46E8">
              <w:rPr>
                <w:rFonts w:cs="Arial"/>
                <w:bCs/>
                <w:color w:val="222222"/>
                <w:spacing w:val="-3"/>
                <w:lang w:eastAsia="en-GB"/>
              </w:rPr>
              <w:t>S. Kerner</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4DC0498" w14:textId="77777777" w:rsidR="003D46E8" w:rsidRPr="003D46E8" w:rsidRDefault="003D46E8" w:rsidP="003D46E8">
            <w:pPr>
              <w:suppressAutoHyphens/>
              <w:spacing w:before="100" w:beforeAutospacing="1" w:after="100" w:afterAutospacing="1"/>
              <w:ind w:left="119"/>
              <w:jc w:val="left"/>
              <w:rPr>
                <w:rFonts w:cs="Arial"/>
                <w:bCs/>
                <w:i/>
                <w:iCs/>
                <w:color w:val="222222"/>
                <w:spacing w:val="-3"/>
                <w:lang w:val="en-IE" w:eastAsia="en-GB"/>
              </w:rPr>
            </w:pPr>
            <w:r w:rsidRPr="003D46E8">
              <w:rPr>
                <w:rFonts w:cs="Arial"/>
                <w:bCs/>
                <w:color w:val="222222"/>
                <w:spacing w:val="-3"/>
                <w:lang w:eastAsia="en-GB"/>
              </w:rPr>
              <w:t>CPVO-TP/064/2-Rev.2</w:t>
            </w:r>
          </w:p>
        </w:tc>
      </w:tr>
      <w:tr w:rsidR="003D46E8" w:rsidRPr="003D46E8" w14:paraId="22190138" w14:textId="77777777" w:rsidTr="003D46E8">
        <w:trPr>
          <w:trHeight w:val="20"/>
        </w:trPr>
        <w:tc>
          <w:tcPr>
            <w:tcW w:w="2992"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F208C06" w14:textId="77777777" w:rsidR="003D46E8" w:rsidRPr="003D46E8" w:rsidRDefault="003D46E8" w:rsidP="003D46E8">
            <w:pPr>
              <w:suppressAutoHyphens/>
              <w:jc w:val="left"/>
              <w:rPr>
                <w:rFonts w:cs="Arial"/>
                <w:bCs/>
                <w:color w:val="222222"/>
                <w:spacing w:val="-3"/>
                <w:lang w:val="en-IE" w:eastAsia="en-GB"/>
              </w:rPr>
            </w:pPr>
            <w:proofErr w:type="spellStart"/>
            <w:r w:rsidRPr="003D46E8">
              <w:rPr>
                <w:rFonts w:cs="Arial"/>
                <w:bCs/>
                <w:color w:val="222222"/>
                <w:spacing w:val="-3"/>
                <w:lang w:val="en-IE" w:eastAsia="en-GB"/>
              </w:rPr>
              <w:t>Cornsalad</w:t>
            </w:r>
            <w:proofErr w:type="spellEnd"/>
          </w:p>
        </w:tc>
        <w:tc>
          <w:tcPr>
            <w:tcW w:w="462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EA8B258" w14:textId="77777777" w:rsidR="003D46E8" w:rsidRPr="003D46E8" w:rsidRDefault="003D46E8" w:rsidP="003D46E8">
            <w:pPr>
              <w:suppressAutoHyphens/>
              <w:jc w:val="left"/>
              <w:rPr>
                <w:rFonts w:cs="Arial"/>
                <w:bCs/>
                <w:i/>
                <w:iCs/>
                <w:color w:val="222222"/>
                <w:spacing w:val="-3"/>
                <w:lang w:val="it-IT" w:eastAsia="en-GB"/>
              </w:rPr>
            </w:pPr>
            <w:r w:rsidRPr="003D46E8">
              <w:rPr>
                <w:rFonts w:cs="Arial"/>
                <w:bCs/>
                <w:i/>
                <w:iCs/>
                <w:color w:val="222222"/>
                <w:spacing w:val="-3"/>
                <w:lang w:val="it-IT" w:eastAsia="en-GB"/>
              </w:rPr>
              <w:t xml:space="preserve">Valerianella locusta </w:t>
            </w:r>
            <w:r w:rsidRPr="003D46E8">
              <w:rPr>
                <w:rFonts w:cs="Arial"/>
                <w:bCs/>
                <w:color w:val="222222"/>
                <w:spacing w:val="-3"/>
                <w:lang w:val="it-IT" w:eastAsia="en-GB"/>
              </w:rPr>
              <w:t xml:space="preserve">L.; </w:t>
            </w:r>
            <w:r w:rsidRPr="003D46E8">
              <w:rPr>
                <w:rFonts w:cs="Arial"/>
                <w:bCs/>
                <w:i/>
                <w:iCs/>
                <w:color w:val="222222"/>
                <w:spacing w:val="-3"/>
                <w:lang w:val="it-IT" w:eastAsia="en-GB"/>
              </w:rPr>
              <w:t xml:space="preserve">Valerianella eriocarpa </w:t>
            </w:r>
            <w:r w:rsidRPr="003D46E8">
              <w:rPr>
                <w:rFonts w:cs="Arial"/>
                <w:bCs/>
                <w:color w:val="222222"/>
                <w:spacing w:val="-3"/>
                <w:lang w:val="it-IT" w:eastAsia="en-GB"/>
              </w:rPr>
              <w:t>Desv.</w:t>
            </w:r>
          </w:p>
        </w:tc>
        <w:tc>
          <w:tcPr>
            <w:tcW w:w="203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8CED6F3" w14:textId="77777777" w:rsidR="003D46E8" w:rsidRPr="003D46E8" w:rsidRDefault="003D46E8" w:rsidP="003D46E8">
            <w:pPr>
              <w:suppressAutoHyphens/>
              <w:spacing w:before="100" w:beforeAutospacing="1" w:after="100" w:afterAutospacing="1"/>
              <w:ind w:left="119"/>
              <w:jc w:val="left"/>
              <w:rPr>
                <w:rFonts w:cs="Arial"/>
                <w:bCs/>
                <w:color w:val="222222"/>
                <w:spacing w:val="-3"/>
                <w:lang w:eastAsia="en-GB"/>
              </w:rPr>
            </w:pPr>
            <w:r w:rsidRPr="003D46E8">
              <w:rPr>
                <w:rFonts w:cs="Arial"/>
                <w:bCs/>
                <w:color w:val="222222"/>
                <w:spacing w:val="-3"/>
                <w:lang w:eastAsia="en-GB"/>
              </w:rPr>
              <w:t>CPVO-TP/075/2-Rev</w:t>
            </w:r>
          </w:p>
        </w:tc>
      </w:tr>
      <w:tr w:rsidR="003D46E8" w:rsidRPr="003D46E8" w14:paraId="59CF02C3" w14:textId="77777777" w:rsidTr="003D46E8">
        <w:trPr>
          <w:trHeight w:val="20"/>
        </w:trPr>
        <w:tc>
          <w:tcPr>
            <w:tcW w:w="2992" w:type="dxa"/>
            <w:tcBorders>
              <w:top w:val="single" w:sz="4" w:space="0" w:color="767171"/>
              <w:left w:val="nil"/>
              <w:bottom w:val="nil"/>
              <w:right w:val="nil"/>
            </w:tcBorders>
            <w:shd w:val="clear" w:color="auto" w:fill="auto"/>
            <w:tcMar>
              <w:top w:w="15" w:type="dxa"/>
              <w:left w:w="15" w:type="dxa"/>
              <w:bottom w:w="15" w:type="dxa"/>
              <w:right w:w="15" w:type="dxa"/>
            </w:tcMar>
            <w:hideMark/>
          </w:tcPr>
          <w:p w14:paraId="34508C20" w14:textId="77777777" w:rsidR="003D46E8" w:rsidRPr="003D46E8" w:rsidRDefault="003D46E8" w:rsidP="003D46E8">
            <w:pPr>
              <w:suppressAutoHyphens/>
              <w:jc w:val="left"/>
              <w:rPr>
                <w:rFonts w:cs="Arial"/>
                <w:bCs/>
                <w:color w:val="222222"/>
                <w:spacing w:val="-3"/>
                <w:lang w:val="en-IE" w:eastAsia="en-GB"/>
              </w:rPr>
            </w:pPr>
            <w:r w:rsidRPr="003D46E8">
              <w:rPr>
                <w:rFonts w:cs="Arial"/>
                <w:bCs/>
                <w:color w:val="222222"/>
                <w:spacing w:val="-3"/>
                <w:lang w:val="en-IE" w:eastAsia="en-GB"/>
              </w:rPr>
              <w:t>Watermelon</w:t>
            </w:r>
          </w:p>
        </w:tc>
        <w:tc>
          <w:tcPr>
            <w:tcW w:w="4626" w:type="dxa"/>
            <w:tcBorders>
              <w:top w:val="single" w:sz="4" w:space="0" w:color="767171"/>
              <w:left w:val="nil"/>
              <w:bottom w:val="nil"/>
              <w:right w:val="nil"/>
            </w:tcBorders>
            <w:shd w:val="clear" w:color="auto" w:fill="auto"/>
            <w:tcMar>
              <w:top w:w="15" w:type="dxa"/>
              <w:left w:w="15" w:type="dxa"/>
              <w:bottom w:w="15" w:type="dxa"/>
              <w:right w:w="15" w:type="dxa"/>
            </w:tcMar>
            <w:hideMark/>
          </w:tcPr>
          <w:p w14:paraId="111C65BE" w14:textId="77777777" w:rsidR="003D46E8" w:rsidRPr="003D46E8" w:rsidRDefault="003D46E8" w:rsidP="003D46E8">
            <w:pPr>
              <w:suppressAutoHyphens/>
              <w:spacing w:before="100" w:beforeAutospacing="1" w:after="100" w:afterAutospacing="1"/>
              <w:jc w:val="left"/>
              <w:rPr>
                <w:rFonts w:cs="Arial"/>
                <w:bCs/>
                <w:i/>
                <w:iCs/>
                <w:color w:val="222222"/>
                <w:spacing w:val="-3"/>
                <w:lang w:val="fr-FR" w:eastAsia="en-GB"/>
              </w:rPr>
            </w:pPr>
            <w:proofErr w:type="spellStart"/>
            <w:r w:rsidRPr="003D46E8">
              <w:rPr>
                <w:rFonts w:cs="Arial"/>
                <w:bCs/>
                <w:i/>
                <w:iCs/>
                <w:color w:val="222222"/>
                <w:spacing w:val="-3"/>
                <w:lang w:val="fr-FR" w:eastAsia="en-GB"/>
              </w:rPr>
              <w:t>Citrullus</w:t>
            </w:r>
            <w:proofErr w:type="spellEnd"/>
            <w:r w:rsidRPr="003D46E8">
              <w:rPr>
                <w:rFonts w:cs="Arial"/>
                <w:bCs/>
                <w:i/>
                <w:iCs/>
                <w:color w:val="222222"/>
                <w:spacing w:val="-3"/>
                <w:lang w:val="fr-FR" w:eastAsia="en-GB"/>
              </w:rPr>
              <w:t xml:space="preserve"> </w:t>
            </w:r>
            <w:proofErr w:type="spellStart"/>
            <w:r w:rsidRPr="003D46E8">
              <w:rPr>
                <w:rFonts w:cs="Arial"/>
                <w:bCs/>
                <w:i/>
                <w:iCs/>
                <w:color w:val="222222"/>
                <w:spacing w:val="-3"/>
                <w:lang w:val="fr-FR" w:eastAsia="en-GB"/>
              </w:rPr>
              <w:t>lanatus</w:t>
            </w:r>
            <w:proofErr w:type="spellEnd"/>
            <w:r w:rsidRPr="003D46E8">
              <w:rPr>
                <w:rFonts w:cs="Arial"/>
                <w:bCs/>
                <w:i/>
                <w:iCs/>
                <w:color w:val="222222"/>
                <w:spacing w:val="-3"/>
                <w:lang w:val="fr-FR" w:eastAsia="en-GB"/>
              </w:rPr>
              <w:t xml:space="preserve"> </w:t>
            </w:r>
            <w:r w:rsidRPr="003D46E8">
              <w:rPr>
                <w:rFonts w:cs="Arial"/>
                <w:bCs/>
                <w:color w:val="222222"/>
                <w:spacing w:val="-3"/>
                <w:lang w:val="fr-FR" w:eastAsia="en-GB"/>
              </w:rPr>
              <w:t>(</w:t>
            </w:r>
            <w:proofErr w:type="spellStart"/>
            <w:r w:rsidRPr="003D46E8">
              <w:rPr>
                <w:rFonts w:cs="Arial"/>
                <w:bCs/>
                <w:color w:val="222222"/>
                <w:spacing w:val="-3"/>
                <w:lang w:val="fr-FR" w:eastAsia="en-GB"/>
              </w:rPr>
              <w:t>Thunb</w:t>
            </w:r>
            <w:proofErr w:type="spellEnd"/>
            <w:r w:rsidRPr="003D46E8">
              <w:rPr>
                <w:rFonts w:cs="Arial"/>
                <w:bCs/>
                <w:color w:val="222222"/>
                <w:spacing w:val="-3"/>
                <w:lang w:val="fr-FR" w:eastAsia="en-GB"/>
              </w:rPr>
              <w:t xml:space="preserve">.) </w:t>
            </w:r>
            <w:proofErr w:type="spellStart"/>
            <w:r w:rsidRPr="003D46E8">
              <w:rPr>
                <w:rFonts w:cs="Arial"/>
                <w:bCs/>
                <w:color w:val="222222"/>
                <w:spacing w:val="-3"/>
                <w:lang w:val="fr-FR" w:eastAsia="en-GB"/>
              </w:rPr>
              <w:t>Matsum</w:t>
            </w:r>
            <w:proofErr w:type="spellEnd"/>
            <w:r w:rsidRPr="003D46E8">
              <w:rPr>
                <w:rFonts w:cs="Arial"/>
                <w:bCs/>
                <w:color w:val="222222"/>
                <w:spacing w:val="-3"/>
                <w:lang w:val="fr-FR" w:eastAsia="en-GB"/>
              </w:rPr>
              <w:t xml:space="preserve"> et </w:t>
            </w:r>
            <w:proofErr w:type="spellStart"/>
            <w:r w:rsidRPr="003D46E8">
              <w:rPr>
                <w:rFonts w:cs="Arial"/>
                <w:bCs/>
                <w:color w:val="222222"/>
                <w:spacing w:val="-3"/>
                <w:lang w:val="fr-FR" w:eastAsia="en-GB"/>
              </w:rPr>
              <w:t>Nakai</w:t>
            </w:r>
            <w:proofErr w:type="spellEnd"/>
          </w:p>
        </w:tc>
        <w:tc>
          <w:tcPr>
            <w:tcW w:w="2036" w:type="dxa"/>
            <w:tcBorders>
              <w:top w:val="single" w:sz="4" w:space="0" w:color="767171"/>
              <w:left w:val="nil"/>
              <w:bottom w:val="nil"/>
              <w:right w:val="nil"/>
            </w:tcBorders>
            <w:shd w:val="clear" w:color="auto" w:fill="auto"/>
            <w:tcMar>
              <w:top w:w="15" w:type="dxa"/>
              <w:left w:w="15" w:type="dxa"/>
              <w:bottom w:w="15" w:type="dxa"/>
              <w:right w:w="15" w:type="dxa"/>
            </w:tcMar>
            <w:hideMark/>
          </w:tcPr>
          <w:p w14:paraId="0977F3C2" w14:textId="77777777" w:rsidR="003D46E8" w:rsidRPr="003D46E8" w:rsidRDefault="003D46E8" w:rsidP="003D46E8">
            <w:pPr>
              <w:suppressAutoHyphens/>
              <w:spacing w:before="100" w:beforeAutospacing="1" w:after="100" w:afterAutospacing="1"/>
              <w:ind w:left="119"/>
              <w:jc w:val="left"/>
              <w:rPr>
                <w:rFonts w:cs="Arial"/>
                <w:bCs/>
                <w:color w:val="222222"/>
                <w:spacing w:val="-3"/>
                <w:lang w:eastAsia="en-GB"/>
              </w:rPr>
            </w:pPr>
            <w:r w:rsidRPr="003D46E8">
              <w:rPr>
                <w:rFonts w:cs="Arial"/>
                <w:bCs/>
                <w:color w:val="222222"/>
                <w:spacing w:val="-3"/>
                <w:lang w:eastAsia="en-GB"/>
              </w:rPr>
              <w:t>CPVO-TP/142/2-Rev.3</w:t>
            </w:r>
          </w:p>
        </w:tc>
      </w:tr>
    </w:tbl>
    <w:p w14:paraId="35E880DE" w14:textId="061CAFA8" w:rsidR="003D46E8" w:rsidRPr="003D46E8" w:rsidRDefault="003D46E8" w:rsidP="00C548C5">
      <w:pPr>
        <w:pStyle w:val="Heading2"/>
        <w:rPr>
          <w:rFonts w:eastAsia="Cambria"/>
          <w:color w:val="006600"/>
        </w:rPr>
      </w:pPr>
      <w:r w:rsidRPr="003D46E8">
        <w:rPr>
          <w:rFonts w:eastAsia="Cambria"/>
        </w:rPr>
        <w:lastRenderedPageBreak/>
        <w:t>R&amp;D projects</w:t>
      </w:r>
    </w:p>
    <w:p w14:paraId="33A48397" w14:textId="77777777" w:rsidR="003D46E8" w:rsidRPr="003D46E8" w:rsidRDefault="003D46E8" w:rsidP="00C548C5">
      <w:pPr>
        <w:keepNext/>
        <w:rPr>
          <w:rFonts w:eastAsia="Cambria"/>
        </w:rPr>
      </w:pPr>
    </w:p>
    <w:p w14:paraId="49590182" w14:textId="77777777" w:rsidR="003D46E8" w:rsidRDefault="003D46E8" w:rsidP="00C548C5">
      <w:pPr>
        <w:keepNext/>
        <w:rPr>
          <w:rFonts w:eastAsia="Cambria"/>
        </w:rPr>
      </w:pPr>
      <w:r w:rsidRPr="003D46E8">
        <w:rPr>
          <w:rFonts w:eastAsia="Cambria"/>
        </w:rPr>
        <w:t xml:space="preserve">The Office finances a number of R&amp;D projects; all reports of finalized R&amp;D projects are published on the CPVO web site: </w:t>
      </w:r>
      <w:hyperlink r:id="rId12" w:history="1">
        <w:r w:rsidRPr="003D46E8">
          <w:rPr>
            <w:rFonts w:eastAsia="Cambria"/>
            <w:color w:val="0000FF"/>
            <w:u w:val="single"/>
          </w:rPr>
          <w:t>https://cpvo.europa.eu/en/about-us/what-we-do/research-and-development</w:t>
        </w:r>
      </w:hyperlink>
    </w:p>
    <w:p w14:paraId="055AEE07" w14:textId="77777777" w:rsidR="003D46E8" w:rsidRPr="003D46E8" w:rsidRDefault="003D46E8" w:rsidP="003D46E8">
      <w:pPr>
        <w:rPr>
          <w:rFonts w:eastAsia="Cambria"/>
          <w:spacing w:val="-3"/>
        </w:rPr>
      </w:pPr>
    </w:p>
    <w:p w14:paraId="769BC744" w14:textId="77777777" w:rsidR="003D46E8" w:rsidRDefault="003D46E8" w:rsidP="003D46E8">
      <w:pPr>
        <w:pStyle w:val="Heading1"/>
      </w:pPr>
      <w:bookmarkStart w:id="5" w:name="_Toc8669124"/>
      <w:r w:rsidRPr="003D46E8">
        <w:t>Ornamental sector</w:t>
      </w:r>
      <w:bookmarkEnd w:id="5"/>
    </w:p>
    <w:p w14:paraId="68C24B68" w14:textId="77777777" w:rsidR="003D46E8" w:rsidRPr="003D46E8" w:rsidRDefault="003D46E8" w:rsidP="003D46E8"/>
    <w:p w14:paraId="5138833F" w14:textId="77777777" w:rsidR="003D46E8" w:rsidRDefault="003D46E8" w:rsidP="003D46E8">
      <w:pPr>
        <w:pStyle w:val="Heading2"/>
        <w:rPr>
          <w:rFonts w:eastAsia="Cambria"/>
        </w:rPr>
      </w:pPr>
      <w:r w:rsidRPr="003D46E8">
        <w:rPr>
          <w:rFonts w:eastAsia="Cambria"/>
        </w:rPr>
        <w:t>Statistics</w:t>
      </w:r>
    </w:p>
    <w:p w14:paraId="14907F93" w14:textId="77777777" w:rsidR="003D46E8" w:rsidRPr="003D46E8" w:rsidRDefault="003D46E8" w:rsidP="003D46E8">
      <w:pPr>
        <w:rPr>
          <w:rFonts w:eastAsia="Cambria"/>
        </w:rPr>
      </w:pPr>
    </w:p>
    <w:p w14:paraId="000FF85C" w14:textId="77777777" w:rsidR="003D46E8" w:rsidRDefault="003D46E8" w:rsidP="003D46E8">
      <w:pPr>
        <w:rPr>
          <w:rFonts w:eastAsia="Cambria"/>
          <w:lang w:val="en-GB"/>
        </w:rPr>
      </w:pPr>
      <w:r w:rsidRPr="003D46E8">
        <w:rPr>
          <w:rFonts w:eastAsia="Cambria"/>
          <w:lang w:val="en-GB"/>
        </w:rPr>
        <w:t xml:space="preserve">The table hereunder shows the 10 most important ornamental crops over the last 5 years. </w:t>
      </w:r>
    </w:p>
    <w:p w14:paraId="00B20542" w14:textId="77777777" w:rsidR="003D46E8" w:rsidRPr="003D46E8" w:rsidRDefault="003D46E8" w:rsidP="003D46E8">
      <w:pPr>
        <w:rPr>
          <w:rFonts w:eastAsia="Cambria"/>
          <w:lang w:val="en-GB"/>
        </w:rPr>
      </w:pPr>
    </w:p>
    <w:tbl>
      <w:tblPr>
        <w:tblW w:w="7650" w:type="dxa"/>
        <w:tblInd w:w="113" w:type="dxa"/>
        <w:tblLook w:val="04A0" w:firstRow="1" w:lastRow="0" w:firstColumn="1" w:lastColumn="0" w:noHBand="0" w:noVBand="1"/>
      </w:tblPr>
      <w:tblGrid>
        <w:gridCol w:w="2122"/>
        <w:gridCol w:w="661"/>
        <w:gridCol w:w="764"/>
        <w:gridCol w:w="863"/>
        <w:gridCol w:w="863"/>
        <w:gridCol w:w="863"/>
        <w:gridCol w:w="1892"/>
      </w:tblGrid>
      <w:tr w:rsidR="003D46E8" w:rsidRPr="003D46E8" w14:paraId="5CDD54F7" w14:textId="77777777" w:rsidTr="003D46E8">
        <w:trPr>
          <w:trHeight w:val="470"/>
        </w:trPr>
        <w:tc>
          <w:tcPr>
            <w:tcW w:w="212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FB7872F" w14:textId="77777777" w:rsidR="003D46E8" w:rsidRPr="003D46E8" w:rsidRDefault="003D46E8" w:rsidP="003D46E8">
            <w:pPr>
              <w:jc w:val="center"/>
              <w:rPr>
                <w:rFonts w:cs="Arial"/>
                <w:color w:val="000000"/>
                <w:lang w:val="en-GB" w:eastAsia="en-GB"/>
              </w:rPr>
            </w:pPr>
            <w:r w:rsidRPr="003D46E8">
              <w:rPr>
                <w:rFonts w:cs="Arial"/>
                <w:color w:val="000000"/>
                <w:lang w:val="en-GB" w:eastAsia="en-GB"/>
              </w:rPr>
              <w:t>Species</w:t>
            </w:r>
          </w:p>
        </w:tc>
        <w:tc>
          <w:tcPr>
            <w:tcW w:w="283" w:type="dxa"/>
            <w:tcBorders>
              <w:top w:val="single" w:sz="4" w:space="0" w:color="auto"/>
              <w:left w:val="nil"/>
              <w:bottom w:val="single" w:sz="4" w:space="0" w:color="auto"/>
              <w:right w:val="single" w:sz="4" w:space="0" w:color="auto"/>
            </w:tcBorders>
            <w:shd w:val="clear" w:color="auto" w:fill="F2F2F2"/>
            <w:noWrap/>
            <w:vAlign w:val="center"/>
            <w:hideMark/>
          </w:tcPr>
          <w:p w14:paraId="3ECA04E5"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2020</w:t>
            </w:r>
          </w:p>
        </w:tc>
        <w:tc>
          <w:tcPr>
            <w:tcW w:w="764" w:type="dxa"/>
            <w:tcBorders>
              <w:top w:val="single" w:sz="4" w:space="0" w:color="auto"/>
              <w:left w:val="nil"/>
              <w:bottom w:val="single" w:sz="4" w:space="0" w:color="auto"/>
              <w:right w:val="single" w:sz="4" w:space="0" w:color="auto"/>
            </w:tcBorders>
            <w:shd w:val="clear" w:color="auto" w:fill="F2F2F2"/>
            <w:noWrap/>
            <w:vAlign w:val="center"/>
            <w:hideMark/>
          </w:tcPr>
          <w:p w14:paraId="672A9F2E"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2021</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69298751"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2022</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793925EF"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2023</w:t>
            </w:r>
          </w:p>
        </w:tc>
        <w:tc>
          <w:tcPr>
            <w:tcW w:w="863" w:type="dxa"/>
            <w:tcBorders>
              <w:top w:val="single" w:sz="4" w:space="0" w:color="auto"/>
              <w:left w:val="nil"/>
              <w:bottom w:val="single" w:sz="4" w:space="0" w:color="auto"/>
              <w:right w:val="single" w:sz="4" w:space="0" w:color="auto"/>
            </w:tcBorders>
            <w:shd w:val="clear" w:color="auto" w:fill="F2F2F2"/>
            <w:noWrap/>
            <w:vAlign w:val="center"/>
            <w:hideMark/>
          </w:tcPr>
          <w:p w14:paraId="2071372A"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2024</w:t>
            </w:r>
          </w:p>
        </w:tc>
        <w:tc>
          <w:tcPr>
            <w:tcW w:w="1892" w:type="dxa"/>
            <w:tcBorders>
              <w:top w:val="single" w:sz="4" w:space="0" w:color="auto"/>
              <w:left w:val="nil"/>
              <w:bottom w:val="single" w:sz="4" w:space="0" w:color="auto"/>
              <w:right w:val="single" w:sz="4" w:space="0" w:color="auto"/>
            </w:tcBorders>
            <w:shd w:val="clear" w:color="auto" w:fill="F2F2F2"/>
            <w:vAlign w:val="center"/>
            <w:hideMark/>
          </w:tcPr>
          <w:p w14:paraId="325E0B1E"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Total 1995-2024</w:t>
            </w:r>
          </w:p>
        </w:tc>
      </w:tr>
      <w:tr w:rsidR="003D46E8" w:rsidRPr="003D46E8" w14:paraId="758E33D7"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3211641E" w14:textId="77777777" w:rsidR="003D46E8" w:rsidRPr="003D46E8" w:rsidRDefault="003D46E8" w:rsidP="003D46E8">
            <w:pPr>
              <w:jc w:val="left"/>
              <w:rPr>
                <w:rFonts w:cs="Arial"/>
                <w:bCs/>
                <w:lang w:val="it-IT" w:eastAsia="en-GB"/>
              </w:rPr>
            </w:pPr>
            <w:r w:rsidRPr="003D46E8">
              <w:rPr>
                <w:rFonts w:eastAsia="Cambria" w:cs="Arial"/>
                <w:bCs/>
                <w:i/>
                <w:iCs/>
                <w:spacing w:val="-3"/>
                <w:lang w:val="it-IT"/>
              </w:rPr>
              <w:t>Rosa</w:t>
            </w:r>
            <w:r w:rsidRPr="003D46E8">
              <w:rPr>
                <w:rFonts w:eastAsia="Cambria" w:cs="Arial"/>
                <w:bCs/>
                <w:spacing w:val="-3"/>
                <w:lang w:val="it-IT"/>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603AAB50"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174</w:t>
            </w:r>
          </w:p>
        </w:tc>
        <w:tc>
          <w:tcPr>
            <w:tcW w:w="764" w:type="dxa"/>
            <w:tcBorders>
              <w:top w:val="nil"/>
              <w:left w:val="nil"/>
              <w:bottom w:val="single" w:sz="4" w:space="0" w:color="auto"/>
              <w:right w:val="single" w:sz="4" w:space="0" w:color="auto"/>
            </w:tcBorders>
            <w:shd w:val="clear" w:color="auto" w:fill="FFFFFF"/>
            <w:noWrap/>
            <w:vAlign w:val="center"/>
            <w:hideMark/>
          </w:tcPr>
          <w:p w14:paraId="45CB02CA"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168</w:t>
            </w:r>
          </w:p>
        </w:tc>
        <w:tc>
          <w:tcPr>
            <w:tcW w:w="863" w:type="dxa"/>
            <w:tcBorders>
              <w:top w:val="nil"/>
              <w:left w:val="nil"/>
              <w:bottom w:val="single" w:sz="4" w:space="0" w:color="auto"/>
              <w:right w:val="single" w:sz="4" w:space="0" w:color="auto"/>
            </w:tcBorders>
            <w:shd w:val="clear" w:color="auto" w:fill="FFFFFF"/>
            <w:noWrap/>
            <w:vAlign w:val="center"/>
            <w:hideMark/>
          </w:tcPr>
          <w:p w14:paraId="1836DA59"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200</w:t>
            </w:r>
          </w:p>
        </w:tc>
        <w:tc>
          <w:tcPr>
            <w:tcW w:w="863" w:type="dxa"/>
            <w:tcBorders>
              <w:top w:val="nil"/>
              <w:left w:val="nil"/>
              <w:bottom w:val="single" w:sz="4" w:space="0" w:color="auto"/>
              <w:right w:val="single" w:sz="4" w:space="0" w:color="auto"/>
            </w:tcBorders>
            <w:shd w:val="clear" w:color="auto" w:fill="FFFFFF"/>
            <w:noWrap/>
            <w:vAlign w:val="center"/>
            <w:hideMark/>
          </w:tcPr>
          <w:p w14:paraId="0B634F71"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131</w:t>
            </w:r>
          </w:p>
        </w:tc>
        <w:tc>
          <w:tcPr>
            <w:tcW w:w="863" w:type="dxa"/>
            <w:tcBorders>
              <w:top w:val="nil"/>
              <w:left w:val="nil"/>
              <w:bottom w:val="single" w:sz="4" w:space="0" w:color="auto"/>
              <w:right w:val="single" w:sz="4" w:space="0" w:color="auto"/>
            </w:tcBorders>
            <w:shd w:val="clear" w:color="auto" w:fill="FFFFFF"/>
            <w:noWrap/>
            <w:vAlign w:val="center"/>
            <w:hideMark/>
          </w:tcPr>
          <w:p w14:paraId="7BEB63FC" w14:textId="77777777" w:rsidR="003D46E8" w:rsidRPr="003D46E8" w:rsidRDefault="003D46E8" w:rsidP="003D46E8">
            <w:pPr>
              <w:jc w:val="center"/>
              <w:rPr>
                <w:rFonts w:cs="Arial"/>
                <w:b/>
                <w:bCs/>
                <w:color w:val="000000"/>
                <w:lang w:val="it-IT" w:eastAsia="en-GB"/>
              </w:rPr>
            </w:pPr>
            <w:r w:rsidRPr="003D46E8">
              <w:rPr>
                <w:rFonts w:eastAsia="Cambria" w:cs="Arial"/>
                <w:bCs/>
                <w:color w:val="000000"/>
                <w:spacing w:val="-3"/>
                <w:lang w:val="en-IE"/>
              </w:rPr>
              <w:t>152</w:t>
            </w:r>
          </w:p>
        </w:tc>
        <w:tc>
          <w:tcPr>
            <w:tcW w:w="1892" w:type="dxa"/>
            <w:tcBorders>
              <w:top w:val="nil"/>
              <w:left w:val="nil"/>
              <w:bottom w:val="single" w:sz="4" w:space="0" w:color="auto"/>
              <w:right w:val="single" w:sz="4" w:space="0" w:color="auto"/>
            </w:tcBorders>
            <w:shd w:val="clear" w:color="auto" w:fill="FFFFFF"/>
            <w:noWrap/>
            <w:vAlign w:val="center"/>
            <w:hideMark/>
          </w:tcPr>
          <w:p w14:paraId="1067B4C2" w14:textId="77777777" w:rsidR="003D46E8" w:rsidRPr="003D46E8" w:rsidRDefault="003D46E8" w:rsidP="003D46E8">
            <w:pPr>
              <w:jc w:val="center"/>
              <w:rPr>
                <w:rFonts w:cs="Arial"/>
                <w:b/>
                <w:color w:val="000000"/>
                <w:lang w:val="it-IT" w:eastAsia="en-GB"/>
              </w:rPr>
            </w:pPr>
            <w:r w:rsidRPr="003D46E8">
              <w:rPr>
                <w:rFonts w:eastAsia="Cambria" w:cs="Arial"/>
                <w:b/>
                <w:color w:val="000000"/>
                <w:spacing w:val="-3"/>
                <w:lang w:val="en-IE"/>
              </w:rPr>
              <w:t>5 453</w:t>
            </w:r>
          </w:p>
        </w:tc>
      </w:tr>
      <w:tr w:rsidR="003D46E8" w:rsidRPr="003D46E8" w14:paraId="4023477B"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6B67B63D" w14:textId="77777777" w:rsidR="003D46E8" w:rsidRPr="003D46E8" w:rsidRDefault="003D46E8" w:rsidP="003D46E8">
            <w:pPr>
              <w:jc w:val="left"/>
              <w:rPr>
                <w:rFonts w:cs="Arial"/>
                <w:bCs/>
                <w:lang w:val="it-IT" w:eastAsia="en-GB"/>
              </w:rPr>
            </w:pPr>
            <w:r w:rsidRPr="003D46E8">
              <w:rPr>
                <w:rFonts w:eastAsia="Cambria" w:cs="Arial"/>
                <w:bCs/>
                <w:i/>
                <w:iCs/>
                <w:spacing w:val="-3"/>
                <w:lang w:val="it-IT"/>
              </w:rPr>
              <w:t>Chrysanthemum</w:t>
            </w:r>
            <w:r w:rsidRPr="003D46E8">
              <w:rPr>
                <w:rFonts w:eastAsia="Cambria" w:cs="Arial"/>
                <w:bCs/>
                <w:spacing w:val="-3"/>
                <w:lang w:val="it-IT"/>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04C73B2C"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78</w:t>
            </w:r>
          </w:p>
        </w:tc>
        <w:tc>
          <w:tcPr>
            <w:tcW w:w="764" w:type="dxa"/>
            <w:tcBorders>
              <w:top w:val="nil"/>
              <w:left w:val="nil"/>
              <w:bottom w:val="single" w:sz="4" w:space="0" w:color="auto"/>
              <w:right w:val="single" w:sz="4" w:space="0" w:color="auto"/>
            </w:tcBorders>
            <w:shd w:val="clear" w:color="auto" w:fill="FFFFFF"/>
            <w:noWrap/>
            <w:vAlign w:val="center"/>
            <w:hideMark/>
          </w:tcPr>
          <w:p w14:paraId="6A35C7F2"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83</w:t>
            </w:r>
          </w:p>
        </w:tc>
        <w:tc>
          <w:tcPr>
            <w:tcW w:w="863" w:type="dxa"/>
            <w:tcBorders>
              <w:top w:val="nil"/>
              <w:left w:val="nil"/>
              <w:bottom w:val="single" w:sz="4" w:space="0" w:color="auto"/>
              <w:right w:val="single" w:sz="4" w:space="0" w:color="auto"/>
            </w:tcBorders>
            <w:shd w:val="clear" w:color="auto" w:fill="FFFFFF"/>
            <w:noWrap/>
            <w:vAlign w:val="center"/>
            <w:hideMark/>
          </w:tcPr>
          <w:p w14:paraId="2C447B43"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83</w:t>
            </w:r>
          </w:p>
        </w:tc>
        <w:tc>
          <w:tcPr>
            <w:tcW w:w="863" w:type="dxa"/>
            <w:tcBorders>
              <w:top w:val="nil"/>
              <w:left w:val="nil"/>
              <w:bottom w:val="single" w:sz="4" w:space="0" w:color="auto"/>
              <w:right w:val="single" w:sz="4" w:space="0" w:color="auto"/>
            </w:tcBorders>
            <w:shd w:val="clear" w:color="auto" w:fill="FFFFFF"/>
            <w:noWrap/>
            <w:vAlign w:val="center"/>
            <w:hideMark/>
          </w:tcPr>
          <w:p w14:paraId="5A3985D7" w14:textId="77777777" w:rsidR="003D46E8" w:rsidRPr="003D46E8" w:rsidRDefault="003D46E8" w:rsidP="003D46E8">
            <w:pPr>
              <w:jc w:val="center"/>
              <w:rPr>
                <w:rFonts w:cs="Arial"/>
                <w:color w:val="000000"/>
                <w:lang w:val="it-IT" w:eastAsia="en-GB"/>
              </w:rPr>
            </w:pPr>
            <w:r w:rsidRPr="003D46E8">
              <w:rPr>
                <w:rFonts w:eastAsia="Cambria" w:cs="Arial"/>
                <w:bCs/>
                <w:color w:val="000000"/>
                <w:spacing w:val="-3"/>
                <w:lang w:val="en-IE"/>
              </w:rPr>
              <w:t>76</w:t>
            </w:r>
          </w:p>
        </w:tc>
        <w:tc>
          <w:tcPr>
            <w:tcW w:w="863" w:type="dxa"/>
            <w:tcBorders>
              <w:top w:val="nil"/>
              <w:left w:val="nil"/>
              <w:bottom w:val="single" w:sz="4" w:space="0" w:color="auto"/>
              <w:right w:val="single" w:sz="4" w:space="0" w:color="auto"/>
            </w:tcBorders>
            <w:shd w:val="clear" w:color="auto" w:fill="FFFFFF"/>
            <w:noWrap/>
            <w:vAlign w:val="center"/>
            <w:hideMark/>
          </w:tcPr>
          <w:p w14:paraId="6BD07467" w14:textId="77777777" w:rsidR="003D46E8" w:rsidRPr="003D46E8" w:rsidRDefault="003D46E8" w:rsidP="003D46E8">
            <w:pPr>
              <w:jc w:val="center"/>
              <w:rPr>
                <w:rFonts w:cs="Arial"/>
                <w:b/>
                <w:bCs/>
                <w:color w:val="000000"/>
                <w:lang w:val="it-IT" w:eastAsia="en-GB"/>
              </w:rPr>
            </w:pPr>
            <w:r w:rsidRPr="003D46E8">
              <w:rPr>
                <w:rFonts w:eastAsia="Cambria" w:cs="Arial"/>
                <w:bCs/>
                <w:color w:val="000000"/>
                <w:spacing w:val="-3"/>
                <w:lang w:val="en-IE"/>
              </w:rPr>
              <w:t>88</w:t>
            </w:r>
          </w:p>
        </w:tc>
        <w:tc>
          <w:tcPr>
            <w:tcW w:w="1892" w:type="dxa"/>
            <w:tcBorders>
              <w:top w:val="nil"/>
              <w:left w:val="nil"/>
              <w:bottom w:val="single" w:sz="4" w:space="0" w:color="auto"/>
              <w:right w:val="single" w:sz="4" w:space="0" w:color="auto"/>
            </w:tcBorders>
            <w:shd w:val="clear" w:color="auto" w:fill="FFFFFF"/>
            <w:noWrap/>
            <w:vAlign w:val="center"/>
            <w:hideMark/>
          </w:tcPr>
          <w:p w14:paraId="370E7174" w14:textId="77777777" w:rsidR="003D46E8" w:rsidRPr="003D46E8" w:rsidRDefault="003D46E8" w:rsidP="003D46E8">
            <w:pPr>
              <w:jc w:val="center"/>
              <w:rPr>
                <w:rFonts w:cs="Arial"/>
                <w:b/>
                <w:color w:val="000000"/>
                <w:lang w:val="it-IT" w:eastAsia="en-GB"/>
              </w:rPr>
            </w:pPr>
            <w:r w:rsidRPr="003D46E8">
              <w:rPr>
                <w:rFonts w:eastAsia="Cambria" w:cs="Arial"/>
                <w:b/>
                <w:color w:val="000000"/>
                <w:spacing w:val="-3"/>
                <w:lang w:val="en-IE"/>
              </w:rPr>
              <w:t>4 153</w:t>
            </w:r>
          </w:p>
        </w:tc>
      </w:tr>
      <w:tr w:rsidR="003D46E8" w:rsidRPr="003D46E8" w14:paraId="66D07E52"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247A1972"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Phalaenopsis</w:t>
            </w:r>
            <w:r w:rsidRPr="003D46E8">
              <w:rPr>
                <w:rFonts w:eastAsia="Cambria" w:cs="Arial"/>
                <w:bCs/>
                <w:spacing w:val="-3"/>
                <w:lang w:val="en-IE"/>
              </w:rPr>
              <w:t xml:space="preserve"> Blume</w:t>
            </w:r>
          </w:p>
        </w:tc>
        <w:tc>
          <w:tcPr>
            <w:tcW w:w="283" w:type="dxa"/>
            <w:tcBorders>
              <w:top w:val="nil"/>
              <w:left w:val="nil"/>
              <w:bottom w:val="single" w:sz="4" w:space="0" w:color="auto"/>
              <w:right w:val="single" w:sz="4" w:space="0" w:color="auto"/>
            </w:tcBorders>
            <w:shd w:val="clear" w:color="auto" w:fill="FFFFFF"/>
            <w:noWrap/>
            <w:vAlign w:val="center"/>
            <w:hideMark/>
          </w:tcPr>
          <w:p w14:paraId="7B2EE322"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108</w:t>
            </w:r>
          </w:p>
        </w:tc>
        <w:tc>
          <w:tcPr>
            <w:tcW w:w="764" w:type="dxa"/>
            <w:tcBorders>
              <w:top w:val="nil"/>
              <w:left w:val="nil"/>
              <w:bottom w:val="single" w:sz="4" w:space="0" w:color="auto"/>
              <w:right w:val="single" w:sz="4" w:space="0" w:color="auto"/>
            </w:tcBorders>
            <w:shd w:val="clear" w:color="auto" w:fill="FFFFFF"/>
            <w:noWrap/>
            <w:vAlign w:val="center"/>
            <w:hideMark/>
          </w:tcPr>
          <w:p w14:paraId="50CC7C72"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130</w:t>
            </w:r>
          </w:p>
        </w:tc>
        <w:tc>
          <w:tcPr>
            <w:tcW w:w="863" w:type="dxa"/>
            <w:tcBorders>
              <w:top w:val="nil"/>
              <w:left w:val="nil"/>
              <w:bottom w:val="single" w:sz="4" w:space="0" w:color="auto"/>
              <w:right w:val="single" w:sz="4" w:space="0" w:color="auto"/>
            </w:tcBorders>
            <w:shd w:val="clear" w:color="auto" w:fill="FFFFFF"/>
            <w:noWrap/>
            <w:vAlign w:val="center"/>
            <w:hideMark/>
          </w:tcPr>
          <w:p w14:paraId="4FCF0D3C"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102</w:t>
            </w:r>
          </w:p>
        </w:tc>
        <w:tc>
          <w:tcPr>
            <w:tcW w:w="863" w:type="dxa"/>
            <w:tcBorders>
              <w:top w:val="nil"/>
              <w:left w:val="nil"/>
              <w:bottom w:val="single" w:sz="4" w:space="0" w:color="auto"/>
              <w:right w:val="single" w:sz="4" w:space="0" w:color="auto"/>
            </w:tcBorders>
            <w:shd w:val="clear" w:color="auto" w:fill="FFFFFF"/>
            <w:noWrap/>
            <w:vAlign w:val="center"/>
            <w:hideMark/>
          </w:tcPr>
          <w:p w14:paraId="553B9F3F"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94</w:t>
            </w:r>
          </w:p>
        </w:tc>
        <w:tc>
          <w:tcPr>
            <w:tcW w:w="863" w:type="dxa"/>
            <w:tcBorders>
              <w:top w:val="nil"/>
              <w:left w:val="nil"/>
              <w:bottom w:val="single" w:sz="4" w:space="0" w:color="auto"/>
              <w:right w:val="single" w:sz="4" w:space="0" w:color="auto"/>
            </w:tcBorders>
            <w:shd w:val="clear" w:color="auto" w:fill="FFFFFF"/>
            <w:noWrap/>
            <w:vAlign w:val="center"/>
            <w:hideMark/>
          </w:tcPr>
          <w:p w14:paraId="6B5915AA"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103</w:t>
            </w:r>
          </w:p>
        </w:tc>
        <w:tc>
          <w:tcPr>
            <w:tcW w:w="1892" w:type="dxa"/>
            <w:tcBorders>
              <w:top w:val="nil"/>
              <w:left w:val="nil"/>
              <w:bottom w:val="single" w:sz="4" w:space="0" w:color="auto"/>
              <w:right w:val="single" w:sz="4" w:space="0" w:color="auto"/>
            </w:tcBorders>
            <w:shd w:val="clear" w:color="auto" w:fill="FFFFFF"/>
            <w:noWrap/>
            <w:vAlign w:val="center"/>
            <w:hideMark/>
          </w:tcPr>
          <w:p w14:paraId="53A11C88"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1 913</w:t>
            </w:r>
          </w:p>
        </w:tc>
      </w:tr>
      <w:tr w:rsidR="003D46E8" w:rsidRPr="003D46E8" w14:paraId="43E454C7"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678B05B9" w14:textId="77777777" w:rsidR="003D46E8" w:rsidRPr="003D46E8" w:rsidRDefault="003D46E8" w:rsidP="003D46E8">
            <w:pPr>
              <w:jc w:val="left"/>
              <w:rPr>
                <w:rFonts w:cs="Arial"/>
                <w:bCs/>
                <w:lang w:val="en-GB" w:eastAsia="en-GB"/>
              </w:rPr>
            </w:pPr>
            <w:proofErr w:type="spellStart"/>
            <w:r w:rsidRPr="003D46E8">
              <w:rPr>
                <w:rFonts w:eastAsia="Cambria" w:cs="Arial"/>
                <w:bCs/>
                <w:i/>
                <w:iCs/>
                <w:spacing w:val="-3"/>
                <w:lang w:val="es-ES"/>
              </w:rPr>
              <w:t>Calibrachoa</w:t>
            </w:r>
            <w:proofErr w:type="spellEnd"/>
            <w:r w:rsidRPr="003D46E8">
              <w:rPr>
                <w:rFonts w:eastAsia="Cambria" w:cs="Arial"/>
                <w:bCs/>
                <w:spacing w:val="-3"/>
                <w:lang w:val="es-ES"/>
              </w:rPr>
              <w:t xml:space="preserve"> </w:t>
            </w:r>
            <w:proofErr w:type="spellStart"/>
            <w:r w:rsidRPr="003D46E8">
              <w:rPr>
                <w:rFonts w:eastAsia="Cambria" w:cs="Arial"/>
                <w:bCs/>
                <w:spacing w:val="-3"/>
                <w:lang w:val="es-ES"/>
              </w:rPr>
              <w:t>Cerv</w:t>
            </w:r>
            <w:proofErr w:type="spellEnd"/>
            <w:r w:rsidRPr="003D46E8">
              <w:rPr>
                <w:rFonts w:eastAsia="Cambria" w:cs="Arial"/>
                <w:bCs/>
                <w:spacing w:val="-3"/>
                <w:lang w:val="es-ES"/>
              </w:rPr>
              <w:t>.</w:t>
            </w:r>
          </w:p>
        </w:tc>
        <w:tc>
          <w:tcPr>
            <w:tcW w:w="283" w:type="dxa"/>
            <w:tcBorders>
              <w:top w:val="nil"/>
              <w:left w:val="nil"/>
              <w:bottom w:val="single" w:sz="4" w:space="0" w:color="auto"/>
              <w:right w:val="single" w:sz="4" w:space="0" w:color="auto"/>
            </w:tcBorders>
            <w:shd w:val="clear" w:color="auto" w:fill="FFFFFF"/>
            <w:noWrap/>
            <w:vAlign w:val="center"/>
            <w:hideMark/>
          </w:tcPr>
          <w:p w14:paraId="5B6786A9"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67</w:t>
            </w:r>
          </w:p>
        </w:tc>
        <w:tc>
          <w:tcPr>
            <w:tcW w:w="764" w:type="dxa"/>
            <w:tcBorders>
              <w:top w:val="nil"/>
              <w:left w:val="nil"/>
              <w:bottom w:val="single" w:sz="4" w:space="0" w:color="auto"/>
              <w:right w:val="single" w:sz="4" w:space="0" w:color="auto"/>
            </w:tcBorders>
            <w:shd w:val="clear" w:color="auto" w:fill="FFFFFF"/>
            <w:noWrap/>
            <w:vAlign w:val="center"/>
            <w:hideMark/>
          </w:tcPr>
          <w:p w14:paraId="2DA5F649"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65</w:t>
            </w:r>
          </w:p>
        </w:tc>
        <w:tc>
          <w:tcPr>
            <w:tcW w:w="863" w:type="dxa"/>
            <w:tcBorders>
              <w:top w:val="nil"/>
              <w:left w:val="nil"/>
              <w:bottom w:val="single" w:sz="4" w:space="0" w:color="auto"/>
              <w:right w:val="single" w:sz="4" w:space="0" w:color="auto"/>
            </w:tcBorders>
            <w:shd w:val="clear" w:color="auto" w:fill="FFFFFF"/>
            <w:noWrap/>
            <w:vAlign w:val="center"/>
            <w:hideMark/>
          </w:tcPr>
          <w:p w14:paraId="52E60FC8"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33</w:t>
            </w:r>
          </w:p>
        </w:tc>
        <w:tc>
          <w:tcPr>
            <w:tcW w:w="863" w:type="dxa"/>
            <w:tcBorders>
              <w:top w:val="nil"/>
              <w:left w:val="nil"/>
              <w:bottom w:val="single" w:sz="4" w:space="0" w:color="auto"/>
              <w:right w:val="single" w:sz="4" w:space="0" w:color="auto"/>
            </w:tcBorders>
            <w:shd w:val="clear" w:color="auto" w:fill="FFFFFF"/>
            <w:noWrap/>
            <w:vAlign w:val="center"/>
            <w:hideMark/>
          </w:tcPr>
          <w:p w14:paraId="5EF84D83"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30</w:t>
            </w:r>
          </w:p>
        </w:tc>
        <w:tc>
          <w:tcPr>
            <w:tcW w:w="863" w:type="dxa"/>
            <w:tcBorders>
              <w:top w:val="nil"/>
              <w:left w:val="nil"/>
              <w:bottom w:val="single" w:sz="4" w:space="0" w:color="auto"/>
              <w:right w:val="single" w:sz="4" w:space="0" w:color="auto"/>
            </w:tcBorders>
            <w:shd w:val="clear" w:color="auto" w:fill="FFFFFF"/>
            <w:noWrap/>
            <w:vAlign w:val="center"/>
            <w:hideMark/>
          </w:tcPr>
          <w:p w14:paraId="76C27CF8"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51</w:t>
            </w:r>
          </w:p>
        </w:tc>
        <w:tc>
          <w:tcPr>
            <w:tcW w:w="1892" w:type="dxa"/>
            <w:tcBorders>
              <w:top w:val="nil"/>
              <w:left w:val="nil"/>
              <w:bottom w:val="single" w:sz="4" w:space="0" w:color="auto"/>
              <w:right w:val="single" w:sz="4" w:space="0" w:color="auto"/>
            </w:tcBorders>
            <w:shd w:val="clear" w:color="auto" w:fill="FFFFFF"/>
            <w:noWrap/>
            <w:vAlign w:val="center"/>
            <w:hideMark/>
          </w:tcPr>
          <w:p w14:paraId="1E4122E4"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1 745</w:t>
            </w:r>
          </w:p>
        </w:tc>
      </w:tr>
      <w:tr w:rsidR="003D46E8" w:rsidRPr="003D46E8" w14:paraId="626368DB"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299528DE" w14:textId="77777777" w:rsidR="003D46E8" w:rsidRPr="003D46E8" w:rsidRDefault="003D46E8" w:rsidP="003D46E8">
            <w:pPr>
              <w:jc w:val="left"/>
              <w:rPr>
                <w:rFonts w:eastAsia="Cambria" w:cs="Arial"/>
                <w:bCs/>
                <w:i/>
                <w:iCs/>
                <w:spacing w:val="-3"/>
                <w:lang w:val="es-ES"/>
              </w:rPr>
            </w:pPr>
            <w:proofErr w:type="spellStart"/>
            <w:r w:rsidRPr="003D46E8">
              <w:rPr>
                <w:rFonts w:eastAsia="Cambria" w:cs="Arial"/>
                <w:bCs/>
                <w:i/>
                <w:iCs/>
                <w:spacing w:val="-3"/>
                <w:lang w:val="es-ES"/>
              </w:rPr>
              <w:t>Pelargonium</w:t>
            </w:r>
            <w:proofErr w:type="spellEnd"/>
            <w:r w:rsidRPr="003D46E8">
              <w:rPr>
                <w:rFonts w:eastAsia="Cambria" w:cs="Arial"/>
                <w:bCs/>
                <w:i/>
                <w:iCs/>
                <w:spacing w:val="-3"/>
                <w:lang w:val="es-ES"/>
              </w:rPr>
              <w:t xml:space="preserve"> </w:t>
            </w:r>
          </w:p>
        </w:tc>
        <w:tc>
          <w:tcPr>
            <w:tcW w:w="283" w:type="dxa"/>
            <w:tcBorders>
              <w:top w:val="nil"/>
              <w:left w:val="nil"/>
              <w:bottom w:val="single" w:sz="4" w:space="0" w:color="auto"/>
              <w:right w:val="single" w:sz="4" w:space="0" w:color="auto"/>
            </w:tcBorders>
            <w:shd w:val="clear" w:color="auto" w:fill="FFFFFF"/>
            <w:noWrap/>
            <w:vAlign w:val="center"/>
            <w:hideMark/>
          </w:tcPr>
          <w:p w14:paraId="5A4D8691" w14:textId="77777777" w:rsidR="003D46E8" w:rsidRPr="003D46E8" w:rsidRDefault="003D46E8" w:rsidP="003D46E8">
            <w:pPr>
              <w:jc w:val="center"/>
              <w:rPr>
                <w:rFonts w:eastAsia="Cambria" w:cs="Arial"/>
                <w:bCs/>
                <w:spacing w:val="-3"/>
                <w:lang w:val="en-IE"/>
              </w:rPr>
            </w:pPr>
            <w:r w:rsidRPr="003D46E8">
              <w:rPr>
                <w:rFonts w:eastAsia="Cambria" w:cs="Arial"/>
                <w:bCs/>
                <w:color w:val="000000"/>
                <w:spacing w:val="-3"/>
                <w:lang w:val="en-IE"/>
              </w:rPr>
              <w:t>63</w:t>
            </w:r>
          </w:p>
        </w:tc>
        <w:tc>
          <w:tcPr>
            <w:tcW w:w="764" w:type="dxa"/>
            <w:tcBorders>
              <w:top w:val="nil"/>
              <w:left w:val="nil"/>
              <w:bottom w:val="single" w:sz="4" w:space="0" w:color="auto"/>
              <w:right w:val="single" w:sz="4" w:space="0" w:color="auto"/>
            </w:tcBorders>
            <w:shd w:val="clear" w:color="auto" w:fill="FFFFFF"/>
            <w:noWrap/>
            <w:vAlign w:val="center"/>
            <w:hideMark/>
          </w:tcPr>
          <w:p w14:paraId="6B30522C" w14:textId="77777777" w:rsidR="003D46E8" w:rsidRPr="003D46E8" w:rsidRDefault="003D46E8" w:rsidP="003D46E8">
            <w:pPr>
              <w:jc w:val="center"/>
              <w:rPr>
                <w:rFonts w:eastAsia="Cambria" w:cs="Arial"/>
                <w:bCs/>
                <w:spacing w:val="-3"/>
                <w:lang w:val="en-IE"/>
              </w:rPr>
            </w:pPr>
            <w:r w:rsidRPr="003D46E8">
              <w:rPr>
                <w:rFonts w:eastAsia="Cambria" w:cs="Arial"/>
                <w:bCs/>
                <w:color w:val="000000"/>
                <w:spacing w:val="-3"/>
                <w:lang w:val="en-IE"/>
              </w:rPr>
              <w:t>41</w:t>
            </w:r>
          </w:p>
        </w:tc>
        <w:tc>
          <w:tcPr>
            <w:tcW w:w="863" w:type="dxa"/>
            <w:tcBorders>
              <w:top w:val="nil"/>
              <w:left w:val="nil"/>
              <w:bottom w:val="single" w:sz="4" w:space="0" w:color="auto"/>
              <w:right w:val="single" w:sz="4" w:space="0" w:color="auto"/>
            </w:tcBorders>
            <w:shd w:val="clear" w:color="auto" w:fill="FFFFFF"/>
            <w:noWrap/>
            <w:vAlign w:val="center"/>
            <w:hideMark/>
          </w:tcPr>
          <w:p w14:paraId="37CD5899" w14:textId="77777777" w:rsidR="003D46E8" w:rsidRPr="003D46E8" w:rsidRDefault="003D46E8" w:rsidP="003D46E8">
            <w:pPr>
              <w:jc w:val="center"/>
              <w:rPr>
                <w:rFonts w:eastAsia="Cambria" w:cs="Arial"/>
                <w:bCs/>
                <w:spacing w:val="-3"/>
                <w:lang w:val="en-IE"/>
              </w:rPr>
            </w:pPr>
            <w:r w:rsidRPr="003D46E8">
              <w:rPr>
                <w:rFonts w:eastAsia="Cambria" w:cs="Arial"/>
                <w:bCs/>
                <w:color w:val="000000"/>
                <w:spacing w:val="-3"/>
                <w:lang w:val="en-IE"/>
              </w:rPr>
              <w:t>16</w:t>
            </w:r>
          </w:p>
        </w:tc>
        <w:tc>
          <w:tcPr>
            <w:tcW w:w="863" w:type="dxa"/>
            <w:tcBorders>
              <w:top w:val="nil"/>
              <w:left w:val="nil"/>
              <w:bottom w:val="single" w:sz="4" w:space="0" w:color="auto"/>
              <w:right w:val="single" w:sz="4" w:space="0" w:color="auto"/>
            </w:tcBorders>
            <w:shd w:val="clear" w:color="auto" w:fill="FFFFFF"/>
            <w:noWrap/>
            <w:vAlign w:val="center"/>
            <w:hideMark/>
          </w:tcPr>
          <w:p w14:paraId="5BCCADBD" w14:textId="77777777" w:rsidR="003D46E8" w:rsidRPr="003D46E8" w:rsidRDefault="003D46E8" w:rsidP="003D46E8">
            <w:pPr>
              <w:jc w:val="center"/>
              <w:rPr>
                <w:rFonts w:eastAsia="Cambria" w:cs="Arial"/>
                <w:bCs/>
                <w:spacing w:val="-3"/>
                <w:lang w:val="en-IE"/>
              </w:rPr>
            </w:pPr>
            <w:r w:rsidRPr="003D46E8">
              <w:rPr>
                <w:rFonts w:eastAsia="Cambria" w:cs="Arial"/>
                <w:bCs/>
                <w:color w:val="000000"/>
                <w:spacing w:val="-3"/>
                <w:lang w:val="en-IE"/>
              </w:rPr>
              <w:t>20</w:t>
            </w:r>
          </w:p>
        </w:tc>
        <w:tc>
          <w:tcPr>
            <w:tcW w:w="863" w:type="dxa"/>
            <w:tcBorders>
              <w:top w:val="nil"/>
              <w:left w:val="nil"/>
              <w:bottom w:val="single" w:sz="4" w:space="0" w:color="auto"/>
              <w:right w:val="single" w:sz="4" w:space="0" w:color="auto"/>
            </w:tcBorders>
            <w:shd w:val="clear" w:color="auto" w:fill="FFFFFF"/>
            <w:noWrap/>
            <w:vAlign w:val="center"/>
            <w:hideMark/>
          </w:tcPr>
          <w:p w14:paraId="5632026D" w14:textId="77777777" w:rsidR="003D46E8" w:rsidRPr="003D46E8" w:rsidRDefault="003D46E8" w:rsidP="003D46E8">
            <w:pPr>
              <w:jc w:val="center"/>
              <w:rPr>
                <w:rFonts w:eastAsia="Cambria" w:cs="Arial"/>
                <w:bCs/>
                <w:spacing w:val="-3"/>
                <w:lang w:val="en-IE"/>
              </w:rPr>
            </w:pPr>
            <w:r w:rsidRPr="003D46E8">
              <w:rPr>
                <w:rFonts w:eastAsia="Cambria" w:cs="Arial"/>
                <w:bCs/>
                <w:color w:val="000000"/>
                <w:spacing w:val="-3"/>
                <w:lang w:val="en-IE"/>
              </w:rPr>
              <w:t>12</w:t>
            </w:r>
          </w:p>
        </w:tc>
        <w:tc>
          <w:tcPr>
            <w:tcW w:w="1892" w:type="dxa"/>
            <w:tcBorders>
              <w:top w:val="nil"/>
              <w:left w:val="nil"/>
              <w:bottom w:val="single" w:sz="4" w:space="0" w:color="auto"/>
              <w:right w:val="single" w:sz="4" w:space="0" w:color="auto"/>
            </w:tcBorders>
            <w:shd w:val="clear" w:color="auto" w:fill="FFFFFF"/>
            <w:noWrap/>
            <w:vAlign w:val="center"/>
            <w:hideMark/>
          </w:tcPr>
          <w:p w14:paraId="5793F679" w14:textId="77777777" w:rsidR="003D46E8" w:rsidRPr="003D46E8" w:rsidRDefault="003D46E8" w:rsidP="003D46E8">
            <w:pPr>
              <w:jc w:val="center"/>
              <w:rPr>
                <w:rFonts w:eastAsia="Cambria" w:cs="Arial"/>
                <w:b/>
                <w:color w:val="000000"/>
                <w:spacing w:val="-3"/>
                <w:lang w:val="en-IE"/>
              </w:rPr>
            </w:pPr>
            <w:r w:rsidRPr="003D46E8">
              <w:rPr>
                <w:rFonts w:eastAsia="Cambria" w:cs="Arial"/>
                <w:b/>
                <w:color w:val="000000"/>
                <w:spacing w:val="-3"/>
                <w:lang w:val="en-IE"/>
              </w:rPr>
              <w:t>1 702</w:t>
            </w:r>
          </w:p>
        </w:tc>
      </w:tr>
      <w:tr w:rsidR="003D46E8" w:rsidRPr="003D46E8" w14:paraId="35C7A274"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1ABA7ECA"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Lilium</w:t>
            </w:r>
            <w:r w:rsidRPr="003D46E8">
              <w:rPr>
                <w:rFonts w:eastAsia="Cambria" w:cs="Arial"/>
                <w:bCs/>
                <w:spacing w:val="-3"/>
                <w:lang w:val="en-IE"/>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7F9ECE11"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14</w:t>
            </w:r>
          </w:p>
        </w:tc>
        <w:tc>
          <w:tcPr>
            <w:tcW w:w="764" w:type="dxa"/>
            <w:tcBorders>
              <w:top w:val="nil"/>
              <w:left w:val="nil"/>
              <w:bottom w:val="single" w:sz="4" w:space="0" w:color="auto"/>
              <w:right w:val="single" w:sz="4" w:space="0" w:color="auto"/>
            </w:tcBorders>
            <w:shd w:val="clear" w:color="auto" w:fill="FFFFFF"/>
            <w:noWrap/>
            <w:vAlign w:val="center"/>
            <w:hideMark/>
          </w:tcPr>
          <w:p w14:paraId="0A545558"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36</w:t>
            </w:r>
          </w:p>
        </w:tc>
        <w:tc>
          <w:tcPr>
            <w:tcW w:w="863" w:type="dxa"/>
            <w:tcBorders>
              <w:top w:val="nil"/>
              <w:left w:val="nil"/>
              <w:bottom w:val="single" w:sz="4" w:space="0" w:color="auto"/>
              <w:right w:val="single" w:sz="4" w:space="0" w:color="auto"/>
            </w:tcBorders>
            <w:shd w:val="clear" w:color="auto" w:fill="FFFFFF"/>
            <w:noWrap/>
            <w:vAlign w:val="center"/>
            <w:hideMark/>
          </w:tcPr>
          <w:p w14:paraId="605ACB7C"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18</w:t>
            </w:r>
          </w:p>
        </w:tc>
        <w:tc>
          <w:tcPr>
            <w:tcW w:w="863" w:type="dxa"/>
            <w:tcBorders>
              <w:top w:val="nil"/>
              <w:left w:val="nil"/>
              <w:bottom w:val="single" w:sz="4" w:space="0" w:color="auto"/>
              <w:right w:val="single" w:sz="4" w:space="0" w:color="auto"/>
            </w:tcBorders>
            <w:shd w:val="clear" w:color="auto" w:fill="FFFFFF"/>
            <w:noWrap/>
            <w:vAlign w:val="center"/>
            <w:hideMark/>
          </w:tcPr>
          <w:p w14:paraId="163D4EEF"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19</w:t>
            </w:r>
          </w:p>
        </w:tc>
        <w:tc>
          <w:tcPr>
            <w:tcW w:w="863" w:type="dxa"/>
            <w:tcBorders>
              <w:top w:val="nil"/>
              <w:left w:val="nil"/>
              <w:bottom w:val="single" w:sz="4" w:space="0" w:color="auto"/>
              <w:right w:val="single" w:sz="4" w:space="0" w:color="auto"/>
            </w:tcBorders>
            <w:shd w:val="clear" w:color="auto" w:fill="FFFFFF"/>
            <w:noWrap/>
            <w:vAlign w:val="center"/>
            <w:hideMark/>
          </w:tcPr>
          <w:p w14:paraId="4909D61B"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10</w:t>
            </w:r>
          </w:p>
        </w:tc>
        <w:tc>
          <w:tcPr>
            <w:tcW w:w="1892" w:type="dxa"/>
            <w:tcBorders>
              <w:top w:val="nil"/>
              <w:left w:val="nil"/>
              <w:bottom w:val="single" w:sz="4" w:space="0" w:color="auto"/>
              <w:right w:val="single" w:sz="4" w:space="0" w:color="auto"/>
            </w:tcBorders>
            <w:shd w:val="clear" w:color="auto" w:fill="FFFFFF"/>
            <w:noWrap/>
            <w:vAlign w:val="center"/>
            <w:hideMark/>
          </w:tcPr>
          <w:p w14:paraId="196794E4"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1 418</w:t>
            </w:r>
          </w:p>
        </w:tc>
      </w:tr>
      <w:tr w:rsidR="003D46E8" w:rsidRPr="003D46E8" w14:paraId="4EA601C2"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46B01BC0"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Gerbera</w:t>
            </w:r>
            <w:r w:rsidRPr="003D46E8">
              <w:rPr>
                <w:rFonts w:eastAsia="Cambria" w:cs="Arial"/>
                <w:bCs/>
                <w:spacing w:val="-3"/>
                <w:lang w:val="en-IE"/>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6D2565E5"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18</w:t>
            </w:r>
          </w:p>
        </w:tc>
        <w:tc>
          <w:tcPr>
            <w:tcW w:w="764" w:type="dxa"/>
            <w:tcBorders>
              <w:top w:val="nil"/>
              <w:left w:val="nil"/>
              <w:bottom w:val="single" w:sz="4" w:space="0" w:color="auto"/>
              <w:right w:val="single" w:sz="4" w:space="0" w:color="auto"/>
            </w:tcBorders>
            <w:shd w:val="clear" w:color="auto" w:fill="FFFFFF"/>
            <w:noWrap/>
            <w:vAlign w:val="center"/>
            <w:hideMark/>
          </w:tcPr>
          <w:p w14:paraId="4EC2F787"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29</w:t>
            </w:r>
          </w:p>
        </w:tc>
        <w:tc>
          <w:tcPr>
            <w:tcW w:w="863" w:type="dxa"/>
            <w:tcBorders>
              <w:top w:val="nil"/>
              <w:left w:val="nil"/>
              <w:bottom w:val="single" w:sz="4" w:space="0" w:color="auto"/>
              <w:right w:val="single" w:sz="4" w:space="0" w:color="auto"/>
            </w:tcBorders>
            <w:shd w:val="clear" w:color="auto" w:fill="FFFFFF"/>
            <w:noWrap/>
            <w:vAlign w:val="center"/>
            <w:hideMark/>
          </w:tcPr>
          <w:p w14:paraId="289EE144"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15</w:t>
            </w:r>
          </w:p>
        </w:tc>
        <w:tc>
          <w:tcPr>
            <w:tcW w:w="863" w:type="dxa"/>
            <w:tcBorders>
              <w:top w:val="nil"/>
              <w:left w:val="nil"/>
              <w:bottom w:val="single" w:sz="4" w:space="0" w:color="auto"/>
              <w:right w:val="single" w:sz="4" w:space="0" w:color="auto"/>
            </w:tcBorders>
            <w:shd w:val="clear" w:color="auto" w:fill="FFFFFF"/>
            <w:noWrap/>
            <w:vAlign w:val="center"/>
            <w:hideMark/>
          </w:tcPr>
          <w:p w14:paraId="7234C4C4"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10</w:t>
            </w:r>
          </w:p>
        </w:tc>
        <w:tc>
          <w:tcPr>
            <w:tcW w:w="863" w:type="dxa"/>
            <w:tcBorders>
              <w:top w:val="nil"/>
              <w:left w:val="nil"/>
              <w:bottom w:val="single" w:sz="4" w:space="0" w:color="auto"/>
              <w:right w:val="single" w:sz="4" w:space="0" w:color="auto"/>
            </w:tcBorders>
            <w:shd w:val="clear" w:color="auto" w:fill="FFFFFF"/>
            <w:noWrap/>
            <w:vAlign w:val="center"/>
            <w:hideMark/>
          </w:tcPr>
          <w:p w14:paraId="6D6D95F3"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13</w:t>
            </w:r>
          </w:p>
        </w:tc>
        <w:tc>
          <w:tcPr>
            <w:tcW w:w="1892" w:type="dxa"/>
            <w:tcBorders>
              <w:top w:val="nil"/>
              <w:left w:val="nil"/>
              <w:bottom w:val="single" w:sz="4" w:space="0" w:color="auto"/>
              <w:right w:val="single" w:sz="4" w:space="0" w:color="auto"/>
            </w:tcBorders>
            <w:shd w:val="clear" w:color="auto" w:fill="FFFFFF"/>
            <w:noWrap/>
            <w:vAlign w:val="center"/>
            <w:hideMark/>
          </w:tcPr>
          <w:p w14:paraId="201E8A22"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1 279</w:t>
            </w:r>
          </w:p>
        </w:tc>
      </w:tr>
      <w:tr w:rsidR="003D46E8" w:rsidRPr="003D46E8" w14:paraId="1272E426"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519E4D49"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Dianthus</w:t>
            </w:r>
            <w:r w:rsidRPr="003D46E8">
              <w:rPr>
                <w:rFonts w:eastAsia="Cambria" w:cs="Arial"/>
                <w:bCs/>
                <w:spacing w:val="-3"/>
                <w:lang w:val="en-IE"/>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4107D33E"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49</w:t>
            </w:r>
          </w:p>
        </w:tc>
        <w:tc>
          <w:tcPr>
            <w:tcW w:w="764" w:type="dxa"/>
            <w:tcBorders>
              <w:top w:val="nil"/>
              <w:left w:val="nil"/>
              <w:bottom w:val="single" w:sz="4" w:space="0" w:color="auto"/>
              <w:right w:val="single" w:sz="4" w:space="0" w:color="auto"/>
            </w:tcBorders>
            <w:shd w:val="clear" w:color="auto" w:fill="FFFFFF"/>
            <w:noWrap/>
            <w:vAlign w:val="center"/>
            <w:hideMark/>
          </w:tcPr>
          <w:p w14:paraId="643FD6AD"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40</w:t>
            </w:r>
          </w:p>
        </w:tc>
        <w:tc>
          <w:tcPr>
            <w:tcW w:w="863" w:type="dxa"/>
            <w:tcBorders>
              <w:top w:val="nil"/>
              <w:left w:val="nil"/>
              <w:bottom w:val="single" w:sz="4" w:space="0" w:color="auto"/>
              <w:right w:val="single" w:sz="4" w:space="0" w:color="auto"/>
            </w:tcBorders>
            <w:shd w:val="clear" w:color="auto" w:fill="FFFFFF"/>
            <w:noWrap/>
            <w:vAlign w:val="center"/>
            <w:hideMark/>
          </w:tcPr>
          <w:p w14:paraId="001B8CEF"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15</w:t>
            </w:r>
          </w:p>
        </w:tc>
        <w:tc>
          <w:tcPr>
            <w:tcW w:w="863" w:type="dxa"/>
            <w:tcBorders>
              <w:top w:val="nil"/>
              <w:left w:val="nil"/>
              <w:bottom w:val="single" w:sz="4" w:space="0" w:color="auto"/>
              <w:right w:val="single" w:sz="4" w:space="0" w:color="auto"/>
            </w:tcBorders>
            <w:shd w:val="clear" w:color="auto" w:fill="FFFFFF"/>
            <w:noWrap/>
            <w:vAlign w:val="center"/>
            <w:hideMark/>
          </w:tcPr>
          <w:p w14:paraId="3BFA5762"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14</w:t>
            </w:r>
          </w:p>
        </w:tc>
        <w:tc>
          <w:tcPr>
            <w:tcW w:w="863" w:type="dxa"/>
            <w:tcBorders>
              <w:top w:val="nil"/>
              <w:left w:val="nil"/>
              <w:bottom w:val="single" w:sz="4" w:space="0" w:color="auto"/>
              <w:right w:val="single" w:sz="4" w:space="0" w:color="auto"/>
            </w:tcBorders>
            <w:shd w:val="clear" w:color="auto" w:fill="FFFFFF"/>
            <w:noWrap/>
            <w:vAlign w:val="center"/>
            <w:hideMark/>
          </w:tcPr>
          <w:p w14:paraId="0DF72B0A"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11</w:t>
            </w:r>
          </w:p>
        </w:tc>
        <w:tc>
          <w:tcPr>
            <w:tcW w:w="1892" w:type="dxa"/>
            <w:tcBorders>
              <w:top w:val="nil"/>
              <w:left w:val="nil"/>
              <w:bottom w:val="single" w:sz="4" w:space="0" w:color="auto"/>
              <w:right w:val="single" w:sz="4" w:space="0" w:color="auto"/>
            </w:tcBorders>
            <w:shd w:val="clear" w:color="auto" w:fill="FFFFFF"/>
            <w:noWrap/>
            <w:vAlign w:val="center"/>
            <w:hideMark/>
          </w:tcPr>
          <w:p w14:paraId="5E3AD7BA"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1 184</w:t>
            </w:r>
          </w:p>
        </w:tc>
      </w:tr>
      <w:tr w:rsidR="003D46E8" w:rsidRPr="003D46E8" w14:paraId="77307400"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5CA736A8"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Impatiens</w:t>
            </w:r>
            <w:r w:rsidRPr="003D46E8">
              <w:rPr>
                <w:rFonts w:eastAsia="Cambria" w:cs="Arial"/>
                <w:bCs/>
                <w:spacing w:val="-3"/>
                <w:lang w:val="en-IE"/>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15E8B55B"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12</w:t>
            </w:r>
          </w:p>
        </w:tc>
        <w:tc>
          <w:tcPr>
            <w:tcW w:w="764" w:type="dxa"/>
            <w:tcBorders>
              <w:top w:val="nil"/>
              <w:left w:val="nil"/>
              <w:bottom w:val="single" w:sz="4" w:space="0" w:color="auto"/>
              <w:right w:val="single" w:sz="4" w:space="0" w:color="auto"/>
            </w:tcBorders>
            <w:shd w:val="clear" w:color="auto" w:fill="FFFFFF"/>
            <w:noWrap/>
            <w:vAlign w:val="center"/>
            <w:hideMark/>
          </w:tcPr>
          <w:p w14:paraId="1B82343C"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9</w:t>
            </w:r>
          </w:p>
        </w:tc>
        <w:tc>
          <w:tcPr>
            <w:tcW w:w="863" w:type="dxa"/>
            <w:tcBorders>
              <w:top w:val="nil"/>
              <w:left w:val="nil"/>
              <w:bottom w:val="single" w:sz="4" w:space="0" w:color="auto"/>
              <w:right w:val="single" w:sz="4" w:space="0" w:color="auto"/>
            </w:tcBorders>
            <w:shd w:val="clear" w:color="auto" w:fill="FFFFFF"/>
            <w:noWrap/>
            <w:vAlign w:val="center"/>
            <w:hideMark/>
          </w:tcPr>
          <w:p w14:paraId="6D1AA2E8"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10</w:t>
            </w:r>
          </w:p>
        </w:tc>
        <w:tc>
          <w:tcPr>
            <w:tcW w:w="863" w:type="dxa"/>
            <w:tcBorders>
              <w:top w:val="nil"/>
              <w:left w:val="nil"/>
              <w:bottom w:val="single" w:sz="4" w:space="0" w:color="auto"/>
              <w:right w:val="single" w:sz="4" w:space="0" w:color="auto"/>
            </w:tcBorders>
            <w:shd w:val="clear" w:color="auto" w:fill="FFFFFF"/>
            <w:noWrap/>
            <w:vAlign w:val="center"/>
            <w:hideMark/>
          </w:tcPr>
          <w:p w14:paraId="31E89891"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11</w:t>
            </w:r>
          </w:p>
        </w:tc>
        <w:tc>
          <w:tcPr>
            <w:tcW w:w="863" w:type="dxa"/>
            <w:tcBorders>
              <w:top w:val="nil"/>
              <w:left w:val="nil"/>
              <w:bottom w:val="single" w:sz="4" w:space="0" w:color="auto"/>
              <w:right w:val="single" w:sz="4" w:space="0" w:color="auto"/>
            </w:tcBorders>
            <w:shd w:val="clear" w:color="auto" w:fill="FFFFFF"/>
            <w:noWrap/>
            <w:vAlign w:val="center"/>
            <w:hideMark/>
          </w:tcPr>
          <w:p w14:paraId="4331B6F0"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13</w:t>
            </w:r>
          </w:p>
        </w:tc>
        <w:tc>
          <w:tcPr>
            <w:tcW w:w="1892" w:type="dxa"/>
            <w:tcBorders>
              <w:top w:val="nil"/>
              <w:left w:val="nil"/>
              <w:bottom w:val="single" w:sz="4" w:space="0" w:color="auto"/>
              <w:right w:val="single" w:sz="4" w:space="0" w:color="auto"/>
            </w:tcBorders>
            <w:shd w:val="clear" w:color="auto" w:fill="FFFFFF"/>
            <w:noWrap/>
            <w:vAlign w:val="center"/>
            <w:hideMark/>
          </w:tcPr>
          <w:p w14:paraId="6543DADE"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1 063</w:t>
            </w:r>
          </w:p>
        </w:tc>
      </w:tr>
      <w:tr w:rsidR="003D46E8" w:rsidRPr="003D46E8" w14:paraId="61CD5735"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18DF1FC9"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Anthurium</w:t>
            </w:r>
            <w:r w:rsidRPr="003D46E8">
              <w:rPr>
                <w:rFonts w:eastAsia="Cambria" w:cs="Arial"/>
                <w:bCs/>
                <w:spacing w:val="-3"/>
                <w:lang w:val="en-IE"/>
              </w:rPr>
              <w:t xml:space="preserve"> Schott</w:t>
            </w:r>
          </w:p>
        </w:tc>
        <w:tc>
          <w:tcPr>
            <w:tcW w:w="283" w:type="dxa"/>
            <w:tcBorders>
              <w:top w:val="nil"/>
              <w:left w:val="nil"/>
              <w:bottom w:val="single" w:sz="4" w:space="0" w:color="auto"/>
              <w:right w:val="single" w:sz="4" w:space="0" w:color="auto"/>
            </w:tcBorders>
            <w:shd w:val="clear" w:color="auto" w:fill="FFFFFF"/>
            <w:noWrap/>
            <w:vAlign w:val="center"/>
            <w:hideMark/>
          </w:tcPr>
          <w:p w14:paraId="42D31831"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22</w:t>
            </w:r>
          </w:p>
        </w:tc>
        <w:tc>
          <w:tcPr>
            <w:tcW w:w="764" w:type="dxa"/>
            <w:tcBorders>
              <w:top w:val="nil"/>
              <w:left w:val="nil"/>
              <w:bottom w:val="single" w:sz="4" w:space="0" w:color="auto"/>
              <w:right w:val="single" w:sz="4" w:space="0" w:color="auto"/>
            </w:tcBorders>
            <w:shd w:val="clear" w:color="auto" w:fill="FFFFFF"/>
            <w:noWrap/>
            <w:vAlign w:val="center"/>
            <w:hideMark/>
          </w:tcPr>
          <w:p w14:paraId="3753F627"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14</w:t>
            </w:r>
          </w:p>
        </w:tc>
        <w:tc>
          <w:tcPr>
            <w:tcW w:w="863" w:type="dxa"/>
            <w:tcBorders>
              <w:top w:val="nil"/>
              <w:left w:val="nil"/>
              <w:bottom w:val="single" w:sz="4" w:space="0" w:color="auto"/>
              <w:right w:val="single" w:sz="4" w:space="0" w:color="auto"/>
            </w:tcBorders>
            <w:shd w:val="clear" w:color="auto" w:fill="FFFFFF"/>
            <w:noWrap/>
            <w:vAlign w:val="center"/>
            <w:hideMark/>
          </w:tcPr>
          <w:p w14:paraId="2B1714A7"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40</w:t>
            </w:r>
          </w:p>
        </w:tc>
        <w:tc>
          <w:tcPr>
            <w:tcW w:w="863" w:type="dxa"/>
            <w:tcBorders>
              <w:top w:val="nil"/>
              <w:left w:val="nil"/>
              <w:bottom w:val="single" w:sz="4" w:space="0" w:color="auto"/>
              <w:right w:val="single" w:sz="4" w:space="0" w:color="auto"/>
            </w:tcBorders>
            <w:shd w:val="clear" w:color="auto" w:fill="FFFFFF"/>
            <w:noWrap/>
            <w:vAlign w:val="center"/>
            <w:hideMark/>
          </w:tcPr>
          <w:p w14:paraId="2F802662"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6</w:t>
            </w:r>
          </w:p>
        </w:tc>
        <w:tc>
          <w:tcPr>
            <w:tcW w:w="863" w:type="dxa"/>
            <w:tcBorders>
              <w:top w:val="nil"/>
              <w:left w:val="nil"/>
              <w:bottom w:val="single" w:sz="4" w:space="0" w:color="auto"/>
              <w:right w:val="single" w:sz="4" w:space="0" w:color="auto"/>
            </w:tcBorders>
            <w:shd w:val="clear" w:color="auto" w:fill="FFFFFF"/>
            <w:noWrap/>
            <w:vAlign w:val="center"/>
            <w:hideMark/>
          </w:tcPr>
          <w:p w14:paraId="624D3DAA"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27</w:t>
            </w:r>
          </w:p>
        </w:tc>
        <w:tc>
          <w:tcPr>
            <w:tcW w:w="1892" w:type="dxa"/>
            <w:tcBorders>
              <w:top w:val="nil"/>
              <w:left w:val="nil"/>
              <w:bottom w:val="single" w:sz="4" w:space="0" w:color="auto"/>
              <w:right w:val="single" w:sz="4" w:space="0" w:color="auto"/>
            </w:tcBorders>
            <w:shd w:val="clear" w:color="auto" w:fill="FFFFFF"/>
            <w:noWrap/>
            <w:vAlign w:val="center"/>
            <w:hideMark/>
          </w:tcPr>
          <w:p w14:paraId="48438836"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 xml:space="preserve">    948</w:t>
            </w:r>
          </w:p>
        </w:tc>
      </w:tr>
      <w:tr w:rsidR="003D46E8" w:rsidRPr="003D46E8" w14:paraId="3CAEBF39"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hideMark/>
          </w:tcPr>
          <w:p w14:paraId="1D97730F" w14:textId="77777777" w:rsidR="003D46E8" w:rsidRPr="003D46E8" w:rsidRDefault="003D46E8" w:rsidP="003D46E8">
            <w:pPr>
              <w:jc w:val="left"/>
              <w:rPr>
                <w:rFonts w:cs="Arial"/>
                <w:bCs/>
                <w:lang w:val="en-GB" w:eastAsia="en-GB"/>
              </w:rPr>
            </w:pPr>
            <w:r w:rsidRPr="003D46E8">
              <w:rPr>
                <w:rFonts w:eastAsia="Cambria" w:cs="Arial"/>
                <w:bCs/>
                <w:i/>
                <w:iCs/>
                <w:spacing w:val="-3"/>
                <w:lang w:val="en-IE"/>
              </w:rPr>
              <w:t>Hydrangea</w:t>
            </w:r>
            <w:r w:rsidRPr="003D46E8">
              <w:rPr>
                <w:rFonts w:eastAsia="Cambria" w:cs="Arial"/>
                <w:bCs/>
                <w:spacing w:val="-3"/>
                <w:lang w:val="en-IE"/>
              </w:rPr>
              <w:t xml:space="preserve"> L.</w:t>
            </w:r>
          </w:p>
        </w:tc>
        <w:tc>
          <w:tcPr>
            <w:tcW w:w="283" w:type="dxa"/>
            <w:tcBorders>
              <w:top w:val="nil"/>
              <w:left w:val="nil"/>
              <w:bottom w:val="single" w:sz="4" w:space="0" w:color="auto"/>
              <w:right w:val="single" w:sz="4" w:space="0" w:color="auto"/>
            </w:tcBorders>
            <w:shd w:val="clear" w:color="auto" w:fill="FFFFFF"/>
            <w:noWrap/>
            <w:vAlign w:val="center"/>
            <w:hideMark/>
          </w:tcPr>
          <w:p w14:paraId="5625C204"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32</w:t>
            </w:r>
          </w:p>
        </w:tc>
        <w:tc>
          <w:tcPr>
            <w:tcW w:w="764" w:type="dxa"/>
            <w:tcBorders>
              <w:top w:val="nil"/>
              <w:left w:val="nil"/>
              <w:bottom w:val="single" w:sz="4" w:space="0" w:color="auto"/>
              <w:right w:val="single" w:sz="4" w:space="0" w:color="auto"/>
            </w:tcBorders>
            <w:shd w:val="clear" w:color="auto" w:fill="FFFFFF"/>
            <w:noWrap/>
            <w:vAlign w:val="center"/>
            <w:hideMark/>
          </w:tcPr>
          <w:p w14:paraId="0190FCCE"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38</w:t>
            </w:r>
          </w:p>
        </w:tc>
        <w:tc>
          <w:tcPr>
            <w:tcW w:w="863" w:type="dxa"/>
            <w:tcBorders>
              <w:top w:val="nil"/>
              <w:left w:val="nil"/>
              <w:bottom w:val="single" w:sz="4" w:space="0" w:color="auto"/>
              <w:right w:val="single" w:sz="4" w:space="0" w:color="auto"/>
            </w:tcBorders>
            <w:shd w:val="clear" w:color="auto" w:fill="FFFFFF"/>
            <w:noWrap/>
            <w:vAlign w:val="center"/>
            <w:hideMark/>
          </w:tcPr>
          <w:p w14:paraId="323F2D26"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19</w:t>
            </w:r>
          </w:p>
        </w:tc>
        <w:tc>
          <w:tcPr>
            <w:tcW w:w="863" w:type="dxa"/>
            <w:tcBorders>
              <w:top w:val="nil"/>
              <w:left w:val="nil"/>
              <w:bottom w:val="single" w:sz="4" w:space="0" w:color="auto"/>
              <w:right w:val="single" w:sz="4" w:space="0" w:color="auto"/>
            </w:tcBorders>
            <w:shd w:val="clear" w:color="auto" w:fill="FFFFFF"/>
            <w:noWrap/>
            <w:vAlign w:val="center"/>
            <w:hideMark/>
          </w:tcPr>
          <w:p w14:paraId="3CB3DB21" w14:textId="77777777" w:rsidR="003D46E8" w:rsidRPr="003D46E8" w:rsidRDefault="003D46E8" w:rsidP="003D46E8">
            <w:pPr>
              <w:jc w:val="center"/>
              <w:rPr>
                <w:rFonts w:cs="Arial"/>
                <w:color w:val="000000"/>
                <w:lang w:val="en-GB" w:eastAsia="en-GB"/>
              </w:rPr>
            </w:pPr>
            <w:r w:rsidRPr="003D46E8">
              <w:rPr>
                <w:rFonts w:eastAsia="Cambria" w:cs="Arial"/>
                <w:bCs/>
                <w:color w:val="000000"/>
                <w:spacing w:val="-3"/>
                <w:lang w:val="en-IE"/>
              </w:rPr>
              <w:t>40</w:t>
            </w:r>
          </w:p>
        </w:tc>
        <w:tc>
          <w:tcPr>
            <w:tcW w:w="863" w:type="dxa"/>
            <w:tcBorders>
              <w:top w:val="nil"/>
              <w:left w:val="nil"/>
              <w:bottom w:val="single" w:sz="4" w:space="0" w:color="auto"/>
              <w:right w:val="single" w:sz="4" w:space="0" w:color="auto"/>
            </w:tcBorders>
            <w:shd w:val="clear" w:color="auto" w:fill="FFFFFF"/>
            <w:noWrap/>
            <w:vAlign w:val="center"/>
            <w:hideMark/>
          </w:tcPr>
          <w:p w14:paraId="5AEA5B8A" w14:textId="77777777" w:rsidR="003D46E8" w:rsidRPr="003D46E8" w:rsidRDefault="003D46E8" w:rsidP="003D46E8">
            <w:pPr>
              <w:jc w:val="center"/>
              <w:rPr>
                <w:rFonts w:cs="Arial"/>
                <w:b/>
                <w:bCs/>
                <w:color w:val="000000"/>
                <w:lang w:val="en-GB" w:eastAsia="en-GB"/>
              </w:rPr>
            </w:pPr>
            <w:r w:rsidRPr="003D46E8">
              <w:rPr>
                <w:rFonts w:eastAsia="Cambria" w:cs="Arial"/>
                <w:bCs/>
                <w:color w:val="000000"/>
                <w:spacing w:val="-3"/>
                <w:lang w:val="en-IE"/>
              </w:rPr>
              <w:t>18</w:t>
            </w:r>
          </w:p>
        </w:tc>
        <w:tc>
          <w:tcPr>
            <w:tcW w:w="1892" w:type="dxa"/>
            <w:tcBorders>
              <w:top w:val="nil"/>
              <w:left w:val="nil"/>
              <w:bottom w:val="single" w:sz="4" w:space="0" w:color="auto"/>
              <w:right w:val="single" w:sz="4" w:space="0" w:color="auto"/>
            </w:tcBorders>
            <w:shd w:val="clear" w:color="auto" w:fill="FFFFFF"/>
            <w:noWrap/>
            <w:vAlign w:val="center"/>
            <w:hideMark/>
          </w:tcPr>
          <w:p w14:paraId="6BC6977E"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 xml:space="preserve">    683</w:t>
            </w:r>
          </w:p>
        </w:tc>
      </w:tr>
      <w:tr w:rsidR="003D46E8" w:rsidRPr="003D46E8" w14:paraId="263F2883" w14:textId="77777777" w:rsidTr="003D46E8">
        <w:trPr>
          <w:trHeight w:val="338"/>
        </w:trPr>
        <w:tc>
          <w:tcPr>
            <w:tcW w:w="2122" w:type="dxa"/>
            <w:tcBorders>
              <w:top w:val="nil"/>
              <w:left w:val="single" w:sz="4" w:space="0" w:color="auto"/>
              <w:bottom w:val="single" w:sz="4" w:space="0" w:color="auto"/>
              <w:right w:val="single" w:sz="4" w:space="0" w:color="auto"/>
            </w:tcBorders>
            <w:shd w:val="clear" w:color="auto" w:fill="FFFFFF"/>
            <w:noWrap/>
            <w:vAlign w:val="center"/>
            <w:hideMark/>
          </w:tcPr>
          <w:p w14:paraId="16EAD0B1" w14:textId="77777777" w:rsidR="003D46E8" w:rsidRPr="003D46E8" w:rsidRDefault="003D46E8" w:rsidP="003D46E8">
            <w:pPr>
              <w:jc w:val="left"/>
              <w:rPr>
                <w:rFonts w:cs="Arial"/>
                <w:b/>
                <w:bCs/>
                <w:color w:val="000000"/>
                <w:lang w:val="en-GB" w:eastAsia="en-GB"/>
              </w:rPr>
            </w:pPr>
            <w:r w:rsidRPr="003D46E8">
              <w:rPr>
                <w:rFonts w:cs="Arial"/>
                <w:b/>
                <w:bCs/>
                <w:color w:val="000000"/>
                <w:lang w:val="en-GB" w:eastAsia="en-GB"/>
              </w:rPr>
              <w:t>Total per year</w:t>
            </w:r>
          </w:p>
        </w:tc>
        <w:tc>
          <w:tcPr>
            <w:tcW w:w="283" w:type="dxa"/>
            <w:tcBorders>
              <w:top w:val="nil"/>
              <w:left w:val="nil"/>
              <w:bottom w:val="single" w:sz="4" w:space="0" w:color="auto"/>
              <w:right w:val="single" w:sz="4" w:space="0" w:color="auto"/>
            </w:tcBorders>
            <w:shd w:val="clear" w:color="auto" w:fill="FFFFFF"/>
            <w:noWrap/>
            <w:vAlign w:val="center"/>
            <w:hideMark/>
          </w:tcPr>
          <w:p w14:paraId="4954C7C1"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637</w:t>
            </w:r>
          </w:p>
        </w:tc>
        <w:tc>
          <w:tcPr>
            <w:tcW w:w="764" w:type="dxa"/>
            <w:tcBorders>
              <w:top w:val="nil"/>
              <w:left w:val="nil"/>
              <w:bottom w:val="single" w:sz="4" w:space="0" w:color="auto"/>
              <w:right w:val="single" w:sz="4" w:space="0" w:color="auto"/>
            </w:tcBorders>
            <w:shd w:val="clear" w:color="auto" w:fill="FFFFFF"/>
            <w:noWrap/>
            <w:vAlign w:val="center"/>
            <w:hideMark/>
          </w:tcPr>
          <w:p w14:paraId="54800C75"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653</w:t>
            </w:r>
          </w:p>
        </w:tc>
        <w:tc>
          <w:tcPr>
            <w:tcW w:w="863" w:type="dxa"/>
            <w:tcBorders>
              <w:top w:val="nil"/>
              <w:left w:val="nil"/>
              <w:bottom w:val="single" w:sz="4" w:space="0" w:color="auto"/>
              <w:right w:val="single" w:sz="4" w:space="0" w:color="auto"/>
            </w:tcBorders>
            <w:shd w:val="clear" w:color="auto" w:fill="FFFFFF"/>
            <w:noWrap/>
            <w:vAlign w:val="center"/>
            <w:hideMark/>
          </w:tcPr>
          <w:p w14:paraId="4F6ABA12"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551</w:t>
            </w:r>
          </w:p>
        </w:tc>
        <w:tc>
          <w:tcPr>
            <w:tcW w:w="863" w:type="dxa"/>
            <w:tcBorders>
              <w:top w:val="nil"/>
              <w:left w:val="nil"/>
              <w:bottom w:val="single" w:sz="4" w:space="0" w:color="auto"/>
              <w:right w:val="single" w:sz="4" w:space="0" w:color="auto"/>
            </w:tcBorders>
            <w:shd w:val="clear" w:color="auto" w:fill="FFFFFF"/>
            <w:noWrap/>
            <w:vAlign w:val="center"/>
            <w:hideMark/>
          </w:tcPr>
          <w:p w14:paraId="4C712F03"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451</w:t>
            </w:r>
          </w:p>
        </w:tc>
        <w:tc>
          <w:tcPr>
            <w:tcW w:w="863" w:type="dxa"/>
            <w:tcBorders>
              <w:top w:val="nil"/>
              <w:left w:val="nil"/>
              <w:bottom w:val="single" w:sz="4" w:space="0" w:color="auto"/>
              <w:right w:val="single" w:sz="4" w:space="0" w:color="auto"/>
            </w:tcBorders>
            <w:shd w:val="clear" w:color="auto" w:fill="FFFFFF"/>
            <w:noWrap/>
            <w:vAlign w:val="center"/>
            <w:hideMark/>
          </w:tcPr>
          <w:p w14:paraId="2D256434"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498</w:t>
            </w:r>
          </w:p>
        </w:tc>
        <w:tc>
          <w:tcPr>
            <w:tcW w:w="1892" w:type="dxa"/>
            <w:tcBorders>
              <w:top w:val="nil"/>
              <w:left w:val="nil"/>
              <w:bottom w:val="single" w:sz="4" w:space="0" w:color="auto"/>
              <w:right w:val="single" w:sz="4" w:space="0" w:color="auto"/>
            </w:tcBorders>
            <w:shd w:val="clear" w:color="auto" w:fill="FFFFFF"/>
            <w:noWrap/>
            <w:vAlign w:val="center"/>
            <w:hideMark/>
          </w:tcPr>
          <w:p w14:paraId="0E81D7C4" w14:textId="77777777" w:rsidR="003D46E8" w:rsidRPr="003D46E8" w:rsidRDefault="003D46E8" w:rsidP="003D46E8">
            <w:pPr>
              <w:jc w:val="center"/>
              <w:rPr>
                <w:rFonts w:cs="Arial"/>
                <w:b/>
                <w:color w:val="000000"/>
                <w:lang w:val="en-GB" w:eastAsia="en-GB"/>
              </w:rPr>
            </w:pPr>
            <w:r w:rsidRPr="003D46E8">
              <w:rPr>
                <w:rFonts w:eastAsia="Cambria" w:cs="Arial"/>
                <w:b/>
                <w:color w:val="000000"/>
                <w:spacing w:val="-3"/>
                <w:lang w:val="en-IE"/>
              </w:rPr>
              <w:t>21 541</w:t>
            </w:r>
          </w:p>
        </w:tc>
      </w:tr>
    </w:tbl>
    <w:p w14:paraId="6001E6CE" w14:textId="77777777" w:rsidR="003D46E8" w:rsidRPr="003D46E8" w:rsidRDefault="003D46E8" w:rsidP="003D46E8">
      <w:pPr>
        <w:rPr>
          <w:rFonts w:eastAsia="Cambria"/>
          <w:lang w:val="en-GB"/>
        </w:rPr>
      </w:pPr>
    </w:p>
    <w:p w14:paraId="44005609" w14:textId="77777777" w:rsidR="003D46E8" w:rsidRDefault="003D46E8" w:rsidP="003D46E8">
      <w:pPr>
        <w:rPr>
          <w:rFonts w:eastAsia="Cambria"/>
          <w:lang w:val="en-GB"/>
        </w:rPr>
      </w:pPr>
      <w:r w:rsidRPr="003D46E8">
        <w:rPr>
          <w:rFonts w:eastAsia="Cambria"/>
          <w:lang w:val="en-GB"/>
        </w:rPr>
        <w:t xml:space="preserve">During the year 2024, an analysis on the reasons for the decrease of applications in the ornamental sector has been carried out though interviews of breeding companies and stakeholder. This analysis has been presented to the administrative Council of the CPVO. The following points summarize the various topics addressed during the interviews: concentration of the industry; too many varieties on the EU market and breeding activities for less species; increase of production costs; impact of Brexit; use of several forms of IP on the same variety. </w:t>
      </w:r>
    </w:p>
    <w:p w14:paraId="6AC95849" w14:textId="77777777" w:rsidR="003D46E8" w:rsidRPr="003D46E8" w:rsidRDefault="003D46E8" w:rsidP="003D46E8">
      <w:pPr>
        <w:rPr>
          <w:rFonts w:eastAsia="Cambria"/>
          <w:lang w:val="en-GB"/>
        </w:rPr>
      </w:pPr>
    </w:p>
    <w:p w14:paraId="5BF17202" w14:textId="77777777" w:rsidR="003D46E8" w:rsidRDefault="003D46E8" w:rsidP="003D46E8">
      <w:pPr>
        <w:pStyle w:val="Heading2"/>
        <w:rPr>
          <w:rFonts w:eastAsia="Cambria"/>
        </w:rPr>
      </w:pPr>
      <w:r w:rsidRPr="003D46E8">
        <w:rPr>
          <w:rFonts w:eastAsia="Cambria"/>
        </w:rPr>
        <w:t>The ornamental expert meeting (</w:t>
      </w:r>
      <w:r w:rsidRPr="003D46E8">
        <w:rPr>
          <w:rFonts w:eastAsia="Cambria"/>
          <w:lang w:val="en-GB"/>
        </w:rPr>
        <w:t>O</w:t>
      </w:r>
      <w:r w:rsidRPr="003D46E8">
        <w:rPr>
          <w:rFonts w:eastAsia="Cambria"/>
        </w:rPr>
        <w:t>EM)</w:t>
      </w:r>
    </w:p>
    <w:p w14:paraId="4FBE5DA2" w14:textId="77777777" w:rsidR="003D46E8" w:rsidRPr="003D46E8" w:rsidRDefault="003D46E8" w:rsidP="003D46E8">
      <w:pPr>
        <w:rPr>
          <w:rFonts w:eastAsia="Cambria"/>
        </w:rPr>
      </w:pPr>
    </w:p>
    <w:p w14:paraId="58AF8F4A" w14:textId="77777777" w:rsidR="003D46E8" w:rsidRPr="00F348BE" w:rsidRDefault="003D46E8" w:rsidP="00F348BE">
      <w:pPr>
        <w:rPr>
          <w:rFonts w:eastAsia="Cambria" w:cs="Arial"/>
          <w:lang w:val="en-GB" w:eastAsia="en-GB"/>
        </w:rPr>
      </w:pPr>
      <w:r w:rsidRPr="00F348BE">
        <w:rPr>
          <w:rFonts w:eastAsia="Cambria" w:cs="Arial"/>
          <w:lang w:eastAsia="en-GB"/>
        </w:rPr>
        <w:t xml:space="preserve">The CPVO held its annual meeting with EU ornamental experts on 1-2 October 2024 </w:t>
      </w:r>
      <w:r w:rsidRPr="00F348BE">
        <w:rPr>
          <w:rFonts w:eastAsia="Cambria" w:cs="Arial"/>
          <w:lang w:val="en-GB" w:eastAsia="en-GB"/>
        </w:rPr>
        <w:t>by electronic means</w:t>
      </w:r>
      <w:r w:rsidRPr="00F348BE">
        <w:rPr>
          <w:rFonts w:eastAsia="Cambria" w:cs="Arial"/>
          <w:lang w:eastAsia="en-GB"/>
        </w:rPr>
        <w:t xml:space="preserve">. </w:t>
      </w:r>
      <w:r w:rsidRPr="00F348BE">
        <w:rPr>
          <w:rFonts w:eastAsia="Cambria" w:cs="Arial"/>
          <w:lang w:val="en-GB" w:eastAsia="en-GB"/>
        </w:rPr>
        <w:t>The meeting was attended by experts from seven examinations offices as well as by representatives of the breeder’s organisations. The group discussed several DUS technical examination related topics - technical protocols (see list above), such as:</w:t>
      </w:r>
    </w:p>
    <w:p w14:paraId="1E495035" w14:textId="77777777" w:rsidR="003D46E8" w:rsidRPr="003D46E8" w:rsidRDefault="003D46E8" w:rsidP="003D46E8">
      <w:pPr>
        <w:rPr>
          <w:rFonts w:eastAsia="Cambria"/>
          <w:lang w:val="en-GB" w:eastAsia="en-GB"/>
        </w:rPr>
      </w:pPr>
    </w:p>
    <w:p w14:paraId="6218FE8B" w14:textId="77777777" w:rsidR="003D46E8" w:rsidRPr="003D46E8" w:rsidRDefault="003D46E8" w:rsidP="003D46E8">
      <w:pPr>
        <w:numPr>
          <w:ilvl w:val="0"/>
          <w:numId w:val="29"/>
        </w:numPr>
        <w:suppressAutoHyphens/>
        <w:spacing w:after="80" w:line="256" w:lineRule="auto"/>
        <w:contextualSpacing/>
        <w:rPr>
          <w:rFonts w:eastAsia="Cambria" w:cs="Arial"/>
          <w:bCs/>
          <w:spacing w:val="-3"/>
          <w:lang w:val="en-GB"/>
        </w:rPr>
      </w:pPr>
      <w:r w:rsidRPr="003D46E8">
        <w:rPr>
          <w:rFonts w:eastAsia="Cambria" w:cs="Arial"/>
          <w:bCs/>
          <w:spacing w:val="-3"/>
          <w:lang w:val="en-GB"/>
        </w:rPr>
        <w:t>the threshold as from when national test guidelines shall be drafted (with state of expression and/or example varieties) has been discussed (the threshold agreed upon is when the number of reference varieties accessible to the examination office is approximately around 10)</w:t>
      </w:r>
    </w:p>
    <w:p w14:paraId="73EA1394" w14:textId="77777777" w:rsidR="003D46E8" w:rsidRPr="003D46E8" w:rsidRDefault="003D46E8" w:rsidP="003D46E8">
      <w:pPr>
        <w:numPr>
          <w:ilvl w:val="0"/>
          <w:numId w:val="29"/>
        </w:numPr>
        <w:suppressAutoHyphens/>
        <w:spacing w:after="80" w:line="256" w:lineRule="auto"/>
        <w:contextualSpacing/>
        <w:rPr>
          <w:rFonts w:eastAsia="Cambria" w:cs="Arial"/>
          <w:bCs/>
          <w:spacing w:val="-3"/>
          <w:lang w:val="en-GB"/>
        </w:rPr>
      </w:pPr>
      <w:r w:rsidRPr="003D46E8">
        <w:rPr>
          <w:rFonts w:eastAsia="Cambria" w:cs="Arial"/>
          <w:bCs/>
          <w:spacing w:val="-3"/>
          <w:lang w:val="en-GB"/>
        </w:rPr>
        <w:t xml:space="preserve">the conduct of technical verification when the official variety description was drafted as Linnaean description. It has been reminded that whenever possible, the examination office should privilege an assessment with notes, states of expression and quantitative characteristics assessed with similar varieties.    </w:t>
      </w:r>
    </w:p>
    <w:p w14:paraId="75FE02FB" w14:textId="77777777" w:rsidR="003D46E8" w:rsidRPr="003D46E8" w:rsidRDefault="003D46E8" w:rsidP="003D46E8">
      <w:pPr>
        <w:numPr>
          <w:ilvl w:val="0"/>
          <w:numId w:val="29"/>
        </w:numPr>
        <w:suppressAutoHyphens/>
        <w:spacing w:after="80" w:line="256" w:lineRule="auto"/>
        <w:contextualSpacing/>
        <w:rPr>
          <w:rFonts w:eastAsia="Cambria" w:cs="Arial"/>
          <w:bCs/>
          <w:i/>
          <w:iCs/>
          <w:spacing w:val="-3"/>
          <w:lang w:val="en-GB"/>
        </w:rPr>
      </w:pPr>
      <w:r w:rsidRPr="003D46E8">
        <w:rPr>
          <w:rFonts w:eastAsia="Cambria" w:cs="Arial"/>
          <w:bCs/>
          <w:spacing w:val="-3"/>
          <w:lang w:val="en-GB"/>
        </w:rPr>
        <w:t>the non-availability of reference varieties. A disclaimer “</w:t>
      </w:r>
      <w:r w:rsidRPr="003D46E8">
        <w:rPr>
          <w:rFonts w:eastAsia="Cambria" w:cs="Arial"/>
          <w:bCs/>
          <w:i/>
          <w:iCs/>
          <w:spacing w:val="-3"/>
          <w:lang w:val="en-GB"/>
        </w:rPr>
        <w:t>The variety ‘</w:t>
      </w:r>
      <w:proofErr w:type="spellStart"/>
      <w:r w:rsidRPr="003D46E8">
        <w:rPr>
          <w:rFonts w:eastAsia="Cambria" w:cs="Arial"/>
          <w:bCs/>
          <w:i/>
          <w:iCs/>
          <w:spacing w:val="-3"/>
          <w:lang w:val="en-GB"/>
        </w:rPr>
        <w:t>xyz</w:t>
      </w:r>
      <w:proofErr w:type="spellEnd"/>
      <w:r w:rsidRPr="003D46E8">
        <w:rPr>
          <w:rFonts w:eastAsia="Cambria" w:cs="Arial"/>
          <w:bCs/>
          <w:i/>
          <w:iCs/>
          <w:spacing w:val="-3"/>
          <w:lang w:val="en-GB"/>
        </w:rPr>
        <w:t xml:space="preserve">’ was identified as similar but could not be obtained for a side-by-side comparison.” </w:t>
      </w:r>
      <w:r w:rsidRPr="003D46E8">
        <w:rPr>
          <w:rFonts w:eastAsia="Cambria" w:cs="Arial"/>
          <w:bCs/>
          <w:spacing w:val="-3"/>
          <w:lang w:val="en-GB"/>
        </w:rPr>
        <w:t>Shall be added to the DUS report when appropriate.</w:t>
      </w:r>
    </w:p>
    <w:p w14:paraId="2CC55EE1" w14:textId="77777777" w:rsidR="003D46E8" w:rsidRPr="003D46E8" w:rsidRDefault="003D46E8" w:rsidP="003D46E8">
      <w:pPr>
        <w:numPr>
          <w:ilvl w:val="0"/>
          <w:numId w:val="29"/>
        </w:numPr>
        <w:suppressAutoHyphens/>
        <w:spacing w:after="80" w:line="256" w:lineRule="auto"/>
        <w:contextualSpacing/>
        <w:rPr>
          <w:rFonts w:eastAsia="Cambria" w:cs="Arial"/>
          <w:bCs/>
          <w:spacing w:val="-3"/>
          <w:lang w:val="en-GB"/>
        </w:rPr>
      </w:pPr>
      <w:r w:rsidRPr="003D46E8">
        <w:rPr>
          <w:rFonts w:eastAsia="Cambria" w:cs="Arial"/>
          <w:bCs/>
          <w:spacing w:val="-3"/>
          <w:lang w:val="en-GB"/>
        </w:rPr>
        <w:t xml:space="preserve">refusing an application on grounds of the lack of uniformity vs. not being a variety. CPVO noted there is a way to describe lack of uniformity with a few characteristics even though the examiner is not able to identify the plant being true to type.  </w:t>
      </w:r>
    </w:p>
    <w:p w14:paraId="2AD5B5C8" w14:textId="57F1CDBD" w:rsidR="003D46E8" w:rsidRPr="003D46E8" w:rsidRDefault="003D46E8" w:rsidP="003D46E8">
      <w:pPr>
        <w:numPr>
          <w:ilvl w:val="0"/>
          <w:numId w:val="29"/>
        </w:numPr>
        <w:suppressAutoHyphens/>
        <w:autoSpaceDE w:val="0"/>
        <w:autoSpaceDN w:val="0"/>
        <w:adjustRightInd w:val="0"/>
        <w:spacing w:after="160" w:line="256" w:lineRule="auto"/>
        <w:ind w:right="397"/>
        <w:jc w:val="left"/>
        <w:rPr>
          <w:rFonts w:eastAsia="Cambria" w:cs="Arial"/>
        </w:rPr>
      </w:pPr>
      <w:r w:rsidRPr="003D46E8">
        <w:rPr>
          <w:rFonts w:eastAsia="Cambria" w:cs="Arial"/>
          <w:bCs/>
          <w:i/>
          <w:iCs/>
          <w:lang w:val="en-IE"/>
        </w:rPr>
        <w:t>Hydrangea</w:t>
      </w:r>
      <w:r w:rsidRPr="003D46E8">
        <w:rPr>
          <w:rFonts w:eastAsia="Cambria" w:cs="Arial"/>
          <w:bCs/>
          <w:lang w:val="en-IE"/>
        </w:rPr>
        <w:t xml:space="preserve"> R&amp;D project: Harnessing molecular data to support DUS testing in ornamentals: a case study on </w:t>
      </w:r>
      <w:r w:rsidRPr="003D46E8">
        <w:rPr>
          <w:rFonts w:eastAsia="Cambria" w:cs="Arial"/>
          <w:bCs/>
          <w:i/>
          <w:iCs/>
          <w:lang w:val="en-IE"/>
        </w:rPr>
        <w:t>Hydrangea</w:t>
      </w:r>
      <w:r w:rsidRPr="003D46E8">
        <w:rPr>
          <w:rFonts w:eastAsia="Cambria" w:cs="Arial"/>
          <w:bCs/>
          <w:lang w:val="en-IE"/>
        </w:rPr>
        <w:t xml:space="preserve"> to optimize the trials and the selection of reference varieties.</w:t>
      </w:r>
    </w:p>
    <w:p w14:paraId="5201A4C8" w14:textId="77777777" w:rsidR="00435549" w:rsidRDefault="00435549" w:rsidP="00435549"/>
    <w:p w14:paraId="4CE9C8C5" w14:textId="77777777" w:rsidR="00435549" w:rsidRPr="00F43E60" w:rsidRDefault="00435549" w:rsidP="00435549"/>
    <w:p w14:paraId="762F47E3" w14:textId="77777777" w:rsidR="003D46E8" w:rsidRPr="00F43E60" w:rsidRDefault="003D46E8" w:rsidP="003D46E8">
      <w:pPr>
        <w:jc w:val="right"/>
        <w:sectPr w:rsidR="003D46E8" w:rsidRPr="00F43E60" w:rsidSect="003D46E8">
          <w:headerReference w:type="default" r:id="rId13"/>
          <w:headerReference w:type="first" r:id="rId14"/>
          <w:pgSz w:w="11907" w:h="16840" w:code="9"/>
          <w:pgMar w:top="510" w:right="1134" w:bottom="567" w:left="1134" w:header="510" w:footer="680" w:gutter="0"/>
          <w:pgNumType w:start="1"/>
          <w:cols w:space="720"/>
          <w:titlePg/>
        </w:sectPr>
      </w:pPr>
      <w:r w:rsidRPr="00F43E60">
        <w:t>[Annex II follows]</w:t>
      </w:r>
    </w:p>
    <w:p w14:paraId="410B4B03" w14:textId="77777777" w:rsidR="003D46E8" w:rsidRPr="00F43E60" w:rsidRDefault="003D46E8" w:rsidP="00C04852">
      <w:pPr>
        <w:jc w:val="center"/>
      </w:pPr>
    </w:p>
    <w:p w14:paraId="613D0BD8" w14:textId="1BBF0024" w:rsidR="000E577F" w:rsidRPr="00F43E60" w:rsidRDefault="002C2414" w:rsidP="00C04852">
      <w:pPr>
        <w:jc w:val="center"/>
      </w:pPr>
      <w:r w:rsidRPr="00F43E60">
        <w:t>FRANCE</w:t>
      </w:r>
    </w:p>
    <w:p w14:paraId="38A0F1FD" w14:textId="77777777" w:rsidR="000E577F" w:rsidRPr="00F43E60" w:rsidRDefault="000E577F" w:rsidP="00C04852">
      <w:pPr>
        <w:jc w:val="center"/>
      </w:pPr>
    </w:p>
    <w:p w14:paraId="05355AFA" w14:textId="77777777" w:rsidR="002C2414" w:rsidRPr="00F43E60" w:rsidRDefault="002C2414" w:rsidP="002C2414">
      <w:pPr>
        <w:rPr>
          <w:rFonts w:eastAsia="Calibri"/>
        </w:rPr>
      </w:pPr>
      <w:r w:rsidRPr="00F43E60">
        <w:rPr>
          <w:rFonts w:eastAsia="Calibri"/>
        </w:rPr>
        <w:t>GEVES is the Examination Office of France, in charge of DUS and VCUS evaluation of new plant varieties, and in charge of quality testing of seeds.</w:t>
      </w:r>
    </w:p>
    <w:p w14:paraId="5C1F26D5" w14:textId="77777777" w:rsidR="002C2414" w:rsidRPr="00F43E60" w:rsidRDefault="002C2414" w:rsidP="002C2414">
      <w:pPr>
        <w:rPr>
          <w:rFonts w:eastAsia="Calibri"/>
        </w:rPr>
      </w:pPr>
    </w:p>
    <w:p w14:paraId="6AEFD21A" w14:textId="77777777" w:rsidR="002C2414" w:rsidRPr="00F43E60" w:rsidRDefault="002C2414" w:rsidP="002C2414">
      <w:pPr>
        <w:rPr>
          <w:rFonts w:eastAsia="Calibri"/>
          <w:bCs/>
        </w:rPr>
      </w:pPr>
      <w:r w:rsidRPr="00F43E60">
        <w:rPr>
          <w:rFonts w:eastAsia="Calibri"/>
        </w:rPr>
        <w:t xml:space="preserve">GEVES website can be consulted here </w:t>
      </w:r>
      <w:hyperlink r:id="rId15" w:history="1">
        <w:r w:rsidRPr="00F43E60">
          <w:rPr>
            <w:rFonts w:eastAsia="Calibri"/>
            <w:bCs/>
            <w:color w:val="0000FF"/>
            <w:u w:val="single"/>
          </w:rPr>
          <w:t>www.geves.fr</w:t>
        </w:r>
      </w:hyperlink>
      <w:r w:rsidRPr="00F43E60">
        <w:rPr>
          <w:rFonts w:eastAsia="Calibri"/>
          <w:bCs/>
        </w:rPr>
        <w:t xml:space="preserve"> </w:t>
      </w:r>
    </w:p>
    <w:p w14:paraId="4FB19F24" w14:textId="77777777" w:rsidR="002C2414" w:rsidRPr="00F43E60" w:rsidRDefault="002C2414" w:rsidP="002C2414">
      <w:pPr>
        <w:rPr>
          <w:rFonts w:eastAsia="Calibri"/>
          <w:bCs/>
        </w:rPr>
      </w:pPr>
    </w:p>
    <w:p w14:paraId="0D5C32DF" w14:textId="77777777" w:rsidR="002C2414" w:rsidRPr="00F43E60" w:rsidRDefault="002C2414" w:rsidP="002C2414">
      <w:pPr>
        <w:rPr>
          <w:rFonts w:eastAsia="Calibri"/>
        </w:rPr>
      </w:pPr>
      <w:r w:rsidRPr="00F43E60">
        <w:rPr>
          <w:rFonts w:eastAsia="Calibri"/>
        </w:rPr>
        <w:t xml:space="preserve">Description files can be found on the website for the varieties listed on the French catalogue. </w:t>
      </w:r>
      <w:hyperlink r:id="rId16" w:history="1">
        <w:r w:rsidRPr="00F43E60">
          <w:rPr>
            <w:rFonts w:eastAsia="Calibri"/>
            <w:color w:val="0000FF"/>
            <w:u w:val="single"/>
          </w:rPr>
          <w:t>https://www.geves.fr/catalogue-france/</w:t>
        </w:r>
      </w:hyperlink>
      <w:r w:rsidRPr="00F43E60">
        <w:rPr>
          <w:rFonts w:eastAsia="Calibri"/>
        </w:rPr>
        <w:t xml:space="preserve"> </w:t>
      </w:r>
    </w:p>
    <w:p w14:paraId="7CDD3A88" w14:textId="77777777" w:rsidR="002C2414" w:rsidRPr="00F43E60" w:rsidRDefault="002C2414" w:rsidP="002C2414">
      <w:pPr>
        <w:rPr>
          <w:rFonts w:eastAsia="Calibri"/>
        </w:rPr>
      </w:pPr>
    </w:p>
    <w:p w14:paraId="25185F91" w14:textId="1B2DED15" w:rsidR="002C2414" w:rsidRPr="00F43E60" w:rsidRDefault="002C2414" w:rsidP="002C2414">
      <w:pPr>
        <w:rPr>
          <w:rFonts w:eastAsia="Calibri"/>
        </w:rPr>
      </w:pPr>
      <w:r w:rsidRPr="00F43E60">
        <w:rPr>
          <w:rFonts w:eastAsia="Calibri"/>
        </w:rPr>
        <w:t xml:space="preserve">You can subscribe to our NEWSLETTER available both in French and in English to receive the latest information on GEVES’s expert activities in plants and seeds, at national and international levels. Please subscribe here: </w:t>
      </w:r>
      <w:hyperlink r:id="rId17" w:history="1">
        <w:r w:rsidRPr="00F43E60">
          <w:rPr>
            <w:rFonts w:eastAsia="Calibri"/>
            <w:color w:val="0000FF"/>
            <w:u w:val="single"/>
          </w:rPr>
          <w:t>https://www.geves.fr/newsletter-en/</w:t>
        </w:r>
      </w:hyperlink>
      <w:r w:rsidRPr="00F43E60">
        <w:rPr>
          <w:rFonts w:eastAsia="Calibri"/>
        </w:rPr>
        <w:t xml:space="preserve"> </w:t>
      </w:r>
      <w:hyperlink r:id="rId18" w:history="1"/>
    </w:p>
    <w:p w14:paraId="33170D40" w14:textId="77777777" w:rsidR="002C2414" w:rsidRPr="00F43E60" w:rsidRDefault="002C2414" w:rsidP="002C2414">
      <w:pPr>
        <w:rPr>
          <w:rFonts w:eastAsia="Calibri"/>
        </w:rPr>
      </w:pPr>
    </w:p>
    <w:p w14:paraId="16642658" w14:textId="1BEF2903" w:rsidR="002C2414" w:rsidRPr="00F43E60" w:rsidRDefault="002C2414" w:rsidP="002C2414">
      <w:pPr>
        <w:rPr>
          <w:rFonts w:eastAsia="Calibri"/>
        </w:rPr>
      </w:pPr>
      <w:r w:rsidRPr="00F43E60">
        <w:rPr>
          <w:rFonts w:eastAsia="Calibri"/>
        </w:rPr>
        <w:t xml:space="preserve">The DUS activity, either in the framework of national listing, or PBR, or in the framework of international cooperation for DUS testing, has slightly decreased in 2024 compared to previous years. </w:t>
      </w:r>
    </w:p>
    <w:p w14:paraId="7B8DB4D7" w14:textId="77777777" w:rsidR="002C2414" w:rsidRPr="00F43E60" w:rsidRDefault="002C2414" w:rsidP="002C2414">
      <w:pPr>
        <w:rPr>
          <w:rFonts w:eastAsia="Calibri"/>
        </w:rPr>
      </w:pPr>
    </w:p>
    <w:p w14:paraId="1B1FCC7F" w14:textId="77777777" w:rsidR="002C2414" w:rsidRPr="00F43E60" w:rsidRDefault="002C2414" w:rsidP="002C2414">
      <w:pPr>
        <w:rPr>
          <w:rFonts w:eastAsia="Calibri"/>
        </w:rPr>
      </w:pPr>
      <w:r w:rsidRPr="00F43E60">
        <w:rPr>
          <w:rFonts w:eastAsia="Calibri"/>
        </w:rPr>
        <w:t xml:space="preserve">Main activity remains on agricultural species. Detailed figures can be found on the annual report available on our website. </w:t>
      </w:r>
    </w:p>
    <w:p w14:paraId="57DA2F33" w14:textId="77777777" w:rsidR="002C2414" w:rsidRPr="00F43E60" w:rsidRDefault="002C2414" w:rsidP="002C2414">
      <w:pPr>
        <w:rPr>
          <w:rFonts w:eastAsia="Calibri"/>
        </w:rPr>
      </w:pPr>
    </w:p>
    <w:p w14:paraId="2DF4E567" w14:textId="77777777" w:rsidR="002C2414" w:rsidRPr="00F43E60" w:rsidRDefault="002C2414" w:rsidP="002C2414">
      <w:pPr>
        <w:rPr>
          <w:rFonts w:eastAsia="Calibri"/>
        </w:rPr>
      </w:pPr>
      <w:r w:rsidRPr="00F43E60">
        <w:rPr>
          <w:rFonts w:eastAsia="Calibri"/>
        </w:rPr>
        <w:t xml:space="preserve">In total in 2024, GEVES carried out more than 3200 DUS cycles, mainly in its premises. </w:t>
      </w:r>
    </w:p>
    <w:p w14:paraId="648730AE" w14:textId="77777777" w:rsidR="002C2414" w:rsidRPr="00F43E60" w:rsidRDefault="002C2414" w:rsidP="002C2414">
      <w:pPr>
        <w:rPr>
          <w:rFonts w:eastAsia="Calibri"/>
        </w:rPr>
      </w:pPr>
    </w:p>
    <w:tbl>
      <w:tblPr>
        <w:tblStyle w:val="TableGrid"/>
        <w:tblW w:w="0" w:type="auto"/>
        <w:tblLook w:val="04A0" w:firstRow="1" w:lastRow="0" w:firstColumn="1" w:lastColumn="0" w:noHBand="0" w:noVBand="1"/>
      </w:tblPr>
      <w:tblGrid>
        <w:gridCol w:w="1413"/>
        <w:gridCol w:w="2126"/>
        <w:gridCol w:w="5523"/>
      </w:tblGrid>
      <w:tr w:rsidR="002C2414" w:rsidRPr="009E6CFC" w14:paraId="65B34CC4" w14:textId="77777777" w:rsidTr="00F30ED1">
        <w:tc>
          <w:tcPr>
            <w:tcW w:w="1413" w:type="dxa"/>
            <w:vAlign w:val="center"/>
          </w:tcPr>
          <w:p w14:paraId="27115BEA" w14:textId="77777777" w:rsidR="002C2414" w:rsidRPr="009E6CFC" w:rsidRDefault="002C2414" w:rsidP="002C2414">
            <w:pPr>
              <w:jc w:val="center"/>
              <w:rPr>
                <w:rFonts w:cs="Arial"/>
                <w:sz w:val="20"/>
                <w:szCs w:val="20"/>
                <w:lang w:val="en-US"/>
              </w:rPr>
            </w:pPr>
            <w:proofErr w:type="spellStart"/>
            <w:r w:rsidRPr="009E6CFC">
              <w:rPr>
                <w:rFonts w:cs="Arial"/>
                <w:sz w:val="20"/>
                <w:szCs w:val="20"/>
              </w:rPr>
              <w:t>Crop</w:t>
            </w:r>
            <w:proofErr w:type="spellEnd"/>
            <w:r w:rsidRPr="009E6CFC">
              <w:rPr>
                <w:rFonts w:cs="Arial"/>
                <w:sz w:val="20"/>
                <w:szCs w:val="20"/>
              </w:rPr>
              <w:t xml:space="preserve"> </w:t>
            </w:r>
            <w:proofErr w:type="spellStart"/>
            <w:r w:rsidRPr="009E6CFC">
              <w:rPr>
                <w:rFonts w:cs="Arial"/>
                <w:sz w:val="20"/>
                <w:szCs w:val="20"/>
              </w:rPr>
              <w:t>sector</w:t>
            </w:r>
            <w:proofErr w:type="spellEnd"/>
          </w:p>
        </w:tc>
        <w:tc>
          <w:tcPr>
            <w:tcW w:w="2126" w:type="dxa"/>
            <w:vAlign w:val="center"/>
          </w:tcPr>
          <w:p w14:paraId="5FFFDC06" w14:textId="77777777" w:rsidR="002C2414" w:rsidRPr="009E6CFC" w:rsidRDefault="002C2414" w:rsidP="002C2414">
            <w:pPr>
              <w:jc w:val="center"/>
              <w:rPr>
                <w:rFonts w:cs="Arial"/>
                <w:sz w:val="20"/>
                <w:szCs w:val="20"/>
                <w:lang w:val="en-US"/>
              </w:rPr>
            </w:pPr>
            <w:r w:rsidRPr="009E6CFC">
              <w:rPr>
                <w:rFonts w:cs="Arial"/>
                <w:sz w:val="20"/>
                <w:szCs w:val="20"/>
                <w:lang w:val="en-US"/>
              </w:rPr>
              <w:t>Number of DUS cycles in 2024</w:t>
            </w:r>
          </w:p>
        </w:tc>
        <w:tc>
          <w:tcPr>
            <w:tcW w:w="5523" w:type="dxa"/>
            <w:vAlign w:val="center"/>
          </w:tcPr>
          <w:p w14:paraId="75A8BEF9" w14:textId="77777777" w:rsidR="002C2414" w:rsidRPr="009E6CFC" w:rsidRDefault="002C2414" w:rsidP="002C2414">
            <w:pPr>
              <w:jc w:val="center"/>
              <w:rPr>
                <w:rFonts w:cs="Arial"/>
                <w:sz w:val="20"/>
                <w:szCs w:val="20"/>
                <w:lang w:val="en-US"/>
              </w:rPr>
            </w:pPr>
            <w:r w:rsidRPr="009E6CFC">
              <w:rPr>
                <w:rFonts w:cs="Arial"/>
                <w:sz w:val="20"/>
                <w:szCs w:val="20"/>
              </w:rPr>
              <w:t xml:space="preserve">Main </w:t>
            </w:r>
            <w:proofErr w:type="spellStart"/>
            <w:r w:rsidRPr="009E6CFC">
              <w:rPr>
                <w:rFonts w:cs="Arial"/>
                <w:sz w:val="20"/>
                <w:szCs w:val="20"/>
              </w:rPr>
              <w:t>species</w:t>
            </w:r>
            <w:proofErr w:type="spellEnd"/>
            <w:r w:rsidRPr="009E6CFC">
              <w:rPr>
                <w:rFonts w:cs="Arial"/>
                <w:sz w:val="20"/>
                <w:szCs w:val="20"/>
              </w:rPr>
              <w:t xml:space="preserve"> </w:t>
            </w:r>
            <w:proofErr w:type="spellStart"/>
            <w:r w:rsidRPr="009E6CFC">
              <w:rPr>
                <w:rFonts w:cs="Arial"/>
                <w:sz w:val="20"/>
                <w:szCs w:val="20"/>
              </w:rPr>
              <w:t>tested</w:t>
            </w:r>
            <w:proofErr w:type="spellEnd"/>
          </w:p>
        </w:tc>
      </w:tr>
      <w:tr w:rsidR="002C2414" w:rsidRPr="009E6CFC" w14:paraId="6999512A" w14:textId="77777777" w:rsidTr="00F30ED1">
        <w:tc>
          <w:tcPr>
            <w:tcW w:w="1413" w:type="dxa"/>
            <w:vAlign w:val="center"/>
          </w:tcPr>
          <w:p w14:paraId="2A94F437" w14:textId="77777777" w:rsidR="002C2414" w:rsidRPr="009E6CFC" w:rsidRDefault="002C2414" w:rsidP="002C2414">
            <w:pPr>
              <w:jc w:val="center"/>
              <w:rPr>
                <w:rFonts w:cs="Arial"/>
                <w:sz w:val="20"/>
                <w:szCs w:val="20"/>
                <w:lang w:val="en-US"/>
              </w:rPr>
            </w:pPr>
            <w:r w:rsidRPr="009E6CFC">
              <w:rPr>
                <w:rFonts w:cs="Arial"/>
                <w:sz w:val="20"/>
                <w:szCs w:val="20"/>
              </w:rPr>
              <w:t>Agricultural</w:t>
            </w:r>
          </w:p>
        </w:tc>
        <w:tc>
          <w:tcPr>
            <w:tcW w:w="2126" w:type="dxa"/>
            <w:vAlign w:val="center"/>
          </w:tcPr>
          <w:p w14:paraId="2F69A2DF" w14:textId="77777777" w:rsidR="002C2414" w:rsidRPr="009E6CFC" w:rsidRDefault="002C2414" w:rsidP="002C2414">
            <w:pPr>
              <w:jc w:val="center"/>
              <w:rPr>
                <w:rFonts w:cs="Arial"/>
                <w:sz w:val="20"/>
                <w:szCs w:val="20"/>
                <w:lang w:val="en-US"/>
              </w:rPr>
            </w:pPr>
            <w:r w:rsidRPr="009E6CFC">
              <w:rPr>
                <w:rFonts w:cs="Arial"/>
                <w:sz w:val="20"/>
                <w:szCs w:val="20"/>
              </w:rPr>
              <w:t>2350</w:t>
            </w:r>
          </w:p>
        </w:tc>
        <w:tc>
          <w:tcPr>
            <w:tcW w:w="5523" w:type="dxa"/>
          </w:tcPr>
          <w:p w14:paraId="029A0408" w14:textId="77777777" w:rsidR="002C2414" w:rsidRPr="009E6CFC" w:rsidRDefault="002C2414" w:rsidP="002C2414">
            <w:pPr>
              <w:rPr>
                <w:rFonts w:cs="Arial"/>
                <w:sz w:val="20"/>
                <w:szCs w:val="20"/>
                <w:lang w:val="en-US"/>
              </w:rPr>
            </w:pPr>
            <w:r w:rsidRPr="009E6CFC">
              <w:rPr>
                <w:rFonts w:cs="Arial"/>
                <w:sz w:val="20"/>
                <w:szCs w:val="20"/>
                <w:lang w:val="en-US"/>
              </w:rPr>
              <w:t>Maize, oilseed rape, wheat, barley, sunflower, soybean</w:t>
            </w:r>
          </w:p>
        </w:tc>
      </w:tr>
      <w:tr w:rsidR="002C2414" w:rsidRPr="009E6CFC" w14:paraId="464E08C1" w14:textId="77777777" w:rsidTr="00F30ED1">
        <w:tc>
          <w:tcPr>
            <w:tcW w:w="1413" w:type="dxa"/>
            <w:vAlign w:val="center"/>
          </w:tcPr>
          <w:p w14:paraId="39CBA32F" w14:textId="77777777" w:rsidR="002C2414" w:rsidRPr="009E6CFC" w:rsidRDefault="002C2414" w:rsidP="002C2414">
            <w:pPr>
              <w:jc w:val="center"/>
              <w:rPr>
                <w:rFonts w:cs="Arial"/>
                <w:sz w:val="20"/>
                <w:szCs w:val="20"/>
                <w:lang w:val="en-US"/>
              </w:rPr>
            </w:pPr>
            <w:proofErr w:type="spellStart"/>
            <w:r w:rsidRPr="009E6CFC">
              <w:rPr>
                <w:rFonts w:cs="Arial"/>
                <w:sz w:val="20"/>
                <w:szCs w:val="20"/>
              </w:rPr>
              <w:t>Vegetable</w:t>
            </w:r>
            <w:proofErr w:type="spellEnd"/>
          </w:p>
        </w:tc>
        <w:tc>
          <w:tcPr>
            <w:tcW w:w="2126" w:type="dxa"/>
            <w:vAlign w:val="center"/>
          </w:tcPr>
          <w:p w14:paraId="54401445" w14:textId="77777777" w:rsidR="002C2414" w:rsidRPr="009E6CFC" w:rsidRDefault="002C2414" w:rsidP="002C2414">
            <w:pPr>
              <w:jc w:val="center"/>
              <w:rPr>
                <w:rFonts w:cs="Arial"/>
                <w:sz w:val="20"/>
                <w:szCs w:val="20"/>
                <w:lang w:val="en-US"/>
              </w:rPr>
            </w:pPr>
            <w:r w:rsidRPr="009E6CFC">
              <w:rPr>
                <w:rFonts w:cs="Arial"/>
                <w:sz w:val="20"/>
                <w:szCs w:val="20"/>
              </w:rPr>
              <w:t>420</w:t>
            </w:r>
          </w:p>
        </w:tc>
        <w:tc>
          <w:tcPr>
            <w:tcW w:w="5523" w:type="dxa"/>
          </w:tcPr>
          <w:p w14:paraId="39567EDF" w14:textId="77777777" w:rsidR="002C2414" w:rsidRPr="009E6CFC" w:rsidRDefault="002C2414" w:rsidP="002C2414">
            <w:pPr>
              <w:rPr>
                <w:rFonts w:cs="Arial"/>
                <w:sz w:val="20"/>
                <w:szCs w:val="20"/>
                <w:lang w:val="en-US"/>
              </w:rPr>
            </w:pPr>
            <w:r w:rsidRPr="009E6CFC">
              <w:rPr>
                <w:rFonts w:cs="Arial"/>
                <w:sz w:val="20"/>
                <w:szCs w:val="20"/>
                <w:lang w:val="en-US"/>
              </w:rPr>
              <w:t>Lettuce, tomato, melon, cauliflower, pepper, squash</w:t>
            </w:r>
          </w:p>
        </w:tc>
      </w:tr>
      <w:tr w:rsidR="002C2414" w:rsidRPr="009E6CFC" w14:paraId="6B115257" w14:textId="77777777" w:rsidTr="00F30ED1">
        <w:tc>
          <w:tcPr>
            <w:tcW w:w="1413" w:type="dxa"/>
            <w:vAlign w:val="center"/>
          </w:tcPr>
          <w:p w14:paraId="3AB2A27D" w14:textId="77777777" w:rsidR="002C2414" w:rsidRPr="009E6CFC" w:rsidRDefault="002C2414" w:rsidP="002C2414">
            <w:pPr>
              <w:jc w:val="center"/>
              <w:rPr>
                <w:rFonts w:cs="Arial"/>
                <w:sz w:val="20"/>
                <w:szCs w:val="20"/>
                <w:lang w:val="en-US"/>
              </w:rPr>
            </w:pPr>
            <w:r w:rsidRPr="009E6CFC">
              <w:rPr>
                <w:rFonts w:cs="Arial"/>
                <w:sz w:val="20"/>
                <w:szCs w:val="20"/>
              </w:rPr>
              <w:t>Fruit</w:t>
            </w:r>
          </w:p>
        </w:tc>
        <w:tc>
          <w:tcPr>
            <w:tcW w:w="2126" w:type="dxa"/>
            <w:vAlign w:val="center"/>
          </w:tcPr>
          <w:p w14:paraId="72106F19" w14:textId="77777777" w:rsidR="002C2414" w:rsidRPr="009E6CFC" w:rsidRDefault="002C2414" w:rsidP="002C2414">
            <w:pPr>
              <w:jc w:val="center"/>
              <w:rPr>
                <w:rFonts w:cs="Arial"/>
                <w:sz w:val="20"/>
                <w:szCs w:val="20"/>
                <w:lang w:val="en-US"/>
              </w:rPr>
            </w:pPr>
            <w:r w:rsidRPr="009E6CFC">
              <w:rPr>
                <w:rFonts w:cs="Arial"/>
                <w:sz w:val="20"/>
                <w:szCs w:val="20"/>
              </w:rPr>
              <w:t>240</w:t>
            </w:r>
          </w:p>
        </w:tc>
        <w:tc>
          <w:tcPr>
            <w:tcW w:w="5523" w:type="dxa"/>
          </w:tcPr>
          <w:p w14:paraId="7B82FC2D" w14:textId="77777777" w:rsidR="002C2414" w:rsidRPr="009E6CFC" w:rsidRDefault="002C2414" w:rsidP="002C2414">
            <w:pPr>
              <w:rPr>
                <w:rFonts w:cs="Arial"/>
                <w:sz w:val="20"/>
                <w:szCs w:val="20"/>
                <w:lang w:val="en-US"/>
              </w:rPr>
            </w:pPr>
            <w:r w:rsidRPr="009E6CFC">
              <w:rPr>
                <w:rFonts w:cs="Arial"/>
                <w:sz w:val="20"/>
                <w:szCs w:val="20"/>
                <w:lang w:val="en-US"/>
              </w:rPr>
              <w:t>Peach, vine, apple, sweet cherry, apricot, Japanese plum, pear</w:t>
            </w:r>
          </w:p>
        </w:tc>
      </w:tr>
      <w:tr w:rsidR="002C2414" w:rsidRPr="006C554A" w14:paraId="717B1F47" w14:textId="77777777" w:rsidTr="00F30ED1">
        <w:tc>
          <w:tcPr>
            <w:tcW w:w="1413" w:type="dxa"/>
            <w:vAlign w:val="center"/>
          </w:tcPr>
          <w:p w14:paraId="1290C786" w14:textId="77777777" w:rsidR="002C2414" w:rsidRPr="009E6CFC" w:rsidRDefault="002C2414" w:rsidP="002C2414">
            <w:pPr>
              <w:jc w:val="center"/>
              <w:rPr>
                <w:rFonts w:cs="Arial"/>
                <w:sz w:val="20"/>
                <w:szCs w:val="20"/>
                <w:lang w:val="en-US"/>
              </w:rPr>
            </w:pPr>
            <w:proofErr w:type="spellStart"/>
            <w:r w:rsidRPr="009E6CFC">
              <w:rPr>
                <w:rFonts w:cs="Arial"/>
                <w:sz w:val="20"/>
                <w:szCs w:val="20"/>
              </w:rPr>
              <w:t>Ornamental</w:t>
            </w:r>
            <w:proofErr w:type="spellEnd"/>
          </w:p>
        </w:tc>
        <w:tc>
          <w:tcPr>
            <w:tcW w:w="2126" w:type="dxa"/>
            <w:vAlign w:val="center"/>
          </w:tcPr>
          <w:p w14:paraId="57431328" w14:textId="77777777" w:rsidR="002C2414" w:rsidRPr="009E6CFC" w:rsidRDefault="002C2414" w:rsidP="002C2414">
            <w:pPr>
              <w:jc w:val="center"/>
              <w:rPr>
                <w:rFonts w:cs="Arial"/>
                <w:sz w:val="20"/>
                <w:szCs w:val="20"/>
                <w:lang w:val="en-US"/>
              </w:rPr>
            </w:pPr>
            <w:r w:rsidRPr="009E6CFC">
              <w:rPr>
                <w:rFonts w:cs="Arial"/>
                <w:sz w:val="20"/>
                <w:szCs w:val="20"/>
              </w:rPr>
              <w:t>210</w:t>
            </w:r>
          </w:p>
        </w:tc>
        <w:tc>
          <w:tcPr>
            <w:tcW w:w="5523" w:type="dxa"/>
          </w:tcPr>
          <w:p w14:paraId="4342B734" w14:textId="77777777" w:rsidR="002C2414" w:rsidRPr="006C554A" w:rsidRDefault="002C2414" w:rsidP="002C2414">
            <w:pPr>
              <w:rPr>
                <w:rFonts w:cs="Arial"/>
                <w:sz w:val="20"/>
                <w:szCs w:val="20"/>
                <w:lang w:val="pt-BR"/>
              </w:rPr>
            </w:pPr>
            <w:r w:rsidRPr="006C554A">
              <w:rPr>
                <w:rFonts w:cs="Arial"/>
                <w:sz w:val="20"/>
                <w:szCs w:val="20"/>
                <w:lang w:val="pt-BR"/>
              </w:rPr>
              <w:t>Hydrangea, Chrysanthemum, Buddleja, Nerium, Lavandula, Salvia, Echinacea</w:t>
            </w:r>
          </w:p>
        </w:tc>
      </w:tr>
    </w:tbl>
    <w:p w14:paraId="1B6BDB62" w14:textId="77777777" w:rsidR="002C2414" w:rsidRPr="006C554A" w:rsidRDefault="002C2414" w:rsidP="002C2414">
      <w:pPr>
        <w:rPr>
          <w:rFonts w:eastAsia="Calibri"/>
          <w:lang w:val="pt-BR"/>
        </w:rPr>
      </w:pPr>
    </w:p>
    <w:p w14:paraId="13CC0A5B" w14:textId="77777777" w:rsidR="002C2414" w:rsidRPr="00F43E60" w:rsidRDefault="002C2414" w:rsidP="002C2414">
      <w:pPr>
        <w:rPr>
          <w:rFonts w:eastAsia="Calibri"/>
        </w:rPr>
      </w:pPr>
      <w:r w:rsidRPr="00F43E60">
        <w:rPr>
          <w:rFonts w:eastAsia="Calibri"/>
        </w:rPr>
        <w:t xml:space="preserve">The International System of Cooperation for DUS is active and efficient. For more information, the international cooperation service of GEVES can be contacted here: </w:t>
      </w:r>
      <w:hyperlink r:id="rId19" w:history="1">
        <w:r w:rsidRPr="00F43E60">
          <w:rPr>
            <w:rFonts w:eastAsia="Calibri"/>
            <w:color w:val="0000FF"/>
            <w:u w:val="single"/>
          </w:rPr>
          <w:t>clarisse.leclair@geves.fr</w:t>
        </w:r>
      </w:hyperlink>
      <w:r w:rsidRPr="00F43E60">
        <w:rPr>
          <w:rFonts w:eastAsia="Calibri"/>
        </w:rPr>
        <w:t xml:space="preserve"> and </w:t>
      </w:r>
      <w:hyperlink r:id="rId20" w:history="1">
        <w:r w:rsidRPr="00F43E60">
          <w:rPr>
            <w:rFonts w:eastAsia="Calibri"/>
            <w:color w:val="0000FF"/>
            <w:u w:val="single"/>
          </w:rPr>
          <w:t>camille.zitter@geves.fr</w:t>
        </w:r>
      </w:hyperlink>
      <w:r w:rsidRPr="00F43E60">
        <w:rPr>
          <w:rFonts w:eastAsia="Calibri"/>
        </w:rPr>
        <w:t xml:space="preserve"> </w:t>
      </w:r>
    </w:p>
    <w:p w14:paraId="058D0127" w14:textId="77777777" w:rsidR="002C2414" w:rsidRPr="00F43E60" w:rsidRDefault="002C2414" w:rsidP="002C2414">
      <w:pPr>
        <w:rPr>
          <w:rFonts w:eastAsia="Calibri"/>
        </w:rPr>
      </w:pPr>
    </w:p>
    <w:p w14:paraId="15B6110A" w14:textId="3A959C3C" w:rsidR="002C2414" w:rsidRPr="00F43E60" w:rsidRDefault="002C2414" w:rsidP="002C2414">
      <w:pPr>
        <w:rPr>
          <w:rFonts w:eastAsia="Calibri"/>
        </w:rPr>
      </w:pPr>
      <w:r w:rsidRPr="00F43E60">
        <w:rPr>
          <w:rFonts w:eastAsia="Calibri"/>
        </w:rPr>
        <w:t xml:space="preserve">In 2024, the international cooperation service of GEVES received more than 1100 applications, mainly from the EU but also from all over the world. 72% of the requests are take-over requests and the DUS reports are then sent according to UPOV </w:t>
      </w:r>
      <w:r w:rsidR="0050312A" w:rsidRPr="00F43E60">
        <w:rPr>
          <w:rFonts w:eastAsia="Calibri"/>
        </w:rPr>
        <w:t xml:space="preserve">document </w:t>
      </w:r>
      <w:r w:rsidRPr="00F43E60">
        <w:rPr>
          <w:rFonts w:eastAsia="Calibri"/>
        </w:rPr>
        <w:t xml:space="preserve">TGP/5. </w:t>
      </w:r>
    </w:p>
    <w:p w14:paraId="04B86728" w14:textId="77777777" w:rsidR="002C2414" w:rsidRPr="00F43E60" w:rsidRDefault="002C2414" w:rsidP="002C2414">
      <w:pPr>
        <w:rPr>
          <w:rFonts w:eastAsia="Calibri"/>
        </w:rPr>
      </w:pPr>
    </w:p>
    <w:p w14:paraId="315A17B0" w14:textId="77777777" w:rsidR="002C2414" w:rsidRPr="00F43E60" w:rsidRDefault="002C2414" w:rsidP="002C2414">
      <w:pPr>
        <w:rPr>
          <w:rFonts w:eastAsia="Calibri"/>
        </w:rPr>
      </w:pPr>
      <w:r w:rsidRPr="00F43E60">
        <w:rPr>
          <w:rFonts w:eastAsia="Calibri"/>
        </w:rPr>
        <w:t xml:space="preserve">In addition to that, the French National Office for PBR (INOV) has received 98 applications in 2024, out of which 98% were tested for DUS by GEVES.  </w:t>
      </w:r>
    </w:p>
    <w:p w14:paraId="684B9094" w14:textId="058D5CCE" w:rsidR="002C2414" w:rsidRPr="00F43E60" w:rsidRDefault="002C2414" w:rsidP="002C2414">
      <w:pPr>
        <w:rPr>
          <w:rFonts w:eastAsia="Calibri"/>
        </w:rPr>
      </w:pPr>
      <w:r w:rsidRPr="00F43E60">
        <w:rPr>
          <w:rFonts w:eastAsia="Calibri"/>
        </w:rPr>
        <w:t xml:space="preserve">INOV is involved in UPOV PRISMA for all genera and species. Contact INOV: </w:t>
      </w:r>
      <w:hyperlink r:id="rId21" w:history="1">
        <w:r w:rsidRPr="00F43E60">
          <w:rPr>
            <w:rFonts w:eastAsia="Calibri"/>
            <w:color w:val="0000FF"/>
            <w:u w:val="single"/>
          </w:rPr>
          <w:t>inov@geves.fr</w:t>
        </w:r>
      </w:hyperlink>
      <w:r w:rsidRPr="00F43E60">
        <w:rPr>
          <w:rFonts w:eastAsia="Calibri"/>
        </w:rPr>
        <w:t xml:space="preserve"> </w:t>
      </w:r>
    </w:p>
    <w:p w14:paraId="35F66F35" w14:textId="77777777" w:rsidR="002C2414" w:rsidRPr="00F43E60" w:rsidRDefault="002C2414" w:rsidP="002C2414">
      <w:pPr>
        <w:rPr>
          <w:rFonts w:eastAsia="Calibri"/>
        </w:rPr>
      </w:pPr>
    </w:p>
    <w:p w14:paraId="4A151E3E" w14:textId="77777777" w:rsidR="002C2414" w:rsidRPr="00F43E60" w:rsidRDefault="002C2414" w:rsidP="002C2414">
      <w:pPr>
        <w:rPr>
          <w:rFonts w:eastAsia="Calibri"/>
        </w:rPr>
      </w:pPr>
      <w:r w:rsidRPr="00F43E60">
        <w:rPr>
          <w:rFonts w:eastAsia="Calibri"/>
        </w:rPr>
        <w:t>Regarding Ornamental DUS testing, the 210 DUS cycles completed in 2024 concern 38 different botanical genera.</w:t>
      </w:r>
    </w:p>
    <w:p w14:paraId="6C2D6823" w14:textId="77777777" w:rsidR="002C2414" w:rsidRPr="00F43E60" w:rsidRDefault="002C2414" w:rsidP="002C2414">
      <w:pPr>
        <w:rPr>
          <w:rFonts w:eastAsia="Calibri"/>
        </w:rPr>
      </w:pPr>
    </w:p>
    <w:p w14:paraId="27361022" w14:textId="655B3B5C" w:rsidR="002C2414" w:rsidRPr="00F43E60" w:rsidRDefault="002C2414" w:rsidP="002C2414">
      <w:pPr>
        <w:rPr>
          <w:rFonts w:eastAsia="Calibri"/>
        </w:rPr>
      </w:pPr>
      <w:r w:rsidRPr="00F43E60">
        <w:rPr>
          <w:rFonts w:eastAsia="Calibri"/>
        </w:rPr>
        <w:t xml:space="preserve">Since last year, GEVES has been entrusted by the </w:t>
      </w:r>
      <w:r w:rsidR="0050312A" w:rsidRPr="000434F1">
        <w:rPr>
          <w:rFonts w:eastAsia="Calibri"/>
        </w:rPr>
        <w:t xml:space="preserve">Community Plant </w:t>
      </w:r>
      <w:r w:rsidR="0050312A" w:rsidRPr="00F43E60">
        <w:rPr>
          <w:rFonts w:eastAsia="Calibri"/>
        </w:rPr>
        <w:t>Variety Office of the European Union (</w:t>
      </w:r>
      <w:r w:rsidRPr="00F43E60">
        <w:rPr>
          <w:rFonts w:eastAsia="Calibri"/>
        </w:rPr>
        <w:t>CPVO</w:t>
      </w:r>
      <w:r w:rsidR="0050312A" w:rsidRPr="00F43E60">
        <w:rPr>
          <w:rFonts w:eastAsia="Calibri"/>
        </w:rPr>
        <w:t>)</w:t>
      </w:r>
      <w:r w:rsidRPr="00F43E60">
        <w:rPr>
          <w:rFonts w:eastAsia="Calibri"/>
        </w:rPr>
        <w:t xml:space="preserve"> to work on new species for genera it is already working on </w:t>
      </w:r>
      <w:proofErr w:type="gramStart"/>
      <w:r w:rsidRPr="00F43E60">
        <w:rPr>
          <w:rFonts w:eastAsia="Calibri"/>
        </w:rPr>
        <w:t>and also</w:t>
      </w:r>
      <w:proofErr w:type="gramEnd"/>
      <w:r w:rsidRPr="00F43E60">
        <w:rPr>
          <w:rFonts w:eastAsia="Calibri"/>
        </w:rPr>
        <w:t xml:space="preserve"> on a new species: </w:t>
      </w:r>
      <w:r w:rsidRPr="00F43E60">
        <w:rPr>
          <w:rFonts w:eastAsia="Calibri"/>
          <w:i/>
          <w:iCs/>
        </w:rPr>
        <w:t>Senna</w:t>
      </w:r>
      <w:r w:rsidR="0050312A" w:rsidRPr="00F43E60">
        <w:rPr>
          <w:rFonts w:eastAsia="Calibri"/>
          <w:i/>
          <w:iCs/>
        </w:rPr>
        <w:t> </w:t>
      </w:r>
      <w:proofErr w:type="spellStart"/>
      <w:r w:rsidRPr="00F43E60">
        <w:rPr>
          <w:rFonts w:eastAsia="Calibri"/>
          <w:i/>
          <w:iCs/>
        </w:rPr>
        <w:t>corymbosa</w:t>
      </w:r>
      <w:proofErr w:type="spellEnd"/>
      <w:r w:rsidRPr="00F43E60">
        <w:rPr>
          <w:rFonts w:eastAsia="Calibri"/>
        </w:rPr>
        <w:t xml:space="preserve"> (Lam.) H. S. Irwin &amp; Barneby. </w:t>
      </w:r>
    </w:p>
    <w:p w14:paraId="70A38630" w14:textId="77777777" w:rsidR="002C2414" w:rsidRPr="00F43E60" w:rsidRDefault="002C2414" w:rsidP="002C2414">
      <w:pPr>
        <w:rPr>
          <w:rFonts w:eastAsia="Calibri"/>
        </w:rPr>
      </w:pPr>
    </w:p>
    <w:p w14:paraId="6015B97F" w14:textId="77777777" w:rsidR="002C2414" w:rsidRPr="00F43E60" w:rsidRDefault="002C2414" w:rsidP="002C2414">
      <w:pPr>
        <w:rPr>
          <w:rFonts w:eastAsia="Calibri"/>
        </w:rPr>
      </w:pPr>
      <w:r w:rsidRPr="00F43E60">
        <w:rPr>
          <w:rFonts w:eastAsia="Calibri"/>
        </w:rPr>
        <w:t>From 1</w:t>
      </w:r>
      <w:r w:rsidRPr="00F43E60">
        <w:rPr>
          <w:rFonts w:eastAsia="Calibri"/>
          <w:vertAlign w:val="superscript"/>
        </w:rPr>
        <w:t>st</w:t>
      </w:r>
      <w:r w:rsidRPr="00F43E60">
        <w:rPr>
          <w:rFonts w:eastAsia="Calibri"/>
        </w:rPr>
        <w:t xml:space="preserve"> January 2025, the DUS test for Echinacea will be conducted in 1 cycle.</w:t>
      </w:r>
    </w:p>
    <w:p w14:paraId="646567CD" w14:textId="77777777" w:rsidR="002C2414" w:rsidRPr="00F43E60" w:rsidRDefault="002C2414" w:rsidP="002C2414">
      <w:pPr>
        <w:rPr>
          <w:rFonts w:eastAsia="Calibri"/>
        </w:rPr>
      </w:pPr>
    </w:p>
    <w:p w14:paraId="3C7A327A" w14:textId="1B6ED27A" w:rsidR="002C2414" w:rsidRPr="00F43E60" w:rsidRDefault="002C2414" w:rsidP="002C2414">
      <w:pPr>
        <w:rPr>
          <w:rFonts w:eastAsia="Calibri"/>
        </w:rPr>
      </w:pPr>
      <w:r w:rsidRPr="00F43E60">
        <w:rPr>
          <w:rFonts w:eastAsia="Calibri"/>
        </w:rPr>
        <w:t xml:space="preserve">For all the species taken over by GEVES, information (application deadline, plant material…)  is available on the CPVO's website (S2/S3 Publication): </w:t>
      </w:r>
      <w:hyperlink r:id="rId22" w:history="1">
        <w:r w:rsidRPr="00F43E60">
          <w:rPr>
            <w:rFonts w:eastAsia="Calibri"/>
            <w:color w:val="0000FF"/>
            <w:u w:val="single"/>
          </w:rPr>
          <w:t>CPVO</w:t>
        </w:r>
      </w:hyperlink>
      <w:r w:rsidRPr="00F43E60">
        <w:rPr>
          <w:rFonts w:eastAsia="Calibri"/>
        </w:rPr>
        <w:t xml:space="preserve">  </w:t>
      </w:r>
    </w:p>
    <w:p w14:paraId="4B030B5E" w14:textId="77777777" w:rsidR="002C2414" w:rsidRPr="00F43E60" w:rsidRDefault="002C2414" w:rsidP="002C2414">
      <w:pPr>
        <w:rPr>
          <w:rFonts w:eastAsia="Calibri"/>
        </w:rPr>
      </w:pPr>
    </w:p>
    <w:p w14:paraId="36EF3708" w14:textId="77DFC3D9" w:rsidR="002C2414" w:rsidRPr="00F43E60" w:rsidRDefault="002C2414" w:rsidP="002C2414">
      <w:pPr>
        <w:rPr>
          <w:rFonts w:eastAsia="Calibri"/>
        </w:rPr>
      </w:pPr>
      <w:r w:rsidRPr="00F43E60">
        <w:rPr>
          <w:rFonts w:eastAsia="Calibri"/>
          <w:b/>
          <w:bCs/>
          <w:u w:val="single"/>
        </w:rPr>
        <w:t>National test guidelines developed for Ornamental crops in 2024</w:t>
      </w:r>
      <w:r w:rsidRPr="00F43E60">
        <w:rPr>
          <w:rFonts w:eastAsia="Calibri"/>
        </w:rPr>
        <w:t>: Ceanothus, Cenchrus, Ornamental</w:t>
      </w:r>
      <w:r w:rsidR="0050312A" w:rsidRPr="00F43E60">
        <w:rPr>
          <w:rFonts w:eastAsia="Calibri"/>
        </w:rPr>
        <w:t> </w:t>
      </w:r>
      <w:r w:rsidRPr="00F43E60">
        <w:rPr>
          <w:rFonts w:eastAsia="Calibri"/>
        </w:rPr>
        <w:t xml:space="preserve">Banana, Senna and </w:t>
      </w:r>
      <w:proofErr w:type="spellStart"/>
      <w:r w:rsidRPr="00F43E60">
        <w:rPr>
          <w:rFonts w:eastAsia="Calibri"/>
        </w:rPr>
        <w:t>xPyracomeles</w:t>
      </w:r>
      <w:proofErr w:type="spellEnd"/>
      <w:r w:rsidRPr="00F43E60">
        <w:rPr>
          <w:rFonts w:eastAsia="Calibri"/>
        </w:rPr>
        <w:t>.</w:t>
      </w:r>
    </w:p>
    <w:p w14:paraId="121EF70A" w14:textId="77777777" w:rsidR="002C2414" w:rsidRPr="00F43E60" w:rsidRDefault="002C2414" w:rsidP="002C2414">
      <w:pPr>
        <w:rPr>
          <w:rFonts w:eastAsia="Calibri"/>
        </w:rPr>
      </w:pPr>
    </w:p>
    <w:p w14:paraId="48F7F8E6" w14:textId="65013C50" w:rsidR="002C2414" w:rsidRPr="00F43E60" w:rsidRDefault="002C2414" w:rsidP="002C2414">
      <w:pPr>
        <w:rPr>
          <w:rFonts w:eastAsia="Calibri"/>
        </w:rPr>
      </w:pPr>
      <w:r w:rsidRPr="00F43E60">
        <w:rPr>
          <w:rFonts w:eastAsia="Calibri"/>
        </w:rPr>
        <w:t xml:space="preserve">Regarding the use of </w:t>
      </w:r>
      <w:r w:rsidRPr="00F43E60">
        <w:rPr>
          <w:rFonts w:eastAsia="Calibri"/>
          <w:b/>
          <w:bCs/>
        </w:rPr>
        <w:t>molecular markers</w:t>
      </w:r>
      <w:r w:rsidRPr="00F43E60">
        <w:rPr>
          <w:rFonts w:eastAsia="Calibri"/>
        </w:rPr>
        <w:t xml:space="preserve">, GEVES is using in 2024 in routine molecular markers for the management of </w:t>
      </w:r>
      <w:r w:rsidR="00FA2721" w:rsidRPr="00F43E60">
        <w:rPr>
          <w:rFonts w:eastAsia="Calibri"/>
        </w:rPr>
        <w:t xml:space="preserve">variety </w:t>
      </w:r>
      <w:r w:rsidRPr="00F43E60">
        <w:rPr>
          <w:rFonts w:eastAsia="Calibri"/>
        </w:rPr>
        <w:t xml:space="preserve">collection according to UPOV guidance model “Combining Phenotypic and Molecular </w:t>
      </w:r>
      <w:r w:rsidRPr="00F43E60">
        <w:rPr>
          <w:rFonts w:eastAsia="Calibri"/>
        </w:rPr>
        <w:lastRenderedPageBreak/>
        <w:t>Distances in the Management of Variety Collections”, for maize, sorghum, spring barley, durum wheat. Projects are ongoing on Oilseed rape and being finalized for Hydrangea.</w:t>
      </w:r>
    </w:p>
    <w:p w14:paraId="4321873C" w14:textId="77777777" w:rsidR="002C2414" w:rsidRPr="00F43E60" w:rsidRDefault="002C2414" w:rsidP="002C2414">
      <w:pPr>
        <w:rPr>
          <w:rFonts w:eastAsia="Calibri"/>
        </w:rPr>
      </w:pPr>
    </w:p>
    <w:p w14:paraId="6C146738" w14:textId="6AA2B077" w:rsidR="002C2414" w:rsidRPr="00F43E60" w:rsidRDefault="002C2414" w:rsidP="002C2414">
      <w:pPr>
        <w:rPr>
          <w:rFonts w:eastAsia="Calibri" w:cs="Calibri"/>
        </w:rPr>
      </w:pPr>
      <w:r w:rsidRPr="00F43E60">
        <w:rPr>
          <w:rFonts w:eastAsia="Calibri"/>
        </w:rPr>
        <w:t xml:space="preserve">GEVES is also planning to use in routine for tomato DUS testing molecular markers for prediction of resistance to TSWV, </w:t>
      </w:r>
      <w:proofErr w:type="spellStart"/>
      <w:r w:rsidRPr="00F43E60">
        <w:rPr>
          <w:rFonts w:eastAsia="Calibri"/>
        </w:rPr>
        <w:t>ToMV</w:t>
      </w:r>
      <w:proofErr w:type="spellEnd"/>
      <w:r w:rsidRPr="00F43E60">
        <w:rPr>
          <w:rFonts w:eastAsia="Calibri"/>
        </w:rPr>
        <w:t xml:space="preserve">: 0 and </w:t>
      </w:r>
      <w:proofErr w:type="spellStart"/>
      <w:r w:rsidRPr="00F43E60">
        <w:rPr>
          <w:rFonts w:eastAsia="Calibri"/>
        </w:rPr>
        <w:t>Fol</w:t>
      </w:r>
      <w:proofErr w:type="spellEnd"/>
      <w:r w:rsidRPr="00F43E60">
        <w:rPr>
          <w:rFonts w:eastAsia="Calibri"/>
        </w:rPr>
        <w:t xml:space="preserve">: 1 in the framework of UPOV model “Characteristic-Specific Molecular Markers”, in accordance with the </w:t>
      </w:r>
      <w:r w:rsidR="00FA2721" w:rsidRPr="00F43E60">
        <w:rPr>
          <w:rFonts w:eastAsia="Calibri"/>
        </w:rPr>
        <w:t>Test G</w:t>
      </w:r>
      <w:r w:rsidRPr="00F43E60">
        <w:rPr>
          <w:rFonts w:eastAsia="Calibri"/>
        </w:rPr>
        <w:t xml:space="preserve">uidelines in force. For more information on BMT, please contact: GEVES BIOGEVES </w:t>
      </w:r>
      <w:hyperlink r:id="rId23" w:history="1">
        <w:r w:rsidRPr="00F43E60">
          <w:rPr>
            <w:rFonts w:eastAsia="Calibri" w:cs="Calibri"/>
            <w:color w:val="0000FF"/>
            <w:u w:val="single"/>
          </w:rPr>
          <w:t>rene.mathis@geves.fr</w:t>
        </w:r>
      </w:hyperlink>
      <w:r w:rsidRPr="00F43E60">
        <w:rPr>
          <w:rFonts w:eastAsia="Calibri" w:cs="Calibri"/>
        </w:rPr>
        <w:t>.</w:t>
      </w:r>
    </w:p>
    <w:p w14:paraId="1C0682EB" w14:textId="77777777" w:rsidR="002C2414" w:rsidRPr="00F43E60" w:rsidRDefault="002C2414" w:rsidP="002C2414">
      <w:pPr>
        <w:rPr>
          <w:rFonts w:eastAsia="Calibri" w:cs="Calibri"/>
        </w:rPr>
      </w:pPr>
    </w:p>
    <w:p w14:paraId="65C8BD1D" w14:textId="77777777" w:rsidR="002C2414" w:rsidRPr="00F43E60" w:rsidRDefault="002C2414" w:rsidP="002C2414">
      <w:pPr>
        <w:rPr>
          <w:rFonts w:eastAsia="Calibri"/>
        </w:rPr>
      </w:pPr>
      <w:r w:rsidRPr="00F43E60">
        <w:rPr>
          <w:rFonts w:eastAsia="Calibri"/>
        </w:rPr>
        <w:t xml:space="preserve">Regarding the use of </w:t>
      </w:r>
      <w:r w:rsidRPr="00F43E60">
        <w:rPr>
          <w:rFonts w:eastAsia="Calibri"/>
          <w:b/>
          <w:bCs/>
        </w:rPr>
        <w:t>disease resistance characteristics</w:t>
      </w:r>
      <w:r w:rsidRPr="00F43E60">
        <w:rPr>
          <w:rFonts w:eastAsia="Calibri"/>
        </w:rPr>
        <w:t xml:space="preserve">, GEVES uses in routine disease resistance characteristics, processed in </w:t>
      </w:r>
      <w:proofErr w:type="gramStart"/>
      <w:r w:rsidRPr="00F43E60">
        <w:rPr>
          <w:rFonts w:eastAsia="Calibri"/>
        </w:rPr>
        <w:t>bio assays</w:t>
      </w:r>
      <w:proofErr w:type="gramEnd"/>
      <w:r w:rsidRPr="00F43E60">
        <w:rPr>
          <w:rFonts w:eastAsia="Calibri"/>
        </w:rPr>
        <w:t xml:space="preserve">, for DUS results. In 2024, GEVES gave a presentation during the </w:t>
      </w:r>
      <w:r w:rsidRPr="00F43E60">
        <w:rPr>
          <w:rFonts w:eastAsia="Calibri"/>
          <w:lang w:eastAsia="fr-FR"/>
        </w:rPr>
        <w:t xml:space="preserve">Sixtieth Session of the </w:t>
      </w:r>
      <w:r w:rsidRPr="00F43E60">
        <w:rPr>
          <w:rFonts w:eastAsia="Calibri"/>
        </w:rPr>
        <w:t xml:space="preserve">Technical Committee about its experience concerning the use of disease resistance characteristics in DUS examination, and this presentation is available on the UPOV website </w:t>
      </w:r>
      <w:hyperlink r:id="rId24" w:history="1">
        <w:r w:rsidRPr="00F43E60">
          <w:rPr>
            <w:rFonts w:eastAsia="Calibri"/>
            <w:color w:val="0000FF"/>
            <w:u w:val="single"/>
          </w:rPr>
          <w:t>here</w:t>
        </w:r>
      </w:hyperlink>
      <w:r w:rsidRPr="00F43E60">
        <w:rPr>
          <w:rFonts w:eastAsia="Calibri"/>
        </w:rPr>
        <w:t xml:space="preserve">. GEVES provides also services, facilities, protocols, identified standards and strains for such activities to Examination Offices and seed companies, all over the world. For more information, please contact: GEVES SNES </w:t>
      </w:r>
      <w:hyperlink r:id="rId25" w:history="1">
        <w:r w:rsidRPr="00F43E60">
          <w:rPr>
            <w:rFonts w:eastAsia="Calibri"/>
            <w:color w:val="0000FF"/>
            <w:u w:val="single"/>
          </w:rPr>
          <w:t>sophie.perrot@geves.fr</w:t>
        </w:r>
      </w:hyperlink>
      <w:r w:rsidRPr="00F43E60">
        <w:rPr>
          <w:rFonts w:eastAsia="Calibri"/>
        </w:rPr>
        <w:t xml:space="preserve"> </w:t>
      </w:r>
    </w:p>
    <w:p w14:paraId="28D3902A" w14:textId="77777777" w:rsidR="000E577F" w:rsidRPr="00F43E60" w:rsidRDefault="000E577F" w:rsidP="00E935DB">
      <w:pPr>
        <w:rPr>
          <w:rFonts w:eastAsia="Cambria"/>
        </w:rPr>
      </w:pPr>
    </w:p>
    <w:p w14:paraId="0984D1D1" w14:textId="77777777" w:rsidR="000E577F" w:rsidRPr="00F43E60" w:rsidRDefault="000E577F" w:rsidP="00E935DB"/>
    <w:p w14:paraId="21DF2546" w14:textId="77777777" w:rsidR="00E935DB" w:rsidRPr="00F43E60" w:rsidRDefault="00E935DB" w:rsidP="00E935DB"/>
    <w:p w14:paraId="103F338E" w14:textId="715B0C56" w:rsidR="000E577F" w:rsidRPr="00F43E60" w:rsidRDefault="000E577F" w:rsidP="000E577F">
      <w:pPr>
        <w:jc w:val="right"/>
        <w:sectPr w:rsidR="000E577F" w:rsidRPr="00F43E60" w:rsidSect="005E7466">
          <w:headerReference w:type="default" r:id="rId26"/>
          <w:headerReference w:type="first" r:id="rId27"/>
          <w:pgSz w:w="11907" w:h="16840" w:code="9"/>
          <w:pgMar w:top="510" w:right="1134" w:bottom="1134" w:left="1134" w:header="510" w:footer="680" w:gutter="0"/>
          <w:pgNumType w:start="1"/>
          <w:cols w:space="720"/>
          <w:titlePg/>
        </w:sectPr>
      </w:pPr>
      <w:r w:rsidRPr="00F43E60">
        <w:t>[Annex II</w:t>
      </w:r>
      <w:r w:rsidR="00C548C5">
        <w:t>I</w:t>
      </w:r>
      <w:r w:rsidRPr="00F43E60">
        <w:t xml:space="preserve"> follows]</w:t>
      </w:r>
    </w:p>
    <w:p w14:paraId="547A4E7A" w14:textId="77777777" w:rsidR="000E577F" w:rsidRPr="00F43E60" w:rsidRDefault="000E577F" w:rsidP="00C04852">
      <w:pPr>
        <w:jc w:val="center"/>
      </w:pPr>
    </w:p>
    <w:p w14:paraId="0FA6F00F" w14:textId="77777777" w:rsidR="00C04852" w:rsidRPr="00F43E60" w:rsidRDefault="00C04852" w:rsidP="00C04852">
      <w:pPr>
        <w:jc w:val="center"/>
      </w:pPr>
      <w:r w:rsidRPr="00F43E60">
        <w:t>JAPAN</w:t>
      </w:r>
    </w:p>
    <w:p w14:paraId="12542A32" w14:textId="77777777" w:rsidR="00C04852" w:rsidRPr="00F43E60" w:rsidRDefault="00C04852" w:rsidP="00C04852">
      <w:pPr>
        <w:jc w:val="center"/>
      </w:pPr>
    </w:p>
    <w:p w14:paraId="41E3833A" w14:textId="77777777" w:rsidR="00C04852" w:rsidRPr="00F43E60" w:rsidRDefault="00C04852" w:rsidP="00363EA2"/>
    <w:p w14:paraId="502E1159" w14:textId="685E41B6" w:rsidR="00C04852" w:rsidRPr="00F43E60" w:rsidRDefault="00C04852" w:rsidP="00C04852">
      <w:pPr>
        <w:rPr>
          <w:rFonts w:eastAsia="MS Mincho"/>
          <w:lang w:eastAsia="ja-JP"/>
        </w:rPr>
      </w:pPr>
      <w:r w:rsidRPr="00F43E60">
        <w:rPr>
          <w:rFonts w:eastAsia="MS Mincho"/>
          <w:lang w:eastAsia="ja-JP"/>
        </w:rPr>
        <w:t>1. Number of applications in 202</w:t>
      </w:r>
      <w:r w:rsidR="00014A4D" w:rsidRPr="00F43E60">
        <w:rPr>
          <w:rFonts w:eastAsia="MS Mincho"/>
          <w:lang w:eastAsia="ja-JP"/>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014A4D" w:rsidRPr="00F43E60" w14:paraId="072CAD1D" w14:textId="77777777" w:rsidTr="003B7958">
        <w:trPr>
          <w:trHeight w:val="285"/>
        </w:trPr>
        <w:tc>
          <w:tcPr>
            <w:tcW w:w="1560" w:type="dxa"/>
          </w:tcPr>
          <w:p w14:paraId="125C75E7" w14:textId="5C3EFF37" w:rsidR="00014A4D" w:rsidRPr="00F43E60" w:rsidRDefault="00014A4D" w:rsidP="00014A4D">
            <w:pPr>
              <w:widowControl w:val="0"/>
              <w:autoSpaceDE w:val="0"/>
              <w:autoSpaceDN w:val="0"/>
              <w:adjustRightInd w:val="0"/>
              <w:ind w:left="-31"/>
              <w:jc w:val="center"/>
              <w:rPr>
                <w:rFonts w:eastAsia="MS Mincho" w:cs="Arial"/>
                <w:lang w:eastAsia="ja-JP"/>
              </w:rPr>
            </w:pPr>
            <w:r w:rsidRPr="00F43E60">
              <w:t>Year</w:t>
            </w:r>
          </w:p>
        </w:tc>
        <w:tc>
          <w:tcPr>
            <w:tcW w:w="1417" w:type="dxa"/>
            <w:tcBorders>
              <w:right w:val="dashed" w:sz="4" w:space="0" w:color="auto"/>
            </w:tcBorders>
          </w:tcPr>
          <w:p w14:paraId="0023C7FC" w14:textId="464EC110" w:rsidR="00014A4D" w:rsidRPr="00F43E60" w:rsidRDefault="00014A4D" w:rsidP="00014A4D">
            <w:pPr>
              <w:widowControl w:val="0"/>
              <w:autoSpaceDE w:val="0"/>
              <w:autoSpaceDN w:val="0"/>
              <w:adjustRightInd w:val="0"/>
              <w:ind w:left="-31"/>
              <w:jc w:val="center"/>
              <w:rPr>
                <w:rFonts w:eastAsia="MS Mincho" w:cs="Arial"/>
                <w:lang w:eastAsia="ja-JP"/>
              </w:rPr>
            </w:pPr>
            <w:r w:rsidRPr="00F43E60">
              <w:t>Total number</w:t>
            </w:r>
          </w:p>
        </w:tc>
        <w:tc>
          <w:tcPr>
            <w:tcW w:w="1559" w:type="dxa"/>
            <w:tcBorders>
              <w:left w:val="dashed" w:sz="4" w:space="0" w:color="auto"/>
              <w:right w:val="single" w:sz="4" w:space="0" w:color="auto"/>
            </w:tcBorders>
          </w:tcPr>
          <w:p w14:paraId="77BBB056" w14:textId="0856DB9F" w:rsidR="00014A4D" w:rsidRPr="00F43E60" w:rsidRDefault="00014A4D" w:rsidP="00014A4D">
            <w:pPr>
              <w:widowControl w:val="0"/>
              <w:autoSpaceDE w:val="0"/>
              <w:autoSpaceDN w:val="0"/>
              <w:adjustRightInd w:val="0"/>
              <w:jc w:val="center"/>
              <w:rPr>
                <w:rFonts w:eastAsia="MS Mincho" w:cs="Arial"/>
                <w:lang w:eastAsia="ja-JP"/>
              </w:rPr>
            </w:pPr>
            <w:r w:rsidRPr="00F43E60">
              <w:t>(2024/2023)</w:t>
            </w:r>
          </w:p>
        </w:tc>
        <w:tc>
          <w:tcPr>
            <w:tcW w:w="2552" w:type="dxa"/>
            <w:tcBorders>
              <w:left w:val="single" w:sz="4" w:space="0" w:color="auto"/>
              <w:right w:val="dashed" w:sz="4" w:space="0" w:color="auto"/>
            </w:tcBorders>
          </w:tcPr>
          <w:p w14:paraId="7668D05F" w14:textId="76231E5C" w:rsidR="00014A4D" w:rsidRPr="00F43E60" w:rsidRDefault="00014A4D" w:rsidP="00014A4D">
            <w:pPr>
              <w:widowControl w:val="0"/>
              <w:autoSpaceDE w:val="0"/>
              <w:autoSpaceDN w:val="0"/>
              <w:adjustRightInd w:val="0"/>
              <w:ind w:left="-31"/>
              <w:jc w:val="center"/>
              <w:rPr>
                <w:rFonts w:eastAsia="MS Mincho" w:cs="Arial"/>
                <w:lang w:eastAsia="ja-JP"/>
              </w:rPr>
            </w:pPr>
            <w:r w:rsidRPr="00F43E60">
              <w:t>Ornamental</w:t>
            </w:r>
          </w:p>
        </w:tc>
        <w:tc>
          <w:tcPr>
            <w:tcW w:w="1417" w:type="dxa"/>
            <w:tcBorders>
              <w:left w:val="dashed" w:sz="4" w:space="0" w:color="auto"/>
            </w:tcBorders>
          </w:tcPr>
          <w:p w14:paraId="2E0EC1C7" w14:textId="7F545486" w:rsidR="00014A4D" w:rsidRPr="00F43E60" w:rsidRDefault="00014A4D" w:rsidP="00014A4D">
            <w:pPr>
              <w:widowControl w:val="0"/>
              <w:autoSpaceDE w:val="0"/>
              <w:autoSpaceDN w:val="0"/>
              <w:adjustRightInd w:val="0"/>
              <w:ind w:left="-31"/>
              <w:jc w:val="center"/>
              <w:rPr>
                <w:rFonts w:eastAsia="MS Mincho" w:cs="Arial"/>
                <w:lang w:eastAsia="ja-JP"/>
              </w:rPr>
            </w:pPr>
            <w:r w:rsidRPr="00F43E60">
              <w:t xml:space="preserve">(2024/2023) </w:t>
            </w:r>
          </w:p>
        </w:tc>
      </w:tr>
      <w:tr w:rsidR="00014A4D" w:rsidRPr="00F43E60" w14:paraId="08F792CD" w14:textId="77777777" w:rsidTr="003B7958">
        <w:trPr>
          <w:trHeight w:val="70"/>
        </w:trPr>
        <w:tc>
          <w:tcPr>
            <w:tcW w:w="1560" w:type="dxa"/>
            <w:tcBorders>
              <w:top w:val="single" w:sz="4" w:space="0" w:color="auto"/>
              <w:left w:val="single" w:sz="4" w:space="0" w:color="auto"/>
              <w:bottom w:val="single" w:sz="4" w:space="0" w:color="auto"/>
              <w:right w:val="single" w:sz="4" w:space="0" w:color="auto"/>
            </w:tcBorders>
          </w:tcPr>
          <w:p w14:paraId="57F9DF64" w14:textId="43F523FD" w:rsidR="00014A4D" w:rsidRPr="00F43E60" w:rsidRDefault="00014A4D" w:rsidP="00014A4D">
            <w:pPr>
              <w:widowControl w:val="0"/>
              <w:autoSpaceDE w:val="0"/>
              <w:autoSpaceDN w:val="0"/>
              <w:adjustRightInd w:val="0"/>
              <w:ind w:left="-31"/>
              <w:jc w:val="center"/>
              <w:rPr>
                <w:rFonts w:eastAsia="MS Mincho" w:cs="Arial"/>
                <w:lang w:eastAsia="ja-JP"/>
              </w:rPr>
            </w:pPr>
            <w:r w:rsidRPr="00F43E60">
              <w:t>1978 to 2024</w:t>
            </w:r>
          </w:p>
        </w:tc>
        <w:tc>
          <w:tcPr>
            <w:tcW w:w="1417" w:type="dxa"/>
            <w:tcBorders>
              <w:top w:val="single" w:sz="4" w:space="0" w:color="auto"/>
              <w:left w:val="single" w:sz="4" w:space="0" w:color="auto"/>
              <w:bottom w:val="single" w:sz="4" w:space="0" w:color="auto"/>
              <w:right w:val="dashed" w:sz="4" w:space="0" w:color="auto"/>
            </w:tcBorders>
          </w:tcPr>
          <w:p w14:paraId="27FBDF77" w14:textId="449F9752" w:rsidR="00014A4D" w:rsidRPr="00F43E60" w:rsidRDefault="00EC5B9C" w:rsidP="00014A4D">
            <w:pPr>
              <w:widowControl w:val="0"/>
              <w:autoSpaceDE w:val="0"/>
              <w:autoSpaceDN w:val="0"/>
              <w:adjustRightInd w:val="0"/>
              <w:ind w:left="-31"/>
              <w:jc w:val="center"/>
              <w:rPr>
                <w:rFonts w:eastAsia="MS Mincho" w:cs="Arial"/>
                <w:lang w:eastAsia="ja-JP"/>
              </w:rPr>
            </w:pPr>
            <w:r w:rsidRPr="00F43E60">
              <w:t>37805</w:t>
            </w:r>
          </w:p>
        </w:tc>
        <w:tc>
          <w:tcPr>
            <w:tcW w:w="1559" w:type="dxa"/>
            <w:tcBorders>
              <w:top w:val="single" w:sz="4" w:space="0" w:color="auto"/>
              <w:left w:val="dashed" w:sz="4" w:space="0" w:color="auto"/>
              <w:bottom w:val="single" w:sz="4" w:space="0" w:color="auto"/>
              <w:right w:val="single" w:sz="4" w:space="0" w:color="auto"/>
            </w:tcBorders>
          </w:tcPr>
          <w:p w14:paraId="04B88D6F" w14:textId="1FFD6E46" w:rsidR="00014A4D" w:rsidRPr="00F43E60" w:rsidRDefault="00014A4D" w:rsidP="00014A4D">
            <w:pPr>
              <w:widowControl w:val="0"/>
              <w:autoSpaceDE w:val="0"/>
              <w:autoSpaceDN w:val="0"/>
              <w:adjustRightInd w:val="0"/>
              <w:jc w:val="center"/>
              <w:rPr>
                <w:rFonts w:eastAsia="MS Mincho" w:cs="Arial"/>
                <w:lang w:eastAsia="ja-JP"/>
              </w:rPr>
            </w:pPr>
            <w:r w:rsidRPr="00F43E60">
              <w:t>-</w:t>
            </w:r>
          </w:p>
        </w:tc>
        <w:tc>
          <w:tcPr>
            <w:tcW w:w="2552" w:type="dxa"/>
            <w:tcBorders>
              <w:top w:val="single" w:sz="4" w:space="0" w:color="auto"/>
              <w:left w:val="single" w:sz="4" w:space="0" w:color="auto"/>
              <w:bottom w:val="single" w:sz="4" w:space="0" w:color="auto"/>
              <w:right w:val="dashed" w:sz="4" w:space="0" w:color="auto"/>
            </w:tcBorders>
          </w:tcPr>
          <w:p w14:paraId="37168D74" w14:textId="30E161F1" w:rsidR="00014A4D" w:rsidRPr="00F43E60" w:rsidRDefault="00014A4D" w:rsidP="00014A4D">
            <w:pPr>
              <w:widowControl w:val="0"/>
              <w:autoSpaceDE w:val="0"/>
              <w:autoSpaceDN w:val="0"/>
              <w:adjustRightInd w:val="0"/>
              <w:ind w:left="-31"/>
              <w:jc w:val="center"/>
              <w:rPr>
                <w:rFonts w:eastAsia="MS Mincho" w:cs="Arial"/>
                <w:lang w:eastAsia="ja-JP"/>
              </w:rPr>
            </w:pPr>
            <w:r w:rsidRPr="00F43E60">
              <w:t>29816</w:t>
            </w:r>
          </w:p>
        </w:tc>
        <w:tc>
          <w:tcPr>
            <w:tcW w:w="1417" w:type="dxa"/>
            <w:tcBorders>
              <w:top w:val="single" w:sz="4" w:space="0" w:color="auto"/>
              <w:left w:val="dashed" w:sz="4" w:space="0" w:color="auto"/>
              <w:bottom w:val="single" w:sz="4" w:space="0" w:color="auto"/>
              <w:right w:val="single" w:sz="4" w:space="0" w:color="auto"/>
            </w:tcBorders>
          </w:tcPr>
          <w:p w14:paraId="773D6278" w14:textId="639DA375" w:rsidR="00014A4D" w:rsidRPr="00F43E60" w:rsidRDefault="00014A4D" w:rsidP="00014A4D">
            <w:pPr>
              <w:widowControl w:val="0"/>
              <w:autoSpaceDE w:val="0"/>
              <w:autoSpaceDN w:val="0"/>
              <w:adjustRightInd w:val="0"/>
              <w:ind w:left="-31"/>
              <w:jc w:val="center"/>
              <w:rPr>
                <w:rFonts w:eastAsia="MS Mincho" w:cs="Arial"/>
                <w:lang w:eastAsia="ja-JP"/>
              </w:rPr>
            </w:pPr>
            <w:r w:rsidRPr="00F43E60">
              <w:t>-</w:t>
            </w:r>
          </w:p>
        </w:tc>
      </w:tr>
      <w:tr w:rsidR="00014A4D" w:rsidRPr="00F43E60" w14:paraId="25DAA5E6" w14:textId="77777777" w:rsidTr="003B7958">
        <w:trPr>
          <w:trHeight w:val="368"/>
        </w:trPr>
        <w:tc>
          <w:tcPr>
            <w:tcW w:w="1560" w:type="dxa"/>
            <w:tcBorders>
              <w:bottom w:val="single" w:sz="4" w:space="0" w:color="auto"/>
            </w:tcBorders>
          </w:tcPr>
          <w:p w14:paraId="1CC78A08" w14:textId="2F9D162E" w:rsidR="00014A4D" w:rsidRPr="00F43E60" w:rsidRDefault="00014A4D" w:rsidP="00014A4D">
            <w:pPr>
              <w:widowControl w:val="0"/>
              <w:autoSpaceDE w:val="0"/>
              <w:autoSpaceDN w:val="0"/>
              <w:adjustRightInd w:val="0"/>
              <w:ind w:left="-31"/>
              <w:jc w:val="center"/>
              <w:rPr>
                <w:rFonts w:eastAsia="MS Mincho" w:cs="Arial"/>
                <w:lang w:eastAsia="ja-JP"/>
              </w:rPr>
            </w:pPr>
            <w:r w:rsidRPr="00F43E60">
              <w:t>2023</w:t>
            </w:r>
          </w:p>
        </w:tc>
        <w:tc>
          <w:tcPr>
            <w:tcW w:w="1417" w:type="dxa"/>
            <w:tcBorders>
              <w:bottom w:val="single" w:sz="4" w:space="0" w:color="auto"/>
              <w:right w:val="dashed" w:sz="4" w:space="0" w:color="auto"/>
            </w:tcBorders>
          </w:tcPr>
          <w:p w14:paraId="2E071A4B" w14:textId="253B9D37" w:rsidR="00014A4D" w:rsidRPr="00F43E60" w:rsidRDefault="00014A4D" w:rsidP="00014A4D">
            <w:pPr>
              <w:widowControl w:val="0"/>
              <w:autoSpaceDE w:val="0"/>
              <w:autoSpaceDN w:val="0"/>
              <w:adjustRightInd w:val="0"/>
              <w:ind w:left="-31"/>
              <w:jc w:val="center"/>
              <w:rPr>
                <w:rFonts w:eastAsia="MS Mincho" w:cs="Arial"/>
                <w:lang w:eastAsia="ja-JP"/>
              </w:rPr>
            </w:pPr>
            <w:r w:rsidRPr="00F43E60">
              <w:t>591</w:t>
            </w:r>
          </w:p>
        </w:tc>
        <w:tc>
          <w:tcPr>
            <w:tcW w:w="1559" w:type="dxa"/>
            <w:tcBorders>
              <w:left w:val="dashed" w:sz="4" w:space="0" w:color="auto"/>
              <w:bottom w:val="single" w:sz="4" w:space="0" w:color="auto"/>
              <w:right w:val="single" w:sz="4" w:space="0" w:color="auto"/>
            </w:tcBorders>
          </w:tcPr>
          <w:p w14:paraId="61886A5D" w14:textId="77777777" w:rsidR="00014A4D" w:rsidRPr="00F43E60" w:rsidRDefault="00014A4D" w:rsidP="00014A4D">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14:paraId="496557B0" w14:textId="729E24FD" w:rsidR="00014A4D" w:rsidRPr="00F43E60" w:rsidRDefault="00014A4D" w:rsidP="00014A4D">
            <w:pPr>
              <w:widowControl w:val="0"/>
              <w:autoSpaceDE w:val="0"/>
              <w:autoSpaceDN w:val="0"/>
              <w:adjustRightInd w:val="0"/>
              <w:jc w:val="center"/>
              <w:rPr>
                <w:rFonts w:eastAsia="MS Mincho" w:cs="Arial"/>
                <w:lang w:eastAsia="ja-JP"/>
              </w:rPr>
            </w:pPr>
            <w:r w:rsidRPr="00F43E60">
              <w:t>418</w:t>
            </w:r>
          </w:p>
        </w:tc>
        <w:tc>
          <w:tcPr>
            <w:tcW w:w="1417" w:type="dxa"/>
            <w:tcBorders>
              <w:left w:val="dashed" w:sz="4" w:space="0" w:color="auto"/>
              <w:bottom w:val="single" w:sz="4" w:space="0" w:color="auto"/>
            </w:tcBorders>
          </w:tcPr>
          <w:p w14:paraId="4FE1D5FA" w14:textId="77777777" w:rsidR="00014A4D" w:rsidRPr="00F43E60" w:rsidRDefault="00014A4D" w:rsidP="00014A4D">
            <w:pPr>
              <w:widowControl w:val="0"/>
              <w:autoSpaceDE w:val="0"/>
              <w:autoSpaceDN w:val="0"/>
              <w:adjustRightInd w:val="0"/>
              <w:rPr>
                <w:rFonts w:eastAsia="MS Mincho" w:cs="Arial"/>
                <w:lang w:eastAsia="ja-JP"/>
              </w:rPr>
            </w:pPr>
          </w:p>
        </w:tc>
      </w:tr>
      <w:tr w:rsidR="00014A4D" w:rsidRPr="00F43E60" w14:paraId="0B9AD981" w14:textId="77777777" w:rsidTr="003B7958">
        <w:trPr>
          <w:trHeight w:val="368"/>
        </w:trPr>
        <w:tc>
          <w:tcPr>
            <w:tcW w:w="1560" w:type="dxa"/>
            <w:tcBorders>
              <w:top w:val="single" w:sz="4" w:space="0" w:color="auto"/>
            </w:tcBorders>
          </w:tcPr>
          <w:p w14:paraId="501B265F" w14:textId="22D45545" w:rsidR="00014A4D" w:rsidRPr="00F43E60" w:rsidRDefault="00014A4D" w:rsidP="00014A4D">
            <w:pPr>
              <w:widowControl w:val="0"/>
              <w:autoSpaceDE w:val="0"/>
              <w:autoSpaceDN w:val="0"/>
              <w:adjustRightInd w:val="0"/>
              <w:ind w:left="-31"/>
              <w:jc w:val="center"/>
              <w:rPr>
                <w:rFonts w:eastAsia="MS Mincho" w:cs="Arial"/>
                <w:lang w:eastAsia="ja-JP"/>
              </w:rPr>
            </w:pPr>
            <w:r w:rsidRPr="00F43E60">
              <w:t>2024</w:t>
            </w:r>
          </w:p>
        </w:tc>
        <w:tc>
          <w:tcPr>
            <w:tcW w:w="1417" w:type="dxa"/>
            <w:tcBorders>
              <w:top w:val="single" w:sz="4" w:space="0" w:color="auto"/>
              <w:right w:val="dashed" w:sz="4" w:space="0" w:color="auto"/>
            </w:tcBorders>
          </w:tcPr>
          <w:p w14:paraId="3C9BDEBB" w14:textId="6995AA10" w:rsidR="00014A4D" w:rsidRPr="00F43E60" w:rsidRDefault="00014A4D" w:rsidP="00014A4D">
            <w:pPr>
              <w:widowControl w:val="0"/>
              <w:autoSpaceDE w:val="0"/>
              <w:autoSpaceDN w:val="0"/>
              <w:adjustRightInd w:val="0"/>
              <w:ind w:left="-31"/>
              <w:jc w:val="center"/>
              <w:rPr>
                <w:rFonts w:eastAsia="MS Mincho" w:cs="Arial"/>
                <w:lang w:eastAsia="ja-JP"/>
              </w:rPr>
            </w:pPr>
            <w:r w:rsidRPr="00F43E60">
              <w:t>599</w:t>
            </w:r>
          </w:p>
        </w:tc>
        <w:tc>
          <w:tcPr>
            <w:tcW w:w="1559" w:type="dxa"/>
            <w:tcBorders>
              <w:top w:val="single" w:sz="4" w:space="0" w:color="auto"/>
              <w:left w:val="dashed" w:sz="4" w:space="0" w:color="auto"/>
              <w:right w:val="single" w:sz="4" w:space="0" w:color="auto"/>
            </w:tcBorders>
          </w:tcPr>
          <w:p w14:paraId="42BC8C11" w14:textId="733599FA" w:rsidR="00014A4D" w:rsidRPr="00F43E60" w:rsidRDefault="00014A4D" w:rsidP="00014A4D">
            <w:pPr>
              <w:widowControl w:val="0"/>
              <w:autoSpaceDE w:val="0"/>
              <w:autoSpaceDN w:val="0"/>
              <w:adjustRightInd w:val="0"/>
              <w:jc w:val="center"/>
              <w:rPr>
                <w:rFonts w:eastAsia="MS Mincho" w:cs="Arial"/>
                <w:lang w:eastAsia="ja-JP"/>
              </w:rPr>
            </w:pPr>
            <w:r w:rsidRPr="00F43E60">
              <w:t>(101%)</w:t>
            </w:r>
          </w:p>
        </w:tc>
        <w:tc>
          <w:tcPr>
            <w:tcW w:w="2552" w:type="dxa"/>
            <w:tcBorders>
              <w:top w:val="single" w:sz="4" w:space="0" w:color="auto"/>
              <w:left w:val="single" w:sz="4" w:space="0" w:color="auto"/>
              <w:right w:val="dashed" w:sz="4" w:space="0" w:color="auto"/>
            </w:tcBorders>
          </w:tcPr>
          <w:p w14:paraId="565643BD" w14:textId="264288EF" w:rsidR="00014A4D" w:rsidRPr="00F43E60" w:rsidRDefault="00014A4D" w:rsidP="00014A4D">
            <w:pPr>
              <w:widowControl w:val="0"/>
              <w:autoSpaceDE w:val="0"/>
              <w:autoSpaceDN w:val="0"/>
              <w:adjustRightInd w:val="0"/>
              <w:jc w:val="center"/>
              <w:rPr>
                <w:rFonts w:eastAsia="MS Mincho" w:cs="Arial"/>
                <w:lang w:eastAsia="ja-JP"/>
              </w:rPr>
            </w:pPr>
            <w:r w:rsidRPr="00F43E60">
              <w:t>439</w:t>
            </w:r>
          </w:p>
        </w:tc>
        <w:tc>
          <w:tcPr>
            <w:tcW w:w="1417" w:type="dxa"/>
            <w:tcBorders>
              <w:top w:val="single" w:sz="4" w:space="0" w:color="auto"/>
              <w:left w:val="dashed" w:sz="4" w:space="0" w:color="auto"/>
            </w:tcBorders>
          </w:tcPr>
          <w:p w14:paraId="46718227" w14:textId="52D216AA" w:rsidR="00014A4D" w:rsidRPr="00F43E60" w:rsidRDefault="00014A4D" w:rsidP="00014A4D">
            <w:pPr>
              <w:widowControl w:val="0"/>
              <w:autoSpaceDE w:val="0"/>
              <w:autoSpaceDN w:val="0"/>
              <w:adjustRightInd w:val="0"/>
              <w:jc w:val="center"/>
              <w:rPr>
                <w:rFonts w:eastAsia="MS Mincho" w:cs="Arial"/>
                <w:lang w:eastAsia="ja-JP"/>
              </w:rPr>
            </w:pPr>
            <w:r w:rsidRPr="00F43E60">
              <w:t>(105%)</w:t>
            </w:r>
          </w:p>
        </w:tc>
      </w:tr>
    </w:tbl>
    <w:p w14:paraId="4E96DA57" w14:textId="77777777" w:rsidR="00C04852" w:rsidRPr="00F43E60" w:rsidRDefault="00C04852" w:rsidP="00C04852">
      <w:pPr>
        <w:rPr>
          <w:rFonts w:eastAsia="MS Mincho"/>
          <w:i/>
          <w:iCs/>
          <w:lang w:eastAsia="ja-JP"/>
        </w:rPr>
      </w:pPr>
    </w:p>
    <w:p w14:paraId="0C432974" w14:textId="64ABC1B9" w:rsidR="00C04852" w:rsidRPr="00F43E60" w:rsidRDefault="00C04852" w:rsidP="00C04852">
      <w:pPr>
        <w:rPr>
          <w:rFonts w:eastAsia="MS Mincho"/>
          <w:u w:val="single"/>
          <w:lang w:eastAsia="ja-JP"/>
        </w:rPr>
      </w:pPr>
      <w:r w:rsidRPr="00F43E60">
        <w:rPr>
          <w:rFonts w:eastAsia="MS Mincho"/>
          <w:u w:val="single"/>
          <w:lang w:eastAsia="ja-JP"/>
        </w:rPr>
        <w:t>Top 5 of application for Ornamental in 202</w:t>
      </w:r>
      <w:r w:rsidR="00014A4D" w:rsidRPr="00F43E60">
        <w:rPr>
          <w:rFonts w:eastAsia="MS Mincho"/>
          <w:u w:val="single"/>
          <w:lang w:eastAsia="ja-JP"/>
        </w:rPr>
        <w:t>4</w:t>
      </w:r>
    </w:p>
    <w:p w14:paraId="079A058F" w14:textId="2D0610FF" w:rsidR="00C04852" w:rsidRPr="00F43E60" w:rsidRDefault="00014A4D" w:rsidP="00C04852">
      <w:pPr>
        <w:rPr>
          <w:rFonts w:eastAsia="MS Mincho"/>
          <w:lang w:eastAsia="ja-JP"/>
        </w:rPr>
      </w:pPr>
      <w:r w:rsidRPr="00F43E60">
        <w:rPr>
          <w:rFonts w:eastAsia="MS Mincho"/>
          <w:lang w:eastAsia="ja-JP"/>
        </w:rPr>
        <w:t xml:space="preserve">Chrysanthemum 70, Rosa 65, Dianthus 36, Petunia and </w:t>
      </w:r>
      <w:r w:rsidR="00FA2721" w:rsidRPr="00F43E60">
        <w:rPr>
          <w:rFonts w:eastAsia="MS Mincho"/>
          <w:lang w:eastAsia="ja-JP"/>
        </w:rPr>
        <w:t>Calibrachoa</w:t>
      </w:r>
      <w:r w:rsidRPr="00F43E60">
        <w:rPr>
          <w:rFonts w:eastAsia="MS Mincho"/>
          <w:lang w:eastAsia="ja-JP"/>
        </w:rPr>
        <w:t xml:space="preserve"> 24 (12, 12), Hydrangea 19</w:t>
      </w:r>
    </w:p>
    <w:p w14:paraId="3AD3FE30" w14:textId="77777777" w:rsidR="00C04852" w:rsidRPr="00F43E60" w:rsidRDefault="00C04852" w:rsidP="00C04852">
      <w:pPr>
        <w:rPr>
          <w:rFonts w:eastAsia="MS Mincho"/>
          <w:lang w:eastAsia="ja-JP"/>
        </w:rPr>
      </w:pPr>
    </w:p>
    <w:p w14:paraId="71CB5CF6" w14:textId="77777777" w:rsidR="00C04852" w:rsidRPr="00F43E60" w:rsidRDefault="00C04852" w:rsidP="00C04852">
      <w:pPr>
        <w:rPr>
          <w:rFonts w:eastAsia="MS Mincho"/>
          <w:lang w:eastAsia="ja-JP"/>
        </w:rPr>
      </w:pPr>
    </w:p>
    <w:p w14:paraId="21BA4E4B" w14:textId="636643E6" w:rsidR="00C04852" w:rsidRPr="00F43E60" w:rsidRDefault="00C04852" w:rsidP="00C04852">
      <w:pPr>
        <w:rPr>
          <w:rFonts w:eastAsia="MS Mincho"/>
          <w:lang w:eastAsia="ja-JP"/>
        </w:rPr>
      </w:pPr>
      <w:r w:rsidRPr="00F43E60">
        <w:rPr>
          <w:rFonts w:eastAsia="MS Mincho"/>
          <w:lang w:eastAsia="ja-JP"/>
        </w:rPr>
        <w:t>2. Number of granted in 202</w:t>
      </w:r>
      <w:r w:rsidR="00014A4D" w:rsidRPr="00F43E60">
        <w:rPr>
          <w:rFonts w:eastAsia="MS Mincho"/>
          <w:lang w:eastAsia="ja-JP"/>
        </w:rPr>
        <w:t>4</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014A4D" w:rsidRPr="00F43E60" w14:paraId="3E8CA71F" w14:textId="77777777" w:rsidTr="003B7958">
        <w:trPr>
          <w:trHeight w:val="375"/>
        </w:trPr>
        <w:tc>
          <w:tcPr>
            <w:tcW w:w="1560" w:type="dxa"/>
          </w:tcPr>
          <w:p w14:paraId="035A4FB8" w14:textId="5807AB4C" w:rsidR="00014A4D" w:rsidRPr="00F43E60" w:rsidRDefault="00014A4D" w:rsidP="00014A4D">
            <w:pPr>
              <w:widowControl w:val="0"/>
              <w:autoSpaceDE w:val="0"/>
              <w:autoSpaceDN w:val="0"/>
              <w:adjustRightInd w:val="0"/>
              <w:ind w:left="-31"/>
              <w:jc w:val="center"/>
              <w:rPr>
                <w:rFonts w:eastAsia="MS Mincho" w:cs="Arial"/>
                <w:lang w:eastAsia="ja-JP"/>
              </w:rPr>
            </w:pPr>
            <w:r w:rsidRPr="00F43E60">
              <w:t>Year</w:t>
            </w:r>
          </w:p>
        </w:tc>
        <w:tc>
          <w:tcPr>
            <w:tcW w:w="1435" w:type="dxa"/>
            <w:tcBorders>
              <w:right w:val="dashed" w:sz="4" w:space="0" w:color="auto"/>
            </w:tcBorders>
          </w:tcPr>
          <w:p w14:paraId="3AB0E95C" w14:textId="6AB9BCDE" w:rsidR="00014A4D" w:rsidRPr="00F43E60" w:rsidRDefault="00014A4D" w:rsidP="00014A4D">
            <w:pPr>
              <w:widowControl w:val="0"/>
              <w:autoSpaceDE w:val="0"/>
              <w:autoSpaceDN w:val="0"/>
              <w:adjustRightInd w:val="0"/>
              <w:ind w:left="-31"/>
              <w:jc w:val="center"/>
              <w:rPr>
                <w:rFonts w:eastAsia="MS Mincho" w:cs="Arial"/>
                <w:lang w:eastAsia="ja-JP"/>
              </w:rPr>
            </w:pPr>
            <w:r w:rsidRPr="00F43E60">
              <w:t>Number</w:t>
            </w:r>
          </w:p>
        </w:tc>
        <w:tc>
          <w:tcPr>
            <w:tcW w:w="1573" w:type="dxa"/>
            <w:tcBorders>
              <w:left w:val="dashed" w:sz="4" w:space="0" w:color="auto"/>
              <w:right w:val="single" w:sz="4" w:space="0" w:color="auto"/>
            </w:tcBorders>
          </w:tcPr>
          <w:p w14:paraId="2FF54C02" w14:textId="04621EA9" w:rsidR="00014A4D" w:rsidRPr="00F43E60" w:rsidRDefault="00014A4D" w:rsidP="00014A4D">
            <w:pPr>
              <w:widowControl w:val="0"/>
              <w:autoSpaceDE w:val="0"/>
              <w:autoSpaceDN w:val="0"/>
              <w:adjustRightInd w:val="0"/>
              <w:jc w:val="center"/>
              <w:rPr>
                <w:rFonts w:eastAsia="MS Mincho" w:cs="Arial"/>
                <w:lang w:eastAsia="ja-JP"/>
              </w:rPr>
            </w:pPr>
            <w:r w:rsidRPr="00F43E60">
              <w:t>(2024/2023)</w:t>
            </w:r>
          </w:p>
        </w:tc>
        <w:tc>
          <w:tcPr>
            <w:tcW w:w="2365" w:type="dxa"/>
            <w:tcBorders>
              <w:left w:val="single" w:sz="4" w:space="0" w:color="auto"/>
              <w:right w:val="dashed" w:sz="4" w:space="0" w:color="auto"/>
            </w:tcBorders>
          </w:tcPr>
          <w:p w14:paraId="7071BD8B" w14:textId="6211A1A9" w:rsidR="00014A4D" w:rsidRPr="00F43E60" w:rsidRDefault="00014A4D" w:rsidP="00014A4D">
            <w:pPr>
              <w:widowControl w:val="0"/>
              <w:autoSpaceDE w:val="0"/>
              <w:autoSpaceDN w:val="0"/>
              <w:adjustRightInd w:val="0"/>
              <w:ind w:left="-31"/>
              <w:jc w:val="center"/>
              <w:rPr>
                <w:rFonts w:eastAsia="MS Mincho" w:cs="Arial"/>
                <w:lang w:eastAsia="ja-JP"/>
              </w:rPr>
            </w:pPr>
            <w:r w:rsidRPr="00F43E60">
              <w:t>Ornamental</w:t>
            </w:r>
          </w:p>
        </w:tc>
        <w:tc>
          <w:tcPr>
            <w:tcW w:w="1572" w:type="dxa"/>
            <w:tcBorders>
              <w:left w:val="dashed" w:sz="4" w:space="0" w:color="auto"/>
            </w:tcBorders>
          </w:tcPr>
          <w:p w14:paraId="56816F03" w14:textId="4A52D80C" w:rsidR="00014A4D" w:rsidRPr="00F43E60" w:rsidRDefault="00014A4D" w:rsidP="00014A4D">
            <w:pPr>
              <w:widowControl w:val="0"/>
              <w:autoSpaceDE w:val="0"/>
              <w:autoSpaceDN w:val="0"/>
              <w:adjustRightInd w:val="0"/>
              <w:ind w:left="-1"/>
              <w:jc w:val="center"/>
              <w:rPr>
                <w:rFonts w:eastAsia="MS Mincho" w:cs="Arial"/>
                <w:lang w:eastAsia="ja-JP"/>
              </w:rPr>
            </w:pPr>
            <w:r w:rsidRPr="00F43E60">
              <w:t>(2024/2023)</w:t>
            </w:r>
          </w:p>
        </w:tc>
      </w:tr>
      <w:tr w:rsidR="00014A4D" w:rsidRPr="00F43E60" w14:paraId="6FEE1550" w14:textId="77777777" w:rsidTr="003B7958">
        <w:trPr>
          <w:trHeight w:val="371"/>
        </w:trPr>
        <w:tc>
          <w:tcPr>
            <w:tcW w:w="1560" w:type="dxa"/>
            <w:tcBorders>
              <w:top w:val="single" w:sz="4" w:space="0" w:color="auto"/>
              <w:left w:val="single" w:sz="4" w:space="0" w:color="auto"/>
              <w:bottom w:val="single" w:sz="4" w:space="0" w:color="auto"/>
              <w:right w:val="single" w:sz="4" w:space="0" w:color="auto"/>
            </w:tcBorders>
          </w:tcPr>
          <w:p w14:paraId="34F432B8" w14:textId="4A3D88CD" w:rsidR="00014A4D" w:rsidRPr="00F43E60" w:rsidRDefault="00014A4D" w:rsidP="00014A4D">
            <w:pPr>
              <w:widowControl w:val="0"/>
              <w:autoSpaceDE w:val="0"/>
              <w:autoSpaceDN w:val="0"/>
              <w:adjustRightInd w:val="0"/>
              <w:ind w:left="-31"/>
              <w:jc w:val="center"/>
              <w:rPr>
                <w:rFonts w:eastAsia="MS Mincho" w:cs="Arial"/>
                <w:lang w:eastAsia="ja-JP"/>
              </w:rPr>
            </w:pPr>
            <w:r w:rsidRPr="00F43E60">
              <w:t>1978 to 2024</w:t>
            </w:r>
          </w:p>
        </w:tc>
        <w:tc>
          <w:tcPr>
            <w:tcW w:w="1435" w:type="dxa"/>
            <w:tcBorders>
              <w:top w:val="single" w:sz="4" w:space="0" w:color="auto"/>
              <w:left w:val="single" w:sz="4" w:space="0" w:color="auto"/>
              <w:bottom w:val="single" w:sz="4" w:space="0" w:color="auto"/>
              <w:right w:val="dashed" w:sz="4" w:space="0" w:color="auto"/>
            </w:tcBorders>
          </w:tcPr>
          <w:p w14:paraId="174A8A3F" w14:textId="60F445E1" w:rsidR="00014A4D" w:rsidRPr="00F43E60" w:rsidRDefault="00EC5B9C" w:rsidP="00014A4D">
            <w:pPr>
              <w:widowControl w:val="0"/>
              <w:autoSpaceDE w:val="0"/>
              <w:autoSpaceDN w:val="0"/>
              <w:adjustRightInd w:val="0"/>
              <w:ind w:left="-1"/>
              <w:jc w:val="center"/>
              <w:rPr>
                <w:rFonts w:eastAsia="MS Mincho" w:cs="Arial"/>
                <w:lang w:eastAsia="ja-JP"/>
              </w:rPr>
            </w:pPr>
            <w:r w:rsidRPr="00F43E60">
              <w:t>30538</w:t>
            </w:r>
          </w:p>
        </w:tc>
        <w:tc>
          <w:tcPr>
            <w:tcW w:w="1573" w:type="dxa"/>
            <w:tcBorders>
              <w:top w:val="single" w:sz="4" w:space="0" w:color="auto"/>
              <w:left w:val="dashed" w:sz="4" w:space="0" w:color="auto"/>
              <w:bottom w:val="single" w:sz="4" w:space="0" w:color="auto"/>
              <w:right w:val="single" w:sz="4" w:space="0" w:color="auto"/>
            </w:tcBorders>
          </w:tcPr>
          <w:p w14:paraId="21A65EB7" w14:textId="4B25922F" w:rsidR="00014A4D" w:rsidRPr="00F43E60" w:rsidRDefault="00014A4D" w:rsidP="00014A4D">
            <w:pPr>
              <w:widowControl w:val="0"/>
              <w:autoSpaceDE w:val="0"/>
              <w:autoSpaceDN w:val="0"/>
              <w:adjustRightInd w:val="0"/>
              <w:jc w:val="center"/>
              <w:rPr>
                <w:rFonts w:eastAsia="MS Mincho" w:cs="Arial"/>
                <w:lang w:eastAsia="ja-JP"/>
              </w:rPr>
            </w:pPr>
            <w:r w:rsidRPr="00F43E60">
              <w:t>-</w:t>
            </w:r>
          </w:p>
        </w:tc>
        <w:tc>
          <w:tcPr>
            <w:tcW w:w="2365" w:type="dxa"/>
            <w:tcBorders>
              <w:top w:val="single" w:sz="4" w:space="0" w:color="auto"/>
              <w:left w:val="single" w:sz="4" w:space="0" w:color="auto"/>
              <w:bottom w:val="single" w:sz="4" w:space="0" w:color="auto"/>
              <w:right w:val="dashed" w:sz="4" w:space="0" w:color="auto"/>
            </w:tcBorders>
          </w:tcPr>
          <w:p w14:paraId="068C656E" w14:textId="7B0C3661" w:rsidR="00014A4D" w:rsidRPr="00F43E60" w:rsidRDefault="00EC5B9C" w:rsidP="00014A4D">
            <w:pPr>
              <w:widowControl w:val="0"/>
              <w:autoSpaceDE w:val="0"/>
              <w:autoSpaceDN w:val="0"/>
              <w:adjustRightInd w:val="0"/>
              <w:ind w:left="-1"/>
              <w:jc w:val="center"/>
              <w:rPr>
                <w:rFonts w:eastAsia="MS Mincho" w:cs="Arial"/>
                <w:lang w:eastAsia="ja-JP"/>
              </w:rPr>
            </w:pPr>
            <w:r w:rsidRPr="00F43E60">
              <w:t>23970</w:t>
            </w:r>
          </w:p>
        </w:tc>
        <w:tc>
          <w:tcPr>
            <w:tcW w:w="1572" w:type="dxa"/>
            <w:tcBorders>
              <w:top w:val="single" w:sz="4" w:space="0" w:color="auto"/>
              <w:left w:val="dashed" w:sz="4" w:space="0" w:color="auto"/>
              <w:bottom w:val="single" w:sz="4" w:space="0" w:color="auto"/>
              <w:right w:val="single" w:sz="4" w:space="0" w:color="auto"/>
            </w:tcBorders>
          </w:tcPr>
          <w:p w14:paraId="531BE35C" w14:textId="1E36EAA2" w:rsidR="00014A4D" w:rsidRPr="00F43E60" w:rsidRDefault="00014A4D" w:rsidP="00014A4D">
            <w:pPr>
              <w:widowControl w:val="0"/>
              <w:autoSpaceDE w:val="0"/>
              <w:autoSpaceDN w:val="0"/>
              <w:adjustRightInd w:val="0"/>
              <w:ind w:left="-1"/>
              <w:jc w:val="center"/>
              <w:rPr>
                <w:rFonts w:eastAsia="MS Mincho" w:cs="Arial"/>
                <w:lang w:eastAsia="ja-JP"/>
              </w:rPr>
            </w:pPr>
            <w:r w:rsidRPr="00F43E60">
              <w:t>-</w:t>
            </w:r>
          </w:p>
        </w:tc>
      </w:tr>
      <w:tr w:rsidR="00014A4D" w:rsidRPr="00F43E60" w14:paraId="396F323F" w14:textId="77777777" w:rsidTr="003B7958">
        <w:trPr>
          <w:trHeight w:val="615"/>
        </w:trPr>
        <w:tc>
          <w:tcPr>
            <w:tcW w:w="1560" w:type="dxa"/>
            <w:tcBorders>
              <w:bottom w:val="single" w:sz="4" w:space="0" w:color="auto"/>
            </w:tcBorders>
          </w:tcPr>
          <w:p w14:paraId="1BB4968D" w14:textId="51AE8FB8" w:rsidR="00014A4D" w:rsidRPr="00F43E60" w:rsidRDefault="00014A4D" w:rsidP="00014A4D">
            <w:pPr>
              <w:widowControl w:val="0"/>
              <w:autoSpaceDE w:val="0"/>
              <w:autoSpaceDN w:val="0"/>
              <w:adjustRightInd w:val="0"/>
              <w:ind w:left="-31"/>
              <w:jc w:val="center"/>
              <w:rPr>
                <w:rFonts w:eastAsia="MS Mincho" w:cs="Arial"/>
                <w:lang w:eastAsia="ja-JP"/>
              </w:rPr>
            </w:pPr>
            <w:r w:rsidRPr="00F43E60">
              <w:t>2023</w:t>
            </w:r>
          </w:p>
        </w:tc>
        <w:tc>
          <w:tcPr>
            <w:tcW w:w="1435" w:type="dxa"/>
            <w:tcBorders>
              <w:bottom w:val="single" w:sz="4" w:space="0" w:color="auto"/>
              <w:right w:val="dashed" w:sz="4" w:space="0" w:color="auto"/>
            </w:tcBorders>
          </w:tcPr>
          <w:p w14:paraId="7A0055B1" w14:textId="29BF226C" w:rsidR="00014A4D" w:rsidRPr="00F43E60" w:rsidRDefault="00014A4D" w:rsidP="00014A4D">
            <w:pPr>
              <w:widowControl w:val="0"/>
              <w:tabs>
                <w:tab w:val="left" w:pos="435"/>
                <w:tab w:val="center" w:pos="680"/>
              </w:tabs>
              <w:autoSpaceDE w:val="0"/>
              <w:autoSpaceDN w:val="0"/>
              <w:adjustRightInd w:val="0"/>
              <w:ind w:left="-1"/>
              <w:jc w:val="center"/>
              <w:rPr>
                <w:rFonts w:eastAsia="MS Mincho" w:cs="Arial"/>
                <w:lang w:eastAsia="ja-JP"/>
              </w:rPr>
            </w:pPr>
            <w:r w:rsidRPr="00F43E60">
              <w:t>497</w:t>
            </w:r>
          </w:p>
        </w:tc>
        <w:tc>
          <w:tcPr>
            <w:tcW w:w="1573" w:type="dxa"/>
            <w:tcBorders>
              <w:left w:val="dashed" w:sz="4" w:space="0" w:color="auto"/>
              <w:bottom w:val="single" w:sz="4" w:space="0" w:color="auto"/>
              <w:right w:val="single" w:sz="4" w:space="0" w:color="auto"/>
            </w:tcBorders>
          </w:tcPr>
          <w:p w14:paraId="79E46986" w14:textId="24985956" w:rsidR="00014A4D" w:rsidRPr="00F43E60" w:rsidRDefault="00014A4D" w:rsidP="00014A4D">
            <w:pPr>
              <w:widowControl w:val="0"/>
              <w:autoSpaceDE w:val="0"/>
              <w:autoSpaceDN w:val="0"/>
              <w:adjustRightInd w:val="0"/>
              <w:rPr>
                <w:rFonts w:eastAsia="MS Mincho" w:cs="Arial"/>
                <w:lang w:eastAsia="ja-JP"/>
              </w:rPr>
            </w:pPr>
          </w:p>
        </w:tc>
        <w:tc>
          <w:tcPr>
            <w:tcW w:w="2365" w:type="dxa"/>
            <w:tcBorders>
              <w:left w:val="single" w:sz="4" w:space="0" w:color="auto"/>
              <w:bottom w:val="single" w:sz="4" w:space="0" w:color="auto"/>
              <w:right w:val="dashed" w:sz="4" w:space="0" w:color="auto"/>
            </w:tcBorders>
          </w:tcPr>
          <w:p w14:paraId="4AB12E31" w14:textId="5D0A9801" w:rsidR="00014A4D" w:rsidRPr="00F43E60" w:rsidRDefault="00014A4D" w:rsidP="00014A4D">
            <w:pPr>
              <w:widowControl w:val="0"/>
              <w:autoSpaceDE w:val="0"/>
              <w:autoSpaceDN w:val="0"/>
              <w:adjustRightInd w:val="0"/>
              <w:ind w:left="-1"/>
              <w:jc w:val="center"/>
              <w:rPr>
                <w:rFonts w:eastAsia="MS Mincho" w:cs="Arial"/>
                <w:lang w:eastAsia="ja-JP"/>
              </w:rPr>
            </w:pPr>
            <w:r w:rsidRPr="00F43E60">
              <w:t>412</w:t>
            </w:r>
          </w:p>
        </w:tc>
        <w:tc>
          <w:tcPr>
            <w:tcW w:w="1572" w:type="dxa"/>
            <w:tcBorders>
              <w:left w:val="dashed" w:sz="4" w:space="0" w:color="auto"/>
              <w:bottom w:val="single" w:sz="4" w:space="0" w:color="auto"/>
            </w:tcBorders>
          </w:tcPr>
          <w:p w14:paraId="0A45F907" w14:textId="26CC783E" w:rsidR="00014A4D" w:rsidRPr="00F43E60" w:rsidRDefault="00014A4D" w:rsidP="00014A4D">
            <w:pPr>
              <w:widowControl w:val="0"/>
              <w:autoSpaceDE w:val="0"/>
              <w:autoSpaceDN w:val="0"/>
              <w:adjustRightInd w:val="0"/>
              <w:rPr>
                <w:rFonts w:eastAsia="MS Mincho" w:cs="Arial"/>
                <w:lang w:eastAsia="ja-JP"/>
              </w:rPr>
            </w:pPr>
            <w:r w:rsidRPr="00F43E60">
              <w:t xml:space="preserve">     </w:t>
            </w:r>
          </w:p>
        </w:tc>
      </w:tr>
      <w:tr w:rsidR="00014A4D" w:rsidRPr="00F43E60" w14:paraId="605C8004" w14:textId="77777777" w:rsidTr="003B7958">
        <w:trPr>
          <w:trHeight w:val="615"/>
        </w:trPr>
        <w:tc>
          <w:tcPr>
            <w:tcW w:w="1560" w:type="dxa"/>
            <w:tcBorders>
              <w:top w:val="single" w:sz="4" w:space="0" w:color="auto"/>
            </w:tcBorders>
          </w:tcPr>
          <w:p w14:paraId="79E77745" w14:textId="2B8C70E5" w:rsidR="00014A4D" w:rsidRPr="00F43E60" w:rsidRDefault="00014A4D" w:rsidP="00014A4D">
            <w:pPr>
              <w:widowControl w:val="0"/>
              <w:autoSpaceDE w:val="0"/>
              <w:autoSpaceDN w:val="0"/>
              <w:adjustRightInd w:val="0"/>
              <w:ind w:left="-31"/>
              <w:jc w:val="center"/>
              <w:rPr>
                <w:rFonts w:eastAsia="MS Mincho" w:cs="Arial"/>
                <w:lang w:eastAsia="ja-JP"/>
              </w:rPr>
            </w:pPr>
            <w:r w:rsidRPr="00F43E60">
              <w:t>2024</w:t>
            </w:r>
          </w:p>
        </w:tc>
        <w:tc>
          <w:tcPr>
            <w:tcW w:w="1435" w:type="dxa"/>
            <w:tcBorders>
              <w:top w:val="single" w:sz="4" w:space="0" w:color="auto"/>
              <w:right w:val="dashed" w:sz="4" w:space="0" w:color="auto"/>
            </w:tcBorders>
          </w:tcPr>
          <w:p w14:paraId="3FD790D8" w14:textId="6833B9DB" w:rsidR="00014A4D" w:rsidRPr="00F43E60" w:rsidRDefault="00014A4D" w:rsidP="00014A4D">
            <w:pPr>
              <w:widowControl w:val="0"/>
              <w:tabs>
                <w:tab w:val="left" w:pos="435"/>
                <w:tab w:val="center" w:pos="680"/>
              </w:tabs>
              <w:autoSpaceDE w:val="0"/>
              <w:autoSpaceDN w:val="0"/>
              <w:adjustRightInd w:val="0"/>
              <w:ind w:left="-1"/>
              <w:jc w:val="center"/>
              <w:rPr>
                <w:rFonts w:eastAsia="MS Mincho" w:cs="Arial"/>
                <w:lang w:eastAsia="ja-JP"/>
              </w:rPr>
            </w:pPr>
            <w:r w:rsidRPr="00F43E60">
              <w:t>703</w:t>
            </w:r>
          </w:p>
        </w:tc>
        <w:tc>
          <w:tcPr>
            <w:tcW w:w="1573" w:type="dxa"/>
            <w:tcBorders>
              <w:top w:val="single" w:sz="4" w:space="0" w:color="auto"/>
              <w:left w:val="dashed" w:sz="4" w:space="0" w:color="auto"/>
              <w:right w:val="single" w:sz="4" w:space="0" w:color="auto"/>
            </w:tcBorders>
          </w:tcPr>
          <w:p w14:paraId="4BDC9532" w14:textId="4DCA06BD" w:rsidR="00014A4D" w:rsidRPr="00F43E60" w:rsidRDefault="00014A4D" w:rsidP="00014A4D">
            <w:pPr>
              <w:widowControl w:val="0"/>
              <w:autoSpaceDE w:val="0"/>
              <w:autoSpaceDN w:val="0"/>
              <w:adjustRightInd w:val="0"/>
              <w:rPr>
                <w:rFonts w:eastAsia="MS Mincho" w:cs="Arial"/>
                <w:lang w:eastAsia="ja-JP"/>
              </w:rPr>
            </w:pPr>
            <w:r w:rsidRPr="00F43E60">
              <w:t>(141%)</w:t>
            </w:r>
          </w:p>
        </w:tc>
        <w:tc>
          <w:tcPr>
            <w:tcW w:w="2365" w:type="dxa"/>
            <w:tcBorders>
              <w:top w:val="single" w:sz="4" w:space="0" w:color="auto"/>
              <w:left w:val="single" w:sz="4" w:space="0" w:color="auto"/>
              <w:right w:val="dashed" w:sz="4" w:space="0" w:color="auto"/>
            </w:tcBorders>
          </w:tcPr>
          <w:p w14:paraId="68547A20" w14:textId="488A3F1B" w:rsidR="00014A4D" w:rsidRPr="00F43E60" w:rsidRDefault="00014A4D" w:rsidP="00014A4D">
            <w:pPr>
              <w:widowControl w:val="0"/>
              <w:autoSpaceDE w:val="0"/>
              <w:autoSpaceDN w:val="0"/>
              <w:adjustRightInd w:val="0"/>
              <w:ind w:left="-1"/>
              <w:jc w:val="center"/>
              <w:rPr>
                <w:rFonts w:eastAsia="MS Mincho" w:cs="Arial"/>
                <w:lang w:eastAsia="ja-JP"/>
              </w:rPr>
            </w:pPr>
            <w:r w:rsidRPr="00F43E60">
              <w:t>518</w:t>
            </w:r>
          </w:p>
        </w:tc>
        <w:tc>
          <w:tcPr>
            <w:tcW w:w="1572" w:type="dxa"/>
            <w:tcBorders>
              <w:top w:val="single" w:sz="4" w:space="0" w:color="auto"/>
              <w:left w:val="dashed" w:sz="4" w:space="0" w:color="auto"/>
            </w:tcBorders>
          </w:tcPr>
          <w:p w14:paraId="0BDE0B19" w14:textId="76C8ABD2" w:rsidR="00014A4D" w:rsidRPr="00F43E60" w:rsidRDefault="00014A4D" w:rsidP="00014A4D">
            <w:pPr>
              <w:widowControl w:val="0"/>
              <w:autoSpaceDE w:val="0"/>
              <w:autoSpaceDN w:val="0"/>
              <w:adjustRightInd w:val="0"/>
              <w:rPr>
                <w:rFonts w:eastAsia="MS Mincho" w:cs="Arial"/>
                <w:lang w:eastAsia="ja-JP"/>
              </w:rPr>
            </w:pPr>
            <w:r w:rsidRPr="00F43E60">
              <w:t>(126%)</w:t>
            </w:r>
          </w:p>
        </w:tc>
      </w:tr>
    </w:tbl>
    <w:p w14:paraId="57A813A9" w14:textId="77777777" w:rsidR="00C04852" w:rsidRPr="00F43E60" w:rsidRDefault="00C04852" w:rsidP="00C04852">
      <w:pPr>
        <w:rPr>
          <w:rFonts w:eastAsia="MS Mincho"/>
          <w:lang w:eastAsia="ja-JP"/>
        </w:rPr>
      </w:pPr>
    </w:p>
    <w:p w14:paraId="66071E0C" w14:textId="77777777" w:rsidR="00C04852" w:rsidRPr="00F43E60" w:rsidRDefault="00C04852" w:rsidP="00C04852">
      <w:pPr>
        <w:rPr>
          <w:rFonts w:eastAsia="MS Mincho"/>
          <w:lang w:eastAsia="ja-JP"/>
        </w:rPr>
      </w:pPr>
    </w:p>
    <w:p w14:paraId="3A18A287" w14:textId="11D09AF0" w:rsidR="00C04852" w:rsidRPr="00F43E60" w:rsidRDefault="00C04852" w:rsidP="00C04852">
      <w:pPr>
        <w:rPr>
          <w:rFonts w:eastAsia="MS Mincho"/>
          <w:lang w:eastAsia="ja-JP"/>
        </w:rPr>
      </w:pPr>
      <w:r w:rsidRPr="00F43E60">
        <w:rPr>
          <w:rFonts w:eastAsia="MS Mincho"/>
          <w:lang w:eastAsia="ja-JP"/>
        </w:rPr>
        <w:t>3. National test guidelines harmonized with UPOV TGs in 202</w:t>
      </w:r>
      <w:r w:rsidR="00014A4D" w:rsidRPr="00F43E60">
        <w:rPr>
          <w:rFonts w:eastAsia="MS Mincho"/>
          <w:lang w:eastAsia="ja-JP"/>
        </w:rPr>
        <w:t>4</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C04852" w:rsidRPr="00F43E60" w14:paraId="09A08B57" w14:textId="77777777" w:rsidTr="003B7958">
        <w:trPr>
          <w:trHeight w:val="160"/>
        </w:trPr>
        <w:tc>
          <w:tcPr>
            <w:tcW w:w="8830" w:type="dxa"/>
          </w:tcPr>
          <w:p w14:paraId="5E1FEBA9" w14:textId="1C50F77D" w:rsidR="00C04852" w:rsidRPr="00F43E60" w:rsidRDefault="00C04852" w:rsidP="00C04852">
            <w:pPr>
              <w:widowControl w:val="0"/>
              <w:autoSpaceDE w:val="0"/>
              <w:autoSpaceDN w:val="0"/>
              <w:adjustRightInd w:val="0"/>
              <w:jc w:val="center"/>
              <w:rPr>
                <w:rFonts w:eastAsia="MS Mincho" w:cs="Arial"/>
                <w:lang w:eastAsia="ja-JP"/>
              </w:rPr>
            </w:pPr>
            <w:r w:rsidRPr="00F43E60">
              <w:rPr>
                <w:rFonts w:eastAsia="MS Mincho" w:cs="Arial"/>
                <w:lang w:eastAsia="ja-JP"/>
              </w:rPr>
              <w:t>Common name of plants (</w:t>
            </w:r>
            <w:r w:rsidR="00014A4D" w:rsidRPr="00F43E60">
              <w:rPr>
                <w:rFonts w:eastAsia="MS Mincho" w:cs="Arial"/>
                <w:lang w:eastAsia="ja-JP"/>
              </w:rPr>
              <w:t>4</w:t>
            </w:r>
            <w:r w:rsidRPr="00F43E60">
              <w:rPr>
                <w:rFonts w:eastAsia="MS Mincho" w:cs="Arial"/>
                <w:lang w:eastAsia="ja-JP"/>
              </w:rPr>
              <w:t>)</w:t>
            </w:r>
          </w:p>
        </w:tc>
      </w:tr>
      <w:tr w:rsidR="00C04852" w:rsidRPr="00F43E60" w14:paraId="0DE1FD4C" w14:textId="77777777" w:rsidTr="003B7958">
        <w:trPr>
          <w:trHeight w:val="80"/>
        </w:trPr>
        <w:tc>
          <w:tcPr>
            <w:tcW w:w="8830" w:type="dxa"/>
          </w:tcPr>
          <w:p w14:paraId="6F0E2D05" w14:textId="29B00156" w:rsidR="00C04852" w:rsidRPr="00F43E60" w:rsidRDefault="00014A4D" w:rsidP="00C04852">
            <w:pPr>
              <w:widowControl w:val="0"/>
              <w:autoSpaceDE w:val="0"/>
              <w:autoSpaceDN w:val="0"/>
              <w:adjustRightInd w:val="0"/>
              <w:jc w:val="left"/>
              <w:rPr>
                <w:rFonts w:eastAsia="MS Mincho" w:cs="Arial"/>
                <w:highlight w:val="yellow"/>
                <w:lang w:eastAsia="ja-JP"/>
              </w:rPr>
            </w:pPr>
            <w:r w:rsidRPr="00F43E60">
              <w:rPr>
                <w:rFonts w:eastAsia="MS Mincho" w:cs="Arial"/>
                <w:kern w:val="2"/>
                <w:lang w:eastAsia="ja-JP"/>
              </w:rPr>
              <w:t>Beetroot, Bottle Gourd, Pea, Zinnia</w:t>
            </w:r>
          </w:p>
        </w:tc>
      </w:tr>
    </w:tbl>
    <w:p w14:paraId="31BF166A" w14:textId="77777777" w:rsidR="00C04852" w:rsidRPr="00F43E60" w:rsidRDefault="00C04852" w:rsidP="00C04852">
      <w:pPr>
        <w:rPr>
          <w:rFonts w:eastAsia="MS Mincho"/>
          <w:lang w:eastAsia="ja-JP"/>
        </w:rPr>
      </w:pPr>
    </w:p>
    <w:p w14:paraId="0ACBB721" w14:textId="77777777" w:rsidR="00C04852" w:rsidRPr="00F43E60" w:rsidRDefault="00C04852" w:rsidP="00C04852">
      <w:pPr>
        <w:rPr>
          <w:rFonts w:eastAsia="MS Mincho"/>
          <w:lang w:eastAsia="ja-JP"/>
        </w:rPr>
      </w:pPr>
    </w:p>
    <w:p w14:paraId="443D1F91" w14:textId="06C4D5F7" w:rsidR="00C04852" w:rsidRPr="00F43E60" w:rsidRDefault="00C04852" w:rsidP="00C04852">
      <w:pPr>
        <w:rPr>
          <w:rFonts w:eastAsia="MS Mincho"/>
          <w:lang w:eastAsia="ja-JP"/>
        </w:rPr>
      </w:pPr>
      <w:r w:rsidRPr="00F43E60">
        <w:rPr>
          <w:rFonts w:eastAsia="MS Mincho"/>
          <w:lang w:eastAsia="ja-JP"/>
        </w:rPr>
        <w:t>4. National test guidelines developed for new type of species in 202</w:t>
      </w:r>
      <w:r w:rsidR="00014A4D" w:rsidRPr="00F43E60">
        <w:rPr>
          <w:rFonts w:eastAsia="MS Mincho"/>
          <w:lang w:eastAsia="ja-JP"/>
        </w:rPr>
        <w:t>4</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C04852" w:rsidRPr="00F43E60" w14:paraId="6B46EE9E" w14:textId="77777777" w:rsidTr="003B7958">
        <w:trPr>
          <w:trHeight w:val="70"/>
        </w:trPr>
        <w:tc>
          <w:tcPr>
            <w:tcW w:w="8826" w:type="dxa"/>
          </w:tcPr>
          <w:p w14:paraId="77F0C873" w14:textId="4B21CE50" w:rsidR="00C04852" w:rsidRPr="00F43E60" w:rsidRDefault="00C04852" w:rsidP="00C04852">
            <w:pPr>
              <w:widowControl w:val="0"/>
              <w:autoSpaceDE w:val="0"/>
              <w:autoSpaceDN w:val="0"/>
              <w:adjustRightInd w:val="0"/>
              <w:jc w:val="center"/>
              <w:rPr>
                <w:rFonts w:eastAsia="MS Mincho" w:cs="Arial"/>
                <w:lang w:eastAsia="ja-JP"/>
              </w:rPr>
            </w:pPr>
            <w:r w:rsidRPr="00F43E60">
              <w:rPr>
                <w:rFonts w:eastAsia="MS Mincho" w:cs="Arial"/>
                <w:lang w:eastAsia="ja-JP"/>
              </w:rPr>
              <w:t>Genera or Species (</w:t>
            </w:r>
            <w:r w:rsidR="00014A4D" w:rsidRPr="00F43E60">
              <w:rPr>
                <w:rFonts w:eastAsia="MS Mincho" w:cs="Arial"/>
                <w:lang w:eastAsia="ja-JP"/>
              </w:rPr>
              <w:t>5</w:t>
            </w:r>
            <w:r w:rsidRPr="00F43E60">
              <w:rPr>
                <w:rFonts w:eastAsia="MS Mincho" w:cs="Arial"/>
                <w:lang w:eastAsia="ja-JP"/>
              </w:rPr>
              <w:t>)</w:t>
            </w:r>
          </w:p>
        </w:tc>
      </w:tr>
      <w:tr w:rsidR="00C04852" w:rsidRPr="006C554A" w14:paraId="1124785F" w14:textId="77777777" w:rsidTr="00E370B6">
        <w:trPr>
          <w:trHeight w:val="546"/>
        </w:trPr>
        <w:tc>
          <w:tcPr>
            <w:tcW w:w="8826" w:type="dxa"/>
            <w:tcBorders>
              <w:bottom w:val="single" w:sz="4" w:space="0" w:color="auto"/>
            </w:tcBorders>
          </w:tcPr>
          <w:p w14:paraId="1B3D1392" w14:textId="6598B304" w:rsidR="00C04852" w:rsidRPr="006C554A" w:rsidRDefault="00014A4D" w:rsidP="00C04852">
            <w:pPr>
              <w:widowControl w:val="0"/>
              <w:autoSpaceDE w:val="0"/>
              <w:autoSpaceDN w:val="0"/>
              <w:adjustRightInd w:val="0"/>
              <w:jc w:val="left"/>
              <w:rPr>
                <w:rFonts w:eastAsia="MS Mincho" w:cs="Arial"/>
                <w:i/>
                <w:iCs/>
                <w:kern w:val="2"/>
                <w:lang w:val="pt-BR" w:eastAsia="ja-JP"/>
              </w:rPr>
            </w:pPr>
            <w:r w:rsidRPr="006C554A">
              <w:rPr>
                <w:rFonts w:eastAsia="MS Mincho" w:cs="Arial"/>
                <w:i/>
                <w:iCs/>
                <w:kern w:val="2"/>
                <w:lang w:val="pt-BR" w:eastAsia="ja-JP"/>
              </w:rPr>
              <w:t xml:space="preserve">Anemone coronaria </w:t>
            </w:r>
            <w:r w:rsidRPr="006C554A">
              <w:rPr>
                <w:rFonts w:eastAsia="MS Mincho" w:cs="Arial"/>
                <w:kern w:val="2"/>
                <w:lang w:val="pt-BR" w:eastAsia="ja-JP"/>
              </w:rPr>
              <w:t>L</w:t>
            </w:r>
            <w:r w:rsidRPr="006C554A">
              <w:rPr>
                <w:rFonts w:eastAsia="MS Mincho" w:cs="Arial"/>
                <w:i/>
                <w:iCs/>
                <w:kern w:val="2"/>
                <w:lang w:val="pt-BR" w:eastAsia="ja-JP"/>
              </w:rPr>
              <w:t xml:space="preserve">., Arthropodium candidum </w:t>
            </w:r>
            <w:r w:rsidRPr="006C554A">
              <w:rPr>
                <w:rFonts w:eastAsia="MS Mincho" w:cs="Arial"/>
                <w:kern w:val="2"/>
                <w:lang w:val="pt-BR" w:eastAsia="ja-JP"/>
              </w:rPr>
              <w:t>Raoul</w:t>
            </w:r>
            <w:r w:rsidRPr="006C554A">
              <w:rPr>
                <w:rFonts w:eastAsia="MS Mincho" w:cs="Arial"/>
                <w:i/>
                <w:iCs/>
                <w:kern w:val="2"/>
                <w:lang w:val="pt-BR" w:eastAsia="ja-JP"/>
              </w:rPr>
              <w:t xml:space="preserve">, Cleyera japonica </w:t>
            </w:r>
            <w:r w:rsidRPr="006C554A">
              <w:rPr>
                <w:rFonts w:eastAsia="MS Mincho" w:cs="Arial"/>
                <w:kern w:val="2"/>
                <w:lang w:val="pt-BR" w:eastAsia="ja-JP"/>
              </w:rPr>
              <w:t>Thunb</w:t>
            </w:r>
            <w:r w:rsidRPr="006C554A">
              <w:rPr>
                <w:rFonts w:eastAsia="MS Mincho" w:cs="Arial"/>
                <w:i/>
                <w:iCs/>
                <w:kern w:val="2"/>
                <w:lang w:val="pt-BR" w:eastAsia="ja-JP"/>
              </w:rPr>
              <w:t xml:space="preserve">., Ficus benghalensis </w:t>
            </w:r>
            <w:r w:rsidRPr="006C554A">
              <w:rPr>
                <w:rFonts w:eastAsia="MS Mincho" w:cs="Arial"/>
                <w:kern w:val="2"/>
                <w:lang w:val="pt-BR" w:eastAsia="ja-JP"/>
              </w:rPr>
              <w:t>L</w:t>
            </w:r>
            <w:r w:rsidRPr="006C554A">
              <w:rPr>
                <w:rFonts w:eastAsia="MS Mincho" w:cs="Arial"/>
                <w:i/>
                <w:iCs/>
                <w:kern w:val="2"/>
                <w:lang w:val="pt-BR" w:eastAsia="ja-JP"/>
              </w:rPr>
              <w:t xml:space="preserve">., Lachenalia </w:t>
            </w:r>
            <w:r w:rsidRPr="006C554A">
              <w:rPr>
                <w:rFonts w:eastAsia="MS Mincho" w:cs="Arial"/>
                <w:kern w:val="2"/>
                <w:lang w:val="pt-BR" w:eastAsia="ja-JP"/>
              </w:rPr>
              <w:t>Jacq. f. ex Murr.</w:t>
            </w:r>
          </w:p>
        </w:tc>
      </w:tr>
    </w:tbl>
    <w:p w14:paraId="3F2A8E0F" w14:textId="77777777" w:rsidR="00C04852" w:rsidRPr="00F43E60" w:rsidRDefault="00C04852" w:rsidP="00C04852">
      <w:pPr>
        <w:rPr>
          <w:rFonts w:eastAsia="MS Mincho" w:cs="Arial"/>
          <w:lang w:eastAsia="ja-JP"/>
        </w:rPr>
      </w:pPr>
      <w:proofErr w:type="gramStart"/>
      <w:r w:rsidRPr="00F43E60">
        <w:rPr>
          <w:rFonts w:eastAsia="MS Mincho" w:cs="Arial"/>
          <w:bCs/>
          <w:lang w:eastAsia="ja-JP"/>
        </w:rPr>
        <w:t>Web-site</w:t>
      </w:r>
      <w:proofErr w:type="gramEnd"/>
      <w:r w:rsidRPr="00F43E60">
        <w:rPr>
          <w:rFonts w:eastAsia="MS Mincho" w:cs="Arial"/>
          <w:bCs/>
          <w:lang w:eastAsia="ja-JP"/>
        </w:rPr>
        <w:t xml:space="preserve">: </w:t>
      </w:r>
      <w:hyperlink r:id="rId28" w:history="1">
        <w:r w:rsidRPr="00F43E60">
          <w:rPr>
            <w:rFonts w:eastAsia="MS Mincho" w:cs="Arial"/>
            <w:color w:val="0000FF"/>
            <w:u w:val="single"/>
            <w:lang w:eastAsia="ja-JP"/>
          </w:rPr>
          <w:t>https://www.maff.go.jp/j/shokusan/hinshu/info/sinsa_kijun_jp.html</w:t>
        </w:r>
      </w:hyperlink>
    </w:p>
    <w:p w14:paraId="5E989C1B" w14:textId="77777777" w:rsidR="00C04852" w:rsidRPr="00F43E60" w:rsidRDefault="00C04852" w:rsidP="00C04852">
      <w:pPr>
        <w:rPr>
          <w:rFonts w:eastAsia="MS Mincho"/>
          <w:lang w:eastAsia="ja-JP"/>
        </w:rPr>
      </w:pPr>
    </w:p>
    <w:p w14:paraId="1FA99CAA" w14:textId="77777777" w:rsidR="00C04852" w:rsidRPr="00F43E60" w:rsidRDefault="00C04852" w:rsidP="00C04852">
      <w:pPr>
        <w:rPr>
          <w:rFonts w:eastAsia="MS Mincho"/>
          <w:lang w:eastAsia="ja-JP"/>
        </w:rPr>
      </w:pPr>
    </w:p>
    <w:p w14:paraId="48EBEBF7" w14:textId="77777777" w:rsidR="00C04852" w:rsidRPr="00F43E60" w:rsidRDefault="00C04852" w:rsidP="00C04852">
      <w:pPr>
        <w:rPr>
          <w:rFonts w:eastAsia="MS Mincho"/>
          <w:lang w:eastAsia="ja-JP"/>
        </w:rPr>
      </w:pPr>
      <w:r w:rsidRPr="00F43E60">
        <w:rPr>
          <w:rFonts w:eastAsia="MS Mincho"/>
          <w:lang w:eastAsia="ja-JP"/>
        </w:rPr>
        <w:t>5. Other</w:t>
      </w:r>
    </w:p>
    <w:p w14:paraId="1DC84424" w14:textId="77777777" w:rsidR="00C04852" w:rsidRPr="00F43E60" w:rsidRDefault="00C04852" w:rsidP="00C04852">
      <w:pPr>
        <w:rPr>
          <w:rFonts w:eastAsia="MS Mincho"/>
          <w:lang w:eastAsia="ja-JP"/>
        </w:rPr>
      </w:pPr>
    </w:p>
    <w:p w14:paraId="567F9357" w14:textId="77777777" w:rsidR="00680454" w:rsidRPr="00F43E60" w:rsidRDefault="00680454" w:rsidP="00680454">
      <w:pPr>
        <w:numPr>
          <w:ilvl w:val="0"/>
          <w:numId w:val="3"/>
        </w:numPr>
        <w:rPr>
          <w:rFonts w:eastAsia="MS Mincho"/>
          <w:lang w:eastAsia="ja-JP"/>
        </w:rPr>
      </w:pPr>
      <w:bookmarkStart w:id="6" w:name="_Hlk99613532"/>
      <w:bookmarkStart w:id="7" w:name="_Hlk162439540"/>
      <w:r w:rsidRPr="00F43E60">
        <w:rPr>
          <w:rFonts w:eastAsia="MS Mincho"/>
          <w:lang w:eastAsia="ja-JP"/>
        </w:rPr>
        <w:t>Japan continuously provides other UPOV members with examination reports under the Memorandum of Cooperation (MOC). Japan had provided 51 DUS examination reports in total to other countries in 2024.</w:t>
      </w:r>
    </w:p>
    <w:p w14:paraId="6BDA1EEE" w14:textId="7744656A" w:rsidR="00C04852" w:rsidRPr="00F43E60" w:rsidRDefault="00680454" w:rsidP="00680454">
      <w:pPr>
        <w:ind w:left="426"/>
        <w:rPr>
          <w:rFonts w:eastAsia="MS Mincho"/>
          <w:kern w:val="2"/>
          <w:lang w:eastAsia="ja-JP"/>
        </w:rPr>
      </w:pPr>
      <w:r w:rsidRPr="00F43E60">
        <w:rPr>
          <w:rFonts w:eastAsia="MS Mincho"/>
          <w:lang w:eastAsia="ja-JP"/>
        </w:rPr>
        <w:t xml:space="preserve">MAFF and Dirección Técnica de Semillas, Instituto Colombiano </w:t>
      </w:r>
      <w:proofErr w:type="spellStart"/>
      <w:r w:rsidRPr="00F43E60">
        <w:rPr>
          <w:rFonts w:eastAsia="MS Mincho"/>
          <w:lang w:eastAsia="ja-JP"/>
        </w:rPr>
        <w:t>Agropecuario</w:t>
      </w:r>
      <w:proofErr w:type="spellEnd"/>
      <w:r w:rsidRPr="00F43E60">
        <w:rPr>
          <w:rFonts w:eastAsia="MS Mincho"/>
          <w:lang w:eastAsia="ja-JP"/>
        </w:rPr>
        <w:t xml:space="preserve"> (ICA) had signed MOC for cooperation in DUS examination in 2024. We have also signed the MOC with the Plant Variety Rights Office for the United Kingdom this February. </w:t>
      </w:r>
      <w:r w:rsidR="00C04852" w:rsidRPr="00F43E60">
        <w:rPr>
          <w:rFonts w:eastAsia="MS Mincho"/>
          <w:kern w:val="2"/>
          <w:lang w:eastAsia="ja-JP"/>
        </w:rPr>
        <w:t xml:space="preserve"> </w:t>
      </w:r>
    </w:p>
    <w:bookmarkEnd w:id="6"/>
    <w:bookmarkEnd w:id="7"/>
    <w:p w14:paraId="29E1782A" w14:textId="77777777" w:rsidR="00C04852" w:rsidRPr="00F43E60" w:rsidRDefault="00C04852" w:rsidP="00C04852">
      <w:pPr>
        <w:rPr>
          <w:rFonts w:eastAsia="MS Mincho"/>
          <w:lang w:eastAsia="ja-JP"/>
        </w:rPr>
      </w:pPr>
    </w:p>
    <w:p w14:paraId="49CBA5B8" w14:textId="67146575" w:rsidR="00C04852" w:rsidRPr="00F43E60" w:rsidRDefault="00FA5386" w:rsidP="00680454">
      <w:pPr>
        <w:pStyle w:val="ListParagraph"/>
        <w:numPr>
          <w:ilvl w:val="0"/>
          <w:numId w:val="5"/>
        </w:numPr>
        <w:ind w:left="426" w:hanging="426"/>
        <w:rPr>
          <w:rFonts w:eastAsia="MS Mincho"/>
          <w:lang w:eastAsia="ja-JP"/>
        </w:rPr>
      </w:pPr>
      <w:r w:rsidRPr="00F43E60">
        <w:rPr>
          <w:rFonts w:eastAsia="MS Mincho"/>
          <w:lang w:eastAsia="ja-JP"/>
        </w:rPr>
        <w:t>Since 2016, based on the Memorandum of Understanding (MOU), Center for Seeds and Seedlings, NARO (NCSS) and Naktuinbouw have established Calibration Manuals for DUS technical harmonization. “Calibration manual for Celosia” was finalized in 2025, and it will be published through both of websites. With addition of this, a total of 12 Calibration Manuals will be available for third country.</w:t>
      </w:r>
    </w:p>
    <w:p w14:paraId="43048C4B" w14:textId="77777777" w:rsidR="00FA5386" w:rsidRPr="00F43E60" w:rsidRDefault="00FA5386" w:rsidP="00FA5386">
      <w:pPr>
        <w:rPr>
          <w:rFonts w:eastAsia="MS Mincho"/>
          <w:lang w:eastAsia="ja-JP"/>
        </w:rPr>
      </w:pPr>
    </w:p>
    <w:p w14:paraId="6883B27D" w14:textId="13D11ABC" w:rsidR="00FA5386" w:rsidRPr="00F43E60" w:rsidRDefault="00FA5386" w:rsidP="00680454">
      <w:pPr>
        <w:pStyle w:val="ListParagraph"/>
        <w:numPr>
          <w:ilvl w:val="0"/>
          <w:numId w:val="5"/>
        </w:numPr>
        <w:ind w:left="426" w:hanging="426"/>
        <w:rPr>
          <w:rFonts w:eastAsia="MS Mincho"/>
          <w:lang w:eastAsia="ja-JP"/>
        </w:rPr>
      </w:pPr>
      <w:r w:rsidRPr="00F43E60">
        <w:rPr>
          <w:rFonts w:eastAsia="MS Mincho"/>
          <w:lang w:eastAsia="ja-JP"/>
        </w:rPr>
        <w:t xml:space="preserve">In addition, a three-year extension of the MOU between Naktuinbouw and NCSS, which expired in March 2024, was concluded up to March 2027 </w:t>
      </w:r>
      <w:proofErr w:type="gramStart"/>
      <w:r w:rsidRPr="00F43E60">
        <w:rPr>
          <w:rFonts w:eastAsia="MS Mincho"/>
          <w:lang w:eastAsia="ja-JP"/>
        </w:rPr>
        <w:t>in order to</w:t>
      </w:r>
      <w:proofErr w:type="gramEnd"/>
      <w:r w:rsidRPr="00F43E60">
        <w:rPr>
          <w:rFonts w:eastAsia="MS Mincho"/>
          <w:lang w:eastAsia="ja-JP"/>
        </w:rPr>
        <w:t xml:space="preserve"> contribute </w:t>
      </w:r>
      <w:r w:rsidR="00F43E60" w:rsidRPr="00F43E60">
        <w:rPr>
          <w:rFonts w:eastAsia="MS Mincho"/>
          <w:lang w:eastAsia="ja-JP"/>
        </w:rPr>
        <w:t xml:space="preserve">to </w:t>
      </w:r>
      <w:r w:rsidRPr="00F43E60">
        <w:rPr>
          <w:rFonts w:eastAsia="MS Mincho"/>
          <w:lang w:eastAsia="ja-JP"/>
        </w:rPr>
        <w:t>international harmonization in cooperation with Naktuinbouw. In extending the MOU, it was newly agreed to provide technical cooperation on DNA analysis for disease resistance in DUS test</w:t>
      </w:r>
      <w:r w:rsidR="00F43E60" w:rsidRPr="00F43E60">
        <w:rPr>
          <w:rFonts w:eastAsia="MS Mincho"/>
          <w:lang w:eastAsia="ja-JP"/>
        </w:rPr>
        <w:t>s</w:t>
      </w:r>
      <w:r w:rsidRPr="00F43E60">
        <w:rPr>
          <w:rFonts w:eastAsia="MS Mincho"/>
          <w:lang w:eastAsia="ja-JP"/>
        </w:rPr>
        <w:t>, DNA variety identification techniques for plant variety protection.</w:t>
      </w:r>
    </w:p>
    <w:p w14:paraId="5E3D6C9D" w14:textId="77777777" w:rsidR="00C04852" w:rsidRPr="00F43E60" w:rsidRDefault="00C04852" w:rsidP="00C04852"/>
    <w:p w14:paraId="757CB5D3" w14:textId="77777777" w:rsidR="00C04852" w:rsidRPr="00F43E60" w:rsidRDefault="00C04852" w:rsidP="00C04852"/>
    <w:p w14:paraId="4C5843FB" w14:textId="77A10962" w:rsidR="00EC6CC5" w:rsidRPr="00F43E60" w:rsidRDefault="00C04852" w:rsidP="00C04852">
      <w:pPr>
        <w:jc w:val="right"/>
        <w:sectPr w:rsidR="00EC6CC5" w:rsidRPr="00F43E60" w:rsidSect="005E7466">
          <w:headerReference w:type="first" r:id="rId29"/>
          <w:pgSz w:w="11907" w:h="16840" w:code="9"/>
          <w:pgMar w:top="510" w:right="1134" w:bottom="1134" w:left="1134" w:header="510" w:footer="680" w:gutter="0"/>
          <w:pgNumType w:start="1"/>
          <w:cols w:space="720"/>
          <w:titlePg/>
        </w:sectPr>
      </w:pPr>
      <w:r w:rsidRPr="00F43E60">
        <w:t>[Annex I</w:t>
      </w:r>
      <w:r w:rsidR="00C548C5">
        <w:t>V</w:t>
      </w:r>
      <w:r w:rsidRPr="00F43E60">
        <w:t xml:space="preserve"> follows]</w:t>
      </w:r>
    </w:p>
    <w:p w14:paraId="7134D669" w14:textId="77777777" w:rsidR="00EC6CC5" w:rsidRPr="00F43E60" w:rsidRDefault="00EC6CC5" w:rsidP="00EC6CC5"/>
    <w:p w14:paraId="13127F5F" w14:textId="77777777" w:rsidR="00EC6CC5" w:rsidRPr="00F43E60" w:rsidRDefault="00EC6CC5" w:rsidP="00EC6CC5">
      <w:pPr>
        <w:jc w:val="center"/>
      </w:pPr>
      <w:r w:rsidRPr="00F43E60">
        <w:t>NETHERLANDS (KINGDOM OF THE)</w:t>
      </w:r>
    </w:p>
    <w:p w14:paraId="47AD117D" w14:textId="77777777" w:rsidR="00EC6CC5" w:rsidRPr="00F43E60" w:rsidRDefault="00EC6CC5" w:rsidP="00EC6CC5"/>
    <w:p w14:paraId="5584C82B" w14:textId="77777777" w:rsidR="00EC6CC5" w:rsidRPr="00F43E60" w:rsidRDefault="00EC6CC5" w:rsidP="00EC6CC5"/>
    <w:p w14:paraId="1A4FA98D" w14:textId="77777777" w:rsidR="00A02985" w:rsidRPr="009E6CFC" w:rsidRDefault="00A02985" w:rsidP="00A02985">
      <w:pPr>
        <w:pStyle w:val="Heading2"/>
        <w:rPr>
          <w:lang w:eastAsia="nl-NL"/>
        </w:rPr>
      </w:pPr>
      <w:r w:rsidRPr="009E6CFC">
        <w:rPr>
          <w:lang w:eastAsia="nl-NL"/>
        </w:rPr>
        <w:t>Naktuinbouw Variety Testing developments</w:t>
      </w:r>
    </w:p>
    <w:p w14:paraId="7D284FCD" w14:textId="77777777" w:rsidR="00A02985" w:rsidRPr="009E6CFC" w:rsidRDefault="00A02985" w:rsidP="00A02985">
      <w:pPr>
        <w:rPr>
          <w:lang w:eastAsia="nl-NL"/>
        </w:rPr>
      </w:pPr>
    </w:p>
    <w:p w14:paraId="5CF488F7" w14:textId="1051DDDB" w:rsidR="00043BC6" w:rsidRPr="009E6CFC" w:rsidRDefault="00043BC6" w:rsidP="009E6CFC">
      <w:pPr>
        <w:pStyle w:val="BasistekstNaktuinbouw"/>
        <w:numPr>
          <w:ilvl w:val="0"/>
          <w:numId w:val="6"/>
        </w:numPr>
        <w:ind w:left="284" w:hanging="284"/>
        <w:jc w:val="both"/>
        <w:rPr>
          <w:lang w:val="en-US"/>
        </w:rPr>
      </w:pPr>
      <w:bookmarkStart w:id="8" w:name="_Hlk39065189"/>
      <w:bookmarkStart w:id="9" w:name="_Hlk99720565"/>
      <w:r w:rsidRPr="009E6CFC">
        <w:rPr>
          <w:lang w:val="en-US"/>
        </w:rPr>
        <w:t xml:space="preserve">The Unit Variety Testing includes a DUS team of 40 employees, one unit manager, and 4 employees specialized in disease resistance. </w:t>
      </w:r>
      <w:proofErr w:type="gramStart"/>
      <w:r w:rsidRPr="009E6CFC">
        <w:rPr>
          <w:lang w:val="en-US"/>
        </w:rPr>
        <w:t>Also</w:t>
      </w:r>
      <w:proofErr w:type="gramEnd"/>
      <w:r w:rsidRPr="009E6CFC">
        <w:rPr>
          <w:lang w:val="en-US"/>
        </w:rPr>
        <w:t xml:space="preserve"> a support team, a trial management team with 2 cultivation managers and a project team. In total there are 70 employees and supplemented with temporary (circa 18) staff in summer. The unit works together with the </w:t>
      </w:r>
      <w:r w:rsidR="00F43E60" w:rsidRPr="00F43E60">
        <w:rPr>
          <w:lang w:val="en-US"/>
        </w:rPr>
        <w:t>teams</w:t>
      </w:r>
      <w:r w:rsidRPr="009E6CFC">
        <w:rPr>
          <w:lang w:val="en-US"/>
        </w:rPr>
        <w:t xml:space="preserve"> of the unit Identity and Quality (laboratories) especially with Molecular Marker team and team Bioinformatics.</w:t>
      </w:r>
    </w:p>
    <w:p w14:paraId="524CA533" w14:textId="77777777" w:rsidR="00043BC6" w:rsidRPr="009E6CFC" w:rsidRDefault="00043BC6" w:rsidP="009E6CFC">
      <w:pPr>
        <w:pStyle w:val="BasistekstNaktuinbouw"/>
        <w:ind w:left="284"/>
        <w:jc w:val="both"/>
        <w:rPr>
          <w:lang w:val="en-US"/>
        </w:rPr>
      </w:pPr>
    </w:p>
    <w:p w14:paraId="2C3753F5" w14:textId="77777777" w:rsidR="00043BC6" w:rsidRPr="009E6CFC" w:rsidRDefault="00043BC6" w:rsidP="009E6CFC">
      <w:pPr>
        <w:pStyle w:val="BasistekstNaktuinbouw"/>
        <w:numPr>
          <w:ilvl w:val="0"/>
          <w:numId w:val="6"/>
        </w:numPr>
        <w:ind w:left="284" w:hanging="284"/>
        <w:jc w:val="both"/>
        <w:rPr>
          <w:lang w:val="en-US"/>
        </w:rPr>
      </w:pPr>
      <w:r w:rsidRPr="009E6CFC">
        <w:rPr>
          <w:lang w:val="en-US"/>
        </w:rPr>
        <w:t>In 2024 facilities for resistance testing have been expanded and a new drying and storage room has been built for onions.</w:t>
      </w:r>
    </w:p>
    <w:p w14:paraId="2DCFB6B2" w14:textId="77777777" w:rsidR="00043BC6" w:rsidRPr="009E6CFC" w:rsidRDefault="00043BC6" w:rsidP="009E6CFC">
      <w:pPr>
        <w:pStyle w:val="BasistekstNaktuinbouw"/>
        <w:jc w:val="both"/>
        <w:rPr>
          <w:lang w:val="en-US"/>
        </w:rPr>
      </w:pPr>
    </w:p>
    <w:p w14:paraId="619CAAE1" w14:textId="03253B7E" w:rsidR="00043BC6" w:rsidRPr="009E6CFC" w:rsidRDefault="00043BC6" w:rsidP="009E6CFC">
      <w:pPr>
        <w:pStyle w:val="BasistekstNaktuinbouw"/>
        <w:numPr>
          <w:ilvl w:val="0"/>
          <w:numId w:val="6"/>
        </w:numPr>
        <w:ind w:left="284" w:hanging="284"/>
        <w:jc w:val="both"/>
        <w:rPr>
          <w:lang w:val="en-US"/>
        </w:rPr>
      </w:pPr>
      <w:r w:rsidRPr="009E6CFC">
        <w:rPr>
          <w:lang w:val="en-US"/>
        </w:rPr>
        <w:t xml:space="preserve">The Variety Testing Unit yearly offers </w:t>
      </w:r>
      <w:proofErr w:type="gramStart"/>
      <w:r w:rsidRPr="009E6CFC">
        <w:rPr>
          <w:lang w:val="en-US"/>
        </w:rPr>
        <w:t>a number of</w:t>
      </w:r>
      <w:proofErr w:type="gramEnd"/>
      <w:r w:rsidRPr="009E6CFC">
        <w:rPr>
          <w:lang w:val="en-US"/>
        </w:rPr>
        <w:t xml:space="preserve"> courses on Plant Breeders’ Rights and/or Listing.  In 202</w:t>
      </w:r>
      <w:r w:rsidR="00DE08FF">
        <w:rPr>
          <w:lang w:val="en-US"/>
        </w:rPr>
        <w:t>5</w:t>
      </w:r>
      <w:r w:rsidRPr="009E6CFC">
        <w:rPr>
          <w:lang w:val="en-US"/>
        </w:rPr>
        <w:t xml:space="preserve"> many courses could be </w:t>
      </w:r>
      <w:proofErr w:type="spellStart"/>
      <w:r w:rsidRPr="009E6CFC">
        <w:rPr>
          <w:lang w:val="en-US"/>
        </w:rPr>
        <w:t>organised</w:t>
      </w:r>
      <w:proofErr w:type="spellEnd"/>
      <w:r w:rsidRPr="009E6CFC">
        <w:rPr>
          <w:lang w:val="en-US"/>
        </w:rPr>
        <w:t xml:space="preserve"> again in person.</w:t>
      </w:r>
    </w:p>
    <w:p w14:paraId="239B6531" w14:textId="77777777" w:rsidR="00043BC6" w:rsidRPr="009E6CFC" w:rsidRDefault="00043BC6" w:rsidP="009E6CFC">
      <w:pPr>
        <w:pStyle w:val="BasistekstNaktuinbouw"/>
        <w:jc w:val="both"/>
        <w:rPr>
          <w:lang w:val="en-US"/>
        </w:rPr>
      </w:pPr>
    </w:p>
    <w:p w14:paraId="52546183" w14:textId="76033CB5" w:rsidR="00043BC6" w:rsidRPr="009E6CFC" w:rsidRDefault="00043BC6" w:rsidP="009E6CFC">
      <w:pPr>
        <w:pStyle w:val="BasistekstNaktuinbouw"/>
        <w:numPr>
          <w:ilvl w:val="0"/>
          <w:numId w:val="6"/>
        </w:numPr>
        <w:ind w:left="284" w:hanging="284"/>
        <w:jc w:val="both"/>
        <w:rPr>
          <w:lang w:val="en-US"/>
        </w:rPr>
      </w:pPr>
      <w:bookmarkStart w:id="10" w:name="_Hlk163037257"/>
      <w:r w:rsidRPr="00F43E60">
        <w:rPr>
          <w:color w:val="auto"/>
          <w:lang w:val="en-US"/>
        </w:rPr>
        <w:t>Applicants more and more use the online systems of UPOV and CPVO for filing their applications for listing and/or Plant Breeders’ Rights. Nowadays it is possible to apply in the Netherlands</w:t>
      </w:r>
      <w:r w:rsidR="00BD4958" w:rsidRPr="00F43E60">
        <w:rPr>
          <w:color w:val="auto"/>
          <w:lang w:val="en-US"/>
        </w:rPr>
        <w:t xml:space="preserve"> (Kingdom of)</w:t>
      </w:r>
      <w:r w:rsidRPr="00F43E60">
        <w:rPr>
          <w:color w:val="auto"/>
          <w:lang w:val="en-US"/>
        </w:rPr>
        <w:t xml:space="preserve"> for Plant Breeders’ Rights as well as for Listing for all species using UPOV </w:t>
      </w:r>
      <w:r w:rsidR="00BD4958" w:rsidRPr="00F43E60">
        <w:rPr>
          <w:color w:val="auto"/>
          <w:lang w:val="en-US"/>
        </w:rPr>
        <w:t>PRISMA</w:t>
      </w:r>
      <w:r w:rsidRPr="00F43E60">
        <w:rPr>
          <w:color w:val="auto"/>
          <w:lang w:val="en-US"/>
        </w:rPr>
        <w:t>.</w:t>
      </w:r>
    </w:p>
    <w:bookmarkEnd w:id="10"/>
    <w:p w14:paraId="42481734" w14:textId="77777777" w:rsidR="00A02985" w:rsidRPr="009E6CFC" w:rsidRDefault="00A02985" w:rsidP="00F43E60">
      <w:pPr>
        <w:rPr>
          <w:lang w:eastAsia="nl-NL"/>
        </w:rPr>
      </w:pPr>
    </w:p>
    <w:p w14:paraId="62AEF4B7" w14:textId="77777777" w:rsidR="00A02985" w:rsidRPr="009E6CFC" w:rsidRDefault="00A02985" w:rsidP="00F43E60">
      <w:pPr>
        <w:pStyle w:val="Heading2"/>
        <w:rPr>
          <w:lang w:eastAsia="nl-NL"/>
        </w:rPr>
      </w:pPr>
      <w:bookmarkStart w:id="11" w:name="_Hlk163037199"/>
      <w:r w:rsidRPr="009E6CFC">
        <w:rPr>
          <w:lang w:eastAsia="nl-NL"/>
        </w:rPr>
        <w:t>Number of applications received</w:t>
      </w:r>
    </w:p>
    <w:p w14:paraId="6CEEED9D" w14:textId="77777777" w:rsidR="00A02985" w:rsidRPr="009E6CFC" w:rsidRDefault="00A02985" w:rsidP="00F43E60">
      <w:pPr>
        <w:rPr>
          <w:lang w:eastAsia="nl-NL"/>
        </w:rPr>
      </w:pPr>
    </w:p>
    <w:p w14:paraId="5B5B2EEF" w14:textId="77777777" w:rsidR="001E2EEC" w:rsidRPr="009E6CFC" w:rsidRDefault="001E2EEC" w:rsidP="00F43E60">
      <w:pPr>
        <w:rPr>
          <w:lang w:eastAsia="nl-NL"/>
        </w:rPr>
      </w:pPr>
      <w:r w:rsidRPr="009E6CFC">
        <w:rPr>
          <w:lang w:eastAsia="nl-NL"/>
        </w:rPr>
        <w:t>In 2024, 2514 applications were received for testing for the first year for National listing, and for National or European Plant Breeders’ Rights. Applications of the same variety for Listing as well as PBR, in vegetables and in agricultural crops are split in this table.</w:t>
      </w:r>
    </w:p>
    <w:bookmarkEnd w:id="8"/>
    <w:p w14:paraId="21B14499" w14:textId="77777777" w:rsidR="00A02985" w:rsidRPr="00F43E60" w:rsidRDefault="00A02985" w:rsidP="00A02985">
      <w:pPr>
        <w:rPr>
          <w:highlight w:val="yellow"/>
          <w:lang w:eastAsia="nl-NL"/>
        </w:rPr>
      </w:pPr>
    </w:p>
    <w:tbl>
      <w:tblPr>
        <w:tblpPr w:leftFromText="141" w:rightFromText="141" w:vertAnchor="text"/>
        <w:tblW w:w="7361" w:type="dxa"/>
        <w:tblCellMar>
          <w:left w:w="0" w:type="dxa"/>
          <w:right w:w="0" w:type="dxa"/>
        </w:tblCellMar>
        <w:tblLook w:val="04A0" w:firstRow="1" w:lastRow="0" w:firstColumn="1" w:lastColumn="0" w:noHBand="0" w:noVBand="1"/>
      </w:tblPr>
      <w:tblGrid>
        <w:gridCol w:w="2258"/>
        <w:gridCol w:w="1418"/>
        <w:gridCol w:w="992"/>
        <w:gridCol w:w="1276"/>
        <w:gridCol w:w="1417"/>
      </w:tblGrid>
      <w:tr w:rsidR="00F43E60" w:rsidRPr="00F43E60" w14:paraId="10A45169" w14:textId="77777777" w:rsidTr="009E6CFC">
        <w:trPr>
          <w:trHeight w:val="292"/>
        </w:trPr>
        <w:tc>
          <w:tcPr>
            <w:tcW w:w="2258"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bookmarkEnd w:id="9"/>
          <w:p w14:paraId="28A167DE" w14:textId="67140935" w:rsidR="001E2EEC" w:rsidRPr="009E6CFC" w:rsidRDefault="001E2EEC" w:rsidP="009E6CFC">
            <w:pPr>
              <w:spacing w:line="240" w:lineRule="atLeast"/>
              <w:jc w:val="center"/>
              <w:rPr>
                <w:rFonts w:ascii="Calibri" w:hAnsi="Calibri" w:cs="Calibri"/>
                <w:color w:val="000000"/>
                <w:szCs w:val="22"/>
                <w:lang w:eastAsia="nl-NL"/>
              </w:rPr>
            </w:pPr>
            <w:r w:rsidRPr="00F43E60">
              <w:t>2024</w:t>
            </w:r>
          </w:p>
        </w:tc>
        <w:tc>
          <w:tcPr>
            <w:tcW w:w="14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531A71A9" w14:textId="79B58827" w:rsidR="001E2EEC" w:rsidRPr="009E6CFC" w:rsidRDefault="001E2EEC" w:rsidP="009E6CFC">
            <w:pPr>
              <w:spacing w:line="240" w:lineRule="atLeast"/>
              <w:jc w:val="center"/>
              <w:rPr>
                <w:rFonts w:cs="Maiandra GD"/>
                <w:color w:val="000000"/>
                <w:szCs w:val="18"/>
                <w:lang w:eastAsia="nl-NL"/>
              </w:rPr>
            </w:pPr>
            <w:r w:rsidRPr="00F43E60">
              <w:t>NL listing</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38873B35" w14:textId="490A78CF" w:rsidR="001E2EEC" w:rsidRPr="009E6CFC" w:rsidRDefault="001E2EEC" w:rsidP="009E6CFC">
            <w:pPr>
              <w:spacing w:line="240" w:lineRule="atLeast"/>
              <w:jc w:val="center"/>
              <w:rPr>
                <w:rFonts w:cs="Maiandra GD"/>
                <w:color w:val="000000"/>
                <w:szCs w:val="18"/>
                <w:lang w:eastAsia="nl-NL"/>
              </w:rPr>
            </w:pPr>
            <w:r w:rsidRPr="00F43E60">
              <w:t>NL PBR</w:t>
            </w:r>
          </w:p>
        </w:tc>
        <w:tc>
          <w:tcPr>
            <w:tcW w:w="1276"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36F73FCA" w14:textId="193628D1" w:rsidR="001E2EEC" w:rsidRPr="009E6CFC" w:rsidRDefault="001E2EEC" w:rsidP="009E6CFC">
            <w:pPr>
              <w:spacing w:line="240" w:lineRule="atLeast"/>
              <w:jc w:val="center"/>
              <w:rPr>
                <w:rFonts w:cs="Arial"/>
                <w:color w:val="000000"/>
                <w:szCs w:val="18"/>
                <w:lang w:eastAsia="nl-NL"/>
              </w:rPr>
            </w:pPr>
            <w:r w:rsidRPr="00F43E60">
              <w:t>EU PBR</w:t>
            </w:r>
          </w:p>
        </w:tc>
        <w:tc>
          <w:tcPr>
            <w:tcW w:w="1417"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14:paraId="4656F290" w14:textId="2266D446" w:rsidR="001E2EEC" w:rsidRPr="009E6CFC" w:rsidRDefault="001E2EEC" w:rsidP="009E6CFC">
            <w:pPr>
              <w:spacing w:line="240" w:lineRule="atLeast"/>
              <w:jc w:val="center"/>
              <w:rPr>
                <w:rFonts w:ascii="Calibri" w:hAnsi="Calibri" w:cs="Calibri"/>
                <w:color w:val="000000"/>
                <w:szCs w:val="18"/>
                <w:lang w:eastAsia="nl-NL"/>
              </w:rPr>
            </w:pPr>
            <w:r w:rsidRPr="00F43E60">
              <w:t>TOTAL</w:t>
            </w:r>
          </w:p>
        </w:tc>
      </w:tr>
      <w:tr w:rsidR="00F43E60" w:rsidRPr="00F43E60" w14:paraId="4B0399EF" w14:textId="77777777" w:rsidTr="009E6CFC">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0AD3ED7C" w14:textId="7DDF8FBC" w:rsidR="001E2EEC" w:rsidRPr="009E6CFC" w:rsidRDefault="001E2EEC" w:rsidP="001E2EEC">
            <w:pPr>
              <w:spacing w:line="240" w:lineRule="atLeast"/>
              <w:jc w:val="left"/>
              <w:rPr>
                <w:rFonts w:cs="Maiandra GD"/>
                <w:i/>
                <w:iCs/>
                <w:color w:val="000000"/>
                <w:szCs w:val="18"/>
                <w:lang w:eastAsia="nl-NL"/>
              </w:rPr>
            </w:pPr>
            <w:r w:rsidRPr="00F43E60">
              <w:t>Agriculture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F4A5455" w14:textId="24DA4427" w:rsidR="001E2EEC" w:rsidRPr="009E6CFC" w:rsidRDefault="001E2EEC" w:rsidP="009E6CFC">
            <w:pPr>
              <w:spacing w:line="240" w:lineRule="atLeast"/>
              <w:jc w:val="center"/>
              <w:rPr>
                <w:rFonts w:cs="Maiandra GD"/>
                <w:szCs w:val="18"/>
                <w:lang w:eastAsia="nl-NL"/>
              </w:rPr>
            </w:pPr>
            <w:r w:rsidRPr="00F43E60">
              <w:t>247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1923A1C" w14:textId="0347F566" w:rsidR="001E2EEC" w:rsidRPr="009E6CFC" w:rsidRDefault="001E2EEC" w:rsidP="009E6CFC">
            <w:pPr>
              <w:spacing w:line="240" w:lineRule="atLeast"/>
              <w:jc w:val="center"/>
              <w:rPr>
                <w:rFonts w:cs="Maiandra GD"/>
                <w:color w:val="000000"/>
                <w:szCs w:val="18"/>
                <w:lang w:eastAsia="nl-NL"/>
              </w:rPr>
            </w:pPr>
            <w:r w:rsidRPr="00F43E60">
              <w:t>54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1CC407A" w14:textId="1A50795E" w:rsidR="001E2EEC" w:rsidRPr="009E6CFC" w:rsidRDefault="001E2EEC" w:rsidP="009E6CFC">
            <w:pPr>
              <w:spacing w:line="240" w:lineRule="atLeast"/>
              <w:jc w:val="center"/>
              <w:rPr>
                <w:rFonts w:cs="Maiandra GD"/>
                <w:color w:val="000000"/>
                <w:szCs w:val="18"/>
                <w:lang w:eastAsia="nl-NL"/>
              </w:rPr>
            </w:pPr>
            <w:r w:rsidRPr="00F43E60">
              <w:t>13</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3D26F45" w14:textId="7F636035" w:rsidR="001E2EEC" w:rsidRPr="009E6CFC" w:rsidRDefault="001E2EEC" w:rsidP="009E6CFC">
            <w:pPr>
              <w:spacing w:line="240" w:lineRule="atLeast"/>
              <w:jc w:val="center"/>
              <w:rPr>
                <w:rFonts w:cs="Maiandra GD"/>
                <w:color w:val="000000"/>
                <w:szCs w:val="18"/>
                <w:lang w:eastAsia="nl-NL"/>
              </w:rPr>
            </w:pPr>
            <w:r w:rsidRPr="00F43E60">
              <w:t>320</w:t>
            </w:r>
          </w:p>
        </w:tc>
      </w:tr>
      <w:tr w:rsidR="00F43E60" w:rsidRPr="00F43E60" w14:paraId="7843CAF6" w14:textId="77777777" w:rsidTr="009E6CFC">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643546EE" w14:textId="27273733" w:rsidR="001E2EEC" w:rsidRPr="009E6CFC" w:rsidRDefault="001E2EEC" w:rsidP="001E2EEC">
            <w:pPr>
              <w:spacing w:line="240" w:lineRule="atLeast"/>
              <w:jc w:val="left"/>
              <w:rPr>
                <w:rFonts w:cs="Maiandra GD"/>
                <w:i/>
                <w:iCs/>
                <w:color w:val="000000"/>
                <w:szCs w:val="18"/>
                <w:lang w:eastAsia="nl-NL"/>
              </w:rPr>
            </w:pPr>
            <w:r w:rsidRPr="00F43E60">
              <w:t>Vegetable</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AEF01E2" w14:textId="310E5D3A" w:rsidR="001E2EEC" w:rsidRPr="009E6CFC" w:rsidRDefault="001E2EEC" w:rsidP="009E6CFC">
            <w:pPr>
              <w:spacing w:line="240" w:lineRule="atLeast"/>
              <w:jc w:val="center"/>
              <w:rPr>
                <w:rFonts w:cs="Maiandra GD"/>
                <w:szCs w:val="18"/>
                <w:lang w:eastAsia="nl-NL"/>
              </w:rPr>
            </w:pPr>
            <w:r w:rsidRPr="00F43E60">
              <w:t>757</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E282ABE" w14:textId="23780576" w:rsidR="001E2EEC" w:rsidRPr="009E6CFC" w:rsidRDefault="001E2EEC" w:rsidP="009E6CFC">
            <w:pPr>
              <w:spacing w:line="240" w:lineRule="atLeast"/>
              <w:jc w:val="center"/>
              <w:rPr>
                <w:rFonts w:cs="Maiandra GD"/>
                <w:color w:val="000000"/>
                <w:szCs w:val="18"/>
                <w:lang w:eastAsia="nl-NL"/>
              </w:rPr>
            </w:pPr>
            <w:r w:rsidRPr="00F43E60">
              <w:t>622</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5FCADBE" w14:textId="299C319F" w:rsidR="001E2EEC" w:rsidRPr="009E6CFC" w:rsidRDefault="001E2EEC" w:rsidP="009E6CFC">
            <w:pPr>
              <w:spacing w:line="240" w:lineRule="atLeast"/>
              <w:jc w:val="center"/>
              <w:rPr>
                <w:rFonts w:cs="Maiandra GD"/>
                <w:color w:val="000000"/>
                <w:szCs w:val="18"/>
                <w:lang w:eastAsia="nl-NL"/>
              </w:rPr>
            </w:pPr>
            <w:r w:rsidRPr="00F43E60">
              <w:t>72</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9A20919" w14:textId="226EC3F9" w:rsidR="001E2EEC" w:rsidRPr="009E6CFC" w:rsidRDefault="001E2EEC" w:rsidP="009E6CFC">
            <w:pPr>
              <w:spacing w:line="240" w:lineRule="atLeast"/>
              <w:jc w:val="center"/>
              <w:rPr>
                <w:rFonts w:cs="Maiandra GD"/>
                <w:color w:val="000000"/>
                <w:szCs w:val="18"/>
                <w:lang w:eastAsia="nl-NL"/>
              </w:rPr>
            </w:pPr>
            <w:r w:rsidRPr="00F43E60">
              <w:t>1487</w:t>
            </w:r>
          </w:p>
        </w:tc>
      </w:tr>
      <w:tr w:rsidR="00F43E60" w:rsidRPr="00F43E60" w14:paraId="4D814474" w14:textId="77777777" w:rsidTr="009E6CFC">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5BCE3920" w14:textId="2914158F" w:rsidR="001E2EEC" w:rsidRPr="009E6CFC" w:rsidRDefault="001E2EEC" w:rsidP="001E2EEC">
            <w:pPr>
              <w:spacing w:line="240" w:lineRule="atLeast"/>
              <w:jc w:val="left"/>
              <w:rPr>
                <w:rFonts w:cs="Maiandra GD"/>
                <w:i/>
                <w:iCs/>
                <w:color w:val="000000"/>
                <w:szCs w:val="18"/>
                <w:lang w:eastAsia="nl-NL"/>
              </w:rPr>
            </w:pPr>
            <w:r w:rsidRPr="00F43E60">
              <w:t>Ornamental (incl. trees)</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17260E9" w14:textId="0E60DE88" w:rsidR="001E2EEC" w:rsidRPr="009E6CFC" w:rsidRDefault="001E2EEC" w:rsidP="009E6CFC">
            <w:pPr>
              <w:spacing w:line="240" w:lineRule="atLeast"/>
              <w:jc w:val="center"/>
              <w:rPr>
                <w:rFonts w:cs="Maiandra GD"/>
                <w:szCs w:val="18"/>
                <w:lang w:eastAsia="nl-NL"/>
              </w:rPr>
            </w:pP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6BFC8DC7" w14:textId="708EAAA2" w:rsidR="001E2EEC" w:rsidRPr="009E6CFC" w:rsidRDefault="001E2EEC" w:rsidP="009E6CFC">
            <w:pPr>
              <w:spacing w:line="240" w:lineRule="atLeast"/>
              <w:jc w:val="center"/>
              <w:rPr>
                <w:rFonts w:cs="Maiandra GD"/>
                <w:color w:val="000000"/>
                <w:szCs w:val="18"/>
                <w:lang w:eastAsia="nl-NL"/>
              </w:rPr>
            </w:pPr>
            <w:r w:rsidRPr="00F43E60">
              <w:t>124</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2D801E7" w14:textId="0980F1A6" w:rsidR="001E2EEC" w:rsidRPr="009E6CFC" w:rsidRDefault="001E2EEC" w:rsidP="009E6CFC">
            <w:pPr>
              <w:spacing w:line="240" w:lineRule="atLeast"/>
              <w:jc w:val="center"/>
              <w:rPr>
                <w:rFonts w:cs="Maiandra GD"/>
                <w:color w:val="000000"/>
                <w:szCs w:val="18"/>
                <w:lang w:eastAsia="nl-NL"/>
              </w:rPr>
            </w:pPr>
            <w:r w:rsidRPr="00F43E60">
              <w:t>625</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43CDE970" w14:textId="3545CE4A" w:rsidR="001E2EEC" w:rsidRPr="009E6CFC" w:rsidRDefault="001E2EEC" w:rsidP="009E6CFC">
            <w:pPr>
              <w:spacing w:line="240" w:lineRule="atLeast"/>
              <w:jc w:val="center"/>
              <w:rPr>
                <w:rFonts w:cs="Maiandra GD"/>
                <w:color w:val="000000"/>
                <w:szCs w:val="18"/>
                <w:lang w:eastAsia="nl-NL"/>
              </w:rPr>
            </w:pPr>
            <w:r w:rsidRPr="00F43E60">
              <w:t>794</w:t>
            </w:r>
          </w:p>
        </w:tc>
      </w:tr>
      <w:tr w:rsidR="00F43E60" w:rsidRPr="00F43E60" w14:paraId="3CA757FD" w14:textId="77777777" w:rsidTr="009E6CFC">
        <w:trPr>
          <w:trHeight w:val="292"/>
        </w:trPr>
        <w:tc>
          <w:tcPr>
            <w:tcW w:w="2258"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14:paraId="732BFD04" w14:textId="03A8CDA6" w:rsidR="001E2EEC" w:rsidRPr="009E6CFC" w:rsidRDefault="001E2EEC" w:rsidP="001E2EEC">
            <w:pPr>
              <w:spacing w:line="240" w:lineRule="atLeast"/>
              <w:jc w:val="left"/>
              <w:rPr>
                <w:rFonts w:cs="Maiandra GD"/>
                <w:color w:val="000000"/>
                <w:szCs w:val="18"/>
                <w:lang w:eastAsia="nl-NL"/>
              </w:rPr>
            </w:pPr>
            <w:r w:rsidRPr="00F43E60">
              <w:t>TOTAL</w:t>
            </w:r>
          </w:p>
        </w:tc>
        <w:tc>
          <w:tcPr>
            <w:tcW w:w="14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79966B59" w14:textId="7F07C4EE" w:rsidR="001E2EEC" w:rsidRPr="009E6CFC" w:rsidRDefault="001E2EEC" w:rsidP="009E6CFC">
            <w:pPr>
              <w:spacing w:line="240" w:lineRule="atLeast"/>
              <w:jc w:val="center"/>
              <w:rPr>
                <w:rFonts w:cs="Maiandra GD"/>
                <w:szCs w:val="18"/>
                <w:lang w:eastAsia="nl-NL"/>
              </w:rPr>
            </w:pPr>
            <w:r w:rsidRPr="00F43E60">
              <w:t>1004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1AA140ED" w14:textId="6A1C2EA8" w:rsidR="001E2EEC" w:rsidRPr="009E6CFC" w:rsidRDefault="001E2EEC" w:rsidP="009E6CFC">
            <w:pPr>
              <w:spacing w:line="240" w:lineRule="atLeast"/>
              <w:jc w:val="center"/>
              <w:rPr>
                <w:rFonts w:cs="Maiandra GD"/>
                <w:color w:val="000000"/>
                <w:szCs w:val="18"/>
                <w:lang w:eastAsia="nl-NL"/>
              </w:rPr>
            </w:pPr>
            <w:r w:rsidRPr="00F43E60">
              <w:t>800</w:t>
            </w:r>
          </w:p>
        </w:tc>
        <w:tc>
          <w:tcPr>
            <w:tcW w:w="1276"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374486DC" w14:textId="119BB346" w:rsidR="001E2EEC" w:rsidRPr="009E6CFC" w:rsidRDefault="001E2EEC" w:rsidP="009E6CFC">
            <w:pPr>
              <w:spacing w:line="240" w:lineRule="atLeast"/>
              <w:jc w:val="center"/>
              <w:rPr>
                <w:rFonts w:cs="Maiandra GD"/>
                <w:color w:val="000000"/>
                <w:szCs w:val="18"/>
                <w:lang w:eastAsia="nl-NL"/>
              </w:rPr>
            </w:pPr>
            <w:r w:rsidRPr="00F43E60">
              <w:t>710</w:t>
            </w:r>
          </w:p>
        </w:tc>
        <w:tc>
          <w:tcPr>
            <w:tcW w:w="1417"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hideMark/>
          </w:tcPr>
          <w:p w14:paraId="5AF679B1" w14:textId="3AB787B3" w:rsidR="001E2EEC" w:rsidRPr="009E6CFC" w:rsidRDefault="001E2EEC" w:rsidP="009E6CFC">
            <w:pPr>
              <w:spacing w:line="240" w:lineRule="atLeast"/>
              <w:jc w:val="center"/>
              <w:rPr>
                <w:rFonts w:cs="Maiandra GD"/>
                <w:color w:val="000000"/>
                <w:szCs w:val="18"/>
                <w:lang w:eastAsia="nl-NL"/>
              </w:rPr>
            </w:pPr>
            <w:r w:rsidRPr="00F43E60">
              <w:t>2514</w:t>
            </w:r>
          </w:p>
        </w:tc>
      </w:tr>
    </w:tbl>
    <w:p w14:paraId="7AE752D5" w14:textId="77777777" w:rsidR="00A02985" w:rsidRPr="009E6CFC" w:rsidRDefault="00A02985" w:rsidP="009E6CFC">
      <w:pPr>
        <w:spacing w:line="240" w:lineRule="atLeast"/>
        <w:jc w:val="center"/>
        <w:rPr>
          <w:rFonts w:ascii="Calibri" w:eastAsia="Arial" w:hAnsi="Calibri" w:cs="Calibri"/>
          <w:color w:val="000000"/>
          <w:sz w:val="22"/>
          <w:szCs w:val="22"/>
          <w14:ligatures w14:val="standardContextual"/>
        </w:rPr>
      </w:pPr>
    </w:p>
    <w:p w14:paraId="1761B1FD" w14:textId="77777777" w:rsidR="00A02985" w:rsidRPr="009E6CFC" w:rsidRDefault="00A02985" w:rsidP="00A02985">
      <w:pPr>
        <w:spacing w:line="240" w:lineRule="atLeast"/>
        <w:jc w:val="left"/>
        <w:rPr>
          <w:rFonts w:cs="Arial"/>
          <w:color w:val="000000"/>
          <w:lang w:eastAsia="nl-NL"/>
        </w:rPr>
      </w:pPr>
    </w:p>
    <w:p w14:paraId="19F5ED16" w14:textId="77777777" w:rsidR="00A02985" w:rsidRPr="009E6CFC" w:rsidRDefault="00A02985" w:rsidP="00A02985">
      <w:pPr>
        <w:spacing w:line="240" w:lineRule="atLeast"/>
        <w:jc w:val="left"/>
        <w:rPr>
          <w:rFonts w:ascii="Calibri" w:hAnsi="Calibri" w:cs="Calibri"/>
          <w:color w:val="000000"/>
          <w:sz w:val="22"/>
          <w:szCs w:val="22"/>
        </w:rPr>
      </w:pPr>
    </w:p>
    <w:p w14:paraId="0A9524FC" w14:textId="77777777" w:rsidR="00A02985" w:rsidRPr="00F43E60" w:rsidRDefault="00A02985" w:rsidP="00A02985">
      <w:pPr>
        <w:spacing w:line="240" w:lineRule="atLeast"/>
        <w:jc w:val="left"/>
        <w:rPr>
          <w:rFonts w:cs="Maiandra GD"/>
          <w:szCs w:val="18"/>
          <w:lang w:eastAsia="nl-NL"/>
        </w:rPr>
      </w:pPr>
    </w:p>
    <w:p w14:paraId="16B88FAC" w14:textId="77777777" w:rsidR="00A02985" w:rsidRPr="00F43E60" w:rsidRDefault="00A02985" w:rsidP="00A02985">
      <w:pPr>
        <w:spacing w:line="240" w:lineRule="atLeast"/>
        <w:jc w:val="left"/>
        <w:rPr>
          <w:rFonts w:cs="Maiandra GD"/>
          <w:szCs w:val="18"/>
          <w:lang w:eastAsia="nl-NL"/>
        </w:rPr>
      </w:pPr>
    </w:p>
    <w:p w14:paraId="416C6ED5" w14:textId="77777777" w:rsidR="00A02985" w:rsidRPr="00F43E60" w:rsidRDefault="00A02985" w:rsidP="00A02985">
      <w:pPr>
        <w:spacing w:line="240" w:lineRule="atLeast"/>
        <w:jc w:val="left"/>
        <w:rPr>
          <w:rFonts w:cs="Maiandra GD"/>
          <w:szCs w:val="18"/>
          <w:lang w:eastAsia="nl-NL"/>
        </w:rPr>
      </w:pPr>
    </w:p>
    <w:p w14:paraId="77E4C7CE" w14:textId="77777777" w:rsidR="00A02985" w:rsidRPr="009E6CFC" w:rsidRDefault="00A02985" w:rsidP="00A02985">
      <w:pPr>
        <w:spacing w:line="240" w:lineRule="atLeast"/>
        <w:jc w:val="left"/>
        <w:rPr>
          <w:rFonts w:cs="Maiandra GD"/>
          <w:color w:val="000000"/>
          <w:szCs w:val="18"/>
          <w:lang w:eastAsia="nl-NL"/>
        </w:rPr>
      </w:pPr>
    </w:p>
    <w:bookmarkEnd w:id="11"/>
    <w:p w14:paraId="1ED20F4B" w14:textId="77777777" w:rsidR="00A02985" w:rsidRPr="009E6CFC" w:rsidRDefault="00A02985" w:rsidP="00796674">
      <w:pPr>
        <w:rPr>
          <w:lang w:eastAsia="nl-NL"/>
        </w:rPr>
      </w:pPr>
    </w:p>
    <w:p w14:paraId="7BA1619F" w14:textId="77777777" w:rsidR="00A02985" w:rsidRPr="009E6CFC" w:rsidRDefault="00A02985" w:rsidP="00A02985">
      <w:pPr>
        <w:rPr>
          <w:lang w:eastAsia="nl-NL"/>
        </w:rPr>
      </w:pPr>
    </w:p>
    <w:p w14:paraId="792B057F" w14:textId="77777777" w:rsidR="00A02985" w:rsidRPr="009E6CFC" w:rsidRDefault="00A02985" w:rsidP="00A02985">
      <w:pPr>
        <w:pStyle w:val="Heading2"/>
        <w:rPr>
          <w:lang w:eastAsia="nl-NL"/>
        </w:rPr>
      </w:pPr>
      <w:r w:rsidRPr="009E6CFC">
        <w:rPr>
          <w:lang w:eastAsia="nl-NL"/>
        </w:rPr>
        <w:t>DUS projects</w:t>
      </w:r>
    </w:p>
    <w:p w14:paraId="027ED958" w14:textId="77777777" w:rsidR="00A02985" w:rsidRPr="009E6CFC" w:rsidRDefault="00A02985" w:rsidP="00A02985">
      <w:pPr>
        <w:pStyle w:val="EndnoteText"/>
        <w:rPr>
          <w:lang w:eastAsia="nl-NL"/>
        </w:rPr>
      </w:pPr>
    </w:p>
    <w:p w14:paraId="5764B05A" w14:textId="77777777" w:rsidR="00A02985" w:rsidRPr="009E6CFC" w:rsidRDefault="00A02985" w:rsidP="009E6CFC">
      <w:pPr>
        <w:spacing w:line="240" w:lineRule="atLeast"/>
        <w:rPr>
          <w:rFonts w:cs="Arial"/>
          <w:color w:val="000000"/>
          <w:lang w:eastAsia="nl-NL"/>
        </w:rPr>
      </w:pPr>
      <w:proofErr w:type="spellStart"/>
      <w:r w:rsidRPr="009E6CFC">
        <w:rPr>
          <w:rFonts w:cs="Maiandra GD"/>
          <w:color w:val="000000"/>
          <w:szCs w:val="18"/>
          <w:lang w:eastAsia="nl-NL"/>
        </w:rPr>
        <w:t>Digitisation</w:t>
      </w:r>
      <w:proofErr w:type="spellEnd"/>
    </w:p>
    <w:p w14:paraId="4C86C4FD" w14:textId="77777777" w:rsidR="00796674" w:rsidRPr="009E6CFC" w:rsidRDefault="00796674" w:rsidP="009E6CFC">
      <w:pPr>
        <w:pStyle w:val="BasistekstNaktuinbouw"/>
        <w:numPr>
          <w:ilvl w:val="0"/>
          <w:numId w:val="8"/>
        </w:numPr>
        <w:ind w:left="567" w:hanging="284"/>
        <w:jc w:val="both"/>
        <w:rPr>
          <w:lang w:val="en-US"/>
        </w:rPr>
      </w:pPr>
      <w:r w:rsidRPr="009E6CFC">
        <w:rPr>
          <w:lang w:val="en-US"/>
        </w:rPr>
        <w:t xml:space="preserve">Naktuinbouw continues to work on the expansion of the Naktuinbouw Academy: a digital training platform. </w:t>
      </w:r>
    </w:p>
    <w:p w14:paraId="216EF332" w14:textId="2DA82490" w:rsidR="00A02985" w:rsidRPr="009E6CFC" w:rsidRDefault="00796674" w:rsidP="009E6CFC">
      <w:pPr>
        <w:pStyle w:val="BasistekstNaktuinbouw"/>
        <w:numPr>
          <w:ilvl w:val="0"/>
          <w:numId w:val="8"/>
        </w:numPr>
        <w:ind w:left="567" w:hanging="284"/>
        <w:jc w:val="both"/>
        <w:rPr>
          <w:lang w:val="en-US"/>
        </w:rPr>
      </w:pPr>
      <w:r w:rsidRPr="009E6CFC">
        <w:rPr>
          <w:lang w:val="en-US"/>
        </w:rPr>
        <w:t>Databases: Naktuinbouw develops SNP-databases in French bean, Hemp, Tomato and Lettuce. Some databases are developed nationally, others in international projects (e.g. IMODDUS). The projects are funded by amongst others the Dutch board for plant varieties and CPVO.</w:t>
      </w:r>
    </w:p>
    <w:p w14:paraId="3874883A" w14:textId="77777777" w:rsidR="00A02985" w:rsidRPr="009E6CFC" w:rsidRDefault="00A02985" w:rsidP="00F43E60">
      <w:pPr>
        <w:rPr>
          <w:lang w:eastAsia="nl-NL"/>
        </w:rPr>
      </w:pPr>
    </w:p>
    <w:p w14:paraId="1C6706E7" w14:textId="77777777" w:rsidR="00796674" w:rsidRPr="009E6CFC" w:rsidRDefault="00796674" w:rsidP="00F43E60">
      <w:pPr>
        <w:spacing w:line="240" w:lineRule="atLeast"/>
        <w:rPr>
          <w:rFonts w:cs="Maiandra GD"/>
          <w:color w:val="000000"/>
          <w:szCs w:val="18"/>
          <w:lang w:eastAsia="nl-NL"/>
        </w:rPr>
      </w:pPr>
      <w:bookmarkStart w:id="12" w:name="_Hlk163038815"/>
      <w:r w:rsidRPr="009E6CFC">
        <w:rPr>
          <w:rFonts w:cs="Maiandra GD"/>
          <w:color w:val="000000"/>
          <w:szCs w:val="18"/>
          <w:lang w:eastAsia="nl-NL"/>
        </w:rPr>
        <w:t>Projects</w:t>
      </w:r>
    </w:p>
    <w:p w14:paraId="0788818E" w14:textId="77777777" w:rsidR="00796674" w:rsidRPr="009E6CFC" w:rsidRDefault="00796674" w:rsidP="009E6CFC">
      <w:pPr>
        <w:pStyle w:val="BasistekstNaktuinbouw"/>
        <w:numPr>
          <w:ilvl w:val="0"/>
          <w:numId w:val="8"/>
        </w:numPr>
        <w:ind w:left="567" w:hanging="284"/>
        <w:jc w:val="both"/>
        <w:rPr>
          <w:lang w:val="en-US"/>
        </w:rPr>
      </w:pPr>
      <w:proofErr w:type="spellStart"/>
      <w:r w:rsidRPr="009E6CFC">
        <w:rPr>
          <w:lang w:val="en-US"/>
        </w:rPr>
        <w:t>Harmorescoll</w:t>
      </w:r>
      <w:proofErr w:type="spellEnd"/>
      <w:r w:rsidRPr="009E6CFC">
        <w:rPr>
          <w:lang w:val="en-US"/>
        </w:rPr>
        <w:t>: in this project the reference material for obligatory disease resistance tests is harmonized. We expect that this work will be continues in 2025 and further.</w:t>
      </w:r>
    </w:p>
    <w:p w14:paraId="1ADED1B2" w14:textId="3E0EF637" w:rsidR="00796674" w:rsidRPr="009E6CFC" w:rsidRDefault="00796674" w:rsidP="009E6CFC">
      <w:pPr>
        <w:pStyle w:val="BasistekstNaktuinbouw"/>
        <w:numPr>
          <w:ilvl w:val="0"/>
          <w:numId w:val="8"/>
        </w:numPr>
        <w:ind w:left="567" w:hanging="284"/>
        <w:jc w:val="both"/>
        <w:rPr>
          <w:lang w:val="en-US"/>
        </w:rPr>
      </w:pPr>
      <w:r w:rsidRPr="009E6CFC">
        <w:rPr>
          <w:lang w:val="en-US"/>
        </w:rPr>
        <w:t xml:space="preserve">The EU project INVITE on the improvement on DUS and VCU. Naktuinbouw is one of the partners in this program. 2024 was the last year of this project. Naktuinbouw will continue with follow up project to get usable tools for Analysis with drones in </w:t>
      </w:r>
      <w:r w:rsidR="00870800">
        <w:rPr>
          <w:lang w:val="en-US"/>
        </w:rPr>
        <w:t>Ryegrass</w:t>
      </w:r>
      <w:r w:rsidRPr="009E6CFC">
        <w:rPr>
          <w:lang w:val="en-US"/>
        </w:rPr>
        <w:t>, to use an app for some characteristics in tomato and to continue the work on common databases.</w:t>
      </w:r>
    </w:p>
    <w:p w14:paraId="711F5A79" w14:textId="043C2B6B" w:rsidR="00796674" w:rsidRPr="009E6CFC" w:rsidRDefault="00796674" w:rsidP="009E6CFC">
      <w:pPr>
        <w:pStyle w:val="BasistekstNaktuinbouw"/>
        <w:numPr>
          <w:ilvl w:val="0"/>
          <w:numId w:val="8"/>
        </w:numPr>
        <w:ind w:left="567" w:hanging="284"/>
        <w:jc w:val="both"/>
        <w:rPr>
          <w:lang w:val="en-US"/>
        </w:rPr>
      </w:pPr>
      <w:r w:rsidRPr="009E6CFC">
        <w:rPr>
          <w:lang w:val="en-US"/>
        </w:rPr>
        <w:t>Naktuinbouw continues to support IP</w:t>
      </w:r>
      <w:r w:rsidR="00870800">
        <w:rPr>
          <w:lang w:val="en-US"/>
        </w:rPr>
        <w:t xml:space="preserve"> </w:t>
      </w:r>
      <w:r w:rsidRPr="009E6CFC">
        <w:rPr>
          <w:lang w:val="en-US"/>
        </w:rPr>
        <w:t>Key projects.</w:t>
      </w:r>
    </w:p>
    <w:p w14:paraId="2F483064" w14:textId="443E6CBB" w:rsidR="00A02985" w:rsidRPr="009E6CFC" w:rsidRDefault="00796674" w:rsidP="009E6CFC">
      <w:pPr>
        <w:pStyle w:val="BasistekstNaktuinbouw"/>
        <w:numPr>
          <w:ilvl w:val="0"/>
          <w:numId w:val="8"/>
        </w:numPr>
        <w:ind w:left="567" w:hanging="284"/>
        <w:jc w:val="both"/>
        <w:rPr>
          <w:lang w:val="en-US"/>
        </w:rPr>
      </w:pPr>
      <w:r w:rsidRPr="009E6CFC">
        <w:rPr>
          <w:lang w:val="en-US"/>
        </w:rPr>
        <w:t xml:space="preserve">CPVO funds a project to develop a disease resistance test for </w:t>
      </w:r>
      <w:proofErr w:type="spellStart"/>
      <w:r w:rsidRPr="009E6CFC">
        <w:rPr>
          <w:lang w:val="en-US"/>
        </w:rPr>
        <w:t>ToBRFV</w:t>
      </w:r>
      <w:proofErr w:type="spellEnd"/>
      <w:r w:rsidRPr="009E6CFC">
        <w:rPr>
          <w:lang w:val="en-US"/>
        </w:rPr>
        <w:t xml:space="preserve"> in tomato and for Aphis gossypii in cucumber</w:t>
      </w:r>
      <w:r w:rsidR="00870800">
        <w:rPr>
          <w:lang w:val="en-US"/>
        </w:rPr>
        <w:t>.</w:t>
      </w:r>
      <w:r w:rsidRPr="009E6CFC">
        <w:rPr>
          <w:lang w:val="en-US"/>
        </w:rPr>
        <w:t xml:space="preserve"> Another project is to develop SNP marker set for lettuce together with Germany, Spain and France.</w:t>
      </w:r>
    </w:p>
    <w:p w14:paraId="6498C63C" w14:textId="77777777" w:rsidR="00796674" w:rsidRPr="00F43E60" w:rsidRDefault="00796674" w:rsidP="00F43E60">
      <w:pPr>
        <w:pStyle w:val="EndnoteText"/>
        <w:rPr>
          <w:lang w:eastAsia="nl-NL"/>
        </w:rPr>
      </w:pPr>
    </w:p>
    <w:p w14:paraId="7F752EDC" w14:textId="77777777" w:rsidR="00A02985" w:rsidRPr="009E6CFC" w:rsidRDefault="00A02985" w:rsidP="00F43E60">
      <w:pPr>
        <w:keepNext/>
        <w:spacing w:line="240" w:lineRule="atLeast"/>
        <w:rPr>
          <w:rFonts w:cs="Maiandra GD"/>
          <w:color w:val="000000"/>
          <w:szCs w:val="18"/>
          <w:lang w:eastAsia="nl-NL"/>
        </w:rPr>
      </w:pPr>
      <w:r w:rsidRPr="009E6CFC">
        <w:rPr>
          <w:rFonts w:cs="Maiandra GD"/>
          <w:color w:val="000000"/>
          <w:szCs w:val="18"/>
          <w:lang w:eastAsia="nl-NL"/>
        </w:rPr>
        <w:lastRenderedPageBreak/>
        <w:t>Other projects</w:t>
      </w:r>
    </w:p>
    <w:p w14:paraId="4D93B983" w14:textId="392B04B7" w:rsidR="00A02985" w:rsidRPr="009E6CFC" w:rsidRDefault="00A02985" w:rsidP="00F43E60">
      <w:pPr>
        <w:keepNext/>
        <w:spacing w:line="240" w:lineRule="atLeast"/>
        <w:rPr>
          <w:rFonts w:cs="Maiandra GD"/>
          <w:color w:val="000000"/>
          <w:szCs w:val="18"/>
          <w:lang w:eastAsia="nl-NL"/>
        </w:rPr>
      </w:pPr>
      <w:r w:rsidRPr="00F43E60">
        <w:rPr>
          <w:rFonts w:cs="Maiandra GD"/>
          <w:color w:val="000000"/>
          <w:szCs w:val="18"/>
          <w:lang w:eastAsia="nl-NL"/>
        </w:rPr>
        <w:t xml:space="preserve">Methodology projects that are funded by the Board for plant varieties in the Netherlands </w:t>
      </w:r>
      <w:r w:rsidR="00870800">
        <w:rPr>
          <w:rFonts w:cs="Maiandra GD"/>
          <w:color w:val="000000"/>
          <w:szCs w:val="18"/>
          <w:lang w:eastAsia="nl-NL"/>
        </w:rPr>
        <w:t xml:space="preserve">(Kingdom of the) </w:t>
      </w:r>
      <w:r w:rsidRPr="00F43E60">
        <w:rPr>
          <w:rFonts w:cs="Maiandra GD"/>
          <w:color w:val="000000"/>
          <w:szCs w:val="18"/>
          <w:lang w:eastAsia="nl-NL"/>
        </w:rPr>
        <w:t xml:space="preserve">are e.g. </w:t>
      </w:r>
    </w:p>
    <w:p w14:paraId="3065698F" w14:textId="77777777" w:rsidR="00796674" w:rsidRPr="00F43E60" w:rsidRDefault="00796674" w:rsidP="00F43E60">
      <w:pPr>
        <w:numPr>
          <w:ilvl w:val="0"/>
          <w:numId w:val="10"/>
        </w:numPr>
        <w:spacing w:line="240" w:lineRule="atLeast"/>
        <w:rPr>
          <w:rFonts w:cs="Maiandra GD"/>
          <w:color w:val="000000"/>
          <w:szCs w:val="18"/>
          <w:lang w:eastAsia="nl-NL"/>
        </w:rPr>
      </w:pPr>
      <w:bookmarkStart w:id="13" w:name="_Hlk99720143"/>
      <w:bookmarkEnd w:id="12"/>
      <w:r w:rsidRPr="00F43E60">
        <w:rPr>
          <w:rFonts w:cs="Maiandra GD"/>
          <w:color w:val="000000"/>
          <w:szCs w:val="18"/>
          <w:lang w:eastAsia="nl-NL"/>
        </w:rPr>
        <w:t>Marker development for fusarium (FOC1) resistance in brassica,</w:t>
      </w:r>
    </w:p>
    <w:p w14:paraId="3D8F5303" w14:textId="77777777" w:rsidR="00796674" w:rsidRPr="00F43E60" w:rsidRDefault="00796674" w:rsidP="00F43E60">
      <w:pPr>
        <w:numPr>
          <w:ilvl w:val="0"/>
          <w:numId w:val="10"/>
        </w:numPr>
        <w:spacing w:line="240" w:lineRule="atLeast"/>
        <w:rPr>
          <w:rFonts w:cs="Maiandra GD"/>
          <w:color w:val="000000"/>
          <w:szCs w:val="18"/>
          <w:lang w:eastAsia="nl-NL"/>
        </w:rPr>
      </w:pPr>
      <w:r w:rsidRPr="00F43E60">
        <w:rPr>
          <w:rFonts w:cs="Maiandra GD"/>
          <w:color w:val="000000"/>
          <w:szCs w:val="18"/>
          <w:lang w:eastAsia="nl-NL"/>
        </w:rPr>
        <w:t>Verification research on DNA combined with morphology in tomato and onion,</w:t>
      </w:r>
    </w:p>
    <w:p w14:paraId="101163C2" w14:textId="3E707F8B" w:rsidR="00A02985" w:rsidRPr="00F43E60" w:rsidRDefault="00796674" w:rsidP="00F43E60">
      <w:pPr>
        <w:numPr>
          <w:ilvl w:val="0"/>
          <w:numId w:val="10"/>
        </w:numPr>
        <w:spacing w:line="240" w:lineRule="atLeast"/>
        <w:rPr>
          <w:rFonts w:cs="Maiandra GD"/>
          <w:color w:val="000000"/>
          <w:szCs w:val="18"/>
          <w:lang w:eastAsia="nl-NL"/>
        </w:rPr>
      </w:pPr>
      <w:r w:rsidRPr="00F43E60">
        <w:rPr>
          <w:rFonts w:cs="Maiandra GD"/>
          <w:color w:val="000000"/>
          <w:szCs w:val="18"/>
          <w:lang w:eastAsia="nl-NL"/>
        </w:rPr>
        <w:t>Selecting similar varieties with image analysis and AI.</w:t>
      </w:r>
    </w:p>
    <w:p w14:paraId="7A937B86" w14:textId="77777777" w:rsidR="00796674" w:rsidRPr="009E6CFC" w:rsidRDefault="00796674" w:rsidP="00F43E60">
      <w:pPr>
        <w:spacing w:line="240" w:lineRule="atLeast"/>
        <w:rPr>
          <w:rFonts w:cs="Maiandra GD"/>
          <w:color w:val="000000"/>
          <w:szCs w:val="18"/>
          <w:lang w:eastAsia="nl-NL"/>
        </w:rPr>
      </w:pPr>
    </w:p>
    <w:bookmarkEnd w:id="13"/>
    <w:p w14:paraId="062CC280" w14:textId="7F427426" w:rsidR="00A02985" w:rsidRPr="009E6CFC" w:rsidRDefault="00A02985" w:rsidP="00F43E60">
      <w:pPr>
        <w:spacing w:line="240" w:lineRule="atLeast"/>
        <w:rPr>
          <w:rFonts w:cs="Arial"/>
          <w:color w:val="000000"/>
          <w:lang w:eastAsia="nl-NL"/>
        </w:rPr>
      </w:pPr>
      <w:r w:rsidRPr="009E6CFC">
        <w:rPr>
          <w:rFonts w:cs="Maiandra GD"/>
          <w:color w:val="000000"/>
          <w:szCs w:val="18"/>
          <w:lang w:eastAsia="nl-NL"/>
        </w:rPr>
        <w:t>International cooperation 202</w:t>
      </w:r>
      <w:r w:rsidR="00796674" w:rsidRPr="009E6CFC">
        <w:rPr>
          <w:rFonts w:cs="Maiandra GD"/>
          <w:color w:val="000000"/>
          <w:szCs w:val="18"/>
          <w:lang w:eastAsia="nl-NL"/>
        </w:rPr>
        <w:t>5</w:t>
      </w:r>
    </w:p>
    <w:p w14:paraId="11722E1D" w14:textId="77777777" w:rsidR="00796674" w:rsidRPr="009E6CFC" w:rsidRDefault="00796674" w:rsidP="00F43E60">
      <w:pPr>
        <w:numPr>
          <w:ilvl w:val="0"/>
          <w:numId w:val="10"/>
        </w:numPr>
        <w:spacing w:line="240" w:lineRule="atLeast"/>
      </w:pPr>
      <w:r w:rsidRPr="009E6CFC">
        <w:t>Since 2021, Naktuinbouw has participated in the Collaborative Seed Program in Nigeria. One of the project's goals is to set up a PVP system in the country.</w:t>
      </w:r>
    </w:p>
    <w:p w14:paraId="645FBCEA" w14:textId="77777777" w:rsidR="00796674" w:rsidRPr="009E6CFC" w:rsidRDefault="00796674" w:rsidP="00F43E60">
      <w:pPr>
        <w:numPr>
          <w:ilvl w:val="0"/>
          <w:numId w:val="10"/>
        </w:numPr>
        <w:spacing w:line="240" w:lineRule="atLeast"/>
      </w:pPr>
      <w:r w:rsidRPr="009E6CFC">
        <w:t xml:space="preserve">In 2024 a project with Suriname has been started by the </w:t>
      </w:r>
      <w:proofErr w:type="spellStart"/>
      <w:r w:rsidRPr="009E6CFC">
        <w:t>Makandra</w:t>
      </w:r>
      <w:proofErr w:type="spellEnd"/>
      <w:r w:rsidRPr="009E6CFC">
        <w:t xml:space="preserve"> Program.</w:t>
      </w:r>
    </w:p>
    <w:p w14:paraId="47DF478E" w14:textId="77777777" w:rsidR="00796674" w:rsidRPr="009E6CFC" w:rsidRDefault="00796674" w:rsidP="00F43E60">
      <w:pPr>
        <w:numPr>
          <w:ilvl w:val="0"/>
          <w:numId w:val="10"/>
        </w:numPr>
        <w:spacing w:line="240" w:lineRule="atLeast"/>
      </w:pPr>
      <w:r w:rsidRPr="009E6CFC">
        <w:t xml:space="preserve">We are participating in Advisory Committee for India – Bangladesh – Netherlands Seed Partnership. These two partnerships are initiative of </w:t>
      </w:r>
      <w:proofErr w:type="spellStart"/>
      <w:r w:rsidRPr="009E6CFC">
        <w:t>SeedNL</w:t>
      </w:r>
      <w:proofErr w:type="spellEnd"/>
      <w:r w:rsidRPr="009E6CFC">
        <w:t>. Under India-Netherlands Seed Partnership, a delegation will visit Naktuinbouw in May. The focus of the visit is PBR and Inspections in the Netherlands. The visit is still being planned so dates are not final yet.</w:t>
      </w:r>
    </w:p>
    <w:p w14:paraId="5BC8F7AA" w14:textId="6C0A3A83" w:rsidR="00796674" w:rsidRPr="009E6CFC" w:rsidRDefault="00796674" w:rsidP="00F43E60">
      <w:pPr>
        <w:numPr>
          <w:ilvl w:val="0"/>
          <w:numId w:val="10"/>
        </w:numPr>
        <w:spacing w:line="240" w:lineRule="atLeast"/>
      </w:pPr>
      <w:r w:rsidRPr="009E6CFC">
        <w:t xml:space="preserve">Together with CPVO a visit to Netherlands </w:t>
      </w:r>
      <w:r w:rsidR="00870800">
        <w:rPr>
          <w:rFonts w:cs="Maiandra GD"/>
          <w:color w:val="000000"/>
          <w:szCs w:val="18"/>
          <w:lang w:eastAsia="nl-NL"/>
        </w:rPr>
        <w:t xml:space="preserve">(Kingdom of the) </w:t>
      </w:r>
      <w:r w:rsidRPr="009E6CFC">
        <w:t>for the Bosnia and Herzegovina will be started (funded by TAIEX).</w:t>
      </w:r>
    </w:p>
    <w:p w14:paraId="51C797B5" w14:textId="77777777" w:rsidR="00A02985" w:rsidRPr="009E6CFC" w:rsidRDefault="00A02985" w:rsidP="00F43E60">
      <w:pPr>
        <w:rPr>
          <w:lang w:eastAsia="nl-NL"/>
        </w:rPr>
      </w:pPr>
    </w:p>
    <w:p w14:paraId="7113CD19" w14:textId="77777777" w:rsidR="00A02985" w:rsidRPr="009E6CFC" w:rsidRDefault="00A02985" w:rsidP="00A02985">
      <w:pPr>
        <w:spacing w:line="240" w:lineRule="atLeast"/>
        <w:rPr>
          <w:rFonts w:cs="Maiandra GD"/>
          <w:color w:val="000000"/>
          <w:szCs w:val="18"/>
          <w:lang w:eastAsia="nl-NL"/>
        </w:rPr>
      </w:pPr>
      <w:r w:rsidRPr="009E6CFC">
        <w:rPr>
          <w:rFonts w:cs="Maiandra GD"/>
          <w:color w:val="000000"/>
          <w:szCs w:val="18"/>
          <w:lang w:eastAsia="nl-NL"/>
        </w:rPr>
        <w:t>PVP Development Program (Toolbox)</w:t>
      </w:r>
    </w:p>
    <w:p w14:paraId="45ECD541" w14:textId="7EEFC184" w:rsidR="00796674" w:rsidRPr="009E6CFC" w:rsidRDefault="00796674" w:rsidP="00796674">
      <w:pPr>
        <w:numPr>
          <w:ilvl w:val="0"/>
          <w:numId w:val="10"/>
        </w:numPr>
        <w:spacing w:line="240" w:lineRule="atLeast"/>
      </w:pPr>
      <w:r w:rsidRPr="009E6CFC">
        <w:t>This tool helps countries develop, improve, and implement their Plant Breeders’ Rights system. In 2024, different PVP projects were carried out in 11 countries and 12 projects were granted in 2025: Argentina, Armenia, Egypt, Ghana, Guat</w:t>
      </w:r>
      <w:r w:rsidR="00BD4958" w:rsidRPr="009E6CFC">
        <w:t>e</w:t>
      </w:r>
      <w:r w:rsidRPr="009E6CFC">
        <w:t>mala, Kazakhstan, Nigeria, Peru, PVP Toolbox Evaluation 2021-24, UPOV PRISMA support, Taiwan</w:t>
      </w:r>
      <w:r w:rsidR="00DD33D4">
        <w:t xml:space="preserve"> Province of China</w:t>
      </w:r>
      <w:r w:rsidRPr="009E6CFC">
        <w:t xml:space="preserve"> and Viet</w:t>
      </w:r>
      <w:r w:rsidR="00870800">
        <w:t xml:space="preserve"> N</w:t>
      </w:r>
      <w:r w:rsidRPr="009E6CFC">
        <w:t>am.</w:t>
      </w:r>
    </w:p>
    <w:p w14:paraId="29BDE8A5" w14:textId="77777777" w:rsidR="00796674" w:rsidRPr="009E6CFC" w:rsidRDefault="00796674" w:rsidP="00796674">
      <w:pPr>
        <w:numPr>
          <w:ilvl w:val="0"/>
          <w:numId w:val="10"/>
        </w:numPr>
        <w:spacing w:line="240" w:lineRule="atLeast"/>
      </w:pPr>
      <w:r w:rsidRPr="009E6CFC">
        <w:t xml:space="preserve">More info: PVP Development Program – PVP Toolbox | Naktuinbouw or contact: </w:t>
      </w:r>
      <w:hyperlink r:id="rId30" w:history="1">
        <w:r w:rsidRPr="009E6CFC">
          <w:rPr>
            <w:rStyle w:val="Hyperlink"/>
          </w:rPr>
          <w:t>PVPToolbox@naktuinbouw.nl</w:t>
        </w:r>
      </w:hyperlink>
    </w:p>
    <w:p w14:paraId="19258E09" w14:textId="77777777" w:rsidR="00A02985" w:rsidRPr="009E6CFC" w:rsidRDefault="00A02985" w:rsidP="00A02985">
      <w:pPr>
        <w:rPr>
          <w:lang w:eastAsia="nl-NL"/>
        </w:rPr>
      </w:pPr>
    </w:p>
    <w:p w14:paraId="50C6B9AC" w14:textId="77777777" w:rsidR="00A02985" w:rsidRPr="009E6CFC" w:rsidRDefault="00A02985" w:rsidP="00A02985">
      <w:pPr>
        <w:spacing w:line="240" w:lineRule="atLeast"/>
        <w:rPr>
          <w:rFonts w:cs="Maiandra GD"/>
          <w:szCs w:val="18"/>
          <w:lang w:eastAsia="nl-NL"/>
        </w:rPr>
      </w:pPr>
      <w:r w:rsidRPr="009E6CFC">
        <w:rPr>
          <w:rFonts w:cs="Maiandra GD"/>
          <w:color w:val="000000"/>
          <w:szCs w:val="18"/>
          <w:lang w:eastAsia="nl-NL"/>
        </w:rPr>
        <w:t xml:space="preserve">Plant Breeders Rights training course. </w:t>
      </w:r>
    </w:p>
    <w:p w14:paraId="7485C6A5" w14:textId="25BB7BF4" w:rsidR="00796674" w:rsidRPr="009E6CFC" w:rsidRDefault="00796674" w:rsidP="00796674">
      <w:pPr>
        <w:numPr>
          <w:ilvl w:val="0"/>
          <w:numId w:val="9"/>
        </w:numPr>
        <w:rPr>
          <w:rFonts w:cs="Arial"/>
          <w:lang w:eastAsia="nl-NL"/>
        </w:rPr>
      </w:pPr>
      <w:r w:rsidRPr="009E6CFC">
        <w:rPr>
          <w:rFonts w:cs="Arial"/>
          <w:lang w:eastAsia="nl-NL"/>
        </w:rPr>
        <w:t>In Jan-March 2025, the training course on Plant Breeders Rights has been presented as an e-course with weekly online plenary sessions where the contents were discussed. This edition was attended by 9 students from Nigeria, Surinam and the Netherlands</w:t>
      </w:r>
      <w:r w:rsidR="00DD33D4">
        <w:rPr>
          <w:rFonts w:cs="Arial"/>
          <w:lang w:eastAsia="nl-NL"/>
        </w:rPr>
        <w:t xml:space="preserve"> </w:t>
      </w:r>
      <w:r w:rsidR="00DD33D4">
        <w:rPr>
          <w:rFonts w:cs="Maiandra GD"/>
          <w:color w:val="000000"/>
          <w:szCs w:val="18"/>
          <w:lang w:eastAsia="nl-NL"/>
        </w:rPr>
        <w:t>(Kingdom of the)</w:t>
      </w:r>
      <w:r w:rsidRPr="009E6CFC">
        <w:rPr>
          <w:rFonts w:cs="Arial"/>
          <w:lang w:eastAsia="nl-NL"/>
        </w:rPr>
        <w:t>.</w:t>
      </w:r>
    </w:p>
    <w:p w14:paraId="4B229171" w14:textId="3DAF92A1" w:rsidR="00796674" w:rsidRPr="009E6CFC" w:rsidRDefault="00796674" w:rsidP="00796674">
      <w:pPr>
        <w:numPr>
          <w:ilvl w:val="0"/>
          <w:numId w:val="9"/>
        </w:numPr>
        <w:rPr>
          <w:rFonts w:cs="Arial"/>
          <w:lang w:eastAsia="nl-NL"/>
        </w:rPr>
      </w:pPr>
      <w:r w:rsidRPr="009E6CFC">
        <w:rPr>
          <w:rFonts w:cs="Arial"/>
          <w:lang w:eastAsia="nl-NL"/>
        </w:rPr>
        <w:t>In the remainder of 2025 and onwards, the course can be followed as an e-learning with tutoring per e-mail. Participants can register and start at any time throughout the year. The study load is around 80-100 h</w:t>
      </w:r>
      <w:r w:rsidR="009E6CFC">
        <w:rPr>
          <w:rFonts w:cs="Arial"/>
          <w:lang w:eastAsia="nl-NL"/>
        </w:rPr>
        <w:t>ou</w:t>
      </w:r>
      <w:r w:rsidRPr="009E6CFC">
        <w:rPr>
          <w:rFonts w:cs="Arial"/>
          <w:lang w:eastAsia="nl-NL"/>
        </w:rPr>
        <w:t>rs, depending on prior knowledge.</w:t>
      </w:r>
    </w:p>
    <w:p w14:paraId="08326C4D" w14:textId="1EAD07B7" w:rsidR="00796674" w:rsidRPr="009E6CFC" w:rsidRDefault="00796674" w:rsidP="00796674">
      <w:pPr>
        <w:numPr>
          <w:ilvl w:val="0"/>
          <w:numId w:val="9"/>
        </w:numPr>
        <w:rPr>
          <w:rFonts w:cs="Arial"/>
          <w:lang w:eastAsia="nl-NL"/>
        </w:rPr>
      </w:pPr>
      <w:r w:rsidRPr="009E6CFC">
        <w:rPr>
          <w:rFonts w:cs="Arial"/>
          <w:lang w:eastAsia="nl-NL"/>
        </w:rPr>
        <w:t xml:space="preserve">A hybrid version of this course (e-learning + </w:t>
      </w:r>
      <w:proofErr w:type="gramStart"/>
      <w:r w:rsidRPr="009E6CFC">
        <w:rPr>
          <w:rFonts w:cs="Arial"/>
          <w:lang w:eastAsia="nl-NL"/>
        </w:rPr>
        <w:t>1 week</w:t>
      </w:r>
      <w:proofErr w:type="gramEnd"/>
      <w:r w:rsidRPr="009E6CFC">
        <w:rPr>
          <w:rFonts w:cs="Arial"/>
          <w:lang w:eastAsia="nl-NL"/>
        </w:rPr>
        <w:t xml:space="preserve"> practical training in the Netherlands</w:t>
      </w:r>
      <w:r w:rsidR="00DD33D4">
        <w:rPr>
          <w:rFonts w:cs="Arial"/>
          <w:lang w:eastAsia="nl-NL"/>
        </w:rPr>
        <w:t xml:space="preserve"> </w:t>
      </w:r>
      <w:r w:rsidR="00DD33D4">
        <w:rPr>
          <w:rFonts w:cs="Maiandra GD"/>
          <w:color w:val="000000"/>
          <w:szCs w:val="18"/>
          <w:lang w:eastAsia="nl-NL"/>
        </w:rPr>
        <w:t>(Kingdom of the)</w:t>
      </w:r>
      <w:r w:rsidRPr="009E6CFC">
        <w:rPr>
          <w:rFonts w:cs="Arial"/>
          <w:lang w:eastAsia="nl-NL"/>
        </w:rPr>
        <w:t>) may be organized in spring 2026, provided there is sufficient interest.</w:t>
      </w:r>
    </w:p>
    <w:p w14:paraId="11718E0F" w14:textId="7238B6C9" w:rsidR="00796674" w:rsidRPr="00DE08FF" w:rsidRDefault="00796674" w:rsidP="00796674">
      <w:pPr>
        <w:numPr>
          <w:ilvl w:val="0"/>
          <w:numId w:val="9"/>
        </w:numPr>
        <w:rPr>
          <w:rFonts w:cs="Arial"/>
          <w:lang w:eastAsia="nl-NL"/>
        </w:rPr>
      </w:pPr>
      <w:r w:rsidRPr="009E6CFC">
        <w:rPr>
          <w:rFonts w:cs="Arial"/>
          <w:lang w:eastAsia="nl-NL"/>
        </w:rPr>
        <w:t xml:space="preserve">More information: </w:t>
      </w:r>
      <w:hyperlink r:id="rId31" w:history="1">
        <w:r w:rsidRPr="009E6CFC">
          <w:rPr>
            <w:rStyle w:val="Hyperlink"/>
            <w:rFonts w:cs="Arial"/>
            <w:lang w:eastAsia="nl-NL"/>
          </w:rPr>
          <w:t>https://www.naktuinbouw.com/knowledge-education/training-courses/plant-breeders-rights-for-food-security-and-economic-development</w:t>
        </w:r>
      </w:hyperlink>
      <w:r w:rsidRPr="009E6CFC">
        <w:rPr>
          <w:rFonts w:cs="Arial"/>
          <w:lang w:eastAsia="nl-NL"/>
        </w:rPr>
        <w:t xml:space="preserve"> or contact </w:t>
      </w:r>
      <w:hyperlink r:id="rId32" w:history="1">
        <w:r w:rsidRPr="009E6CFC">
          <w:rPr>
            <w:rStyle w:val="Hyperlink"/>
            <w:rFonts w:cs="Arial"/>
            <w:lang w:eastAsia="nl-NL"/>
          </w:rPr>
          <w:t>l.pinan.gonzalez@naktuinbouw.nl</w:t>
        </w:r>
      </w:hyperlink>
    </w:p>
    <w:p w14:paraId="6AEA6677" w14:textId="77777777" w:rsidR="00DE08FF" w:rsidRDefault="00DE08FF" w:rsidP="00DE08FF"/>
    <w:p w14:paraId="219A72D5" w14:textId="77777777" w:rsidR="00DE08FF" w:rsidRDefault="00DE08FF" w:rsidP="00DE08FF"/>
    <w:p w14:paraId="13CE027F" w14:textId="77777777" w:rsidR="00DE08FF" w:rsidRDefault="00DE08FF" w:rsidP="00DE08FF"/>
    <w:p w14:paraId="4E842FC0" w14:textId="77F1E298" w:rsidR="00DE08FF" w:rsidRPr="00F43E60" w:rsidRDefault="00DE08FF" w:rsidP="00DE08FF">
      <w:pPr>
        <w:jc w:val="right"/>
        <w:rPr>
          <w:rFonts w:cs="Arial"/>
          <w:lang w:eastAsia="nl-NL"/>
        </w:rPr>
      </w:pPr>
      <w:r>
        <w:t>[Annex V follows]</w:t>
      </w:r>
    </w:p>
    <w:p w14:paraId="05A5A530" w14:textId="77777777" w:rsidR="00EC6CC5" w:rsidRPr="00F43E60" w:rsidRDefault="00EC6CC5" w:rsidP="00EC6CC5">
      <w:pPr>
        <w:rPr>
          <w:lang w:eastAsia="nl-NL"/>
        </w:rPr>
      </w:pPr>
    </w:p>
    <w:p w14:paraId="1F1B5717" w14:textId="77777777" w:rsidR="00DE08FF" w:rsidRDefault="00DE08FF" w:rsidP="00EC6CC5">
      <w:pPr>
        <w:rPr>
          <w:rFonts w:cs="Maiandra GD"/>
          <w:szCs w:val="18"/>
          <w:lang w:eastAsia="nl-NL"/>
        </w:rPr>
        <w:sectPr w:rsidR="00DE08FF" w:rsidSect="005E7466">
          <w:headerReference w:type="default" r:id="rId33"/>
          <w:headerReference w:type="first" r:id="rId34"/>
          <w:pgSz w:w="11907" w:h="16840" w:code="9"/>
          <w:pgMar w:top="510" w:right="1134" w:bottom="1134" w:left="1134" w:header="510" w:footer="680" w:gutter="0"/>
          <w:pgNumType w:start="1"/>
          <w:cols w:space="720"/>
          <w:titlePg/>
        </w:sectPr>
      </w:pPr>
    </w:p>
    <w:p w14:paraId="3EBECF78" w14:textId="77777777" w:rsidR="00EC6CC5" w:rsidRPr="009E6CFC" w:rsidRDefault="00EC6CC5" w:rsidP="00EC6CC5">
      <w:pPr>
        <w:rPr>
          <w:rFonts w:cs="Maiandra GD"/>
          <w:szCs w:val="18"/>
          <w:lang w:eastAsia="nl-NL"/>
        </w:rPr>
      </w:pPr>
    </w:p>
    <w:p w14:paraId="392A0ECD" w14:textId="51BF8612" w:rsidR="00EC6CC5" w:rsidRDefault="00DE08FF" w:rsidP="00DE08FF">
      <w:pPr>
        <w:jc w:val="center"/>
      </w:pPr>
      <w:r>
        <w:t>UNITED KINGDOM</w:t>
      </w:r>
    </w:p>
    <w:p w14:paraId="4E9DC3FC" w14:textId="77777777" w:rsidR="00DE08FF" w:rsidRDefault="00DE08FF" w:rsidP="00EC6CC5"/>
    <w:p w14:paraId="32F1C57D" w14:textId="77777777" w:rsidR="00DE08FF" w:rsidRDefault="00DE08FF" w:rsidP="00EC6CC5"/>
    <w:p w14:paraId="1DEE0DAD" w14:textId="20FB4F81" w:rsidR="00DE08FF" w:rsidRPr="00DE08FF" w:rsidRDefault="00DE08FF" w:rsidP="00DE08FF">
      <w:pPr>
        <w:rPr>
          <w:rFonts w:eastAsia="Calibri"/>
          <w:lang w:val="en-GB" w:eastAsia="en-GB"/>
        </w:rPr>
      </w:pPr>
      <w:r w:rsidRPr="00DE08FF">
        <w:rPr>
          <w:rFonts w:eastAsia="Calibri"/>
          <w:lang w:val="en-GB" w:eastAsia="en-GB"/>
        </w:rPr>
        <w:t>The Plant Variety Rights Office for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is part of the Animal and Plant Health Agency (APHA), an executive agency of the Department for Environment, Food and Rural Affairs (Defra) and its remit is to coordinate the delivery of variety listing and Plant Breeders Rights (PBR) in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Contact details are available on the Gov.UK website: </w:t>
      </w:r>
      <w:hyperlink r:id="rId35" w:anchor="contact-the-plant-variety-rights-office" w:history="1">
        <w:r w:rsidRPr="00DE08FF">
          <w:rPr>
            <w:rFonts w:eastAsia="Calibri"/>
            <w:color w:val="0563C1"/>
            <w:u w:val="single"/>
            <w:lang w:val="en-GB" w:eastAsia="en-GB"/>
          </w:rPr>
          <w:t>UK Variety Listing and PBR</w:t>
        </w:r>
      </w:hyperlink>
      <w:r w:rsidRPr="00DE08FF">
        <w:rPr>
          <w:rFonts w:eastAsia="Calibri"/>
          <w:lang w:val="en-GB" w:eastAsia="en-GB"/>
        </w:rPr>
        <w:t>.</w:t>
      </w:r>
    </w:p>
    <w:p w14:paraId="508F6E01" w14:textId="77777777" w:rsidR="00DE08FF" w:rsidRPr="00DE08FF" w:rsidRDefault="00DE08FF" w:rsidP="00DE08FF">
      <w:pPr>
        <w:rPr>
          <w:rFonts w:eastAsia="Calibri"/>
          <w:lang w:val="en-GB" w:eastAsia="en-GB"/>
        </w:rPr>
      </w:pPr>
    </w:p>
    <w:p w14:paraId="297BF322" w14:textId="390C936A" w:rsidR="00DE08FF" w:rsidRPr="00DE08FF" w:rsidRDefault="00DE08FF" w:rsidP="00DE08FF">
      <w:pPr>
        <w:rPr>
          <w:rFonts w:eastAsia="Calibri"/>
          <w:lang w:val="en-GB" w:eastAsia="en-GB"/>
        </w:rPr>
      </w:pPr>
      <w:r w:rsidRPr="00DE08FF">
        <w:rPr>
          <w:rFonts w:eastAsia="Calibri"/>
          <w:lang w:val="en-GB" w:eastAsia="en-GB"/>
        </w:rPr>
        <w:t>In 2024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received 1123 applications covering PBR and variety listing.  The applications were made up of 443 vegetables, 516 agricultural, 107 ornamentals, and 57 fruit.  Of these, 663 tests were not conducted in the </w:t>
      </w:r>
      <w:r w:rsidR="00807F84" w:rsidRPr="00DE08FF">
        <w:rPr>
          <w:rFonts w:eastAsia="Calibri"/>
          <w:lang w:val="en-GB" w:eastAsia="en-GB"/>
        </w:rPr>
        <w:t>U</w:t>
      </w:r>
      <w:r w:rsidR="00807F84">
        <w:rPr>
          <w:rFonts w:eastAsia="Calibri"/>
          <w:lang w:val="en-GB" w:eastAsia="en-GB"/>
        </w:rPr>
        <w:t xml:space="preserve">nited </w:t>
      </w:r>
      <w:r w:rsidR="00807F84" w:rsidRPr="00DE08FF">
        <w:rPr>
          <w:rFonts w:eastAsia="Calibri"/>
          <w:lang w:val="en-GB" w:eastAsia="en-GB"/>
        </w:rPr>
        <w:t>K</w:t>
      </w:r>
      <w:r w:rsidR="00807F84">
        <w:rPr>
          <w:rFonts w:eastAsia="Calibri"/>
          <w:lang w:val="en-GB" w:eastAsia="en-GB"/>
        </w:rPr>
        <w:t>ingdom</w:t>
      </w:r>
      <w:r w:rsidRPr="00DE08FF">
        <w:rPr>
          <w:rFonts w:eastAsia="Calibri"/>
          <w:lang w:val="en-GB" w:eastAsia="en-GB"/>
        </w:rPr>
        <w:t>, but carried out by UPOV members.</w:t>
      </w:r>
    </w:p>
    <w:p w14:paraId="132B1FDE" w14:textId="77777777" w:rsidR="00DE08FF" w:rsidRPr="00DE08FF" w:rsidRDefault="00DE08FF" w:rsidP="00DE08FF">
      <w:pPr>
        <w:rPr>
          <w:rFonts w:eastAsia="Calibri"/>
          <w:lang w:val="en-GB" w:eastAsia="en-GB"/>
        </w:rPr>
      </w:pPr>
    </w:p>
    <w:p w14:paraId="78724A2F" w14:textId="4D85675A" w:rsidR="00DE08FF" w:rsidRPr="00DE08FF" w:rsidRDefault="00DE08FF" w:rsidP="00DE08FF">
      <w:pPr>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will be implementing a customised version of the UPOV e-PVP administration module and DUS exchange module in 2025. This will further complement the use of UPOV PRISMA as the compulsory application pathway for PBR and variety listing in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w:t>
      </w:r>
    </w:p>
    <w:p w14:paraId="5394D24D" w14:textId="77777777" w:rsidR="00DE08FF" w:rsidRPr="00DE08FF" w:rsidRDefault="00DE08FF" w:rsidP="00DE08FF">
      <w:pPr>
        <w:rPr>
          <w:rFonts w:eastAsia="Calibri"/>
          <w:lang w:val="en-GB" w:eastAsia="en-GB"/>
        </w:rPr>
      </w:pPr>
    </w:p>
    <w:p w14:paraId="0F54BD1A" w14:textId="7AE0C5C7" w:rsidR="00DE08FF" w:rsidRPr="00DE08FF" w:rsidRDefault="00DE08FF" w:rsidP="00DE08FF">
      <w:pPr>
        <w:rPr>
          <w:rFonts w:eastAsia="Calibri"/>
          <w:lang w:val="en-GB" w:eastAsia="en-GB"/>
        </w:rPr>
      </w:pPr>
      <w:bookmarkStart w:id="14" w:name="_Hlk163564042"/>
      <w:r w:rsidRPr="00DE08FF">
        <w:rPr>
          <w:rFonts w:eastAsia="Calibri"/>
          <w:lang w:val="en-GB" w:eastAsia="en-GB"/>
        </w:rPr>
        <w:t>DUS testing in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is conducted at </w:t>
      </w:r>
      <w:proofErr w:type="spellStart"/>
      <w:r w:rsidRPr="00DE08FF">
        <w:rPr>
          <w:rFonts w:eastAsia="Calibri"/>
          <w:lang w:val="en-GB" w:eastAsia="en-GB"/>
        </w:rPr>
        <w:t>Niab</w:t>
      </w:r>
      <w:proofErr w:type="spellEnd"/>
      <w:r w:rsidRPr="00DE08FF">
        <w:rPr>
          <w:rFonts w:eastAsia="Calibri"/>
          <w:lang w:val="en-GB" w:eastAsia="en-GB"/>
        </w:rPr>
        <w:t xml:space="preserve"> (</w:t>
      </w:r>
      <w:hyperlink r:id="rId36">
        <w:r w:rsidRPr="00DE08FF">
          <w:rPr>
            <w:rFonts w:eastAsia="Calibri"/>
            <w:color w:val="0563C1"/>
            <w:u w:val="single"/>
            <w:lang w:val="en-GB" w:eastAsia="en-GB"/>
          </w:rPr>
          <w:t>www.Niab.com</w:t>
        </w:r>
      </w:hyperlink>
      <w:r w:rsidRPr="00DE08FF">
        <w:rPr>
          <w:rFonts w:eastAsia="Calibri"/>
          <w:lang w:val="en-GB" w:eastAsia="en-GB"/>
        </w:rPr>
        <w:t>), AFBI (</w:t>
      </w:r>
      <w:hyperlink r:id="rId37">
        <w:r w:rsidRPr="00DE08FF">
          <w:rPr>
            <w:rFonts w:eastAsia="Calibri"/>
            <w:color w:val="0563C1"/>
            <w:u w:val="single"/>
            <w:lang w:val="en-GB" w:eastAsia="en-GB"/>
          </w:rPr>
          <w:t>www.afbini.gov.uk</w:t>
        </w:r>
      </w:hyperlink>
      <w:r w:rsidRPr="00DE08FF">
        <w:rPr>
          <w:rFonts w:eastAsia="Calibri"/>
          <w:lang w:val="en-GB" w:eastAsia="en-GB"/>
        </w:rPr>
        <w:t>), and SASA (</w:t>
      </w:r>
      <w:hyperlink r:id="rId38">
        <w:r w:rsidRPr="00DE08FF">
          <w:rPr>
            <w:rFonts w:eastAsia="Calibri"/>
            <w:color w:val="0563C1"/>
            <w:u w:val="single"/>
            <w:lang w:val="en-GB" w:eastAsia="en-GB"/>
          </w:rPr>
          <w:t>www.sasa.gov.uk</w:t>
        </w:r>
      </w:hyperlink>
      <w:r w:rsidRPr="00DE08FF">
        <w:rPr>
          <w:rFonts w:eastAsia="Calibri"/>
          <w:lang w:val="en-GB" w:eastAsia="en-GB"/>
        </w:rPr>
        <w:t xml:space="preserve">).  </w:t>
      </w:r>
      <w:proofErr w:type="spellStart"/>
      <w:r w:rsidRPr="00DE08FF">
        <w:rPr>
          <w:rFonts w:eastAsia="Calibri"/>
          <w:lang w:val="en-GB" w:eastAsia="en-GB"/>
        </w:rPr>
        <w:t>Niab</w:t>
      </w:r>
      <w:proofErr w:type="spellEnd"/>
      <w:r w:rsidRPr="00DE08FF">
        <w:rPr>
          <w:rFonts w:eastAsia="Calibri"/>
          <w:lang w:val="en-GB" w:eastAsia="en-GB"/>
        </w:rPr>
        <w:t xml:space="preserve"> carry out the testing of wheat (winter and spring), Barley (winter and spring), Oats (winter and spring), Oilseed Rape (winter), Sugar Beet, Field Beans (winter and spring), Fodder Kale, and ornamental plants which include Chrysanthemum, Rose and a range of species of shrubs and herbaceous perennials.  AFBI perform DUS testing of perennial ryegrass, Italian ryegrass, hybrid ryegrass and white clover.  SASA conduct the DUS testing for potatoes, field pea, swede, turnip rape and vegetable peas. </w:t>
      </w:r>
    </w:p>
    <w:bookmarkEnd w:id="14"/>
    <w:p w14:paraId="40E73BDA" w14:textId="77777777" w:rsidR="00DE08FF" w:rsidRPr="00DE08FF" w:rsidRDefault="00DE08FF" w:rsidP="00DE08FF">
      <w:pPr>
        <w:rPr>
          <w:lang w:val="en-GB" w:eastAsia="en-GB"/>
        </w:rPr>
      </w:pPr>
    </w:p>
    <w:p w14:paraId="01EFF6E3" w14:textId="4D3478DD" w:rsidR="00DE08FF" w:rsidRPr="00DE08FF" w:rsidRDefault="00DE08FF" w:rsidP="00DE08FF">
      <w:pPr>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authorities are working together to develop a United Kingdom Plant Variety and Seeds (PVS) Strategy spanning PBR, plant variety listing, and setting standards for marketing and certification of seed and other plant propagating material, anticipated to launch in early 2026.  This will be the first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PVS strategy, and its development is an opportunity to engage with industry and other stakeholders to set out a shared vision, priorities, and actions to achieve these. </w:t>
      </w:r>
    </w:p>
    <w:p w14:paraId="6DDF0A06" w14:textId="5A329C31" w:rsidR="00DE08FF" w:rsidRPr="00DE08FF" w:rsidRDefault="00DE08FF" w:rsidP="00DE08FF">
      <w:pPr>
        <w:rPr>
          <w:lang w:val="en-GB" w:eastAsia="en-GB"/>
        </w:rPr>
      </w:pPr>
    </w:p>
    <w:p w14:paraId="209084CA" w14:textId="77777777" w:rsidR="00DE08FF" w:rsidRPr="00DE08FF" w:rsidRDefault="00DE08FF" w:rsidP="00DE08FF">
      <w:pPr>
        <w:rPr>
          <w:lang w:val="en-GB" w:eastAsia="en-GB"/>
        </w:rPr>
      </w:pPr>
      <w:r w:rsidRPr="00DE08FF">
        <w:rPr>
          <w:lang w:val="en-GB" w:eastAsia="en-GB"/>
        </w:rPr>
        <w:t xml:space="preserve">England is continuing work to implement the Genetic Technology (Precision Breeding) Act 2023 through the introduction of secondary legislation and consultation with industry.  Furthermore, the DUS test centres are working with policy officials to ensure England has the capability to undertake DUS and VCU testing of precision bred plant varieties.  The Act removes precision bred plants from regulatory requirements applicable to Genetically Modified Organisms in England.  </w:t>
      </w:r>
    </w:p>
    <w:p w14:paraId="6343067B" w14:textId="60C90B95" w:rsidR="00DE08FF" w:rsidRPr="00DE08FF" w:rsidRDefault="00DE08FF" w:rsidP="00DE08FF">
      <w:pPr>
        <w:rPr>
          <w:lang w:val="en-GB" w:eastAsia="en-GB"/>
        </w:rPr>
      </w:pPr>
    </w:p>
    <w:p w14:paraId="1D5C995E" w14:textId="032D38FC" w:rsidR="00DE08FF" w:rsidRPr="00DE08FF" w:rsidRDefault="00DE08FF" w:rsidP="00DE08FF">
      <w:pPr>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and Japan signed a Memorandum of Cooperation on the examination of plant varieties for the purpose of PBR.  The </w:t>
      </w:r>
      <w:proofErr w:type="spellStart"/>
      <w:r w:rsidRPr="00DE08FF">
        <w:rPr>
          <w:lang w:val="en-GB" w:eastAsia="en-GB"/>
        </w:rPr>
        <w:t>MoC</w:t>
      </w:r>
      <w:proofErr w:type="spellEnd"/>
      <w:r w:rsidRPr="00DE08FF">
        <w:rPr>
          <w:lang w:val="en-GB" w:eastAsia="en-GB"/>
        </w:rPr>
        <w:t xml:space="preserve"> covers the exchange of examination reports for the granting of PBR and formalises current working practices between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and Japan, and came into operation on the </w:t>
      </w:r>
      <w:proofErr w:type="gramStart"/>
      <w:r w:rsidRPr="00DE08FF">
        <w:rPr>
          <w:lang w:val="en-GB" w:eastAsia="en-GB"/>
        </w:rPr>
        <w:t>14</w:t>
      </w:r>
      <w:r w:rsidRPr="00DE08FF">
        <w:rPr>
          <w:vertAlign w:val="superscript"/>
          <w:lang w:val="en-GB" w:eastAsia="en-GB"/>
        </w:rPr>
        <w:t>th</w:t>
      </w:r>
      <w:proofErr w:type="gramEnd"/>
      <w:r w:rsidRPr="00DE08FF">
        <w:rPr>
          <w:lang w:val="en-GB" w:eastAsia="en-GB"/>
        </w:rPr>
        <w:t xml:space="preserve"> February 2025.  </w:t>
      </w:r>
    </w:p>
    <w:p w14:paraId="04746838" w14:textId="0225F9B1" w:rsidR="00DE08FF" w:rsidRPr="00DE08FF" w:rsidRDefault="00DE08FF" w:rsidP="00DE08FF">
      <w:pPr>
        <w:rPr>
          <w:lang w:val="en-GB" w:eastAsia="en-GB"/>
        </w:rPr>
      </w:pPr>
    </w:p>
    <w:p w14:paraId="00CEE13F" w14:textId="76DEF724" w:rsidR="00DE08FF" w:rsidRPr="00DE08FF" w:rsidRDefault="00DE08FF" w:rsidP="00DE08FF">
      <w:pPr>
        <w:rPr>
          <w:rFonts w:eastAsia="Calibri"/>
          <w:lang w:val="en-GB" w:eastAsia="en-GB"/>
        </w:rPr>
      </w:pPr>
      <w:r w:rsidRPr="00DE08FF">
        <w:rPr>
          <w:rFonts w:eastAsia="Calibri"/>
          <w:lang w:val="en-GB" w:eastAsia="en-GB"/>
        </w:rPr>
        <w:t>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continues to support the UPOV distance learning courses by providing tutors.  Technical and administrative staff at our test centres take advantage of the distance learning opportunities through DL205 and DL305.  </w:t>
      </w:r>
    </w:p>
    <w:p w14:paraId="1BA3EA82" w14:textId="77777777" w:rsidR="00DE08FF" w:rsidRPr="00DE08FF" w:rsidRDefault="00DE08FF" w:rsidP="00DE08FF">
      <w:pPr>
        <w:rPr>
          <w:rFonts w:eastAsia="Calibri"/>
          <w:lang w:val="en-GB" w:eastAsia="en-GB"/>
        </w:rPr>
      </w:pPr>
    </w:p>
    <w:p w14:paraId="09D3AA0F" w14:textId="7FB9D77F" w:rsidR="00DE08FF" w:rsidRPr="00DE08FF" w:rsidRDefault="00DE08FF" w:rsidP="00DE08FF">
      <w:pPr>
        <w:rPr>
          <w:rFonts w:eastAsia="Calibri"/>
          <w:lang w:val="en-GB" w:eastAsia="en-GB"/>
        </w:rPr>
      </w:pPr>
      <w:r w:rsidRPr="00DE08FF">
        <w:rPr>
          <w:rFonts w:eastAsia="Calibri"/>
          <w:lang w:val="en-GB" w:eastAsia="en-GB"/>
        </w:rPr>
        <w:t>Colleagues across the U</w:t>
      </w:r>
      <w:r>
        <w:rPr>
          <w:rFonts w:eastAsia="Calibri"/>
          <w:lang w:val="en-GB" w:eastAsia="en-GB"/>
        </w:rPr>
        <w:t xml:space="preserve">nited </w:t>
      </w:r>
      <w:r w:rsidRPr="00DE08FF">
        <w:rPr>
          <w:rFonts w:eastAsia="Calibri"/>
          <w:lang w:val="en-GB" w:eastAsia="en-GB"/>
        </w:rPr>
        <w:t>K</w:t>
      </w:r>
      <w:r>
        <w:rPr>
          <w:rFonts w:eastAsia="Calibri"/>
          <w:lang w:val="en-GB" w:eastAsia="en-GB"/>
        </w:rPr>
        <w:t>ingdom</w:t>
      </w:r>
      <w:r w:rsidRPr="00DE08FF">
        <w:rPr>
          <w:rFonts w:eastAsia="Calibri"/>
          <w:lang w:val="en-GB" w:eastAsia="en-GB"/>
        </w:rPr>
        <w:t xml:space="preserve"> have also benefitted from attending the two recent UPOV technical webinars. Hilary Papworth (</w:t>
      </w:r>
      <w:proofErr w:type="spellStart"/>
      <w:r w:rsidRPr="00DE08FF">
        <w:rPr>
          <w:rFonts w:eastAsia="Calibri"/>
          <w:lang w:val="en-GB" w:eastAsia="en-GB"/>
        </w:rPr>
        <w:t>Niab</w:t>
      </w:r>
      <w:proofErr w:type="spellEnd"/>
      <w:r w:rsidRPr="00DE08FF">
        <w:rPr>
          <w:rFonts w:eastAsia="Calibri"/>
          <w:lang w:val="en-GB" w:eastAsia="en-GB"/>
        </w:rPr>
        <w:t xml:space="preserve">) presented in the first webinar </w:t>
      </w:r>
      <w:proofErr w:type="gramStart"/>
      <w:r w:rsidRPr="00DE08FF">
        <w:rPr>
          <w:rFonts w:eastAsia="Calibri"/>
          <w:lang w:val="en-GB" w:eastAsia="en-GB"/>
        </w:rPr>
        <w:t>on the subject of developing</w:t>
      </w:r>
      <w:proofErr w:type="gramEnd"/>
      <w:r w:rsidRPr="00DE08FF">
        <w:rPr>
          <w:rFonts w:eastAsia="Calibri"/>
          <w:lang w:val="en-GB" w:eastAsia="en-GB"/>
        </w:rPr>
        <w:t xml:space="preserve"> National Test Guidelines in the absence of a UPOV Test Guideline.</w:t>
      </w:r>
    </w:p>
    <w:p w14:paraId="182FBF6B" w14:textId="77777777" w:rsidR="00DE08FF" w:rsidRPr="00DE08FF" w:rsidRDefault="00DE08FF" w:rsidP="00DE08FF">
      <w:pPr>
        <w:rPr>
          <w:rFonts w:eastAsia="Calibri"/>
          <w:lang w:val="en-GB" w:eastAsia="en-GB"/>
        </w:rPr>
      </w:pPr>
    </w:p>
    <w:p w14:paraId="7ACF27A9" w14:textId="77777777" w:rsidR="00DE08FF" w:rsidRPr="00DE08FF" w:rsidRDefault="00DE08FF" w:rsidP="00DE08FF">
      <w:pPr>
        <w:rPr>
          <w:rFonts w:eastAsia="Calibri"/>
          <w:lang w:val="en-GB" w:eastAsia="en-GB"/>
        </w:rPr>
      </w:pPr>
      <w:r w:rsidRPr="00DE08FF">
        <w:rPr>
          <w:rFonts w:eastAsia="Calibri"/>
          <w:lang w:val="en-GB" w:eastAsia="en-GB"/>
        </w:rPr>
        <w:t>Hilary Papworth continues in her role as the Chair of the UPOV Technical Working Party for Ornamental Plants and Forest Trees (TWO). As does Margaret Wallace (</w:t>
      </w:r>
      <w:proofErr w:type="spellStart"/>
      <w:r w:rsidRPr="00DE08FF">
        <w:rPr>
          <w:rFonts w:eastAsia="Calibri"/>
          <w:lang w:val="en-GB" w:eastAsia="en-GB"/>
        </w:rPr>
        <w:t>Niab</w:t>
      </w:r>
      <w:proofErr w:type="spellEnd"/>
      <w:r w:rsidRPr="00DE08FF">
        <w:rPr>
          <w:rFonts w:eastAsia="Calibri"/>
          <w:lang w:val="en-GB" w:eastAsia="en-GB"/>
        </w:rPr>
        <w:t>) in her role co-ordinating a sub-group of the Technical Committee focussing on issues relating to Test Guidelines and the TG-Template.</w:t>
      </w:r>
    </w:p>
    <w:p w14:paraId="78317CA5" w14:textId="77777777" w:rsidR="00DE08FF" w:rsidRPr="00DE08FF" w:rsidRDefault="00DE08FF" w:rsidP="00DE08FF">
      <w:pPr>
        <w:rPr>
          <w:rFonts w:eastAsia="Calibri"/>
          <w:lang w:val="en-GB" w:eastAsia="en-GB"/>
        </w:rPr>
      </w:pPr>
    </w:p>
    <w:p w14:paraId="1D87C8B2" w14:textId="799F188C" w:rsidR="00DE08FF" w:rsidRPr="00DE08FF" w:rsidRDefault="00DE08FF" w:rsidP="00DE08FF">
      <w:pPr>
        <w:rPr>
          <w:lang w:val="en-GB" w:eastAsia="en-GB"/>
        </w:rPr>
      </w:pPr>
      <w:r w:rsidRPr="00DE08FF">
        <w:rPr>
          <w:lang w:val="en-GB" w:eastAsia="en-GB"/>
        </w:rPr>
        <w:t xml:space="preserve">To meet the challenges of climate change, the rapid development of new plant varieties for our farmers and growers should be encouraged and facilitated.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is actively driving the implementation of new techniques to DUS testing through several collaborative or internal projects:  </w:t>
      </w:r>
    </w:p>
    <w:p w14:paraId="7D2B06CA" w14:textId="77777777" w:rsidR="00DE08FF" w:rsidRPr="00DE08FF" w:rsidRDefault="00DE08FF" w:rsidP="00DE08FF">
      <w:pPr>
        <w:rPr>
          <w:lang w:val="en-GB" w:eastAsia="en-GB"/>
        </w:rPr>
      </w:pPr>
    </w:p>
    <w:p w14:paraId="76B06113" w14:textId="79B3F5D6" w:rsidR="00DE08FF" w:rsidRPr="00DE08FF" w:rsidRDefault="00DE08FF" w:rsidP="00DE08FF">
      <w:pPr>
        <w:pStyle w:val="ListParagraph"/>
        <w:numPr>
          <w:ilvl w:val="0"/>
          <w:numId w:val="26"/>
        </w:numPr>
        <w:ind w:left="0" w:firstLine="0"/>
        <w:rPr>
          <w:lang w:val="en-GB" w:eastAsia="en-GB"/>
        </w:rPr>
      </w:pPr>
      <w:r w:rsidRPr="00DE08FF">
        <w:rPr>
          <w:lang w:val="en-GB" w:eastAsia="en-GB"/>
        </w:rPr>
        <w:t xml:space="preserve">The </w:t>
      </w:r>
      <w:r w:rsidRPr="00DE08FF">
        <w:rPr>
          <w:rFonts w:eastAsia="Calibri" w:cs="Calibri"/>
          <w:lang w:val="en-GB" w:eastAsia="en-GB"/>
        </w:rPr>
        <w:t>United Kingdom</w:t>
      </w:r>
      <w:r w:rsidRPr="00DE08FF">
        <w:rPr>
          <w:lang w:val="en-GB" w:eastAsia="en-GB"/>
        </w:rPr>
        <w:t xml:space="preserve"> has been active partners in the European-funded </w:t>
      </w:r>
      <w:hyperlink r:id="rId39">
        <w:r w:rsidRPr="00DE08FF">
          <w:rPr>
            <w:color w:val="0563C1"/>
            <w:u w:val="single"/>
            <w:lang w:val="en-GB" w:eastAsia="en-GB"/>
          </w:rPr>
          <w:t>INVITE</w:t>
        </w:r>
      </w:hyperlink>
      <w:r w:rsidRPr="00DE08FF">
        <w:rPr>
          <w:lang w:val="en-GB" w:eastAsia="en-GB"/>
        </w:rPr>
        <w:t xml:space="preserve"> ((</w:t>
      </w:r>
      <w:proofErr w:type="spellStart"/>
      <w:r w:rsidRPr="00DE08FF">
        <w:rPr>
          <w:lang w:val="en-GB" w:eastAsia="en-GB"/>
        </w:rPr>
        <w:t>Niab</w:t>
      </w:r>
      <w:proofErr w:type="spellEnd"/>
      <w:r w:rsidRPr="00DE08FF">
        <w:rPr>
          <w:lang w:val="en-GB" w:eastAsia="en-GB"/>
        </w:rPr>
        <w:t xml:space="preserve">, SASA and BioSS (Biomathematics and Statistics Scotland)) project, which finished in December 2024. As part of this, innovations have been produced in how genetic markers might be used in DUS. </w:t>
      </w:r>
      <w:proofErr w:type="gramStart"/>
      <w:r w:rsidRPr="00DE08FF">
        <w:rPr>
          <w:lang w:val="en-GB" w:eastAsia="en-GB"/>
        </w:rPr>
        <w:t>In particular, at</w:t>
      </w:r>
      <w:proofErr w:type="gramEnd"/>
      <w:r w:rsidRPr="00DE08FF">
        <w:rPr>
          <w:lang w:val="en-GB" w:eastAsia="en-GB"/>
        </w:rPr>
        <w:t xml:space="preserve"> the TWM, there will be a presentation on a new method for trial management using genomic prediction, demonstrated on wheat. There will also be a presentation on an enhanced version of COYD for distinctness assessment in </w:t>
      </w:r>
      <w:r w:rsidRPr="00DE08FF">
        <w:rPr>
          <w:lang w:val="en-GB" w:eastAsia="en-GB"/>
        </w:rPr>
        <w:lastRenderedPageBreak/>
        <w:t>cross-pollinated crops. This embeds information on genetic similarity of varieties into the COYD analysis, giving more precise estimates of variety means. Finally, the method for assessing uniformity in cross-pollinated crops with genetic markers, which was presented at the TWM last year, was presented at the OECD Seed Schemes TWG in January 2025 as an approach for varietal purity.</w:t>
      </w:r>
    </w:p>
    <w:p w14:paraId="6789131B" w14:textId="77777777" w:rsidR="00DE08FF" w:rsidRPr="00DE08FF" w:rsidRDefault="00DE08FF" w:rsidP="00DE08FF">
      <w:pPr>
        <w:rPr>
          <w:lang w:val="en-GB" w:eastAsia="en-GB"/>
        </w:rPr>
      </w:pPr>
    </w:p>
    <w:p w14:paraId="10AEE0BB" w14:textId="7699F8DE" w:rsidR="00DE08FF" w:rsidRPr="00DE08FF" w:rsidRDefault="00DE08FF" w:rsidP="00DE08FF">
      <w:pPr>
        <w:pStyle w:val="ListParagraph"/>
        <w:numPr>
          <w:ilvl w:val="0"/>
          <w:numId w:val="26"/>
        </w:numPr>
        <w:ind w:left="0" w:firstLine="0"/>
        <w:rPr>
          <w:rFonts w:ascii="Aptos" w:hAnsi="Aptos" w:cs="Aptos"/>
          <w:lang w:val="en-GB" w:eastAsia="en-GB"/>
        </w:rPr>
      </w:pPr>
      <w:r w:rsidRPr="00DE08FF">
        <w:rPr>
          <w:lang w:val="en-GB" w:eastAsia="en-GB"/>
        </w:rPr>
        <w:t xml:space="preserve">The Agri-Food and Biosciences (AFBI) in Northern Ireland are coordinators of the 5-year Horizon 2020 (SFS-29-2018) </w:t>
      </w:r>
      <w:hyperlink r:id="rId40" w:history="1">
        <w:proofErr w:type="spellStart"/>
        <w:r w:rsidRPr="00DE08FF">
          <w:rPr>
            <w:color w:val="0563C1"/>
            <w:u w:val="single"/>
            <w:lang w:val="en-GB" w:eastAsia="en-GB"/>
          </w:rPr>
          <w:t>InnoVar</w:t>
        </w:r>
        <w:proofErr w:type="spellEnd"/>
      </w:hyperlink>
      <w:r w:rsidRPr="00DE08FF">
        <w:rPr>
          <w:lang w:val="en-GB" w:eastAsia="en-GB"/>
        </w:rPr>
        <w:t xml:space="preserve"> project.  </w:t>
      </w:r>
      <w:proofErr w:type="spellStart"/>
      <w:r w:rsidRPr="00DE08FF">
        <w:rPr>
          <w:lang w:val="en-GB" w:eastAsia="en-GB"/>
        </w:rPr>
        <w:t>InnoVar</w:t>
      </w:r>
      <w:proofErr w:type="spellEnd"/>
      <w:r w:rsidRPr="00DE08FF">
        <w:rPr>
          <w:lang w:val="en-GB" w:eastAsia="en-GB"/>
        </w:rPr>
        <w:t xml:space="preserve"> aims to augment and improve the efficacy and accuracy of European crop variety testing and decision-making, using an integrated approach incorporating genomics, phenomics and machine learning. Data from our European-wide trial series will form the basis of a new, purpose built, variety recommendation tools.  The project focuses on bread and durum wheat initially before applying the </w:t>
      </w:r>
      <w:proofErr w:type="spellStart"/>
      <w:r w:rsidRPr="00DE08FF">
        <w:rPr>
          <w:lang w:val="en-GB" w:eastAsia="en-GB"/>
        </w:rPr>
        <w:t>InnoVar</w:t>
      </w:r>
      <w:proofErr w:type="spellEnd"/>
      <w:r w:rsidRPr="00DE08FF">
        <w:rPr>
          <w:lang w:val="en-GB" w:eastAsia="en-GB"/>
        </w:rPr>
        <w:t xml:space="preserve"> approach to other crops.  The project’s consortium includes 21 partners across Europe, including </w:t>
      </w:r>
      <w:r w:rsidR="00807F84" w:rsidRPr="00DE08FF">
        <w:rPr>
          <w:rFonts w:eastAsia="Calibri"/>
          <w:lang w:val="en-GB" w:eastAsia="en-GB"/>
        </w:rPr>
        <w:t>U</w:t>
      </w:r>
      <w:r w:rsidR="00807F84">
        <w:rPr>
          <w:rFonts w:eastAsia="Calibri"/>
          <w:lang w:val="en-GB" w:eastAsia="en-GB"/>
        </w:rPr>
        <w:t xml:space="preserve">nited </w:t>
      </w:r>
      <w:r w:rsidR="00807F84" w:rsidRPr="00DE08FF">
        <w:rPr>
          <w:rFonts w:eastAsia="Calibri"/>
          <w:lang w:val="en-GB" w:eastAsia="en-GB"/>
        </w:rPr>
        <w:t>K</w:t>
      </w:r>
      <w:r w:rsidR="00807F84">
        <w:rPr>
          <w:rFonts w:eastAsia="Calibri"/>
          <w:lang w:val="en-GB" w:eastAsia="en-GB"/>
        </w:rPr>
        <w:t>ingdom</w:t>
      </w:r>
      <w:r w:rsidR="00807F84" w:rsidRPr="00DE08FF">
        <w:rPr>
          <w:rFonts w:eastAsia="Calibri"/>
          <w:lang w:val="en-GB" w:eastAsia="en-GB"/>
        </w:rPr>
        <w:t xml:space="preserve"> </w:t>
      </w:r>
      <w:r w:rsidRPr="00DE08FF">
        <w:rPr>
          <w:lang w:val="en-GB" w:eastAsia="en-GB"/>
        </w:rPr>
        <w:t xml:space="preserve">partners ADAS, AHDB and APHA.  </w:t>
      </w:r>
      <w:r w:rsidRPr="00DE08FF">
        <w:rPr>
          <w:lang w:eastAsia="en-GB"/>
        </w:rPr>
        <w:t xml:space="preserve">Key achievements include: </w:t>
      </w:r>
    </w:p>
    <w:p w14:paraId="001B70FC" w14:textId="77777777" w:rsidR="00DE08FF" w:rsidRPr="00DE08FF" w:rsidRDefault="00DE08FF" w:rsidP="00DE08FF">
      <w:pPr>
        <w:rPr>
          <w:lang w:val="en-GB" w:eastAsia="en-GB"/>
        </w:rPr>
      </w:pPr>
    </w:p>
    <w:p w14:paraId="1FF02B52" w14:textId="77777777" w:rsidR="00DE08FF" w:rsidRPr="00DE08FF" w:rsidRDefault="00DE08FF" w:rsidP="00DE08FF">
      <w:pPr>
        <w:numPr>
          <w:ilvl w:val="1"/>
          <w:numId w:val="25"/>
        </w:numPr>
        <w:spacing w:after="160" w:line="252" w:lineRule="auto"/>
        <w:ind w:left="567" w:firstLine="0"/>
        <w:contextualSpacing/>
        <w:jc w:val="left"/>
        <w:rPr>
          <w:rFonts w:cs="Arial"/>
          <w:lang w:val="en-GB" w:eastAsia="en-GB"/>
        </w:rPr>
      </w:pPr>
      <w:r w:rsidRPr="00DE08FF">
        <w:rPr>
          <w:rFonts w:cs="Arial"/>
          <w:lang w:eastAsia="en-GB"/>
        </w:rPr>
        <w:t xml:space="preserve">Development of tools that demonstrate ways to improve the efficiency of plant testing practices </w:t>
      </w:r>
      <w:proofErr w:type="spellStart"/>
      <w:r w:rsidRPr="00DE08FF">
        <w:rPr>
          <w:rFonts w:cs="Arial"/>
          <w:lang w:eastAsia="en-GB"/>
        </w:rPr>
        <w:t>utilising</w:t>
      </w:r>
      <w:proofErr w:type="spellEnd"/>
      <w:r w:rsidRPr="00DE08FF">
        <w:rPr>
          <w:rFonts w:cs="Arial"/>
          <w:lang w:eastAsia="en-GB"/>
        </w:rPr>
        <w:t xml:space="preserve"> phenomics, genomics and machine learning. </w:t>
      </w:r>
    </w:p>
    <w:p w14:paraId="5BBAA3E8" w14:textId="77777777" w:rsidR="00DE08FF" w:rsidRPr="00DE08FF" w:rsidRDefault="00DE08FF" w:rsidP="00DE08FF">
      <w:pPr>
        <w:numPr>
          <w:ilvl w:val="1"/>
          <w:numId w:val="25"/>
        </w:numPr>
        <w:spacing w:after="160" w:line="252" w:lineRule="auto"/>
        <w:ind w:left="567" w:firstLine="0"/>
        <w:contextualSpacing/>
        <w:jc w:val="left"/>
        <w:rPr>
          <w:rFonts w:cs="Arial"/>
          <w:lang w:val="en-GB" w:eastAsia="en-GB"/>
        </w:rPr>
      </w:pPr>
      <w:r w:rsidRPr="00DE08FF">
        <w:rPr>
          <w:rFonts w:cs="Arial"/>
          <w:lang w:eastAsia="en-GB"/>
        </w:rPr>
        <w:t xml:space="preserve">Demonstration of a template for </w:t>
      </w:r>
      <w:proofErr w:type="spellStart"/>
      <w:r w:rsidRPr="00DE08FF">
        <w:rPr>
          <w:rFonts w:cs="Arial"/>
          <w:lang w:eastAsia="en-GB"/>
        </w:rPr>
        <w:t>harmonised</w:t>
      </w:r>
      <w:proofErr w:type="spellEnd"/>
      <w:r w:rsidRPr="00DE08FF">
        <w:rPr>
          <w:rFonts w:cs="Arial"/>
          <w:lang w:eastAsia="en-GB"/>
        </w:rPr>
        <w:t xml:space="preserve"> VCU protocols across Europe and beyond. </w:t>
      </w:r>
    </w:p>
    <w:p w14:paraId="222EE130" w14:textId="77777777" w:rsidR="00DE08FF" w:rsidRPr="00DE08FF" w:rsidRDefault="00DE08FF" w:rsidP="00DE08FF">
      <w:pPr>
        <w:numPr>
          <w:ilvl w:val="1"/>
          <w:numId w:val="25"/>
        </w:numPr>
        <w:spacing w:after="160" w:line="252" w:lineRule="auto"/>
        <w:ind w:left="567" w:firstLine="0"/>
        <w:contextualSpacing/>
        <w:jc w:val="left"/>
        <w:rPr>
          <w:rFonts w:cs="Arial"/>
          <w:lang w:val="en-GB" w:eastAsia="en-GB"/>
        </w:rPr>
      </w:pPr>
      <w:r w:rsidRPr="00DE08FF">
        <w:rPr>
          <w:rFonts w:cs="Arial"/>
          <w:lang w:eastAsia="en-GB"/>
        </w:rPr>
        <w:t xml:space="preserve">Provide a template for introducing measures of sustainability and resilience into performance testing. </w:t>
      </w:r>
    </w:p>
    <w:p w14:paraId="7B81A31C" w14:textId="77777777" w:rsidR="00DE08FF" w:rsidRPr="00DE08FF" w:rsidRDefault="00DE08FF" w:rsidP="00DE08FF">
      <w:pPr>
        <w:numPr>
          <w:ilvl w:val="1"/>
          <w:numId w:val="25"/>
        </w:numPr>
        <w:spacing w:after="160" w:line="252" w:lineRule="auto"/>
        <w:ind w:left="567" w:firstLine="0"/>
        <w:contextualSpacing/>
        <w:jc w:val="left"/>
        <w:rPr>
          <w:rFonts w:cs="Arial"/>
          <w:lang w:val="en-GB" w:eastAsia="en-GB"/>
        </w:rPr>
      </w:pPr>
      <w:r w:rsidRPr="00DE08FF">
        <w:rPr>
          <w:rFonts w:cs="Arial"/>
          <w:lang w:eastAsia="en-GB"/>
        </w:rPr>
        <w:t xml:space="preserve">Provided a roadmap for transferring the </w:t>
      </w:r>
      <w:proofErr w:type="spellStart"/>
      <w:r w:rsidRPr="00DE08FF">
        <w:rPr>
          <w:rFonts w:cs="Arial"/>
          <w:lang w:eastAsia="en-GB"/>
        </w:rPr>
        <w:t>InnoVar</w:t>
      </w:r>
      <w:proofErr w:type="spellEnd"/>
      <w:r w:rsidRPr="00DE08FF">
        <w:rPr>
          <w:rFonts w:cs="Arial"/>
          <w:lang w:eastAsia="en-GB"/>
        </w:rPr>
        <w:t xml:space="preserve"> approach in wheat to other major crops, including perennial ryegrass. </w:t>
      </w:r>
    </w:p>
    <w:p w14:paraId="375B5D9C" w14:textId="77777777" w:rsidR="00DE08FF" w:rsidRPr="00DE08FF" w:rsidRDefault="00DE08FF" w:rsidP="00DE08FF">
      <w:pPr>
        <w:numPr>
          <w:ilvl w:val="1"/>
          <w:numId w:val="25"/>
        </w:numPr>
        <w:spacing w:after="160" w:line="252" w:lineRule="auto"/>
        <w:ind w:left="567" w:firstLine="0"/>
        <w:contextualSpacing/>
        <w:jc w:val="left"/>
        <w:rPr>
          <w:rFonts w:cs="Arial"/>
          <w:lang w:val="en-GB" w:eastAsia="en-GB"/>
        </w:rPr>
      </w:pPr>
      <w:r w:rsidRPr="00DE08FF">
        <w:rPr>
          <w:rFonts w:cs="Arial"/>
          <w:lang w:eastAsia="en-GB"/>
        </w:rPr>
        <w:t xml:space="preserve">Developed the concept of High-Performance Low Risk (HPLRTM) </w:t>
      </w:r>
      <w:proofErr w:type="spellStart"/>
      <w:r w:rsidRPr="00DE08FF">
        <w:rPr>
          <w:rFonts w:cs="Arial"/>
          <w:lang w:eastAsia="en-GB"/>
        </w:rPr>
        <w:t>categorisation</w:t>
      </w:r>
      <w:proofErr w:type="spellEnd"/>
      <w:r w:rsidRPr="00DE08FF">
        <w:rPr>
          <w:rFonts w:cs="Arial"/>
          <w:lang w:eastAsia="en-GB"/>
        </w:rPr>
        <w:t xml:space="preserve"> of plant varieties. </w:t>
      </w:r>
    </w:p>
    <w:p w14:paraId="47230E00" w14:textId="77777777" w:rsidR="00DE08FF" w:rsidRPr="00DE08FF" w:rsidRDefault="00DE08FF" w:rsidP="00DE08FF">
      <w:pPr>
        <w:rPr>
          <w:lang w:val="en-GB" w:eastAsia="en-GB"/>
        </w:rPr>
      </w:pPr>
    </w:p>
    <w:p w14:paraId="26DCF828" w14:textId="07A94D4A" w:rsidR="00DE08FF" w:rsidRPr="00DE08FF" w:rsidRDefault="00DE08FF" w:rsidP="00DE08FF">
      <w:pPr>
        <w:pStyle w:val="ListParagraph"/>
        <w:numPr>
          <w:ilvl w:val="0"/>
          <w:numId w:val="26"/>
        </w:numPr>
        <w:ind w:left="0" w:firstLine="0"/>
        <w:rPr>
          <w:lang w:val="en-GB" w:eastAsia="en-GB"/>
        </w:rPr>
      </w:pPr>
      <w:r w:rsidRPr="00DE08FF">
        <w:rPr>
          <w:lang w:val="en-GB" w:eastAsia="en-GB"/>
        </w:rPr>
        <w:t>A revised version of DUST is nearly ready for release. This version includes an improved installation process and the new COYU with splines module. The software has been tested by the United Kingdom, the Netherlands</w:t>
      </w:r>
      <w:r w:rsidR="00C54592">
        <w:rPr>
          <w:lang w:val="en-GB" w:eastAsia="en-GB"/>
        </w:rPr>
        <w:t xml:space="preserve"> (Kingdom of)</w:t>
      </w:r>
      <w:r w:rsidRPr="00DE08FF">
        <w:rPr>
          <w:lang w:val="en-GB" w:eastAsia="en-GB"/>
        </w:rPr>
        <w:t xml:space="preserve"> and Finland. This was mainly successful but revealed that the Excel conversion function does not work outside of 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We are working to resolve this.</w:t>
      </w:r>
    </w:p>
    <w:p w14:paraId="0628EE6D" w14:textId="77777777" w:rsidR="00DE08FF" w:rsidRPr="00DE08FF" w:rsidRDefault="00DE08FF" w:rsidP="00DE08FF">
      <w:pPr>
        <w:rPr>
          <w:lang w:val="en-GB" w:eastAsia="en-GB"/>
        </w:rPr>
      </w:pPr>
    </w:p>
    <w:p w14:paraId="6B4F818B" w14:textId="6A4D77B8" w:rsidR="00DE08FF" w:rsidRPr="00DE08FF" w:rsidRDefault="00DE08FF" w:rsidP="00DE08FF">
      <w:pPr>
        <w:pStyle w:val="ListParagraph"/>
        <w:numPr>
          <w:ilvl w:val="0"/>
          <w:numId w:val="26"/>
        </w:numPr>
        <w:ind w:left="0" w:firstLine="0"/>
        <w:rPr>
          <w:lang w:val="en-GB" w:eastAsia="en-GB"/>
        </w:rPr>
      </w:pPr>
      <w:r w:rsidRPr="00DE08FF">
        <w:rPr>
          <w:lang w:val="en-GB" w:eastAsia="en-GB"/>
        </w:rPr>
        <w:t xml:space="preserve">The </w:t>
      </w:r>
      <w:r w:rsidRPr="00DE08FF">
        <w:rPr>
          <w:rFonts w:eastAsia="Calibri" w:cs="Calibri"/>
          <w:lang w:val="en-GB" w:eastAsia="en-GB"/>
        </w:rPr>
        <w:t>U</w:t>
      </w:r>
      <w:r>
        <w:rPr>
          <w:rFonts w:eastAsia="Calibri" w:cs="Calibri"/>
          <w:lang w:val="en-GB" w:eastAsia="en-GB"/>
        </w:rPr>
        <w:t xml:space="preserve">nited </w:t>
      </w:r>
      <w:r w:rsidRPr="00DE08FF">
        <w:rPr>
          <w:rFonts w:eastAsia="Calibri" w:cs="Calibri"/>
          <w:lang w:val="en-GB" w:eastAsia="en-GB"/>
        </w:rPr>
        <w:t>K</w:t>
      </w:r>
      <w:r>
        <w:rPr>
          <w:rFonts w:eastAsia="Calibri" w:cs="Calibri"/>
          <w:lang w:val="en-GB" w:eastAsia="en-GB"/>
        </w:rPr>
        <w:t>ingdom</w:t>
      </w:r>
      <w:r w:rsidRPr="00DE08FF">
        <w:rPr>
          <w:lang w:val="en-GB" w:eastAsia="en-GB"/>
        </w:rPr>
        <w:t xml:space="preserve"> is starting the introduction of the new COYU with splines method. As part of this, guidance is being developed for dealing with extrapolation.</w:t>
      </w:r>
    </w:p>
    <w:p w14:paraId="6429A94E" w14:textId="77777777" w:rsidR="00DE08FF" w:rsidRPr="00DE08FF" w:rsidRDefault="00DE08FF" w:rsidP="00DE08FF">
      <w:pPr>
        <w:rPr>
          <w:lang w:val="en-GB" w:eastAsia="en-GB"/>
        </w:rPr>
      </w:pPr>
    </w:p>
    <w:p w14:paraId="3F46C8C0" w14:textId="3F5C99AA" w:rsidR="00C54592" w:rsidRDefault="00DE08FF" w:rsidP="00C54592">
      <w:pPr>
        <w:pStyle w:val="ListParagraph"/>
        <w:numPr>
          <w:ilvl w:val="0"/>
          <w:numId w:val="26"/>
        </w:numPr>
        <w:ind w:left="0" w:firstLine="0"/>
        <w:rPr>
          <w:lang w:val="en-GB" w:eastAsia="en-GB"/>
        </w:rPr>
      </w:pPr>
      <w:r w:rsidRPr="00DE08FF">
        <w:rPr>
          <w:lang w:val="en-GB" w:eastAsia="en-GB"/>
        </w:rPr>
        <w:t>Two projects, which have finished in March 2025, have been funded by Defra to explore the use of molecular approaches in DUS work. The first project on barley (</w:t>
      </w:r>
      <w:r w:rsidRPr="00DE08FF">
        <w:rPr>
          <w:i/>
          <w:iCs/>
          <w:lang w:val="en-GB" w:eastAsia="en-GB"/>
        </w:rPr>
        <w:t>Hordeum vulgare</w:t>
      </w:r>
      <w:r w:rsidRPr="00DE08FF">
        <w:rPr>
          <w:lang w:val="en-GB" w:eastAsia="en-GB"/>
        </w:rPr>
        <w:t>), has provided proof of concept for the use of molecular markers to predict DUS phenotypes, and to inform selection of similar varieties for the growing trials. A smaller marker set has also been identified and validated for seed stock authentications and varietal identification in barley. </w:t>
      </w:r>
    </w:p>
    <w:p w14:paraId="49B0B58C" w14:textId="77777777" w:rsidR="00FA3C12" w:rsidRPr="00C54592" w:rsidRDefault="00FA3C12" w:rsidP="00FA3C12">
      <w:pPr>
        <w:pStyle w:val="ListParagraph"/>
        <w:ind w:left="0"/>
        <w:rPr>
          <w:lang w:val="en-GB" w:eastAsia="en-GB"/>
        </w:rPr>
      </w:pPr>
    </w:p>
    <w:p w14:paraId="1783C589" w14:textId="77777777" w:rsidR="00DE08FF" w:rsidRPr="00DE08FF" w:rsidRDefault="00DE08FF" w:rsidP="00DE08FF">
      <w:pPr>
        <w:rPr>
          <w:lang w:val="en-GB" w:eastAsia="en-GB"/>
        </w:rPr>
      </w:pPr>
      <w:r w:rsidRPr="00DE08FF">
        <w:rPr>
          <w:lang w:val="en-GB" w:eastAsia="en-GB"/>
        </w:rPr>
        <w:t>In the second project on raspberry (</w:t>
      </w:r>
      <w:r w:rsidRPr="00DE08FF">
        <w:rPr>
          <w:i/>
          <w:iCs/>
          <w:lang w:val="en-GB" w:eastAsia="en-GB"/>
        </w:rPr>
        <w:t>Rubus </w:t>
      </w:r>
      <w:proofErr w:type="spellStart"/>
      <w:r w:rsidRPr="00DE08FF">
        <w:rPr>
          <w:i/>
          <w:iCs/>
          <w:lang w:val="en-GB" w:eastAsia="en-GB"/>
        </w:rPr>
        <w:t>idaeus</w:t>
      </w:r>
      <w:proofErr w:type="spellEnd"/>
      <w:r w:rsidRPr="00DE08FF">
        <w:rPr>
          <w:lang w:val="en-GB" w:eastAsia="en-GB"/>
        </w:rPr>
        <w:t xml:space="preserve"> L.), phenotypic and genotypic datasets were generated for a collection of over 100 red raspberry varieties to begin exploring the prediction of DUS phenotypes via machine learning approaches. The machine learning models developed showed promise in their ability to predict qualitative DUS characteristics, with further investigation required to validate the predictions on larger datasets, and to explore how the approach would be implemented in practice.</w:t>
      </w:r>
    </w:p>
    <w:p w14:paraId="353DDF47" w14:textId="77777777" w:rsidR="00DE08FF" w:rsidRPr="00DE08FF" w:rsidRDefault="00DE08FF" w:rsidP="00DE08FF">
      <w:pPr>
        <w:rPr>
          <w:lang w:val="en-GB" w:eastAsia="en-GB"/>
        </w:rPr>
      </w:pPr>
    </w:p>
    <w:p w14:paraId="21AB7DB6" w14:textId="77777777" w:rsidR="00DE08FF" w:rsidRPr="00DE08FF" w:rsidRDefault="00DE08FF" w:rsidP="00DE08FF">
      <w:pPr>
        <w:pStyle w:val="ListParagraph"/>
        <w:numPr>
          <w:ilvl w:val="0"/>
          <w:numId w:val="26"/>
        </w:numPr>
        <w:ind w:left="0" w:firstLine="0"/>
        <w:rPr>
          <w:lang w:val="en-GB" w:eastAsia="en-GB"/>
        </w:rPr>
      </w:pPr>
      <w:r w:rsidRPr="00DE08FF">
        <w:rPr>
          <w:lang w:val="en-GB" w:eastAsia="en-GB"/>
        </w:rPr>
        <w:t>NIAB has continued their investigation into the use of UAV (Unmanned Aerial Vehicles) within a DUS testing situation</w:t>
      </w:r>
    </w:p>
    <w:p w14:paraId="2A8DD340" w14:textId="77777777" w:rsidR="00DE08FF" w:rsidRPr="00DE08FF" w:rsidRDefault="00DE08FF" w:rsidP="00EC6CC5">
      <w:pPr>
        <w:rPr>
          <w:lang w:val="en-GB"/>
        </w:rPr>
      </w:pPr>
    </w:p>
    <w:p w14:paraId="58E4A59C" w14:textId="77777777" w:rsidR="00DE08FF" w:rsidRDefault="00DE08FF" w:rsidP="00EC6CC5"/>
    <w:p w14:paraId="0D83C386" w14:textId="77777777" w:rsidR="00DE08FF" w:rsidRPr="009E6CFC" w:rsidRDefault="00DE08FF" w:rsidP="00EC6CC5"/>
    <w:p w14:paraId="45B7A5B6" w14:textId="158ED3F0" w:rsidR="000E577F" w:rsidRPr="009E6CFC" w:rsidRDefault="00EC6CC5" w:rsidP="009E6CFC">
      <w:pPr>
        <w:jc w:val="right"/>
      </w:pPr>
      <w:r w:rsidRPr="00DE08FF">
        <w:t>[</w:t>
      </w:r>
      <w:r w:rsidR="00BD4958" w:rsidRPr="00DE08FF">
        <w:t xml:space="preserve">End of </w:t>
      </w:r>
      <w:r w:rsidRPr="00DE08FF">
        <w:t xml:space="preserve">Annex </w:t>
      </w:r>
      <w:r w:rsidR="00DE08FF" w:rsidRPr="00DE08FF">
        <w:t>V</w:t>
      </w:r>
      <w:r w:rsidR="00BD4958" w:rsidRPr="00DE08FF">
        <w:t xml:space="preserve"> and of document</w:t>
      </w:r>
      <w:r w:rsidRPr="00DE08FF">
        <w:t>]</w:t>
      </w:r>
    </w:p>
    <w:sectPr w:rsidR="000E577F" w:rsidRPr="009E6CFC" w:rsidSect="005E7466">
      <w:headerReference w:type="default" r:id="rId41"/>
      <w:headerReference w:type="firs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D583" w14:textId="77777777" w:rsidR="00C13FF9" w:rsidRDefault="00C13FF9" w:rsidP="006655D3">
      <w:r>
        <w:separator/>
      </w:r>
    </w:p>
    <w:p w14:paraId="371DCA99" w14:textId="77777777" w:rsidR="00C13FF9" w:rsidRDefault="00C13FF9" w:rsidP="006655D3"/>
    <w:p w14:paraId="0CF2186A" w14:textId="77777777" w:rsidR="00C13FF9" w:rsidRDefault="00C13FF9" w:rsidP="006655D3"/>
  </w:endnote>
  <w:endnote w:type="continuationSeparator" w:id="0">
    <w:p w14:paraId="03AFE97F" w14:textId="77777777" w:rsidR="00C13FF9" w:rsidRDefault="00C13FF9" w:rsidP="006655D3">
      <w:r>
        <w:separator/>
      </w:r>
    </w:p>
    <w:p w14:paraId="0E9D4CAF" w14:textId="77777777" w:rsidR="00C13FF9" w:rsidRPr="00294751" w:rsidRDefault="00C13FF9">
      <w:pPr>
        <w:pStyle w:val="Footer"/>
        <w:spacing w:after="60"/>
        <w:rPr>
          <w:sz w:val="18"/>
          <w:lang w:val="fr-FR"/>
        </w:rPr>
      </w:pPr>
      <w:r w:rsidRPr="00294751">
        <w:rPr>
          <w:sz w:val="18"/>
          <w:lang w:val="fr-FR"/>
        </w:rPr>
        <w:t>[Suite de la note de la page précédente]</w:t>
      </w:r>
    </w:p>
    <w:p w14:paraId="43939B1C" w14:textId="77777777" w:rsidR="00C13FF9" w:rsidRPr="00294751" w:rsidRDefault="00C13FF9" w:rsidP="006655D3">
      <w:pPr>
        <w:rPr>
          <w:lang w:val="fr-FR"/>
        </w:rPr>
      </w:pPr>
    </w:p>
    <w:p w14:paraId="10B24A3B" w14:textId="77777777" w:rsidR="00C13FF9" w:rsidRPr="00294751" w:rsidRDefault="00C13FF9" w:rsidP="006655D3">
      <w:pPr>
        <w:rPr>
          <w:lang w:val="fr-FR"/>
        </w:rPr>
      </w:pPr>
    </w:p>
  </w:endnote>
  <w:endnote w:type="continuationNotice" w:id="1">
    <w:p w14:paraId="17AF91B9" w14:textId="77777777" w:rsidR="00C13FF9" w:rsidRPr="00294751" w:rsidRDefault="00C13FF9" w:rsidP="006655D3">
      <w:pPr>
        <w:rPr>
          <w:lang w:val="fr-FR"/>
        </w:rPr>
      </w:pPr>
      <w:r w:rsidRPr="00294751">
        <w:rPr>
          <w:lang w:val="fr-FR"/>
        </w:rPr>
        <w:t>[Suite de la note page suivante]</w:t>
      </w:r>
    </w:p>
    <w:p w14:paraId="45762D3D" w14:textId="77777777" w:rsidR="00C13FF9" w:rsidRPr="00294751" w:rsidRDefault="00C13FF9" w:rsidP="006655D3">
      <w:pPr>
        <w:rPr>
          <w:lang w:val="fr-FR"/>
        </w:rPr>
      </w:pPr>
    </w:p>
    <w:p w14:paraId="61B25E7E" w14:textId="77777777" w:rsidR="00C13FF9" w:rsidRPr="00294751" w:rsidRDefault="00C13FF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2BED" w14:textId="77777777" w:rsidR="00C13FF9" w:rsidRDefault="00C13FF9" w:rsidP="006655D3">
      <w:r>
        <w:separator/>
      </w:r>
    </w:p>
  </w:footnote>
  <w:footnote w:type="continuationSeparator" w:id="0">
    <w:p w14:paraId="4C8BC714" w14:textId="77777777" w:rsidR="00C13FF9" w:rsidRDefault="00C13FF9" w:rsidP="006655D3">
      <w:r>
        <w:separator/>
      </w:r>
    </w:p>
  </w:footnote>
  <w:footnote w:type="continuationNotice" w:id="1">
    <w:p w14:paraId="1195BBB6" w14:textId="77777777" w:rsidR="00C13FF9" w:rsidRPr="00AB530F" w:rsidRDefault="00C13FF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96B0" w14:textId="77777777" w:rsidR="0004198B" w:rsidRPr="00C5280D" w:rsidRDefault="002172DA" w:rsidP="00EB048E">
    <w:pPr>
      <w:pStyle w:val="Header"/>
      <w:rPr>
        <w:rStyle w:val="PageNumber"/>
        <w:lang w:val="en-US"/>
      </w:rPr>
    </w:pPr>
    <w:r>
      <w:rPr>
        <w:rStyle w:val="PageNumber"/>
        <w:lang w:val="en-US"/>
      </w:rPr>
      <w:t>TWO/5</w:t>
    </w:r>
    <w:r w:rsidR="00E40BF0">
      <w:rPr>
        <w:rStyle w:val="PageNumber"/>
        <w:lang w:val="en-US"/>
      </w:rPr>
      <w:t>6</w:t>
    </w:r>
    <w:r w:rsidR="0004198B">
      <w:rPr>
        <w:rStyle w:val="PageNumber"/>
        <w:lang w:val="en-US"/>
      </w:rPr>
      <w:t>/</w:t>
    </w:r>
  </w:p>
  <w:p w14:paraId="3889DCB8"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08F8">
      <w:rPr>
        <w:rStyle w:val="PageNumber"/>
        <w:noProof/>
        <w:lang w:val="en-US"/>
      </w:rPr>
      <w:t>2</w:t>
    </w:r>
    <w:r w:rsidRPr="00C5280D">
      <w:rPr>
        <w:rStyle w:val="PageNumber"/>
        <w:lang w:val="en-US"/>
      </w:rPr>
      <w:fldChar w:fldCharType="end"/>
    </w:r>
  </w:p>
  <w:p w14:paraId="1BE53F36"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4EB9" w14:textId="0A147DBF" w:rsidR="00D15B61" w:rsidRPr="00C5280D" w:rsidRDefault="00D15B61" w:rsidP="00EB048E">
    <w:pPr>
      <w:pStyle w:val="Header"/>
      <w:rPr>
        <w:rStyle w:val="PageNumber"/>
        <w:lang w:val="en-US"/>
      </w:rPr>
    </w:pPr>
    <w:r>
      <w:rPr>
        <w:rStyle w:val="PageNumber"/>
        <w:lang w:val="en-US"/>
      </w:rPr>
      <w:t>TWO/57/2</w:t>
    </w:r>
  </w:p>
  <w:p w14:paraId="0A63F497" w14:textId="3A44B92E" w:rsidR="00D15B61" w:rsidRPr="00C5280D" w:rsidRDefault="00D15B61"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7AAEF1E" w14:textId="77777777" w:rsidR="00D15B61" w:rsidRPr="00C5280D" w:rsidRDefault="00D15B61"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8642" w14:textId="4B9EABA9" w:rsidR="00DE08FF" w:rsidRDefault="00DE08FF" w:rsidP="0004198B">
    <w:pPr>
      <w:pStyle w:val="Header"/>
      <w:rPr>
        <w:lang w:val="en-US"/>
      </w:rPr>
    </w:pPr>
    <w:r>
      <w:rPr>
        <w:lang w:val="en-US"/>
      </w:rPr>
      <w:t>TWO/5</w:t>
    </w:r>
    <w:r w:rsidR="00D15B61">
      <w:rPr>
        <w:lang w:val="en-US"/>
      </w:rPr>
      <w:t>7</w:t>
    </w:r>
    <w:r>
      <w:rPr>
        <w:lang w:val="en-US"/>
      </w:rPr>
      <w:t>/2</w:t>
    </w:r>
  </w:p>
  <w:p w14:paraId="75BF6AB0" w14:textId="77777777" w:rsidR="00DE08FF" w:rsidRDefault="00DE08FF" w:rsidP="0004198B">
    <w:pPr>
      <w:pStyle w:val="Header"/>
      <w:rPr>
        <w:lang w:val="en-US"/>
      </w:rPr>
    </w:pPr>
  </w:p>
  <w:p w14:paraId="4B6CE48A" w14:textId="212C444B" w:rsidR="00DE08FF" w:rsidRDefault="00DE08FF" w:rsidP="0004198B">
    <w:pPr>
      <w:pStyle w:val="Header"/>
      <w:rPr>
        <w:lang w:val="en-US"/>
      </w:rPr>
    </w:pPr>
    <w:r>
      <w:rPr>
        <w:lang w:val="en-US"/>
      </w:rPr>
      <w:t>ANNEX V</w:t>
    </w:r>
  </w:p>
  <w:p w14:paraId="2B884CB0" w14:textId="77777777" w:rsidR="00DE08FF" w:rsidRPr="00C04852" w:rsidRDefault="00DE08FF" w:rsidP="0004198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BE74"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5BD63" w14:textId="741AF91D" w:rsidR="003D46E8" w:rsidRPr="00C5280D" w:rsidRDefault="003D46E8" w:rsidP="00EB048E">
    <w:pPr>
      <w:pStyle w:val="Header"/>
      <w:rPr>
        <w:rStyle w:val="PageNumber"/>
        <w:lang w:val="en-US"/>
      </w:rPr>
    </w:pPr>
    <w:r>
      <w:rPr>
        <w:rStyle w:val="PageNumber"/>
        <w:lang w:val="en-US"/>
      </w:rPr>
      <w:t>TWO/57/2</w:t>
    </w:r>
  </w:p>
  <w:p w14:paraId="1E9F446D" w14:textId="77777777" w:rsidR="003D46E8" w:rsidRPr="00C5280D" w:rsidRDefault="003D46E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F10CBAF" w14:textId="77777777" w:rsidR="003D46E8" w:rsidRPr="00C5280D" w:rsidRDefault="003D46E8"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B079" w14:textId="7EC49EF5" w:rsidR="003D46E8" w:rsidRDefault="003D46E8" w:rsidP="0004198B">
    <w:pPr>
      <w:pStyle w:val="Header"/>
      <w:rPr>
        <w:lang w:val="en-US"/>
      </w:rPr>
    </w:pPr>
    <w:r>
      <w:rPr>
        <w:lang w:val="en-US"/>
      </w:rPr>
      <w:t>TWO/57/2</w:t>
    </w:r>
  </w:p>
  <w:p w14:paraId="0301DC84" w14:textId="77777777" w:rsidR="003D46E8" w:rsidRDefault="003D46E8" w:rsidP="0004198B">
    <w:pPr>
      <w:pStyle w:val="Header"/>
      <w:rPr>
        <w:lang w:val="en-US"/>
      </w:rPr>
    </w:pPr>
  </w:p>
  <w:p w14:paraId="79755D29" w14:textId="77777777" w:rsidR="003D46E8" w:rsidRDefault="003D46E8" w:rsidP="0004198B">
    <w:pPr>
      <w:pStyle w:val="Header"/>
      <w:rPr>
        <w:lang w:val="en-US"/>
      </w:rPr>
    </w:pPr>
    <w:r>
      <w:rPr>
        <w:lang w:val="en-US"/>
      </w:rPr>
      <w:t>ANNEX I</w:t>
    </w:r>
  </w:p>
  <w:p w14:paraId="2683EA5B" w14:textId="77777777" w:rsidR="003D46E8" w:rsidRPr="00C04852" w:rsidRDefault="003D46E8"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462E" w14:textId="68ADE717" w:rsidR="000E577F" w:rsidRPr="00C5280D" w:rsidRDefault="000E577F" w:rsidP="00EB048E">
    <w:pPr>
      <w:pStyle w:val="Header"/>
      <w:rPr>
        <w:rStyle w:val="PageNumber"/>
        <w:lang w:val="en-US"/>
      </w:rPr>
    </w:pPr>
    <w:r>
      <w:rPr>
        <w:rStyle w:val="PageNumber"/>
        <w:lang w:val="en-US"/>
      </w:rPr>
      <w:t>TWO/5</w:t>
    </w:r>
    <w:r w:rsidR="002C2414">
      <w:rPr>
        <w:rStyle w:val="PageNumber"/>
        <w:lang w:val="en-US"/>
      </w:rPr>
      <w:t>7</w:t>
    </w:r>
    <w:r>
      <w:rPr>
        <w:rStyle w:val="PageNumber"/>
        <w:lang w:val="en-US"/>
      </w:rPr>
      <w:t>/2</w:t>
    </w:r>
  </w:p>
  <w:p w14:paraId="4A961DB7" w14:textId="37BCBC3D" w:rsidR="000E577F" w:rsidRPr="00C5280D" w:rsidRDefault="000E577F" w:rsidP="00EB048E">
    <w:pPr>
      <w:pStyle w:val="Header"/>
      <w:rPr>
        <w:lang w:val="en-US"/>
      </w:rPr>
    </w:pPr>
    <w:r>
      <w:rPr>
        <w:lang w:val="en-US"/>
      </w:rPr>
      <w:t xml:space="preserve">Annex </w:t>
    </w:r>
    <w:r w:rsidR="003D46E8">
      <w:rPr>
        <w:lang w:val="en-US"/>
      </w:rPr>
      <w:t>I</w:t>
    </w:r>
    <w:r>
      <w:rPr>
        <w:lang w:val="en-US"/>
      </w:rPr>
      <w:t xml:space="preserve">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BFEC87F" w14:textId="77777777" w:rsidR="000E577F" w:rsidRPr="00C5280D" w:rsidRDefault="000E577F"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7B51" w14:textId="6F153A47" w:rsidR="000E577F" w:rsidRDefault="000E577F" w:rsidP="0004198B">
    <w:pPr>
      <w:pStyle w:val="Header"/>
      <w:rPr>
        <w:lang w:val="en-US"/>
      </w:rPr>
    </w:pPr>
    <w:r>
      <w:rPr>
        <w:lang w:val="en-US"/>
      </w:rPr>
      <w:t>TWO/5</w:t>
    </w:r>
    <w:r w:rsidR="002C2414">
      <w:rPr>
        <w:lang w:val="en-US"/>
      </w:rPr>
      <w:t>7</w:t>
    </w:r>
    <w:r>
      <w:rPr>
        <w:lang w:val="en-US"/>
      </w:rPr>
      <w:t>/2</w:t>
    </w:r>
  </w:p>
  <w:p w14:paraId="77ECBD1F" w14:textId="77777777" w:rsidR="000E577F" w:rsidRDefault="000E577F" w:rsidP="0004198B">
    <w:pPr>
      <w:pStyle w:val="Header"/>
      <w:rPr>
        <w:lang w:val="en-US"/>
      </w:rPr>
    </w:pPr>
  </w:p>
  <w:p w14:paraId="50204147" w14:textId="1217D7C1" w:rsidR="000E577F" w:rsidRDefault="000E577F" w:rsidP="0004198B">
    <w:pPr>
      <w:pStyle w:val="Header"/>
      <w:rPr>
        <w:lang w:val="en-US"/>
      </w:rPr>
    </w:pPr>
    <w:r>
      <w:rPr>
        <w:lang w:val="en-US"/>
      </w:rPr>
      <w:t xml:space="preserve">ANNEX </w:t>
    </w:r>
    <w:r w:rsidR="003D46E8">
      <w:rPr>
        <w:lang w:val="en-US"/>
      </w:rPr>
      <w:t>I</w:t>
    </w:r>
    <w:r>
      <w:rPr>
        <w:lang w:val="en-US"/>
      </w:rPr>
      <w:t>I</w:t>
    </w:r>
  </w:p>
  <w:p w14:paraId="007513BE" w14:textId="77777777" w:rsidR="000E577F" w:rsidRPr="00C04852" w:rsidRDefault="000E577F" w:rsidP="0004198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151D" w14:textId="127AA208" w:rsidR="00C04852" w:rsidRDefault="00C04852" w:rsidP="0004198B">
    <w:pPr>
      <w:pStyle w:val="Header"/>
      <w:rPr>
        <w:lang w:val="en-US"/>
      </w:rPr>
    </w:pPr>
    <w:r>
      <w:rPr>
        <w:lang w:val="en-US"/>
      </w:rPr>
      <w:t>TWO/5</w:t>
    </w:r>
    <w:r w:rsidR="00014A4D">
      <w:rPr>
        <w:lang w:val="en-US"/>
      </w:rPr>
      <w:t>7</w:t>
    </w:r>
    <w:r>
      <w:rPr>
        <w:lang w:val="en-US"/>
      </w:rPr>
      <w:t>/2</w:t>
    </w:r>
  </w:p>
  <w:p w14:paraId="2BF0B6E7" w14:textId="77777777" w:rsidR="00C04852" w:rsidRDefault="00C04852" w:rsidP="0004198B">
    <w:pPr>
      <w:pStyle w:val="Header"/>
      <w:rPr>
        <w:lang w:val="en-US"/>
      </w:rPr>
    </w:pPr>
  </w:p>
  <w:p w14:paraId="4CA58CB1" w14:textId="728756BD" w:rsidR="00C04852" w:rsidRDefault="00C04852" w:rsidP="0004198B">
    <w:pPr>
      <w:pStyle w:val="Header"/>
      <w:rPr>
        <w:lang w:val="en-US"/>
      </w:rPr>
    </w:pPr>
    <w:r>
      <w:rPr>
        <w:lang w:val="en-US"/>
      </w:rPr>
      <w:t>ANNEX I</w:t>
    </w:r>
    <w:r w:rsidR="000E577F">
      <w:rPr>
        <w:lang w:val="en-US"/>
      </w:rPr>
      <w:t>I</w:t>
    </w:r>
    <w:r w:rsidR="003D46E8">
      <w:rPr>
        <w:lang w:val="en-US"/>
      </w:rPr>
      <w:t>I</w:t>
    </w:r>
  </w:p>
  <w:p w14:paraId="061334CD" w14:textId="77777777" w:rsidR="00E370B6" w:rsidRPr="00C04852" w:rsidRDefault="00E370B6" w:rsidP="0004198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C0BC9" w14:textId="0B61ECA3" w:rsidR="000E577F" w:rsidRPr="00C5280D" w:rsidRDefault="000E577F" w:rsidP="00EB048E">
    <w:pPr>
      <w:pStyle w:val="Header"/>
      <w:rPr>
        <w:rStyle w:val="PageNumber"/>
        <w:lang w:val="en-US"/>
      </w:rPr>
    </w:pPr>
    <w:r>
      <w:rPr>
        <w:rStyle w:val="PageNumber"/>
        <w:lang w:val="en-US"/>
      </w:rPr>
      <w:t>TWO/5</w:t>
    </w:r>
    <w:r w:rsidR="00D15B61">
      <w:rPr>
        <w:rStyle w:val="PageNumber"/>
        <w:lang w:val="en-US"/>
      </w:rPr>
      <w:t>7</w:t>
    </w:r>
    <w:r>
      <w:rPr>
        <w:rStyle w:val="PageNumber"/>
        <w:lang w:val="en-US"/>
      </w:rPr>
      <w:t>/2</w:t>
    </w:r>
  </w:p>
  <w:p w14:paraId="1F3CDDB6" w14:textId="592FA41D" w:rsidR="000E577F" w:rsidRPr="00C5280D" w:rsidRDefault="000E577F" w:rsidP="00EB048E">
    <w:pPr>
      <w:pStyle w:val="Header"/>
      <w:rPr>
        <w:lang w:val="en-US"/>
      </w:rPr>
    </w:pPr>
    <w:r>
      <w:rPr>
        <w:lang w:val="en-US"/>
      </w:rPr>
      <w:t xml:space="preserve">Annex </w:t>
    </w:r>
    <w:r w:rsidR="00DE08FF">
      <w:rPr>
        <w:lang w:val="en-US"/>
      </w:rPr>
      <w:t>I</w:t>
    </w:r>
    <w:r w:rsidR="003D46E8">
      <w:rPr>
        <w:lang w:val="en-US"/>
      </w:rPr>
      <w:t>V</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D1251BA" w14:textId="77777777" w:rsidR="000E577F" w:rsidRPr="00C5280D" w:rsidRDefault="000E577F"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F830" w14:textId="17D8F12E" w:rsidR="00A75A8F" w:rsidRDefault="00A75A8F" w:rsidP="0004198B">
    <w:pPr>
      <w:pStyle w:val="Header"/>
      <w:rPr>
        <w:lang w:val="en-US"/>
      </w:rPr>
    </w:pPr>
    <w:r>
      <w:rPr>
        <w:lang w:val="en-US"/>
      </w:rPr>
      <w:t>TWO/5</w:t>
    </w:r>
    <w:r w:rsidR="00D15B61">
      <w:rPr>
        <w:lang w:val="en-US"/>
      </w:rPr>
      <w:t>7</w:t>
    </w:r>
    <w:r>
      <w:rPr>
        <w:lang w:val="en-US"/>
      </w:rPr>
      <w:t>/2</w:t>
    </w:r>
  </w:p>
  <w:p w14:paraId="6FAE0C7F" w14:textId="77777777" w:rsidR="00A75A8F" w:rsidRDefault="00A75A8F" w:rsidP="0004198B">
    <w:pPr>
      <w:pStyle w:val="Header"/>
      <w:rPr>
        <w:lang w:val="en-US"/>
      </w:rPr>
    </w:pPr>
  </w:p>
  <w:p w14:paraId="032253C9" w14:textId="7A871E2E" w:rsidR="00A75A8F" w:rsidRDefault="00A75A8F" w:rsidP="0004198B">
    <w:pPr>
      <w:pStyle w:val="Header"/>
      <w:rPr>
        <w:lang w:val="en-US"/>
      </w:rPr>
    </w:pPr>
    <w:r>
      <w:rPr>
        <w:lang w:val="en-US"/>
      </w:rPr>
      <w:t xml:space="preserve">ANNEX </w:t>
    </w:r>
    <w:r w:rsidR="00DE08FF">
      <w:rPr>
        <w:lang w:val="en-US"/>
      </w:rPr>
      <w:t>I</w:t>
    </w:r>
    <w:r w:rsidR="003D46E8">
      <w:rPr>
        <w:lang w:val="en-US"/>
      </w:rPr>
      <w:t>V</w:t>
    </w:r>
  </w:p>
  <w:p w14:paraId="56F4EC02" w14:textId="77777777" w:rsidR="00A75A8F" w:rsidRPr="00C04852" w:rsidRDefault="00A75A8F"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2B3591"/>
    <w:multiLevelType w:val="hybridMultilevel"/>
    <w:tmpl w:val="6F72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01842"/>
    <w:multiLevelType w:val="hybridMultilevel"/>
    <w:tmpl w:val="86BEBA0C"/>
    <w:lvl w:ilvl="0" w:tplc="0E02C52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A930D6"/>
    <w:multiLevelType w:val="hybridMultilevel"/>
    <w:tmpl w:val="5C3A8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97CCAA"/>
    <w:multiLevelType w:val="hybridMultilevel"/>
    <w:tmpl w:val="AA424676"/>
    <w:lvl w:ilvl="0" w:tplc="751873A4">
      <w:start w:val="1"/>
      <w:numFmt w:val="bullet"/>
      <w:lvlText w:val=""/>
      <w:lvlJc w:val="left"/>
      <w:pPr>
        <w:ind w:left="360" w:hanging="360"/>
      </w:pPr>
      <w:rPr>
        <w:rFonts w:ascii="Symbol" w:hAnsi="Symbol" w:hint="default"/>
      </w:rPr>
    </w:lvl>
    <w:lvl w:ilvl="1" w:tplc="CCDC88F8">
      <w:start w:val="1"/>
      <w:numFmt w:val="bullet"/>
      <w:lvlText w:val="o"/>
      <w:lvlJc w:val="left"/>
      <w:pPr>
        <w:ind w:left="1080" w:hanging="360"/>
      </w:pPr>
      <w:rPr>
        <w:rFonts w:ascii="Courier New" w:hAnsi="Courier New" w:hint="default"/>
      </w:rPr>
    </w:lvl>
    <w:lvl w:ilvl="2" w:tplc="0032B4F0">
      <w:start w:val="1"/>
      <w:numFmt w:val="bullet"/>
      <w:lvlText w:val=""/>
      <w:lvlJc w:val="left"/>
      <w:pPr>
        <w:ind w:left="1800" w:hanging="360"/>
      </w:pPr>
      <w:rPr>
        <w:rFonts w:ascii="Wingdings" w:hAnsi="Wingdings" w:hint="default"/>
      </w:rPr>
    </w:lvl>
    <w:lvl w:ilvl="3" w:tplc="F41C8F02">
      <w:start w:val="1"/>
      <w:numFmt w:val="bullet"/>
      <w:lvlText w:val=""/>
      <w:lvlJc w:val="left"/>
      <w:pPr>
        <w:ind w:left="2520" w:hanging="360"/>
      </w:pPr>
      <w:rPr>
        <w:rFonts w:ascii="Symbol" w:hAnsi="Symbol" w:hint="default"/>
      </w:rPr>
    </w:lvl>
    <w:lvl w:ilvl="4" w:tplc="C16CC412">
      <w:start w:val="1"/>
      <w:numFmt w:val="bullet"/>
      <w:lvlText w:val="o"/>
      <w:lvlJc w:val="left"/>
      <w:pPr>
        <w:ind w:left="3240" w:hanging="360"/>
      </w:pPr>
      <w:rPr>
        <w:rFonts w:ascii="Courier New" w:hAnsi="Courier New" w:hint="default"/>
      </w:rPr>
    </w:lvl>
    <w:lvl w:ilvl="5" w:tplc="9B7A2294">
      <w:start w:val="1"/>
      <w:numFmt w:val="bullet"/>
      <w:lvlText w:val=""/>
      <w:lvlJc w:val="left"/>
      <w:pPr>
        <w:ind w:left="3960" w:hanging="360"/>
      </w:pPr>
      <w:rPr>
        <w:rFonts w:ascii="Wingdings" w:hAnsi="Wingdings" w:hint="default"/>
      </w:rPr>
    </w:lvl>
    <w:lvl w:ilvl="6" w:tplc="CA62C300">
      <w:start w:val="1"/>
      <w:numFmt w:val="bullet"/>
      <w:lvlText w:val=""/>
      <w:lvlJc w:val="left"/>
      <w:pPr>
        <w:ind w:left="4680" w:hanging="360"/>
      </w:pPr>
      <w:rPr>
        <w:rFonts w:ascii="Symbol" w:hAnsi="Symbol" w:hint="default"/>
      </w:rPr>
    </w:lvl>
    <w:lvl w:ilvl="7" w:tplc="839A13FC">
      <w:start w:val="1"/>
      <w:numFmt w:val="bullet"/>
      <w:lvlText w:val="o"/>
      <w:lvlJc w:val="left"/>
      <w:pPr>
        <w:ind w:left="5400" w:hanging="360"/>
      </w:pPr>
      <w:rPr>
        <w:rFonts w:ascii="Courier New" w:hAnsi="Courier New" w:hint="default"/>
      </w:rPr>
    </w:lvl>
    <w:lvl w:ilvl="8" w:tplc="32BCAB38">
      <w:start w:val="1"/>
      <w:numFmt w:val="bullet"/>
      <w:lvlText w:val=""/>
      <w:lvlJc w:val="left"/>
      <w:pPr>
        <w:ind w:left="6120" w:hanging="360"/>
      </w:pPr>
      <w:rPr>
        <w:rFonts w:ascii="Wingdings" w:hAnsi="Wingdings" w:hint="default"/>
      </w:rPr>
    </w:lvl>
  </w:abstractNum>
  <w:abstractNum w:abstractNumId="10" w15:restartNumberingAfterBreak="0">
    <w:nsid w:val="2EDC79F9"/>
    <w:multiLevelType w:val="hybridMultilevel"/>
    <w:tmpl w:val="9A0E6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073DB"/>
    <w:multiLevelType w:val="multilevel"/>
    <w:tmpl w:val="8D3CD766"/>
    <w:numStyleLink w:val="CPVOCorporateHeadings"/>
  </w:abstractNum>
  <w:abstractNum w:abstractNumId="12" w15:restartNumberingAfterBreak="0">
    <w:nsid w:val="39D96D17"/>
    <w:multiLevelType w:val="hybridMultilevel"/>
    <w:tmpl w:val="D720610C"/>
    <w:lvl w:ilvl="0" w:tplc="9796E6F4">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C0456A"/>
    <w:multiLevelType w:val="hybridMultilevel"/>
    <w:tmpl w:val="6256FDC0"/>
    <w:lvl w:ilvl="0" w:tplc="3788CBEC">
      <w:start w:val="1"/>
      <w:numFmt w:val="bullet"/>
      <w:lvlText w:val=""/>
      <w:lvlJc w:val="left"/>
      <w:pPr>
        <w:ind w:left="360" w:hanging="360"/>
      </w:pPr>
      <w:rPr>
        <w:rFonts w:ascii="Symbol" w:hAnsi="Symbol" w:hint="default"/>
      </w:rPr>
    </w:lvl>
    <w:lvl w:ilvl="1" w:tplc="CE94AC22">
      <w:start w:val="1"/>
      <w:numFmt w:val="bullet"/>
      <w:lvlText w:val="o"/>
      <w:lvlJc w:val="left"/>
      <w:pPr>
        <w:ind w:left="1080" w:hanging="360"/>
      </w:pPr>
      <w:rPr>
        <w:rFonts w:ascii="Courier New" w:hAnsi="Courier New" w:hint="default"/>
      </w:rPr>
    </w:lvl>
    <w:lvl w:ilvl="2" w:tplc="474E0968">
      <w:start w:val="1"/>
      <w:numFmt w:val="bullet"/>
      <w:lvlText w:val=""/>
      <w:lvlJc w:val="left"/>
      <w:pPr>
        <w:ind w:left="1800" w:hanging="360"/>
      </w:pPr>
      <w:rPr>
        <w:rFonts w:ascii="Wingdings" w:hAnsi="Wingdings" w:hint="default"/>
      </w:rPr>
    </w:lvl>
    <w:lvl w:ilvl="3" w:tplc="543862C8">
      <w:start w:val="1"/>
      <w:numFmt w:val="bullet"/>
      <w:lvlText w:val=""/>
      <w:lvlJc w:val="left"/>
      <w:pPr>
        <w:ind w:left="2520" w:hanging="360"/>
      </w:pPr>
      <w:rPr>
        <w:rFonts w:ascii="Symbol" w:hAnsi="Symbol" w:hint="default"/>
      </w:rPr>
    </w:lvl>
    <w:lvl w:ilvl="4" w:tplc="09BCB09C">
      <w:start w:val="1"/>
      <w:numFmt w:val="bullet"/>
      <w:lvlText w:val="o"/>
      <w:lvlJc w:val="left"/>
      <w:pPr>
        <w:ind w:left="3240" w:hanging="360"/>
      </w:pPr>
      <w:rPr>
        <w:rFonts w:ascii="Courier New" w:hAnsi="Courier New" w:hint="default"/>
      </w:rPr>
    </w:lvl>
    <w:lvl w:ilvl="5" w:tplc="E11A55C6">
      <w:start w:val="1"/>
      <w:numFmt w:val="bullet"/>
      <w:lvlText w:val=""/>
      <w:lvlJc w:val="left"/>
      <w:pPr>
        <w:ind w:left="3960" w:hanging="360"/>
      </w:pPr>
      <w:rPr>
        <w:rFonts w:ascii="Wingdings" w:hAnsi="Wingdings" w:hint="default"/>
      </w:rPr>
    </w:lvl>
    <w:lvl w:ilvl="6" w:tplc="E68AEBDA">
      <w:start w:val="1"/>
      <w:numFmt w:val="bullet"/>
      <w:lvlText w:val=""/>
      <w:lvlJc w:val="left"/>
      <w:pPr>
        <w:ind w:left="4680" w:hanging="360"/>
      </w:pPr>
      <w:rPr>
        <w:rFonts w:ascii="Symbol" w:hAnsi="Symbol" w:hint="default"/>
      </w:rPr>
    </w:lvl>
    <w:lvl w:ilvl="7" w:tplc="B1B298B0">
      <w:start w:val="1"/>
      <w:numFmt w:val="bullet"/>
      <w:lvlText w:val="o"/>
      <w:lvlJc w:val="left"/>
      <w:pPr>
        <w:ind w:left="5400" w:hanging="360"/>
      </w:pPr>
      <w:rPr>
        <w:rFonts w:ascii="Courier New" w:hAnsi="Courier New" w:hint="default"/>
      </w:rPr>
    </w:lvl>
    <w:lvl w:ilvl="8" w:tplc="3BCEAC52">
      <w:start w:val="1"/>
      <w:numFmt w:val="bullet"/>
      <w:lvlText w:val=""/>
      <w:lvlJc w:val="left"/>
      <w:pPr>
        <w:ind w:left="6120" w:hanging="360"/>
      </w:pPr>
      <w:rPr>
        <w:rFonts w:ascii="Wingdings" w:hAnsi="Wingdings" w:hint="default"/>
      </w:rPr>
    </w:lvl>
  </w:abstractNum>
  <w:abstractNum w:abstractNumId="18" w15:restartNumberingAfterBreak="0">
    <w:nsid w:val="52710DAF"/>
    <w:multiLevelType w:val="hybridMultilevel"/>
    <w:tmpl w:val="E968EF30"/>
    <w:lvl w:ilvl="0" w:tplc="751873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CD68B8"/>
    <w:multiLevelType w:val="hybridMultilevel"/>
    <w:tmpl w:val="6DD60B5C"/>
    <w:lvl w:ilvl="0" w:tplc="74D202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C6D"/>
    <w:multiLevelType w:val="hybridMultilevel"/>
    <w:tmpl w:val="6AC21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8F83E1B"/>
    <w:multiLevelType w:val="multilevel"/>
    <w:tmpl w:val="8D3CD766"/>
    <w:styleLink w:val="CPVOCorporateHeadings"/>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lowerLetter"/>
      <w:lvlText w:val="%4)"/>
      <w:lvlJc w:val="left"/>
      <w:pPr>
        <w:ind w:left="1134" w:hanging="567"/>
      </w:pPr>
    </w:lvl>
    <w:lvl w:ilvl="4">
      <w:start w:val="1"/>
      <w:numFmt w:val="lowerRoman"/>
      <w:lvlText w:val="%5."/>
      <w:lvlJc w:val="left"/>
      <w:pPr>
        <w:ind w:left="1418" w:hanging="567"/>
      </w:p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lvl>
    <w:lvl w:ilvl="8">
      <w:start w:val="1"/>
      <w:numFmt w:val="none"/>
      <w:lvlText w:val=""/>
      <w:lvlJc w:val="left"/>
      <w:pPr>
        <w:ind w:left="567" w:hanging="567"/>
      </w:pPr>
    </w:lvl>
  </w:abstractNum>
  <w:abstractNum w:abstractNumId="23" w15:restartNumberingAfterBreak="0">
    <w:nsid w:val="72736894"/>
    <w:multiLevelType w:val="hybridMultilevel"/>
    <w:tmpl w:val="94700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8486E"/>
    <w:multiLevelType w:val="hybridMultilevel"/>
    <w:tmpl w:val="78EEA76C"/>
    <w:lvl w:ilvl="0" w:tplc="67860300">
      <w:numFmt w:val="bullet"/>
      <w:lvlText w:val="-"/>
      <w:lvlJc w:val="left"/>
      <w:pPr>
        <w:ind w:left="720" w:hanging="360"/>
      </w:pPr>
      <w:rPr>
        <w:rFonts w:ascii="Arial" w:eastAsia="Times New Roman"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D4E04"/>
    <w:multiLevelType w:val="hybridMultilevel"/>
    <w:tmpl w:val="DD246356"/>
    <w:lvl w:ilvl="0" w:tplc="FFFFFFFF">
      <w:start w:val="1"/>
      <w:numFmt w:val="bullet"/>
      <w:lvlText w:val=""/>
      <w:lvlJc w:val="left"/>
      <w:pPr>
        <w:ind w:left="360" w:hanging="360"/>
      </w:pPr>
      <w:rPr>
        <w:rFonts w:ascii="Symbol" w:hAnsi="Symbol" w:hint="default"/>
      </w:rPr>
    </w:lvl>
    <w:lvl w:ilvl="1" w:tplc="14D44A20">
      <w:numFmt w:val="bullet"/>
      <w:lvlText w:val="-"/>
      <w:lvlJc w:val="left"/>
      <w:pPr>
        <w:ind w:left="1080" w:hanging="360"/>
      </w:pPr>
      <w:rPr>
        <w:rFonts w:ascii="Calibri" w:hAnsi="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5852329">
    <w:abstractNumId w:val="13"/>
  </w:num>
  <w:num w:numId="2" w16cid:durableId="820390211">
    <w:abstractNumId w:val="10"/>
  </w:num>
  <w:num w:numId="3" w16cid:durableId="195700018">
    <w:abstractNumId w:val="16"/>
  </w:num>
  <w:num w:numId="4" w16cid:durableId="631255129">
    <w:abstractNumId w:val="15"/>
  </w:num>
  <w:num w:numId="5" w16cid:durableId="2091460873">
    <w:abstractNumId w:val="23"/>
  </w:num>
  <w:num w:numId="6" w16cid:durableId="1623882118">
    <w:abstractNumId w:val="4"/>
  </w:num>
  <w:num w:numId="7" w16cid:durableId="1672878753">
    <w:abstractNumId w:val="21"/>
  </w:num>
  <w:num w:numId="8" w16cid:durableId="1343508402">
    <w:abstractNumId w:val="6"/>
  </w:num>
  <w:num w:numId="9" w16cid:durableId="751437087">
    <w:abstractNumId w:val="5"/>
  </w:num>
  <w:num w:numId="10" w16cid:durableId="691539312">
    <w:abstractNumId w:val="14"/>
  </w:num>
  <w:num w:numId="11" w16cid:durableId="996887175">
    <w:abstractNumId w:val="26"/>
  </w:num>
  <w:num w:numId="12" w16cid:durableId="1596745813">
    <w:abstractNumId w:val="8"/>
  </w:num>
  <w:num w:numId="13" w16cid:durableId="1254977474">
    <w:abstractNumId w:val="1"/>
  </w:num>
  <w:num w:numId="14" w16cid:durableId="346904036">
    <w:abstractNumId w:val="0"/>
  </w:num>
  <w:num w:numId="15" w16cid:durableId="804927285">
    <w:abstractNumId w:val="20"/>
  </w:num>
  <w:num w:numId="16" w16cid:durableId="2127456579">
    <w:abstractNumId w:val="19"/>
  </w:num>
  <w:num w:numId="17" w16cid:durableId="1762793525">
    <w:abstractNumId w:val="12"/>
  </w:num>
  <w:num w:numId="18" w16cid:durableId="1909880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16cid:durableId="1726946514">
    <w:abstractNumId w:val="7"/>
  </w:num>
  <w:num w:numId="20" w16cid:durableId="820199140">
    <w:abstractNumId w:val="3"/>
  </w:num>
  <w:num w:numId="21" w16cid:durableId="1263956686">
    <w:abstractNumId w:val="22"/>
  </w:num>
  <w:num w:numId="22" w16cid:durableId="1198470980">
    <w:abstractNumId w:val="9"/>
  </w:num>
  <w:num w:numId="23" w16cid:durableId="922840762">
    <w:abstractNumId w:val="17"/>
  </w:num>
  <w:num w:numId="24" w16cid:durableId="507214969">
    <w:abstractNumId w:val="18"/>
  </w:num>
  <w:num w:numId="25" w16cid:durableId="1103964198">
    <w:abstractNumId w:val="25"/>
  </w:num>
  <w:num w:numId="26" w16cid:durableId="416093597">
    <w:abstractNumId w:val="24"/>
  </w:num>
  <w:num w:numId="27" w16cid:durableId="619453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8" w16cid:durableId="1386219435">
    <w:abstractNumId w:val="7"/>
  </w:num>
  <w:num w:numId="29" w16cid:durableId="434711028">
    <w:abstractNumId w:val="3"/>
  </w:num>
  <w:num w:numId="30" w16cid:durableId="1810245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F9"/>
    <w:rsid w:val="00010CF3"/>
    <w:rsid w:val="00011E27"/>
    <w:rsid w:val="000148BC"/>
    <w:rsid w:val="00014A4D"/>
    <w:rsid w:val="00024AB8"/>
    <w:rsid w:val="00030854"/>
    <w:rsid w:val="00030C04"/>
    <w:rsid w:val="00036028"/>
    <w:rsid w:val="0004198B"/>
    <w:rsid w:val="00043BC6"/>
    <w:rsid w:val="00044642"/>
    <w:rsid w:val="000446B9"/>
    <w:rsid w:val="00047E21"/>
    <w:rsid w:val="00050E16"/>
    <w:rsid w:val="00085505"/>
    <w:rsid w:val="000C4E25"/>
    <w:rsid w:val="000C7021"/>
    <w:rsid w:val="000C760D"/>
    <w:rsid w:val="000D6BBC"/>
    <w:rsid w:val="000D7780"/>
    <w:rsid w:val="000E577F"/>
    <w:rsid w:val="000E636A"/>
    <w:rsid w:val="000F2F11"/>
    <w:rsid w:val="00100A5F"/>
    <w:rsid w:val="00105929"/>
    <w:rsid w:val="00110BED"/>
    <w:rsid w:val="00110C36"/>
    <w:rsid w:val="001131D5"/>
    <w:rsid w:val="00114547"/>
    <w:rsid w:val="00141DB8"/>
    <w:rsid w:val="00160C07"/>
    <w:rsid w:val="00172084"/>
    <w:rsid w:val="0017474A"/>
    <w:rsid w:val="001758C6"/>
    <w:rsid w:val="00182B99"/>
    <w:rsid w:val="001873C0"/>
    <w:rsid w:val="001C1525"/>
    <w:rsid w:val="001E2EEC"/>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414"/>
    <w:rsid w:val="002C256A"/>
    <w:rsid w:val="002D5226"/>
    <w:rsid w:val="002F40E2"/>
    <w:rsid w:val="00305A7F"/>
    <w:rsid w:val="003152FE"/>
    <w:rsid w:val="00327436"/>
    <w:rsid w:val="00344BD6"/>
    <w:rsid w:val="0035528D"/>
    <w:rsid w:val="00361821"/>
    <w:rsid w:val="00361E9E"/>
    <w:rsid w:val="00363EA2"/>
    <w:rsid w:val="003753EE"/>
    <w:rsid w:val="003A0835"/>
    <w:rsid w:val="003A5AAF"/>
    <w:rsid w:val="003B700A"/>
    <w:rsid w:val="003C7FBE"/>
    <w:rsid w:val="003D227C"/>
    <w:rsid w:val="003D2B4D"/>
    <w:rsid w:val="003D46E8"/>
    <w:rsid w:val="003F37F5"/>
    <w:rsid w:val="00426575"/>
    <w:rsid w:val="00435549"/>
    <w:rsid w:val="00444A88"/>
    <w:rsid w:val="00474DA4"/>
    <w:rsid w:val="00476B4D"/>
    <w:rsid w:val="004805FA"/>
    <w:rsid w:val="004825DF"/>
    <w:rsid w:val="00491F3A"/>
    <w:rsid w:val="004935D2"/>
    <w:rsid w:val="004B1215"/>
    <w:rsid w:val="004D047D"/>
    <w:rsid w:val="004F1E9E"/>
    <w:rsid w:val="004F305A"/>
    <w:rsid w:val="0050025F"/>
    <w:rsid w:val="0050312A"/>
    <w:rsid w:val="0050784D"/>
    <w:rsid w:val="00512164"/>
    <w:rsid w:val="00520297"/>
    <w:rsid w:val="005338F9"/>
    <w:rsid w:val="005361DF"/>
    <w:rsid w:val="0054281C"/>
    <w:rsid w:val="00544581"/>
    <w:rsid w:val="0055268D"/>
    <w:rsid w:val="005534FB"/>
    <w:rsid w:val="00573554"/>
    <w:rsid w:val="00575DE2"/>
    <w:rsid w:val="00576BE4"/>
    <w:rsid w:val="005779DB"/>
    <w:rsid w:val="005807CC"/>
    <w:rsid w:val="00585A6C"/>
    <w:rsid w:val="005A2A67"/>
    <w:rsid w:val="005A400A"/>
    <w:rsid w:val="005B269D"/>
    <w:rsid w:val="005E7466"/>
    <w:rsid w:val="005F7B92"/>
    <w:rsid w:val="00611E3E"/>
    <w:rsid w:val="00612379"/>
    <w:rsid w:val="006153B6"/>
    <w:rsid w:val="0061555F"/>
    <w:rsid w:val="006245ED"/>
    <w:rsid w:val="00636CA6"/>
    <w:rsid w:val="00641200"/>
    <w:rsid w:val="00645CA8"/>
    <w:rsid w:val="00655B2C"/>
    <w:rsid w:val="006655D3"/>
    <w:rsid w:val="00667404"/>
    <w:rsid w:val="00680454"/>
    <w:rsid w:val="00687EB4"/>
    <w:rsid w:val="00695C56"/>
    <w:rsid w:val="006A5CDE"/>
    <w:rsid w:val="006A644A"/>
    <w:rsid w:val="006B17D2"/>
    <w:rsid w:val="006C224E"/>
    <w:rsid w:val="006C554A"/>
    <w:rsid w:val="006D780A"/>
    <w:rsid w:val="00704ECF"/>
    <w:rsid w:val="0071271E"/>
    <w:rsid w:val="00732DEC"/>
    <w:rsid w:val="00735BD5"/>
    <w:rsid w:val="007451EC"/>
    <w:rsid w:val="0075023D"/>
    <w:rsid w:val="00751613"/>
    <w:rsid w:val="00753EE9"/>
    <w:rsid w:val="007556F6"/>
    <w:rsid w:val="007576AC"/>
    <w:rsid w:val="00760EEF"/>
    <w:rsid w:val="00777EE5"/>
    <w:rsid w:val="00784836"/>
    <w:rsid w:val="0079023E"/>
    <w:rsid w:val="00796674"/>
    <w:rsid w:val="007A2854"/>
    <w:rsid w:val="007B3B16"/>
    <w:rsid w:val="007C1D92"/>
    <w:rsid w:val="007C4CB9"/>
    <w:rsid w:val="007D0B9D"/>
    <w:rsid w:val="007D19B0"/>
    <w:rsid w:val="007F498F"/>
    <w:rsid w:val="0080679D"/>
    <w:rsid w:val="00807F84"/>
    <w:rsid w:val="008108B0"/>
    <w:rsid w:val="00811B20"/>
    <w:rsid w:val="00812609"/>
    <w:rsid w:val="008211B5"/>
    <w:rsid w:val="0082296E"/>
    <w:rsid w:val="00824099"/>
    <w:rsid w:val="00846D7C"/>
    <w:rsid w:val="00846ECA"/>
    <w:rsid w:val="00867AC1"/>
    <w:rsid w:val="00870800"/>
    <w:rsid w:val="00870E07"/>
    <w:rsid w:val="008751DE"/>
    <w:rsid w:val="00881837"/>
    <w:rsid w:val="00890DF8"/>
    <w:rsid w:val="008A0ADE"/>
    <w:rsid w:val="008A743F"/>
    <w:rsid w:val="008A76EB"/>
    <w:rsid w:val="008C0970"/>
    <w:rsid w:val="008C265D"/>
    <w:rsid w:val="008D0BC5"/>
    <w:rsid w:val="008D2CF7"/>
    <w:rsid w:val="00900C26"/>
    <w:rsid w:val="0090197F"/>
    <w:rsid w:val="00901A83"/>
    <w:rsid w:val="00903264"/>
    <w:rsid w:val="00906DDC"/>
    <w:rsid w:val="00934E09"/>
    <w:rsid w:val="00936253"/>
    <w:rsid w:val="00940D46"/>
    <w:rsid w:val="009413F1"/>
    <w:rsid w:val="00951234"/>
    <w:rsid w:val="00952DD4"/>
    <w:rsid w:val="009561F4"/>
    <w:rsid w:val="00963194"/>
    <w:rsid w:val="00965AE7"/>
    <w:rsid w:val="00970FED"/>
    <w:rsid w:val="00992D82"/>
    <w:rsid w:val="00997029"/>
    <w:rsid w:val="009A7339"/>
    <w:rsid w:val="009B440E"/>
    <w:rsid w:val="009C1029"/>
    <w:rsid w:val="009C2E2A"/>
    <w:rsid w:val="009D690D"/>
    <w:rsid w:val="009E65B6"/>
    <w:rsid w:val="009E6CFC"/>
    <w:rsid w:val="009F0A51"/>
    <w:rsid w:val="009F77CF"/>
    <w:rsid w:val="00A02985"/>
    <w:rsid w:val="00A11B27"/>
    <w:rsid w:val="00A24C10"/>
    <w:rsid w:val="00A3482B"/>
    <w:rsid w:val="00A42AC3"/>
    <w:rsid w:val="00A430CF"/>
    <w:rsid w:val="00A47004"/>
    <w:rsid w:val="00A54309"/>
    <w:rsid w:val="00A565F7"/>
    <w:rsid w:val="00A610A9"/>
    <w:rsid w:val="00A75A8F"/>
    <w:rsid w:val="00A776CE"/>
    <w:rsid w:val="00A80F2A"/>
    <w:rsid w:val="00A96C33"/>
    <w:rsid w:val="00AB2B93"/>
    <w:rsid w:val="00AB530F"/>
    <w:rsid w:val="00AB7B25"/>
    <w:rsid w:val="00AB7E3F"/>
    <w:rsid w:val="00AB7E5B"/>
    <w:rsid w:val="00AC2883"/>
    <w:rsid w:val="00AC4CB3"/>
    <w:rsid w:val="00AC7CF9"/>
    <w:rsid w:val="00AE0EF1"/>
    <w:rsid w:val="00AE0F86"/>
    <w:rsid w:val="00AE2937"/>
    <w:rsid w:val="00B07301"/>
    <w:rsid w:val="00B11F3E"/>
    <w:rsid w:val="00B149C1"/>
    <w:rsid w:val="00B224DE"/>
    <w:rsid w:val="00B324D4"/>
    <w:rsid w:val="00B437F1"/>
    <w:rsid w:val="00B46575"/>
    <w:rsid w:val="00B61777"/>
    <w:rsid w:val="00B622E6"/>
    <w:rsid w:val="00B83E82"/>
    <w:rsid w:val="00B84BBD"/>
    <w:rsid w:val="00B92B6A"/>
    <w:rsid w:val="00B96D1C"/>
    <w:rsid w:val="00BA43FB"/>
    <w:rsid w:val="00BC127D"/>
    <w:rsid w:val="00BC1FE6"/>
    <w:rsid w:val="00BD4958"/>
    <w:rsid w:val="00BD7707"/>
    <w:rsid w:val="00C04852"/>
    <w:rsid w:val="00C061B6"/>
    <w:rsid w:val="00C13FF9"/>
    <w:rsid w:val="00C2446C"/>
    <w:rsid w:val="00C36AE5"/>
    <w:rsid w:val="00C41F17"/>
    <w:rsid w:val="00C437A3"/>
    <w:rsid w:val="00C5099E"/>
    <w:rsid w:val="00C51777"/>
    <w:rsid w:val="00C527FA"/>
    <w:rsid w:val="00C5280D"/>
    <w:rsid w:val="00C53EB3"/>
    <w:rsid w:val="00C54592"/>
    <w:rsid w:val="00C548C5"/>
    <w:rsid w:val="00C5791C"/>
    <w:rsid w:val="00C66290"/>
    <w:rsid w:val="00C671EE"/>
    <w:rsid w:val="00C72B7A"/>
    <w:rsid w:val="00C973F2"/>
    <w:rsid w:val="00CA1DC6"/>
    <w:rsid w:val="00CA304C"/>
    <w:rsid w:val="00CA4883"/>
    <w:rsid w:val="00CA774A"/>
    <w:rsid w:val="00CB4921"/>
    <w:rsid w:val="00CC11B0"/>
    <w:rsid w:val="00CC2841"/>
    <w:rsid w:val="00CE1A15"/>
    <w:rsid w:val="00CF1330"/>
    <w:rsid w:val="00CF7E36"/>
    <w:rsid w:val="00D0106A"/>
    <w:rsid w:val="00D0232C"/>
    <w:rsid w:val="00D15B61"/>
    <w:rsid w:val="00D3708D"/>
    <w:rsid w:val="00D40426"/>
    <w:rsid w:val="00D57C96"/>
    <w:rsid w:val="00D57D18"/>
    <w:rsid w:val="00D70E65"/>
    <w:rsid w:val="00D76EA3"/>
    <w:rsid w:val="00D825A5"/>
    <w:rsid w:val="00D91203"/>
    <w:rsid w:val="00D94C27"/>
    <w:rsid w:val="00D95174"/>
    <w:rsid w:val="00DA4973"/>
    <w:rsid w:val="00DA6F36"/>
    <w:rsid w:val="00DB221A"/>
    <w:rsid w:val="00DB596E"/>
    <w:rsid w:val="00DB7773"/>
    <w:rsid w:val="00DC00EA"/>
    <w:rsid w:val="00DC3802"/>
    <w:rsid w:val="00DD08F8"/>
    <w:rsid w:val="00DD33D4"/>
    <w:rsid w:val="00DD6208"/>
    <w:rsid w:val="00DD7A3D"/>
    <w:rsid w:val="00DE08FF"/>
    <w:rsid w:val="00DF7E99"/>
    <w:rsid w:val="00E07D87"/>
    <w:rsid w:val="00E11902"/>
    <w:rsid w:val="00E15274"/>
    <w:rsid w:val="00E226C2"/>
    <w:rsid w:val="00E22A56"/>
    <w:rsid w:val="00E249C8"/>
    <w:rsid w:val="00E32F7E"/>
    <w:rsid w:val="00E370B6"/>
    <w:rsid w:val="00E40BF0"/>
    <w:rsid w:val="00E5267B"/>
    <w:rsid w:val="00E559F0"/>
    <w:rsid w:val="00E63340"/>
    <w:rsid w:val="00E63C0E"/>
    <w:rsid w:val="00E72D49"/>
    <w:rsid w:val="00E7593C"/>
    <w:rsid w:val="00E7678A"/>
    <w:rsid w:val="00E81332"/>
    <w:rsid w:val="00E935DB"/>
    <w:rsid w:val="00E935F1"/>
    <w:rsid w:val="00E94A81"/>
    <w:rsid w:val="00EA1FFB"/>
    <w:rsid w:val="00EB048E"/>
    <w:rsid w:val="00EB4E9C"/>
    <w:rsid w:val="00EC5B9C"/>
    <w:rsid w:val="00EC6CC5"/>
    <w:rsid w:val="00EE34DF"/>
    <w:rsid w:val="00EF2C22"/>
    <w:rsid w:val="00EF2F89"/>
    <w:rsid w:val="00EF5186"/>
    <w:rsid w:val="00EF7F1D"/>
    <w:rsid w:val="00F03E98"/>
    <w:rsid w:val="00F1237A"/>
    <w:rsid w:val="00F22CBD"/>
    <w:rsid w:val="00F272F1"/>
    <w:rsid w:val="00F31412"/>
    <w:rsid w:val="00F348BE"/>
    <w:rsid w:val="00F43E60"/>
    <w:rsid w:val="00F45372"/>
    <w:rsid w:val="00F560F7"/>
    <w:rsid w:val="00F6334D"/>
    <w:rsid w:val="00F63599"/>
    <w:rsid w:val="00F71781"/>
    <w:rsid w:val="00F728D0"/>
    <w:rsid w:val="00F826A8"/>
    <w:rsid w:val="00F91F35"/>
    <w:rsid w:val="00FA2721"/>
    <w:rsid w:val="00FA3C12"/>
    <w:rsid w:val="00FA49AB"/>
    <w:rsid w:val="00FA5386"/>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CC020"/>
  <w15:docId w15:val="{7B9F0F48-D4F7-4EA7-92E3-3F4FA625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uiPriority w:val="2"/>
    <w:qFormat/>
    <w:rsid w:val="003D46E8"/>
    <w:pPr>
      <w:keepNext/>
      <w:numPr>
        <w:numId w:val="30"/>
      </w:numPr>
      <w:ind w:left="0" w:firstLine="0"/>
      <w:jc w:val="both"/>
      <w:outlineLvl w:val="0"/>
    </w:pPr>
    <w:rPr>
      <w:rFonts w:ascii="Arial" w:hAnsi="Arial"/>
      <w:caps/>
    </w:rPr>
  </w:style>
  <w:style w:type="paragraph" w:styleId="Heading2">
    <w:name w:val="heading 2"/>
    <w:next w:val="Normal"/>
    <w:autoRedefine/>
    <w:uiPriority w:val="2"/>
    <w:qFormat/>
    <w:rsid w:val="00846ECA"/>
    <w:pPr>
      <w:keepNext/>
      <w:jc w:val="both"/>
      <w:outlineLvl w:val="1"/>
    </w:pPr>
    <w:rPr>
      <w:rFonts w:ascii="Arial" w:hAnsi="Arial"/>
      <w:u w:val="single"/>
    </w:rPr>
  </w:style>
  <w:style w:type="paragraph" w:styleId="Heading3">
    <w:name w:val="heading 3"/>
    <w:next w:val="Normal"/>
    <w:autoRedefine/>
    <w:uiPriority w:val="2"/>
    <w:qFormat/>
    <w:rsid w:val="00846ECA"/>
    <w:pPr>
      <w:keepNext/>
      <w:jc w:val="both"/>
      <w:outlineLvl w:val="2"/>
    </w:pPr>
    <w:rPr>
      <w:rFonts w:ascii="Arial" w:hAnsi="Arial"/>
      <w:i/>
    </w:rPr>
  </w:style>
  <w:style w:type="paragraph" w:styleId="Heading4">
    <w:name w:val="heading 4"/>
    <w:next w:val="Normal"/>
    <w:autoRedefine/>
    <w:uiPriority w:val="9"/>
    <w:qFormat/>
    <w:rsid w:val="00846ECA"/>
    <w:pPr>
      <w:keepNext/>
      <w:ind w:left="567"/>
      <w:jc w:val="both"/>
      <w:outlineLvl w:val="3"/>
    </w:pPr>
    <w:rPr>
      <w:rFonts w:ascii="Arial" w:hAnsi="Arial"/>
      <w:u w:val="single"/>
      <w:lang w:val="fr-FR"/>
    </w:rPr>
  </w:style>
  <w:style w:type="paragraph" w:styleId="Heading5">
    <w:name w:val="heading 5"/>
    <w:next w:val="Normal"/>
    <w:autoRedefine/>
    <w:uiPriority w:val="9"/>
    <w:qFormat/>
    <w:rsid w:val="00846EC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0E577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Normal"/>
    <w:link w:val="Heading7Char"/>
    <w:uiPriority w:val="9"/>
    <w:semiHidden/>
    <w:unhideWhenUsed/>
    <w:qFormat/>
    <w:rsid w:val="000E577F"/>
    <w:pPr>
      <w:keepNext w:val="0"/>
      <w:keepLines w:val="0"/>
      <w:spacing w:before="120" w:after="120"/>
      <w:ind w:left="1588" w:hanging="284"/>
      <w:jc w:val="left"/>
      <w:outlineLvl w:val="6"/>
    </w:pPr>
    <w:rPr>
      <w:rFonts w:ascii="Tahoma" w:eastAsia="Cambria" w:hAnsi="Tahoma" w:cs="Tahoma"/>
      <w:bCs/>
      <w:noProof/>
      <w:color w:val="auto"/>
      <w:spacing w:val="-3"/>
      <w:sz w:val="18"/>
      <w:szCs w:val="18"/>
      <w:lang w:val="fr-FR"/>
    </w:rPr>
  </w:style>
  <w:style w:type="paragraph" w:styleId="Heading8">
    <w:name w:val="heading 8"/>
    <w:basedOn w:val="Heading7"/>
    <w:next w:val="Normal"/>
    <w:link w:val="Heading8Char"/>
    <w:autoRedefine/>
    <w:uiPriority w:val="9"/>
    <w:semiHidden/>
    <w:unhideWhenUsed/>
    <w:qFormat/>
    <w:rsid w:val="000E577F"/>
    <w:pPr>
      <w:ind w:left="567" w:hanging="567"/>
      <w:outlineLvl w:val="7"/>
    </w:pPr>
  </w:style>
  <w:style w:type="paragraph" w:styleId="Heading9">
    <w:name w:val="heading 9"/>
    <w:basedOn w:val="Normal"/>
    <w:next w:val="Normal"/>
    <w:uiPriority w:val="9"/>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C04852"/>
    <w:pPr>
      <w:ind w:left="720"/>
      <w:contextualSpacing/>
    </w:pPr>
  </w:style>
  <w:style w:type="character" w:customStyle="1" w:styleId="Heading7Char">
    <w:name w:val="Heading 7 Char"/>
    <w:basedOn w:val="DefaultParagraphFont"/>
    <w:link w:val="Heading7"/>
    <w:uiPriority w:val="9"/>
    <w:semiHidden/>
    <w:rsid w:val="000E577F"/>
    <w:rPr>
      <w:rFonts w:ascii="Tahoma" w:eastAsia="Cambria" w:hAnsi="Tahoma" w:cs="Tahoma"/>
      <w:bCs/>
      <w:noProof/>
      <w:spacing w:val="-3"/>
      <w:sz w:val="18"/>
      <w:szCs w:val="18"/>
      <w:lang w:val="fr-FR"/>
    </w:rPr>
  </w:style>
  <w:style w:type="character" w:customStyle="1" w:styleId="Heading8Char">
    <w:name w:val="Heading 8 Char"/>
    <w:basedOn w:val="DefaultParagraphFont"/>
    <w:link w:val="Heading8"/>
    <w:uiPriority w:val="9"/>
    <w:semiHidden/>
    <w:rsid w:val="000E577F"/>
    <w:rPr>
      <w:rFonts w:ascii="Tahoma" w:eastAsia="Cambria" w:hAnsi="Tahoma" w:cs="Tahoma"/>
      <w:bCs/>
      <w:noProof/>
      <w:spacing w:val="-3"/>
      <w:sz w:val="18"/>
      <w:szCs w:val="18"/>
      <w:lang w:val="fr-FR"/>
    </w:rPr>
  </w:style>
  <w:style w:type="numbering" w:customStyle="1" w:styleId="CPVOCorporateHeadings">
    <w:name w:val="CPVO Corporate Headings"/>
    <w:uiPriority w:val="99"/>
    <w:rsid w:val="000E577F"/>
    <w:pPr>
      <w:numPr>
        <w:numId w:val="21"/>
      </w:numPr>
    </w:pPr>
  </w:style>
  <w:style w:type="character" w:customStyle="1" w:styleId="Heading6Char">
    <w:name w:val="Heading 6 Char"/>
    <w:basedOn w:val="DefaultParagraphFont"/>
    <w:link w:val="Heading6"/>
    <w:semiHidden/>
    <w:rsid w:val="000E577F"/>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2C2414"/>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ktuinbouw">
    <w:name w:val="Basistekst Naktuinbouw"/>
    <w:basedOn w:val="Normal"/>
    <w:qFormat/>
    <w:rsid w:val="00043BC6"/>
    <w:pPr>
      <w:spacing w:line="240" w:lineRule="atLeast"/>
      <w:jc w:val="left"/>
    </w:pPr>
    <w:rPr>
      <w:rFonts w:cs="Maiandra GD"/>
      <w:color w:val="000000" w:themeColor="text1"/>
      <w:szCs w:val="18"/>
      <w:lang w:val="nl-NL" w:eastAsia="nl-NL"/>
    </w:rPr>
  </w:style>
  <w:style w:type="paragraph" w:customStyle="1" w:styleId="Zwevend3eniveauNaktuinbouw">
    <w:name w:val="Zwevend 3e niveau Naktuinbouw"/>
    <w:basedOn w:val="Normal"/>
    <w:qFormat/>
    <w:rsid w:val="00796674"/>
    <w:pPr>
      <w:spacing w:line="240" w:lineRule="atLeast"/>
      <w:ind w:left="851"/>
      <w:jc w:val="left"/>
    </w:pPr>
    <w:rPr>
      <w:rFonts w:cs="Maiandra GD"/>
      <w:color w:val="000000" w:themeColor="text1"/>
      <w:szCs w:val="18"/>
      <w:lang w:val="nl-NL" w:eastAsia="nl-NL"/>
    </w:rPr>
  </w:style>
  <w:style w:type="character" w:styleId="UnresolvedMention">
    <w:name w:val="Unresolved Mention"/>
    <w:basedOn w:val="DefaultParagraphFont"/>
    <w:uiPriority w:val="99"/>
    <w:semiHidden/>
    <w:unhideWhenUsed/>
    <w:rsid w:val="00796674"/>
    <w:rPr>
      <w:color w:val="605E5C"/>
      <w:shd w:val="clear" w:color="auto" w:fill="E1DFDD"/>
    </w:rPr>
  </w:style>
  <w:style w:type="paragraph" w:styleId="Revision">
    <w:name w:val="Revision"/>
    <w:hidden/>
    <w:uiPriority w:val="99"/>
    <w:semiHidden/>
    <w:rsid w:val="0050312A"/>
    <w:rPr>
      <w:rFonts w:ascii="Arial" w:hAnsi="Arial"/>
    </w:rPr>
  </w:style>
  <w:style w:type="character" w:styleId="CommentReference">
    <w:name w:val="annotation reference"/>
    <w:basedOn w:val="DefaultParagraphFont"/>
    <w:semiHidden/>
    <w:unhideWhenUsed/>
    <w:rsid w:val="00F43E60"/>
    <w:rPr>
      <w:sz w:val="16"/>
      <w:szCs w:val="16"/>
    </w:rPr>
  </w:style>
  <w:style w:type="paragraph" w:styleId="CommentText">
    <w:name w:val="annotation text"/>
    <w:basedOn w:val="Normal"/>
    <w:link w:val="CommentTextChar"/>
    <w:unhideWhenUsed/>
    <w:rsid w:val="00F43E60"/>
  </w:style>
  <w:style w:type="character" w:customStyle="1" w:styleId="CommentTextChar">
    <w:name w:val="Comment Text Char"/>
    <w:basedOn w:val="DefaultParagraphFont"/>
    <w:link w:val="CommentText"/>
    <w:rsid w:val="00F43E60"/>
    <w:rPr>
      <w:rFonts w:ascii="Arial" w:hAnsi="Arial"/>
    </w:rPr>
  </w:style>
  <w:style w:type="paragraph" w:styleId="CommentSubject">
    <w:name w:val="annotation subject"/>
    <w:basedOn w:val="CommentText"/>
    <w:next w:val="CommentText"/>
    <w:link w:val="CommentSubjectChar"/>
    <w:semiHidden/>
    <w:unhideWhenUsed/>
    <w:rsid w:val="00F43E60"/>
    <w:rPr>
      <w:b/>
      <w:bCs/>
    </w:rPr>
  </w:style>
  <w:style w:type="character" w:customStyle="1" w:styleId="CommentSubjectChar">
    <w:name w:val="Comment Subject Char"/>
    <w:basedOn w:val="CommentTextChar"/>
    <w:link w:val="CommentSubject"/>
    <w:semiHidden/>
    <w:rsid w:val="00F43E60"/>
    <w:rPr>
      <w:rFonts w:ascii="Arial" w:hAnsi="Arial"/>
      <w:b/>
      <w:bCs/>
    </w:rPr>
  </w:style>
  <w:style w:type="numbering" w:customStyle="1" w:styleId="CPVOCorporateHeadings1">
    <w:name w:val="CPVO Corporate Headings1"/>
    <w:uiPriority w:val="99"/>
    <w:rsid w:val="003D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47977">
      <w:bodyDiv w:val="1"/>
      <w:marLeft w:val="0"/>
      <w:marRight w:val="0"/>
      <w:marTop w:val="0"/>
      <w:marBottom w:val="0"/>
      <w:divBdr>
        <w:top w:val="none" w:sz="0" w:space="0" w:color="auto"/>
        <w:left w:val="none" w:sz="0" w:space="0" w:color="auto"/>
        <w:bottom w:val="none" w:sz="0" w:space="0" w:color="auto"/>
        <w:right w:val="none" w:sz="0" w:space="0" w:color="auto"/>
      </w:divBdr>
    </w:div>
    <w:div w:id="1451851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eves.fr/newsletter-en/" TargetMode="External"/><Relationship Id="rId26" Type="http://schemas.openxmlformats.org/officeDocument/2006/relationships/header" Target="header5.xml"/><Relationship Id="rId39" Type="http://schemas.openxmlformats.org/officeDocument/2006/relationships/hyperlink" Target="https://www.h2020-invite.eu" TargetMode="External"/><Relationship Id="rId21" Type="http://schemas.openxmlformats.org/officeDocument/2006/relationships/hyperlink" Target="mailto:inov@geves.fr" TargetMode="External"/><Relationship Id="rId34" Type="http://schemas.openxmlformats.org/officeDocument/2006/relationships/header" Target="header9.xml"/><Relationship Id="rId42"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ves.fr/catalogue-france/" TargetMode="External"/><Relationship Id="rId20" Type="http://schemas.openxmlformats.org/officeDocument/2006/relationships/hyperlink" Target="mailto:camille.zitter@geves.fr" TargetMode="External"/><Relationship Id="rId29" Type="http://schemas.openxmlformats.org/officeDocument/2006/relationships/header" Target="header7.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o.europa.eu/en/about-us/what-we-do/statistics" TargetMode="External"/><Relationship Id="rId24" Type="http://schemas.openxmlformats.org/officeDocument/2006/relationships/hyperlink" Target="https://www.upov.int/edocs/mdocs/upov/en/tc_60/tc_60_presentation_4.pdf" TargetMode="External"/><Relationship Id="rId32" Type="http://schemas.openxmlformats.org/officeDocument/2006/relationships/hyperlink" Target="mailto:l.pinan.gonzalez@naktuinbouw.nl" TargetMode="External"/><Relationship Id="rId37" Type="http://schemas.openxmlformats.org/officeDocument/2006/relationships/hyperlink" Target="http://www.afbini.gov.uk" TargetMode="External"/><Relationship Id="rId40" Type="http://schemas.openxmlformats.org/officeDocument/2006/relationships/hyperlink" Target="http://www.h2020innovar.eu" TargetMode="External"/><Relationship Id="rId5" Type="http://schemas.openxmlformats.org/officeDocument/2006/relationships/webSettings" Target="webSettings.xml"/><Relationship Id="rId15" Type="http://schemas.openxmlformats.org/officeDocument/2006/relationships/hyperlink" Target="http://www.geves.fr" TargetMode="External"/><Relationship Id="rId23" Type="http://schemas.openxmlformats.org/officeDocument/2006/relationships/hyperlink" Target="mailto:rene.mathis@geves.fr" TargetMode="External"/><Relationship Id="rId28" Type="http://schemas.openxmlformats.org/officeDocument/2006/relationships/hyperlink" Target="https://www.maff.go.jp/j/shokusan/hinshu/info/sinsa_kijun_jp.html" TargetMode="External"/><Relationship Id="rId36" Type="http://schemas.openxmlformats.org/officeDocument/2006/relationships/hyperlink" Target="http://www.niab.com" TargetMode="External"/><Relationship Id="rId10" Type="http://schemas.openxmlformats.org/officeDocument/2006/relationships/header" Target="header2.xml"/><Relationship Id="rId19" Type="http://schemas.openxmlformats.org/officeDocument/2006/relationships/hyperlink" Target="mailto:clarisse.leclair@geves.fr" TargetMode="External"/><Relationship Id="rId31" Type="http://schemas.openxmlformats.org/officeDocument/2006/relationships/hyperlink" Target="https://www.naktuinbouw.com/knowledge-education/training-courses/plant-breeders-rights-for-food-security-and-economic-developmen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online.plantvarieties.eu/publication" TargetMode="External"/><Relationship Id="rId27" Type="http://schemas.openxmlformats.org/officeDocument/2006/relationships/header" Target="header6.xml"/><Relationship Id="rId30" Type="http://schemas.openxmlformats.org/officeDocument/2006/relationships/hyperlink" Target="mailto:PVPToolbox@naktuinbouw.nl" TargetMode="External"/><Relationship Id="rId35" Type="http://schemas.openxmlformats.org/officeDocument/2006/relationships/hyperlink" Target="https://www.gov.uk/guidance/plant-breeders-rights"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pvo.europa.eu/en/about-us/what-we-do/research-and-development" TargetMode="External"/><Relationship Id="rId17" Type="http://schemas.openxmlformats.org/officeDocument/2006/relationships/hyperlink" Target="https://www.geves.fr/newsletter-en/" TargetMode="External"/><Relationship Id="rId25" Type="http://schemas.openxmlformats.org/officeDocument/2006/relationships/hyperlink" Target="mailto:sophie.perrot@geves.fr" TargetMode="External"/><Relationship Id="rId33" Type="http://schemas.openxmlformats.org/officeDocument/2006/relationships/header" Target="header8.xml"/><Relationship Id="rId38" Type="http://schemas.openxmlformats.org/officeDocument/2006/relationships/hyperlink" Target="http://www.sasa.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6\Template\routing_slip_with_doc_two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routing_slip_with_doc_two_56</Template>
  <TotalTime>21</TotalTime>
  <Pages>10</Pages>
  <Words>4137</Words>
  <Characters>24514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TWO/56/</vt:lpstr>
    </vt:vector>
  </TitlesOfParts>
  <Company>UPOV</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TWO/57/2</dc:title>
  <dc:creator>MAY Jessica</dc:creator>
  <cp:lastModifiedBy>MAY Jessica</cp:lastModifiedBy>
  <cp:revision>13</cp:revision>
  <cp:lastPrinted>2016-11-22T15:41:00Z</cp:lastPrinted>
  <dcterms:created xsi:type="dcterms:W3CDTF">2025-04-01T14:23:00Z</dcterms:created>
  <dcterms:modified xsi:type="dcterms:W3CDTF">2025-04-16T09:15:00Z</dcterms:modified>
</cp:coreProperties>
</file>