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3C88D64" w14:textId="77777777" w:rsidTr="00EB4E9C">
        <w:tc>
          <w:tcPr>
            <w:tcW w:w="6522" w:type="dxa"/>
          </w:tcPr>
          <w:p w14:paraId="541B0F9A" w14:textId="77777777" w:rsidR="00DC3802" w:rsidRPr="00AC2883" w:rsidRDefault="00DC3802" w:rsidP="00AC2883">
            <w:r w:rsidRPr="00D250C5">
              <w:rPr>
                <w:noProof/>
              </w:rPr>
              <w:drawing>
                <wp:inline distT="0" distB="0" distL="0" distR="0" wp14:anchorId="1AA0B730" wp14:editId="22A072A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D32753E" w14:textId="77777777" w:rsidR="00DC3802" w:rsidRPr="007C1D92" w:rsidRDefault="00DC3802" w:rsidP="00AC2883">
            <w:pPr>
              <w:pStyle w:val="Lettrine"/>
            </w:pPr>
            <w:r w:rsidRPr="00172084">
              <w:t>E</w:t>
            </w:r>
          </w:p>
        </w:tc>
      </w:tr>
      <w:tr w:rsidR="00DC3802" w:rsidRPr="00DA4973" w14:paraId="328BDD88" w14:textId="77777777" w:rsidTr="00645CA8">
        <w:trPr>
          <w:trHeight w:val="219"/>
        </w:trPr>
        <w:tc>
          <w:tcPr>
            <w:tcW w:w="6522" w:type="dxa"/>
          </w:tcPr>
          <w:p w14:paraId="3FE4DBD7" w14:textId="77777777" w:rsidR="00DC3802" w:rsidRPr="00AC2883" w:rsidRDefault="00DC3802" w:rsidP="00AC2883">
            <w:pPr>
              <w:pStyle w:val="upove"/>
            </w:pPr>
            <w:r w:rsidRPr="00AC2883">
              <w:t>International Union for the Protection of New Varieties of Plants</w:t>
            </w:r>
          </w:p>
        </w:tc>
        <w:tc>
          <w:tcPr>
            <w:tcW w:w="3117" w:type="dxa"/>
          </w:tcPr>
          <w:p w14:paraId="49D2AEE2" w14:textId="77777777" w:rsidR="00DC3802" w:rsidRPr="00DA4973" w:rsidRDefault="00DC3802" w:rsidP="00DA4973"/>
        </w:tc>
      </w:tr>
    </w:tbl>
    <w:p w14:paraId="3ABE848C" w14:textId="77777777" w:rsidR="00DC3802" w:rsidRDefault="00DC3802" w:rsidP="00DC3802"/>
    <w:p w14:paraId="39EFB60B" w14:textId="77777777"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14:paraId="591F2B44" w14:textId="77777777" w:rsidTr="004226CC">
        <w:tc>
          <w:tcPr>
            <w:tcW w:w="6512" w:type="dxa"/>
          </w:tcPr>
          <w:p w14:paraId="3C278CE7" w14:textId="77777777" w:rsidR="002172DA" w:rsidRPr="00AC2883" w:rsidRDefault="002172DA" w:rsidP="004226CC">
            <w:pPr>
              <w:pStyle w:val="Sessiontc"/>
            </w:pPr>
            <w:r w:rsidRPr="00E70039">
              <w:t xml:space="preserve">Technical Working Party for </w:t>
            </w:r>
            <w:r w:rsidRPr="00EE41AF">
              <w:t>Ornamental Plants and Forest Trees</w:t>
            </w:r>
          </w:p>
          <w:p w14:paraId="545549A4" w14:textId="77777777" w:rsidR="002172DA" w:rsidRPr="00DC3802" w:rsidRDefault="002172DA" w:rsidP="0075023D">
            <w:pPr>
              <w:pStyle w:val="Sessiontcplacedate"/>
              <w:rPr>
                <w:sz w:val="22"/>
              </w:rPr>
            </w:pPr>
            <w:r>
              <w:t>Fifty-</w:t>
            </w:r>
            <w:r w:rsidR="00BD7707">
              <w:t>Six</w:t>
            </w:r>
            <w:r w:rsidR="0075023D">
              <w:t>th</w:t>
            </w:r>
            <w:r>
              <w:t xml:space="preserve"> </w:t>
            </w:r>
            <w:r w:rsidRPr="00DA4973">
              <w:t>Session</w:t>
            </w:r>
            <w:r w:rsidRPr="00DA4973">
              <w:br/>
            </w:r>
            <w:r w:rsidR="0075023D">
              <w:t>Virtual meeting</w:t>
            </w:r>
            <w:r w:rsidRPr="00514A2A">
              <w:t xml:space="preserve">, </w:t>
            </w:r>
            <w:r w:rsidR="00BD7707">
              <w:t>April 29</w:t>
            </w:r>
            <w:r w:rsidRPr="00514A2A">
              <w:t xml:space="preserve"> to</w:t>
            </w:r>
            <w:r w:rsidR="00BD7707">
              <w:t xml:space="preserve"> May</w:t>
            </w:r>
            <w:r w:rsidRPr="00514A2A">
              <w:t xml:space="preserve"> </w:t>
            </w:r>
            <w:r w:rsidR="00AC4CB3">
              <w:t>2</w:t>
            </w:r>
            <w:r w:rsidRPr="00514A2A">
              <w:t>, 202</w:t>
            </w:r>
            <w:r w:rsidR="00BD7707">
              <w:t>4</w:t>
            </w:r>
          </w:p>
        </w:tc>
        <w:tc>
          <w:tcPr>
            <w:tcW w:w="3127" w:type="dxa"/>
          </w:tcPr>
          <w:p w14:paraId="66F6FC9B" w14:textId="01CAA418" w:rsidR="002172DA" w:rsidRPr="003C7FBE" w:rsidRDefault="002172DA" w:rsidP="004226CC">
            <w:pPr>
              <w:pStyle w:val="Doccode"/>
            </w:pPr>
            <w:r>
              <w:t>TWO</w:t>
            </w:r>
            <w:r w:rsidRPr="00AC2883">
              <w:t>/</w:t>
            </w:r>
            <w:r>
              <w:t>5</w:t>
            </w:r>
            <w:r w:rsidR="00BD7707">
              <w:t>6</w:t>
            </w:r>
            <w:r w:rsidRPr="00AC2883">
              <w:t>/</w:t>
            </w:r>
            <w:r w:rsidR="00F16B7A">
              <w:t>8</w:t>
            </w:r>
          </w:p>
          <w:p w14:paraId="2C45B2F5" w14:textId="77777777" w:rsidR="002172DA" w:rsidRPr="003C7FBE" w:rsidRDefault="002172DA" w:rsidP="004226CC">
            <w:pPr>
              <w:pStyle w:val="Docoriginal"/>
            </w:pPr>
            <w:r w:rsidRPr="00AC2883">
              <w:t>Original:</w:t>
            </w:r>
            <w:r w:rsidRPr="000E636A">
              <w:rPr>
                <w:b w:val="0"/>
                <w:spacing w:val="0"/>
              </w:rPr>
              <w:t xml:space="preserve">  English</w:t>
            </w:r>
          </w:p>
          <w:p w14:paraId="08EF2305" w14:textId="3FE42258" w:rsidR="002172DA" w:rsidRPr="007C1D92" w:rsidRDefault="002172DA" w:rsidP="0075023D">
            <w:pPr>
              <w:pStyle w:val="Docoriginal"/>
            </w:pPr>
            <w:r w:rsidRPr="00AC2883">
              <w:t>Date:</w:t>
            </w:r>
            <w:r w:rsidRPr="000E636A">
              <w:rPr>
                <w:b w:val="0"/>
                <w:spacing w:val="0"/>
              </w:rPr>
              <w:t xml:space="preserve">  </w:t>
            </w:r>
            <w:r w:rsidR="00274EEC" w:rsidRPr="007E0A13">
              <w:rPr>
                <w:b w:val="0"/>
                <w:spacing w:val="0"/>
              </w:rPr>
              <w:t>April 2</w:t>
            </w:r>
            <w:r w:rsidR="007E0A13" w:rsidRPr="007E0A13">
              <w:rPr>
                <w:b w:val="0"/>
                <w:spacing w:val="0"/>
              </w:rPr>
              <w:t>9</w:t>
            </w:r>
            <w:r w:rsidRPr="007E0A13">
              <w:rPr>
                <w:b w:val="0"/>
                <w:spacing w:val="0"/>
              </w:rPr>
              <w:t>, 202</w:t>
            </w:r>
            <w:r w:rsidR="00BD7707" w:rsidRPr="007E0A13">
              <w:rPr>
                <w:b w:val="0"/>
                <w:spacing w:val="0"/>
              </w:rPr>
              <w:t>4</w:t>
            </w:r>
          </w:p>
        </w:tc>
      </w:tr>
    </w:tbl>
    <w:p w14:paraId="1425965B" w14:textId="77777777" w:rsidR="00274EEC" w:rsidRPr="006A644A" w:rsidRDefault="00274EEC" w:rsidP="00274EEC">
      <w:pPr>
        <w:pStyle w:val="Titleofdoc0"/>
      </w:pPr>
      <w:bookmarkStart w:id="0" w:name="TitleOfDoc"/>
      <w:bookmarkEnd w:id="0"/>
      <w:r w:rsidRPr="004D74AF">
        <w:t>comments on guidance and information materials</w:t>
      </w:r>
    </w:p>
    <w:p w14:paraId="0105EF4A" w14:textId="77777777" w:rsidR="00274EEC" w:rsidRPr="006A644A" w:rsidRDefault="00274EEC" w:rsidP="00274EEC">
      <w:pPr>
        <w:pStyle w:val="preparedby1"/>
      </w:pPr>
      <w:bookmarkStart w:id="1" w:name="Prepared"/>
      <w:bookmarkEnd w:id="1"/>
      <w:r w:rsidRPr="000C4E25">
        <w:t>Document prepared by the Office of the Union</w:t>
      </w:r>
    </w:p>
    <w:p w14:paraId="5BB98F45" w14:textId="77777777" w:rsidR="00274EEC" w:rsidRPr="006A644A" w:rsidRDefault="00274EEC" w:rsidP="00274EEC">
      <w:pPr>
        <w:pStyle w:val="Disclaimer"/>
      </w:pPr>
      <w:r w:rsidRPr="006A644A">
        <w:t>Disclaimer:  this document does not represent UPOV policies or guidance</w:t>
      </w:r>
    </w:p>
    <w:p w14:paraId="78BA3C68" w14:textId="0439E391" w:rsidR="00274EEC" w:rsidRPr="004D74AF" w:rsidRDefault="00274EEC" w:rsidP="00274EEC">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t>), at its fifty-eighth session</w:t>
      </w:r>
      <w:r>
        <w:rPr>
          <w:rStyle w:val="FootnoteReference"/>
        </w:rPr>
        <w:footnoteReference w:id="2"/>
      </w:r>
      <w:r>
        <w:t>.</w:t>
      </w:r>
    </w:p>
    <w:p w14:paraId="1BAC4E21" w14:textId="77777777" w:rsidR="00274EEC" w:rsidRPr="004D74AF" w:rsidRDefault="00274EEC" w:rsidP="00274EEC"/>
    <w:p w14:paraId="3C3E14A4" w14:textId="77777777" w:rsidR="00274EEC" w:rsidRPr="004D74AF" w:rsidRDefault="00274EEC" w:rsidP="00274EEC">
      <w:r w:rsidRPr="004D74AF">
        <w:fldChar w:fldCharType="begin"/>
      </w:r>
      <w:r w:rsidRPr="004D74AF">
        <w:instrText xml:space="preserve"> AUTONUM  </w:instrText>
      </w:r>
      <w:r w:rsidRPr="004D74AF">
        <w:fldChar w:fldCharType="end"/>
      </w:r>
      <w:r w:rsidRPr="004D74AF">
        <w:tab/>
        <w:t>The structure of this document is as follows:</w:t>
      </w:r>
    </w:p>
    <w:p w14:paraId="34AAAA73" w14:textId="77777777" w:rsidR="00274EEC" w:rsidRPr="004D74AF" w:rsidRDefault="00274EEC" w:rsidP="00274EEC">
      <w:pPr>
        <w:rPr>
          <w:highlight w:val="yellow"/>
        </w:rPr>
      </w:pPr>
    </w:p>
    <w:p w14:paraId="0354B3ED" w14:textId="4EC46420" w:rsidR="004B69BD" w:rsidRDefault="00274EEC" w:rsidP="00F16B7A">
      <w:pPr>
        <w:pStyle w:val="TOC1"/>
        <w:rPr>
          <w:rFonts w:asciiTheme="minorHAnsi" w:eastAsiaTheme="minorEastAsia" w:hAnsiTheme="minorHAnsi" w:cstheme="minorBidi"/>
          <w:noProof/>
          <w:kern w:val="2"/>
          <w:sz w:val="22"/>
          <w:szCs w:val="22"/>
          <w14:ligatures w14:val="standardContextual"/>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65056359" w:history="1">
        <w:r w:rsidR="004B69BD" w:rsidRPr="00C60249">
          <w:rPr>
            <w:rStyle w:val="Hyperlink"/>
            <w:noProof/>
          </w:rPr>
          <w:t>(a)</w:t>
        </w:r>
        <w:r w:rsidR="004B69BD">
          <w:rPr>
            <w:rFonts w:asciiTheme="minorHAnsi" w:eastAsiaTheme="minorEastAsia" w:hAnsiTheme="minorHAnsi" w:cstheme="minorBidi"/>
            <w:noProof/>
            <w:kern w:val="2"/>
            <w:sz w:val="22"/>
            <w:szCs w:val="22"/>
            <w14:ligatures w14:val="standardContextual"/>
          </w:rPr>
          <w:tab/>
        </w:r>
        <w:r w:rsidR="004B69BD" w:rsidRPr="00C60249">
          <w:rPr>
            <w:rStyle w:val="Hyperlink"/>
            <w:noProof/>
          </w:rPr>
          <w:t>Explanatory Notes</w:t>
        </w:r>
        <w:r w:rsidR="004B69BD">
          <w:rPr>
            <w:noProof/>
            <w:webHidden/>
          </w:rPr>
          <w:tab/>
        </w:r>
        <w:r w:rsidR="004B69BD">
          <w:rPr>
            <w:noProof/>
            <w:webHidden/>
          </w:rPr>
          <w:fldChar w:fldCharType="begin"/>
        </w:r>
        <w:r w:rsidR="004B69BD">
          <w:rPr>
            <w:noProof/>
            <w:webHidden/>
          </w:rPr>
          <w:instrText xml:space="preserve"> PAGEREF _Toc165056359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63874F0F" w14:textId="4301B739" w:rsidR="004B69BD" w:rsidRDefault="00F16B7A">
      <w:pPr>
        <w:pStyle w:val="TOC2"/>
        <w:rPr>
          <w:rFonts w:asciiTheme="minorHAnsi" w:eastAsiaTheme="minorEastAsia" w:hAnsiTheme="minorHAnsi" w:cstheme="minorBidi"/>
          <w:smallCaps/>
          <w:noProof/>
          <w:kern w:val="2"/>
          <w:sz w:val="22"/>
          <w:szCs w:val="22"/>
          <w14:ligatures w14:val="standardContextual"/>
        </w:rPr>
      </w:pPr>
      <w:hyperlink w:anchor="_Toc165056360" w:history="1">
        <w:r w:rsidR="004B69BD" w:rsidRPr="00C60249">
          <w:rPr>
            <w:rStyle w:val="Hyperlink"/>
            <w:noProof/>
            <w:snapToGrid w:val="0"/>
          </w:rPr>
          <w:t>UPOV/EXN/DEN “Explanatory Notes on Variety Denominations under the UPOV Convention” (Revision)</w:t>
        </w:r>
        <w:r w:rsidR="004B69BD">
          <w:rPr>
            <w:noProof/>
            <w:webHidden/>
          </w:rPr>
          <w:tab/>
        </w:r>
        <w:r w:rsidR="004B69BD">
          <w:rPr>
            <w:noProof/>
            <w:webHidden/>
          </w:rPr>
          <w:fldChar w:fldCharType="begin"/>
        </w:r>
        <w:r w:rsidR="004B69BD">
          <w:rPr>
            <w:noProof/>
            <w:webHidden/>
          </w:rPr>
          <w:instrText xml:space="preserve"> PAGEREF _Toc165056360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58F0D0FF" w14:textId="596A155B"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1" w:history="1">
        <w:r w:rsidR="004B69BD" w:rsidRPr="00C60249">
          <w:rPr>
            <w:rStyle w:val="Hyperlink"/>
            <w:noProof/>
            <w:snapToGrid w:val="0"/>
          </w:rPr>
          <w:t xml:space="preserve">New variety denomination classes for Prunus and </w:t>
        </w:r>
        <w:r w:rsidR="004B69BD" w:rsidRPr="00C60249">
          <w:rPr>
            <w:rStyle w:val="Hyperlink"/>
            <w:noProof/>
          </w:rPr>
          <w:t>situations when a denomination should be compared with other classes within a genus</w:t>
        </w:r>
        <w:r w:rsidR="004B69BD">
          <w:rPr>
            <w:noProof/>
            <w:webHidden/>
          </w:rPr>
          <w:tab/>
        </w:r>
        <w:r w:rsidR="004B69BD">
          <w:rPr>
            <w:noProof/>
            <w:webHidden/>
          </w:rPr>
          <w:fldChar w:fldCharType="begin"/>
        </w:r>
        <w:r w:rsidR="004B69BD">
          <w:rPr>
            <w:noProof/>
            <w:webHidden/>
          </w:rPr>
          <w:instrText xml:space="preserve"> PAGEREF _Toc165056361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298EA965" w14:textId="2D9CC53E" w:rsidR="004B69BD" w:rsidRDefault="00F16B7A" w:rsidP="00F16B7A">
      <w:pPr>
        <w:pStyle w:val="TOC1"/>
        <w:rPr>
          <w:rFonts w:asciiTheme="minorHAnsi" w:eastAsiaTheme="minorEastAsia" w:hAnsiTheme="minorHAnsi" w:cstheme="minorBidi"/>
          <w:noProof/>
          <w:kern w:val="2"/>
          <w:sz w:val="22"/>
          <w:szCs w:val="22"/>
          <w14:ligatures w14:val="standardContextual"/>
        </w:rPr>
      </w:pPr>
      <w:hyperlink w:anchor="_Toc165056362" w:history="1">
        <w:r w:rsidR="004B69BD" w:rsidRPr="00C60249">
          <w:rPr>
            <w:rStyle w:val="Hyperlink"/>
            <w:noProof/>
          </w:rPr>
          <w:t>(b)</w:t>
        </w:r>
        <w:r w:rsidR="004B69BD">
          <w:rPr>
            <w:rFonts w:asciiTheme="minorHAnsi" w:eastAsiaTheme="minorEastAsia" w:hAnsiTheme="minorHAnsi" w:cstheme="minorBidi"/>
            <w:noProof/>
            <w:kern w:val="2"/>
            <w:sz w:val="22"/>
            <w:szCs w:val="22"/>
            <w14:ligatures w14:val="standardContextual"/>
          </w:rPr>
          <w:tab/>
        </w:r>
        <w:r w:rsidR="004B69BD" w:rsidRPr="00C60249">
          <w:rPr>
            <w:rStyle w:val="Hyperlink"/>
            <w:noProof/>
          </w:rPr>
          <w:t>TGP Documents</w:t>
        </w:r>
        <w:r w:rsidR="004B69BD">
          <w:rPr>
            <w:noProof/>
            <w:webHidden/>
          </w:rPr>
          <w:tab/>
        </w:r>
        <w:r w:rsidR="004B69BD">
          <w:rPr>
            <w:noProof/>
            <w:webHidden/>
          </w:rPr>
          <w:fldChar w:fldCharType="begin"/>
        </w:r>
        <w:r w:rsidR="004B69BD">
          <w:rPr>
            <w:noProof/>
            <w:webHidden/>
          </w:rPr>
          <w:instrText xml:space="preserve"> PAGEREF _Toc165056362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61054A9A" w14:textId="26F312AA" w:rsidR="004B69BD" w:rsidRDefault="00F16B7A">
      <w:pPr>
        <w:pStyle w:val="TOC2"/>
        <w:rPr>
          <w:rFonts w:asciiTheme="minorHAnsi" w:eastAsiaTheme="minorEastAsia" w:hAnsiTheme="minorHAnsi" w:cstheme="minorBidi"/>
          <w:smallCaps/>
          <w:noProof/>
          <w:kern w:val="2"/>
          <w:sz w:val="22"/>
          <w:szCs w:val="22"/>
          <w14:ligatures w14:val="standardContextual"/>
        </w:rPr>
      </w:pPr>
      <w:hyperlink w:anchor="_Toc165056363" w:history="1">
        <w:r w:rsidR="004B69BD" w:rsidRPr="00C60249">
          <w:rPr>
            <w:rStyle w:val="Hyperlink"/>
            <w:noProof/>
          </w:rPr>
          <w:t>TGP/5: Section 6 “UPOV Report on Technical Examination and UPOV Variety Description” (Revision)</w:t>
        </w:r>
        <w:r w:rsidR="004B69BD">
          <w:rPr>
            <w:noProof/>
            <w:webHidden/>
          </w:rPr>
          <w:tab/>
        </w:r>
        <w:r w:rsidR="004B69BD">
          <w:rPr>
            <w:noProof/>
            <w:webHidden/>
          </w:rPr>
          <w:fldChar w:fldCharType="begin"/>
        </w:r>
        <w:r w:rsidR="004B69BD">
          <w:rPr>
            <w:noProof/>
            <w:webHidden/>
          </w:rPr>
          <w:instrText xml:space="preserve"> PAGEREF _Toc165056363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230BD7A7" w14:textId="461E0BDB"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4" w:history="1">
        <w:r w:rsidR="004B69BD" w:rsidRPr="00C60249">
          <w:rPr>
            <w:rStyle w:val="Hyperlink"/>
            <w:noProof/>
            <w:snapToGrid w:val="0"/>
          </w:rPr>
          <w:t>Subsection “UPOV Variety Description”, item 16 “Similar varieties and differences from these varieties”</w:t>
        </w:r>
        <w:r w:rsidR="004B69BD">
          <w:rPr>
            <w:noProof/>
            <w:webHidden/>
          </w:rPr>
          <w:tab/>
        </w:r>
        <w:r w:rsidR="004B69BD">
          <w:rPr>
            <w:noProof/>
            <w:webHidden/>
          </w:rPr>
          <w:fldChar w:fldCharType="begin"/>
        </w:r>
        <w:r w:rsidR="004B69BD">
          <w:rPr>
            <w:noProof/>
            <w:webHidden/>
          </w:rPr>
          <w:instrText xml:space="preserve"> PAGEREF _Toc165056364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185CF61D" w14:textId="5B19D834"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5" w:history="1">
        <w:r w:rsidR="004B69BD" w:rsidRPr="00C60249">
          <w:rPr>
            <w:rStyle w:val="Hyperlink"/>
            <w:noProof/>
            <w:snapToGrid w:val="0"/>
          </w:rPr>
          <w:t>Subsection “UPOV Variety Description”, item 17 “Additional information”</w:t>
        </w:r>
        <w:r w:rsidR="004B69BD">
          <w:rPr>
            <w:noProof/>
            <w:webHidden/>
          </w:rPr>
          <w:tab/>
        </w:r>
        <w:r w:rsidR="004B69BD">
          <w:rPr>
            <w:noProof/>
            <w:webHidden/>
          </w:rPr>
          <w:fldChar w:fldCharType="begin"/>
        </w:r>
        <w:r w:rsidR="004B69BD">
          <w:rPr>
            <w:noProof/>
            <w:webHidden/>
          </w:rPr>
          <w:instrText xml:space="preserve"> PAGEREF _Toc165056365 \h </w:instrText>
        </w:r>
        <w:r w:rsidR="004B69BD">
          <w:rPr>
            <w:noProof/>
            <w:webHidden/>
          </w:rPr>
        </w:r>
        <w:r w:rsidR="004B69BD">
          <w:rPr>
            <w:noProof/>
            <w:webHidden/>
          </w:rPr>
          <w:fldChar w:fldCharType="separate"/>
        </w:r>
        <w:r w:rsidR="004B69BD">
          <w:rPr>
            <w:noProof/>
            <w:webHidden/>
          </w:rPr>
          <w:t>2</w:t>
        </w:r>
        <w:r w:rsidR="004B69BD">
          <w:rPr>
            <w:noProof/>
            <w:webHidden/>
          </w:rPr>
          <w:fldChar w:fldCharType="end"/>
        </w:r>
      </w:hyperlink>
    </w:p>
    <w:p w14:paraId="415A8536" w14:textId="28679DE7" w:rsidR="004B69BD" w:rsidRDefault="00F16B7A">
      <w:pPr>
        <w:pStyle w:val="TOC2"/>
        <w:rPr>
          <w:rFonts w:asciiTheme="minorHAnsi" w:eastAsiaTheme="minorEastAsia" w:hAnsiTheme="minorHAnsi" w:cstheme="minorBidi"/>
          <w:smallCaps/>
          <w:noProof/>
          <w:kern w:val="2"/>
          <w:sz w:val="22"/>
          <w:szCs w:val="22"/>
          <w14:ligatures w14:val="standardContextual"/>
        </w:rPr>
      </w:pPr>
      <w:hyperlink w:anchor="_Toc165056366" w:history="1">
        <w:r w:rsidR="004B69BD" w:rsidRPr="00C60249">
          <w:rPr>
            <w:rStyle w:val="Hyperlink"/>
            <w:noProof/>
          </w:rPr>
          <w:t>TGP/7 “Development of Test Guidelines” (Revision)</w:t>
        </w:r>
        <w:r w:rsidR="004B69BD">
          <w:rPr>
            <w:noProof/>
            <w:webHidden/>
          </w:rPr>
          <w:tab/>
        </w:r>
        <w:r w:rsidR="004B69BD">
          <w:rPr>
            <w:noProof/>
            <w:webHidden/>
          </w:rPr>
          <w:fldChar w:fldCharType="begin"/>
        </w:r>
        <w:r w:rsidR="004B69BD">
          <w:rPr>
            <w:noProof/>
            <w:webHidden/>
          </w:rPr>
          <w:instrText xml:space="preserve"> PAGEREF _Toc165056366 \h </w:instrText>
        </w:r>
        <w:r w:rsidR="004B69BD">
          <w:rPr>
            <w:noProof/>
            <w:webHidden/>
          </w:rPr>
        </w:r>
        <w:r w:rsidR="004B69BD">
          <w:rPr>
            <w:noProof/>
            <w:webHidden/>
          </w:rPr>
          <w:fldChar w:fldCharType="separate"/>
        </w:r>
        <w:r w:rsidR="004B69BD">
          <w:rPr>
            <w:noProof/>
            <w:webHidden/>
          </w:rPr>
          <w:t>3</w:t>
        </w:r>
        <w:r w:rsidR="004B69BD">
          <w:rPr>
            <w:noProof/>
            <w:webHidden/>
          </w:rPr>
          <w:fldChar w:fldCharType="end"/>
        </w:r>
      </w:hyperlink>
    </w:p>
    <w:p w14:paraId="48B537D1" w14:textId="0B2D0229"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7" w:history="1">
        <w:r w:rsidR="004B69BD" w:rsidRPr="00C60249">
          <w:rPr>
            <w:rStyle w:val="Hyperlink"/>
            <w:noProof/>
          </w:rPr>
          <w:t>Additional Standard Wording (ASW) 3 “Explanation of the growing cycle”</w:t>
        </w:r>
        <w:r w:rsidR="004B69BD">
          <w:rPr>
            <w:noProof/>
            <w:webHidden/>
          </w:rPr>
          <w:tab/>
        </w:r>
        <w:r w:rsidR="004B69BD">
          <w:rPr>
            <w:noProof/>
            <w:webHidden/>
          </w:rPr>
          <w:fldChar w:fldCharType="begin"/>
        </w:r>
        <w:r w:rsidR="004B69BD">
          <w:rPr>
            <w:noProof/>
            <w:webHidden/>
          </w:rPr>
          <w:instrText xml:space="preserve"> PAGEREF _Toc165056367 \h </w:instrText>
        </w:r>
        <w:r w:rsidR="004B69BD">
          <w:rPr>
            <w:noProof/>
            <w:webHidden/>
          </w:rPr>
        </w:r>
        <w:r w:rsidR="004B69BD">
          <w:rPr>
            <w:noProof/>
            <w:webHidden/>
          </w:rPr>
          <w:fldChar w:fldCharType="separate"/>
        </w:r>
        <w:r w:rsidR="004B69BD">
          <w:rPr>
            <w:noProof/>
            <w:webHidden/>
          </w:rPr>
          <w:t>3</w:t>
        </w:r>
        <w:r w:rsidR="004B69BD">
          <w:rPr>
            <w:noProof/>
            <w:webHidden/>
          </w:rPr>
          <w:fldChar w:fldCharType="end"/>
        </w:r>
      </w:hyperlink>
    </w:p>
    <w:p w14:paraId="6B2B268A" w14:textId="5AE7BE41"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8" w:history="1">
        <w:r w:rsidR="004B69BD" w:rsidRPr="00C60249">
          <w:rPr>
            <w:rStyle w:val="Hyperlink"/>
            <w:noProof/>
          </w:rPr>
          <w:t>Additional Standard Wording (ASW) 7(b) “Number of plants / parts of plants to be examined”</w:t>
        </w:r>
        <w:r w:rsidR="004B69BD">
          <w:rPr>
            <w:noProof/>
            <w:webHidden/>
          </w:rPr>
          <w:tab/>
        </w:r>
        <w:r w:rsidR="004B69BD">
          <w:rPr>
            <w:noProof/>
            <w:webHidden/>
          </w:rPr>
          <w:fldChar w:fldCharType="begin"/>
        </w:r>
        <w:r w:rsidR="004B69BD">
          <w:rPr>
            <w:noProof/>
            <w:webHidden/>
          </w:rPr>
          <w:instrText xml:space="preserve"> PAGEREF _Toc165056368 \h </w:instrText>
        </w:r>
        <w:r w:rsidR="004B69BD">
          <w:rPr>
            <w:noProof/>
            <w:webHidden/>
          </w:rPr>
        </w:r>
        <w:r w:rsidR="004B69BD">
          <w:rPr>
            <w:noProof/>
            <w:webHidden/>
          </w:rPr>
          <w:fldChar w:fldCharType="separate"/>
        </w:r>
        <w:r w:rsidR="004B69BD">
          <w:rPr>
            <w:noProof/>
            <w:webHidden/>
          </w:rPr>
          <w:t>3</w:t>
        </w:r>
        <w:r w:rsidR="004B69BD">
          <w:rPr>
            <w:noProof/>
            <w:webHidden/>
          </w:rPr>
          <w:fldChar w:fldCharType="end"/>
        </w:r>
      </w:hyperlink>
    </w:p>
    <w:p w14:paraId="71725F43" w14:textId="76FDECE3" w:rsidR="004B69BD" w:rsidRDefault="00F16B7A">
      <w:pPr>
        <w:pStyle w:val="TOC3"/>
        <w:rPr>
          <w:rFonts w:asciiTheme="minorHAnsi" w:eastAsiaTheme="minorEastAsia" w:hAnsiTheme="minorHAnsi" w:cstheme="minorBidi"/>
          <w:noProof/>
          <w:kern w:val="2"/>
          <w:sz w:val="22"/>
          <w:szCs w:val="22"/>
          <w:lang w:val="en-US"/>
          <w14:ligatures w14:val="standardContextual"/>
        </w:rPr>
      </w:pPr>
      <w:hyperlink w:anchor="_Toc165056369" w:history="1">
        <w:r w:rsidR="004B69BD" w:rsidRPr="00C60249">
          <w:rPr>
            <w:rStyle w:val="Hyperlink"/>
            <w:noProof/>
          </w:rPr>
          <w:t>Guidance Note (GN) 28 “Example Varieties” – Example varieties for asterisked quantitative characteristics when illustrations are provided</w:t>
        </w:r>
        <w:r w:rsidR="004B69BD">
          <w:rPr>
            <w:noProof/>
            <w:webHidden/>
          </w:rPr>
          <w:tab/>
        </w:r>
        <w:r w:rsidR="004B69BD">
          <w:rPr>
            <w:noProof/>
            <w:webHidden/>
          </w:rPr>
          <w:fldChar w:fldCharType="begin"/>
        </w:r>
        <w:r w:rsidR="004B69BD">
          <w:rPr>
            <w:noProof/>
            <w:webHidden/>
          </w:rPr>
          <w:instrText xml:space="preserve"> PAGEREF _Toc165056369 \h </w:instrText>
        </w:r>
        <w:r w:rsidR="004B69BD">
          <w:rPr>
            <w:noProof/>
            <w:webHidden/>
          </w:rPr>
        </w:r>
        <w:r w:rsidR="004B69BD">
          <w:rPr>
            <w:noProof/>
            <w:webHidden/>
          </w:rPr>
          <w:fldChar w:fldCharType="separate"/>
        </w:r>
        <w:r w:rsidR="004B69BD">
          <w:rPr>
            <w:noProof/>
            <w:webHidden/>
          </w:rPr>
          <w:t>3</w:t>
        </w:r>
        <w:r w:rsidR="004B69BD">
          <w:rPr>
            <w:noProof/>
            <w:webHidden/>
          </w:rPr>
          <w:fldChar w:fldCharType="end"/>
        </w:r>
      </w:hyperlink>
    </w:p>
    <w:p w14:paraId="4BBD732B" w14:textId="1FF780C4" w:rsidR="004B69BD" w:rsidRDefault="00F16B7A">
      <w:pPr>
        <w:pStyle w:val="TOC2"/>
        <w:rPr>
          <w:rFonts w:asciiTheme="minorHAnsi" w:eastAsiaTheme="minorEastAsia" w:hAnsiTheme="minorHAnsi" w:cstheme="minorBidi"/>
          <w:smallCaps/>
          <w:noProof/>
          <w:kern w:val="2"/>
          <w:sz w:val="22"/>
          <w:szCs w:val="22"/>
          <w14:ligatures w14:val="standardContextual"/>
        </w:rPr>
      </w:pPr>
      <w:hyperlink w:anchor="_Toc165056370" w:history="1">
        <w:r w:rsidR="004B69BD" w:rsidRPr="00C60249">
          <w:rPr>
            <w:rStyle w:val="Hyperlink"/>
            <w:noProof/>
          </w:rPr>
          <w:t>TGP/12: Guidance on Certain Physiological Characteristics</w:t>
        </w:r>
        <w:r w:rsidR="004B69BD">
          <w:rPr>
            <w:noProof/>
            <w:webHidden/>
          </w:rPr>
          <w:tab/>
        </w:r>
        <w:r w:rsidR="004B69BD">
          <w:rPr>
            <w:noProof/>
            <w:webHidden/>
          </w:rPr>
          <w:fldChar w:fldCharType="begin"/>
        </w:r>
        <w:r w:rsidR="004B69BD">
          <w:rPr>
            <w:noProof/>
            <w:webHidden/>
          </w:rPr>
          <w:instrText xml:space="preserve"> PAGEREF _Toc165056370 \h </w:instrText>
        </w:r>
        <w:r w:rsidR="004B69BD">
          <w:rPr>
            <w:noProof/>
            <w:webHidden/>
          </w:rPr>
        </w:r>
        <w:r w:rsidR="004B69BD">
          <w:rPr>
            <w:noProof/>
            <w:webHidden/>
          </w:rPr>
          <w:fldChar w:fldCharType="separate"/>
        </w:r>
        <w:r w:rsidR="004B69BD">
          <w:rPr>
            <w:noProof/>
            <w:webHidden/>
          </w:rPr>
          <w:t>3</w:t>
        </w:r>
        <w:r w:rsidR="004B69BD">
          <w:rPr>
            <w:noProof/>
            <w:webHidden/>
          </w:rPr>
          <w:fldChar w:fldCharType="end"/>
        </w:r>
      </w:hyperlink>
    </w:p>
    <w:p w14:paraId="3DF80CC4" w14:textId="734559A7" w:rsidR="004B69BD" w:rsidRDefault="00F16B7A" w:rsidP="00F16B7A">
      <w:pPr>
        <w:pStyle w:val="TOC1"/>
        <w:rPr>
          <w:rFonts w:asciiTheme="minorHAnsi" w:eastAsiaTheme="minorEastAsia" w:hAnsiTheme="minorHAnsi" w:cstheme="minorBidi"/>
          <w:noProof/>
          <w:kern w:val="2"/>
          <w:sz w:val="22"/>
          <w:szCs w:val="22"/>
          <w14:ligatures w14:val="standardContextual"/>
        </w:rPr>
      </w:pPr>
      <w:hyperlink w:anchor="_Toc165056371" w:history="1">
        <w:r w:rsidR="004B69BD" w:rsidRPr="00C60249">
          <w:rPr>
            <w:rStyle w:val="Hyperlink"/>
            <w:noProof/>
          </w:rPr>
          <w:t>(c)</w:t>
        </w:r>
        <w:r w:rsidR="004B69BD">
          <w:rPr>
            <w:rFonts w:asciiTheme="minorHAnsi" w:eastAsiaTheme="minorEastAsia" w:hAnsiTheme="minorHAnsi" w:cstheme="minorBidi"/>
            <w:noProof/>
            <w:kern w:val="2"/>
            <w:sz w:val="22"/>
            <w:szCs w:val="22"/>
            <w14:ligatures w14:val="standardContextual"/>
          </w:rPr>
          <w:tab/>
        </w:r>
        <w:r w:rsidR="004B69BD" w:rsidRPr="00C60249">
          <w:rPr>
            <w:rStyle w:val="Hyperlink"/>
            <w:noProof/>
          </w:rPr>
          <w:t>Access to plant material for the purpose of management of variety collections and DUS examination</w:t>
        </w:r>
        <w:r w:rsidR="004B69BD">
          <w:rPr>
            <w:noProof/>
            <w:webHidden/>
          </w:rPr>
          <w:tab/>
        </w:r>
        <w:r w:rsidR="004B69BD">
          <w:rPr>
            <w:noProof/>
            <w:webHidden/>
          </w:rPr>
          <w:fldChar w:fldCharType="begin"/>
        </w:r>
        <w:r w:rsidR="004B69BD">
          <w:rPr>
            <w:noProof/>
            <w:webHidden/>
          </w:rPr>
          <w:instrText xml:space="preserve"> PAGEREF _Toc165056371 \h </w:instrText>
        </w:r>
        <w:r w:rsidR="004B69BD">
          <w:rPr>
            <w:noProof/>
            <w:webHidden/>
          </w:rPr>
        </w:r>
        <w:r w:rsidR="004B69BD">
          <w:rPr>
            <w:noProof/>
            <w:webHidden/>
          </w:rPr>
          <w:fldChar w:fldCharType="separate"/>
        </w:r>
        <w:r w:rsidR="004B69BD">
          <w:rPr>
            <w:noProof/>
            <w:webHidden/>
          </w:rPr>
          <w:t>4</w:t>
        </w:r>
        <w:r w:rsidR="004B69BD">
          <w:rPr>
            <w:noProof/>
            <w:webHidden/>
          </w:rPr>
          <w:fldChar w:fldCharType="end"/>
        </w:r>
      </w:hyperlink>
    </w:p>
    <w:p w14:paraId="03B5D077" w14:textId="700E945D" w:rsidR="00274EEC" w:rsidRDefault="00274EEC" w:rsidP="00274EEC">
      <w:pPr>
        <w:jc w:val="left"/>
      </w:pPr>
      <w:r w:rsidRPr="004D74AF">
        <w:rPr>
          <w:rFonts w:cs="Arial"/>
          <w:bCs/>
          <w:caps/>
          <w:snapToGrid w:val="0"/>
          <w:sz w:val="18"/>
          <w:highlight w:val="yellow"/>
        </w:rPr>
        <w:fldChar w:fldCharType="end"/>
      </w:r>
    </w:p>
    <w:p w14:paraId="710B0C1E" w14:textId="77777777" w:rsidR="00274EEC" w:rsidRPr="004D74AF" w:rsidRDefault="00274EEC" w:rsidP="00274EEC">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The following abbreviations are used in this document:</w:t>
      </w:r>
    </w:p>
    <w:p w14:paraId="4FDCBF27" w14:textId="77777777" w:rsidR="00274EEC" w:rsidRPr="004D74AF" w:rsidRDefault="00274EEC" w:rsidP="00274EEC">
      <w:pPr>
        <w:jc w:val="left"/>
        <w:rPr>
          <w:rFonts w:cs="Arial"/>
          <w:color w:val="000000"/>
        </w:rPr>
      </w:pPr>
    </w:p>
    <w:p w14:paraId="629E1681" w14:textId="77777777" w:rsidR="00274EEC" w:rsidRPr="004D74AF" w:rsidRDefault="00274EEC" w:rsidP="00274EEC">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14:paraId="65D23CCF" w14:textId="77777777" w:rsidR="00274EEC" w:rsidRPr="004D74AF" w:rsidRDefault="00274EEC" w:rsidP="00274EEC">
      <w:pPr>
        <w:jc w:val="left"/>
        <w:rPr>
          <w:rFonts w:cs="Arial"/>
          <w:color w:val="000000"/>
        </w:rPr>
      </w:pPr>
      <w:r w:rsidRPr="004D74AF">
        <w:rPr>
          <w:rFonts w:cs="Arial"/>
          <w:color w:val="000000"/>
        </w:rPr>
        <w:t xml:space="preserve">TC-EDC:  </w:t>
      </w:r>
      <w:r w:rsidRPr="004D74AF">
        <w:rPr>
          <w:rFonts w:cs="Arial"/>
          <w:color w:val="000000"/>
        </w:rPr>
        <w:tab/>
        <w:t>Enlarged Editorial Committee</w:t>
      </w:r>
    </w:p>
    <w:p w14:paraId="4D73CB42" w14:textId="77777777" w:rsidR="00274EEC" w:rsidRPr="004D74AF" w:rsidRDefault="00274EEC" w:rsidP="00274EEC">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14:paraId="6E4978B1" w14:textId="77777777" w:rsidR="00274EEC" w:rsidRPr="004D74AF" w:rsidRDefault="00274EEC" w:rsidP="00274EEC">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14:paraId="13A816B7" w14:textId="77777777" w:rsidR="00274EEC" w:rsidRDefault="00274EEC" w:rsidP="00274EEC">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14:paraId="327C1A10" w14:textId="77777777" w:rsidR="00274EEC" w:rsidRPr="004D74AF" w:rsidRDefault="00274EEC" w:rsidP="00274EEC">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14:paraId="5E009866" w14:textId="77777777" w:rsidR="00274EEC" w:rsidRPr="004D74AF" w:rsidRDefault="00274EEC" w:rsidP="00274EEC">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14:paraId="57E370EC" w14:textId="77777777" w:rsidR="00274EEC" w:rsidRPr="004D74AF" w:rsidRDefault="00274EEC" w:rsidP="00274EEC">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14:paraId="4B6FEED7" w14:textId="77777777" w:rsidR="00274EEC" w:rsidRPr="004D74AF" w:rsidRDefault="00274EEC" w:rsidP="00274EEC">
      <w:pPr>
        <w:jc w:val="left"/>
        <w:rPr>
          <w:rFonts w:cs="Arial"/>
          <w:color w:val="000000"/>
        </w:rPr>
      </w:pPr>
      <w:r w:rsidRPr="004D74AF">
        <w:rPr>
          <w:rFonts w:cs="Arial"/>
          <w:color w:val="000000"/>
        </w:rPr>
        <w:t>TWPs:</w:t>
      </w:r>
      <w:r w:rsidRPr="004D74AF">
        <w:rPr>
          <w:rFonts w:cs="Arial"/>
          <w:color w:val="000000"/>
        </w:rPr>
        <w:tab/>
        <w:t>Technical Working Parties</w:t>
      </w:r>
    </w:p>
    <w:p w14:paraId="202A9788" w14:textId="77777777" w:rsidR="00274EEC" w:rsidRDefault="00274EEC" w:rsidP="00274EEC">
      <w:pPr>
        <w:jc w:val="left"/>
      </w:pPr>
    </w:p>
    <w:p w14:paraId="1D0405B0" w14:textId="77777777" w:rsidR="00274EEC" w:rsidRDefault="00274EEC" w:rsidP="00274EEC"/>
    <w:p w14:paraId="40756315" w14:textId="5C56A8D4" w:rsidR="00861BAC" w:rsidRPr="00861BAC" w:rsidRDefault="00861BAC" w:rsidP="00F16B7A">
      <w:pPr>
        <w:keepNext/>
        <w:rPr>
          <w:rFonts w:eastAsiaTheme="minorEastAsia"/>
        </w:rPr>
      </w:pPr>
      <w:r w:rsidRPr="00861BAC">
        <w:rPr>
          <w:rFonts w:eastAsiaTheme="minorEastAsia"/>
        </w:rPr>
        <w:lastRenderedPageBreak/>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document TWP/8/1</w:t>
      </w:r>
      <w:r w:rsidR="004B69BD">
        <w:rPr>
          <w:rFonts w:eastAsiaTheme="minorEastAsia"/>
        </w:rPr>
        <w:t xml:space="preserve"> (see document TWV/58/11 “Report”, paragraphs 5 to 27)</w:t>
      </w:r>
      <w:r w:rsidRPr="00861BAC">
        <w:rPr>
          <w:rFonts w:eastAsiaTheme="minorEastAsia"/>
        </w:rPr>
        <w:t>.</w:t>
      </w:r>
    </w:p>
    <w:p w14:paraId="726705C0" w14:textId="77777777" w:rsidR="00861BAC" w:rsidRPr="00861BAC" w:rsidRDefault="00861BAC" w:rsidP="00F16B7A">
      <w:pPr>
        <w:keepNext/>
        <w:rPr>
          <w:rFonts w:eastAsiaTheme="minorEastAsia"/>
        </w:rPr>
      </w:pPr>
    </w:p>
    <w:p w14:paraId="755490E1" w14:textId="77777777" w:rsidR="00861BAC" w:rsidRPr="00861BAC" w:rsidRDefault="00861BAC" w:rsidP="00F16B7A">
      <w:pPr>
        <w:pStyle w:val="Heading1"/>
        <w:rPr>
          <w:rFonts w:eastAsiaTheme="minorEastAsia"/>
        </w:rPr>
      </w:pPr>
      <w:bookmarkStart w:id="2" w:name="_Toc162975786"/>
      <w:bookmarkStart w:id="3" w:name="_Toc165056359"/>
      <w:r w:rsidRPr="00861BAC">
        <w:rPr>
          <w:rFonts w:eastAsiaTheme="minorEastAsia"/>
        </w:rPr>
        <w:t>(a)</w:t>
      </w:r>
      <w:r w:rsidRPr="00861BAC">
        <w:rPr>
          <w:rFonts w:eastAsiaTheme="minorEastAsia"/>
        </w:rPr>
        <w:tab/>
        <w:t>Explanatory Notes</w:t>
      </w:r>
      <w:bookmarkEnd w:id="2"/>
      <w:bookmarkEnd w:id="3"/>
    </w:p>
    <w:p w14:paraId="48470AF0" w14:textId="77777777" w:rsidR="00861BAC" w:rsidRPr="00861BAC" w:rsidRDefault="00861BAC" w:rsidP="00861BAC">
      <w:pPr>
        <w:keepNext/>
        <w:rPr>
          <w:rFonts w:eastAsiaTheme="minorEastAsia"/>
        </w:rPr>
      </w:pPr>
    </w:p>
    <w:p w14:paraId="687B751F" w14:textId="77777777" w:rsidR="00861BAC" w:rsidRPr="00861BAC" w:rsidRDefault="00861BAC" w:rsidP="00861BAC">
      <w:pPr>
        <w:pStyle w:val="Heading2"/>
        <w:rPr>
          <w:rFonts w:eastAsiaTheme="minorEastAsia"/>
          <w:snapToGrid w:val="0"/>
        </w:rPr>
      </w:pPr>
      <w:bookmarkStart w:id="4" w:name="_Hlk162627592"/>
      <w:bookmarkStart w:id="5" w:name="_Toc162975787"/>
      <w:bookmarkStart w:id="6" w:name="_Toc165056360"/>
      <w:r w:rsidRPr="00861BAC">
        <w:rPr>
          <w:rFonts w:eastAsiaTheme="minorEastAsia"/>
          <w:snapToGrid w:val="0"/>
        </w:rPr>
        <w:t>UPOV/EXN/DEN “Explanatory Notes on Variety Denominations under the UPOV Convention</w:t>
      </w:r>
      <w:bookmarkEnd w:id="4"/>
      <w:r w:rsidRPr="00861BAC">
        <w:rPr>
          <w:rFonts w:eastAsiaTheme="minorEastAsia"/>
          <w:snapToGrid w:val="0"/>
        </w:rPr>
        <w:t>” (Revision)</w:t>
      </w:r>
      <w:bookmarkEnd w:id="5"/>
      <w:bookmarkEnd w:id="6"/>
    </w:p>
    <w:p w14:paraId="63492198" w14:textId="77777777" w:rsidR="00861BAC" w:rsidRPr="00861BAC" w:rsidRDefault="00861BAC" w:rsidP="00861BAC">
      <w:pPr>
        <w:keepNext/>
        <w:rPr>
          <w:rFonts w:eastAsiaTheme="minorEastAsia"/>
        </w:rPr>
      </w:pPr>
    </w:p>
    <w:p w14:paraId="079A9D50" w14:textId="77777777" w:rsidR="00861BAC" w:rsidRPr="00861BAC" w:rsidRDefault="00861BAC" w:rsidP="00861BAC">
      <w:pPr>
        <w:pStyle w:val="Heading3"/>
        <w:rPr>
          <w:rFonts w:eastAsiaTheme="minorEastAsia"/>
          <w:snapToGrid w:val="0"/>
        </w:rPr>
      </w:pPr>
      <w:bookmarkStart w:id="7" w:name="_Toc162975788"/>
      <w:bookmarkStart w:id="8" w:name="_Toc165056361"/>
      <w:r w:rsidRPr="00861BAC">
        <w:rPr>
          <w:rFonts w:eastAsiaTheme="minorEastAsia"/>
          <w:snapToGrid w:val="0"/>
        </w:rPr>
        <w:t xml:space="preserve">New variety denomination classes for Prunus and </w:t>
      </w:r>
      <w:r w:rsidRPr="00861BAC">
        <w:rPr>
          <w:rFonts w:eastAsiaTheme="minorEastAsia"/>
        </w:rPr>
        <w:t xml:space="preserve">situations when a denomination should be compared with other classes within a </w:t>
      </w:r>
      <w:proofErr w:type="gramStart"/>
      <w:r w:rsidRPr="00861BAC">
        <w:rPr>
          <w:rFonts w:eastAsiaTheme="minorEastAsia"/>
        </w:rPr>
        <w:t>genus</w:t>
      </w:r>
      <w:bookmarkEnd w:id="7"/>
      <w:bookmarkEnd w:id="8"/>
      <w:proofErr w:type="gramEnd"/>
      <w:r w:rsidRPr="00861BAC">
        <w:rPr>
          <w:rFonts w:eastAsiaTheme="minorEastAsia"/>
        </w:rPr>
        <w:t xml:space="preserve"> </w:t>
      </w:r>
    </w:p>
    <w:p w14:paraId="5191B86A" w14:textId="77777777" w:rsidR="00861BAC" w:rsidRPr="00861BAC" w:rsidRDefault="00861BAC" w:rsidP="00861BAC">
      <w:pPr>
        <w:rPr>
          <w:rFonts w:eastAsiaTheme="minorEastAsia"/>
        </w:rPr>
      </w:pPr>
    </w:p>
    <w:p w14:paraId="5E5C96BE"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situations when a denomination should be compared with denominations in other classes within a genus or the entire genus, as set out in document TWP/8/1, paragraph 11.</w:t>
      </w:r>
    </w:p>
    <w:p w14:paraId="210FE7DE" w14:textId="77777777" w:rsidR="00861BAC" w:rsidRPr="00861BAC" w:rsidRDefault="00861BAC" w:rsidP="00861BAC">
      <w:pPr>
        <w:rPr>
          <w:rFonts w:eastAsiaTheme="minorEastAsia"/>
        </w:rPr>
      </w:pPr>
    </w:p>
    <w:p w14:paraId="7A3EF840"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 xml:space="preserve">The TWV agreed that the situation described for </w:t>
      </w:r>
      <w:r w:rsidRPr="00861BAC">
        <w:rPr>
          <w:rFonts w:eastAsiaTheme="minorEastAsia"/>
          <w:i/>
          <w:iCs/>
        </w:rPr>
        <w:t>Prunus</w:t>
      </w:r>
      <w:r w:rsidRPr="00861BAC">
        <w:rPr>
          <w:rFonts w:eastAsiaTheme="minorEastAsia"/>
        </w:rPr>
        <w:t xml:space="preserve"> would be applicable to denominations in other classes within a genus, </w:t>
      </w:r>
      <w:proofErr w:type="gramStart"/>
      <w:r w:rsidRPr="00861BAC">
        <w:rPr>
          <w:rFonts w:eastAsiaTheme="minorEastAsia"/>
        </w:rPr>
        <w:t>i.e.</w:t>
      </w:r>
      <w:proofErr w:type="gramEnd"/>
      <w:r w:rsidRPr="00861BAC">
        <w:rPr>
          <w:rFonts w:eastAsiaTheme="minorEastAsia"/>
        </w:rPr>
        <w:t xml:space="preserve"> denominations of interspecific hybrids should be different from those in the classes of all parent species; and denominations for varieties from one of the “Classes within a genus” should be different from denominations of interspecific hybrids with one parent in that class.</w:t>
      </w:r>
    </w:p>
    <w:p w14:paraId="5CC6AFD3" w14:textId="77777777" w:rsidR="00861BAC" w:rsidRPr="00861BAC" w:rsidRDefault="00861BAC" w:rsidP="00861BAC">
      <w:pPr>
        <w:rPr>
          <w:rFonts w:eastAsiaTheme="minorEastAsia"/>
        </w:rPr>
      </w:pPr>
    </w:p>
    <w:p w14:paraId="4D54262A" w14:textId="77777777" w:rsidR="00861BAC" w:rsidRPr="00861BAC" w:rsidRDefault="00861BAC" w:rsidP="00861BAC">
      <w:pPr>
        <w:rPr>
          <w:rFonts w:eastAsiaTheme="minorEastAsia"/>
        </w:rPr>
      </w:pPr>
    </w:p>
    <w:p w14:paraId="30490468" w14:textId="77777777" w:rsidR="00861BAC" w:rsidRPr="00861BAC" w:rsidRDefault="00861BAC" w:rsidP="00C5143F">
      <w:pPr>
        <w:pStyle w:val="Heading1"/>
        <w:rPr>
          <w:rFonts w:eastAsiaTheme="minorEastAsia"/>
        </w:rPr>
      </w:pPr>
      <w:bookmarkStart w:id="9" w:name="_Toc144998023"/>
      <w:bookmarkStart w:id="10" w:name="_Toc162975789"/>
      <w:bookmarkStart w:id="11" w:name="_Toc165056362"/>
      <w:r w:rsidRPr="00861BAC">
        <w:rPr>
          <w:rFonts w:eastAsiaTheme="minorEastAsia"/>
        </w:rPr>
        <w:t>(b)</w:t>
      </w:r>
      <w:r w:rsidRPr="00861BAC">
        <w:rPr>
          <w:rFonts w:eastAsiaTheme="minorEastAsia"/>
        </w:rPr>
        <w:tab/>
        <w:t>TGP Documents</w:t>
      </w:r>
      <w:bookmarkEnd w:id="9"/>
      <w:bookmarkEnd w:id="10"/>
      <w:bookmarkEnd w:id="11"/>
      <w:r w:rsidRPr="00861BAC">
        <w:rPr>
          <w:rFonts w:eastAsiaTheme="minorEastAsia"/>
        </w:rPr>
        <w:t xml:space="preserve"> </w:t>
      </w:r>
    </w:p>
    <w:p w14:paraId="7C3AD9E0" w14:textId="77777777" w:rsidR="00861BAC" w:rsidRPr="00861BAC" w:rsidRDefault="00861BAC" w:rsidP="00861BAC">
      <w:pPr>
        <w:keepNext/>
        <w:rPr>
          <w:rFonts w:eastAsiaTheme="minorEastAsia"/>
        </w:rPr>
      </w:pPr>
    </w:p>
    <w:p w14:paraId="78C56D3E" w14:textId="77777777" w:rsidR="00861BAC" w:rsidRPr="00861BAC" w:rsidRDefault="00861BAC" w:rsidP="00861BAC">
      <w:pPr>
        <w:pStyle w:val="Heading2"/>
        <w:rPr>
          <w:rFonts w:eastAsiaTheme="minorEastAsia"/>
        </w:rPr>
      </w:pPr>
      <w:bookmarkStart w:id="12" w:name="_Toc162975790"/>
      <w:bookmarkStart w:id="13" w:name="_Toc165056363"/>
      <w:r w:rsidRPr="00861BAC">
        <w:rPr>
          <w:rFonts w:eastAsiaTheme="minorEastAsia"/>
        </w:rPr>
        <w:t>TGP/5: Section 6 “UPOV Report on Technical Examination and UPOV Variety Description” (Revision)</w:t>
      </w:r>
      <w:bookmarkEnd w:id="12"/>
      <w:bookmarkEnd w:id="13"/>
    </w:p>
    <w:p w14:paraId="48FCE1ED" w14:textId="77777777" w:rsidR="00861BAC" w:rsidRPr="00861BAC" w:rsidRDefault="00861BAC" w:rsidP="00861BAC">
      <w:pPr>
        <w:keepNext/>
        <w:rPr>
          <w:rFonts w:eastAsiaTheme="minorEastAsia"/>
        </w:rPr>
      </w:pPr>
    </w:p>
    <w:p w14:paraId="28742B6C" w14:textId="77777777" w:rsidR="00861BAC" w:rsidRPr="00861BAC" w:rsidRDefault="00861BAC" w:rsidP="00C5143F">
      <w:pPr>
        <w:pStyle w:val="Heading3"/>
        <w:rPr>
          <w:rFonts w:eastAsiaTheme="minorEastAsia"/>
          <w:snapToGrid w:val="0"/>
        </w:rPr>
      </w:pPr>
      <w:bookmarkStart w:id="14" w:name="_Toc162975792"/>
      <w:bookmarkStart w:id="15" w:name="_Toc165056364"/>
      <w:r w:rsidRPr="00861BAC">
        <w:rPr>
          <w:rFonts w:eastAsiaTheme="minorEastAsia"/>
          <w:snapToGrid w:val="0"/>
        </w:rPr>
        <w:t>Subsection “UPOV Variety Description”, item 16 “Similar varieties and differences from these varieties”</w:t>
      </w:r>
      <w:bookmarkEnd w:id="14"/>
      <w:bookmarkEnd w:id="15"/>
    </w:p>
    <w:p w14:paraId="0BB29E69" w14:textId="77777777" w:rsidR="00861BAC" w:rsidRPr="00861BAC" w:rsidRDefault="00861BAC" w:rsidP="00861BAC">
      <w:pPr>
        <w:keepNext/>
        <w:rPr>
          <w:rFonts w:eastAsiaTheme="minorEastAsia"/>
        </w:rPr>
      </w:pPr>
    </w:p>
    <w:p w14:paraId="5E73E341" w14:textId="77777777" w:rsidR="00861BAC" w:rsidRPr="00861BAC" w:rsidRDefault="00861BAC" w:rsidP="00861BAC">
      <w:pPr>
        <w:keepNext/>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the additional explanations proposed for inclusion under Item 16 “Similar varieties and differences from these varieties” in the “UPOV Variety Description”, as set out in document TWP/8/1, paragraph 18.</w:t>
      </w:r>
    </w:p>
    <w:p w14:paraId="1EE22EE6" w14:textId="77777777" w:rsidR="00861BAC" w:rsidRPr="00861BAC" w:rsidRDefault="00861BAC" w:rsidP="00861BAC">
      <w:pPr>
        <w:rPr>
          <w:rFonts w:eastAsiaTheme="minorEastAsia"/>
        </w:rPr>
      </w:pPr>
    </w:p>
    <w:p w14:paraId="662DF1D0"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 xml:space="preserve">The TWV agreed that information on similar varieties and differences from the candidate variety were important to facilitate cooperation and the exchange of DUS test reports. </w:t>
      </w:r>
    </w:p>
    <w:p w14:paraId="0BA2A49D" w14:textId="77777777" w:rsidR="00861BAC" w:rsidRPr="00861BAC" w:rsidRDefault="00861BAC" w:rsidP="00861BAC">
      <w:pPr>
        <w:rPr>
          <w:rFonts w:eastAsiaTheme="minorEastAsia"/>
        </w:rPr>
      </w:pPr>
    </w:p>
    <w:p w14:paraId="7991CBA9"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 xml:space="preserve">The TWV agreed that it would not be practical to report in a variety description all the varieties in a collection or a list of varieties tested along with a candidate variety.  </w:t>
      </w:r>
    </w:p>
    <w:p w14:paraId="693F0E2D" w14:textId="77777777" w:rsidR="00861BAC" w:rsidRPr="00861BAC" w:rsidRDefault="00861BAC" w:rsidP="00861BAC">
      <w:pPr>
        <w:rPr>
          <w:rFonts w:eastAsiaTheme="minorEastAsia"/>
        </w:rPr>
      </w:pPr>
    </w:p>
    <w:p w14:paraId="330FB0E3"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that variety descriptions should always provide information on most similar varieties, even if it was a parent or sibling of the candidate.  The TWV agreed that the lack of information in item 16 led to uncertainty whether the variety description had been duly filled.  The TWV agreed that a standard wording should be developed for such situations.</w:t>
      </w:r>
    </w:p>
    <w:p w14:paraId="7C01B473" w14:textId="77777777" w:rsidR="00861BAC" w:rsidRPr="00861BAC" w:rsidRDefault="00861BAC" w:rsidP="00861BAC">
      <w:pPr>
        <w:rPr>
          <w:rFonts w:eastAsiaTheme="minorEastAsia"/>
        </w:rPr>
      </w:pPr>
    </w:p>
    <w:p w14:paraId="6874A4A0" w14:textId="77777777" w:rsidR="00861BAC" w:rsidRPr="00861BAC" w:rsidRDefault="00861BAC" w:rsidP="00C5143F">
      <w:pPr>
        <w:pStyle w:val="Heading3"/>
        <w:rPr>
          <w:rFonts w:eastAsiaTheme="minorEastAsia"/>
          <w:snapToGrid w:val="0"/>
        </w:rPr>
      </w:pPr>
      <w:bookmarkStart w:id="16" w:name="_Toc162975794"/>
      <w:bookmarkStart w:id="17" w:name="_Toc165056365"/>
      <w:r w:rsidRPr="00861BAC">
        <w:rPr>
          <w:rFonts w:eastAsiaTheme="minorEastAsia"/>
          <w:snapToGrid w:val="0"/>
        </w:rPr>
        <w:t>Subsection “UPOV Variety Description”, item 17 “Additional information”</w:t>
      </w:r>
      <w:bookmarkEnd w:id="16"/>
      <w:bookmarkEnd w:id="17"/>
    </w:p>
    <w:p w14:paraId="5DDC69E9" w14:textId="77777777" w:rsidR="00861BAC" w:rsidRPr="00861BAC" w:rsidRDefault="00861BAC" w:rsidP="00861BAC">
      <w:pPr>
        <w:rPr>
          <w:rFonts w:eastAsiaTheme="minorEastAsia"/>
        </w:rPr>
      </w:pPr>
    </w:p>
    <w:p w14:paraId="6BD7FD0A"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with the proposal for further explanations under item 17 “Additional Information” in the “UPOV Variety Description”, as set out in document TWP/8/1, paragraph 21, and reproduced as follows:</w:t>
      </w:r>
    </w:p>
    <w:p w14:paraId="581349F7" w14:textId="77777777" w:rsidR="00861BAC" w:rsidRPr="00861BAC" w:rsidRDefault="00861BAC" w:rsidP="00861BAC">
      <w:pPr>
        <w:rPr>
          <w:rFonts w:eastAsiaTheme="minorEastAsia"/>
        </w:rPr>
      </w:pPr>
    </w:p>
    <w:p w14:paraId="770960C5" w14:textId="77777777" w:rsidR="00861BAC" w:rsidRPr="00861BAC" w:rsidRDefault="00861BAC" w:rsidP="00861BAC">
      <w:pPr>
        <w:ind w:firstLine="567"/>
        <w:rPr>
          <w:rFonts w:eastAsia="Calibri"/>
          <w:snapToGrid w:val="0"/>
          <w:sz w:val="18"/>
          <w:szCs w:val="18"/>
        </w:rPr>
      </w:pPr>
      <w:r w:rsidRPr="00861BAC">
        <w:rPr>
          <w:rFonts w:eastAsia="Calibri"/>
          <w:snapToGrid w:val="0"/>
          <w:sz w:val="18"/>
          <w:szCs w:val="18"/>
        </w:rPr>
        <w:t>17.</w:t>
      </w:r>
      <w:r w:rsidRPr="00861BAC">
        <w:rPr>
          <w:rFonts w:eastAsia="Calibri"/>
          <w:snapToGrid w:val="0"/>
          <w:sz w:val="18"/>
          <w:szCs w:val="18"/>
        </w:rPr>
        <w:tab/>
        <w:t>Additional Information</w:t>
      </w:r>
    </w:p>
    <w:p w14:paraId="3DD24FD1" w14:textId="77777777" w:rsidR="00861BAC" w:rsidRPr="00861BAC" w:rsidRDefault="00861BAC" w:rsidP="00861BAC">
      <w:pPr>
        <w:rPr>
          <w:rFonts w:eastAsia="Calibri"/>
          <w:snapToGrid w:val="0"/>
          <w:sz w:val="18"/>
          <w:szCs w:val="18"/>
        </w:rPr>
      </w:pPr>
    </w:p>
    <w:p w14:paraId="484CCE48" w14:textId="77777777" w:rsidR="00861BAC" w:rsidRPr="00861BAC" w:rsidRDefault="00861BAC" w:rsidP="00861BAC">
      <w:pPr>
        <w:ind w:left="1701" w:right="567" w:hanging="567"/>
        <w:rPr>
          <w:rFonts w:eastAsia="Calibri"/>
          <w:snapToGrid w:val="0"/>
          <w:sz w:val="18"/>
        </w:rPr>
      </w:pPr>
      <w:r w:rsidRPr="00861BAC">
        <w:rPr>
          <w:rFonts w:eastAsia="Calibri"/>
          <w:snapToGrid w:val="0"/>
          <w:sz w:val="18"/>
        </w:rPr>
        <w:t>(a)</w:t>
      </w:r>
      <w:r w:rsidRPr="00861BAC">
        <w:rPr>
          <w:rFonts w:eastAsia="Calibri"/>
          <w:snapToGrid w:val="0"/>
          <w:sz w:val="18"/>
        </w:rPr>
        <w:tab/>
        <w:t xml:space="preserve">Additional Data </w:t>
      </w:r>
      <w:r w:rsidRPr="00861BAC">
        <w:rPr>
          <w:rFonts w:eastAsia="Calibri"/>
          <w:snapToGrid w:val="0"/>
          <w:sz w:val="18"/>
          <w:highlight w:val="lightGray"/>
          <w:u w:val="single"/>
        </w:rPr>
        <w:t>(</w:t>
      </w:r>
      <w:proofErr w:type="gramStart"/>
      <w:r w:rsidRPr="00861BAC">
        <w:rPr>
          <w:rFonts w:eastAsia="Calibri"/>
          <w:snapToGrid w:val="0"/>
          <w:sz w:val="18"/>
          <w:highlight w:val="lightGray"/>
          <w:u w:val="single"/>
        </w:rPr>
        <w:t>e.g.</w:t>
      </w:r>
      <w:proofErr w:type="gramEnd"/>
      <w:r w:rsidRPr="00861BAC">
        <w:rPr>
          <w:rFonts w:eastAsia="Calibri"/>
          <w:snapToGrid w:val="0"/>
          <w:sz w:val="18"/>
          <w:highlight w:val="lightGray"/>
          <w:u w:val="single"/>
        </w:rPr>
        <w:t xml:space="preserve"> COYU or COYD results, measured data supporting certain characteristics, scales for measured characters for example varieties)</w:t>
      </w:r>
      <w:r w:rsidRPr="00861BAC">
        <w:rPr>
          <w:rFonts w:eastAsia="Calibri"/>
          <w:snapToGrid w:val="0"/>
          <w:sz w:val="18"/>
        </w:rPr>
        <w:t xml:space="preserve"> </w:t>
      </w:r>
    </w:p>
    <w:p w14:paraId="45927354" w14:textId="77777777" w:rsidR="00861BAC" w:rsidRPr="00861BAC" w:rsidRDefault="00861BAC" w:rsidP="00861BAC">
      <w:pPr>
        <w:ind w:left="567" w:right="567"/>
        <w:rPr>
          <w:rFonts w:eastAsia="Calibri"/>
          <w:snapToGrid w:val="0"/>
          <w:sz w:val="18"/>
        </w:rPr>
      </w:pPr>
    </w:p>
    <w:p w14:paraId="1E5F28D2" w14:textId="77777777" w:rsidR="00861BAC" w:rsidRPr="00861BAC" w:rsidRDefault="00861BAC" w:rsidP="00861BAC">
      <w:pPr>
        <w:ind w:left="1701" w:right="567" w:hanging="567"/>
        <w:rPr>
          <w:rFonts w:eastAsia="Calibri"/>
          <w:snapToGrid w:val="0"/>
          <w:sz w:val="18"/>
        </w:rPr>
      </w:pPr>
      <w:r w:rsidRPr="00861BAC">
        <w:rPr>
          <w:rFonts w:eastAsia="Calibri"/>
          <w:snapToGrid w:val="0"/>
          <w:sz w:val="18"/>
        </w:rPr>
        <w:t>(b)</w:t>
      </w:r>
      <w:r w:rsidRPr="00861BAC">
        <w:rPr>
          <w:rFonts w:eastAsia="Calibri"/>
          <w:snapToGrid w:val="0"/>
          <w:sz w:val="18"/>
        </w:rPr>
        <w:tab/>
        <w:t>Photograph (if appropriate)</w:t>
      </w:r>
    </w:p>
    <w:p w14:paraId="43ADC8D2" w14:textId="77777777" w:rsidR="00861BAC" w:rsidRPr="00861BAC" w:rsidRDefault="00861BAC" w:rsidP="00861BAC">
      <w:pPr>
        <w:ind w:left="1701" w:right="567" w:hanging="567"/>
        <w:rPr>
          <w:rFonts w:eastAsia="Calibri"/>
          <w:snapToGrid w:val="0"/>
          <w:sz w:val="18"/>
        </w:rPr>
      </w:pPr>
    </w:p>
    <w:p w14:paraId="7CFDF388" w14:textId="77777777" w:rsidR="00861BAC" w:rsidRPr="00861BAC" w:rsidRDefault="00861BAC" w:rsidP="00861BAC">
      <w:pPr>
        <w:ind w:left="1701" w:right="567" w:hanging="567"/>
        <w:rPr>
          <w:rFonts w:eastAsia="Calibri"/>
          <w:snapToGrid w:val="0"/>
          <w:sz w:val="18"/>
        </w:rPr>
      </w:pPr>
      <w:r w:rsidRPr="00861BAC">
        <w:rPr>
          <w:rFonts w:eastAsia="Calibri"/>
          <w:snapToGrid w:val="0"/>
          <w:sz w:val="18"/>
        </w:rPr>
        <w:t>(c)</w:t>
      </w:r>
      <w:r w:rsidRPr="00861BAC">
        <w:rPr>
          <w:rFonts w:eastAsia="Calibri"/>
          <w:snapToGrid w:val="0"/>
          <w:sz w:val="18"/>
        </w:rPr>
        <w:tab/>
        <w:t xml:space="preserve">RHS </w:t>
      </w:r>
      <w:proofErr w:type="spellStart"/>
      <w:r w:rsidRPr="00861BAC">
        <w:rPr>
          <w:rFonts w:eastAsia="Calibri"/>
          <w:snapToGrid w:val="0"/>
          <w:sz w:val="18"/>
        </w:rPr>
        <w:t>Colour</w:t>
      </w:r>
      <w:proofErr w:type="spellEnd"/>
      <w:r w:rsidRPr="00861BAC">
        <w:rPr>
          <w:rFonts w:eastAsia="Calibri"/>
          <w:snapToGrid w:val="0"/>
          <w:sz w:val="18"/>
        </w:rPr>
        <w:t xml:space="preserve"> Chart version used (if appropriate)</w:t>
      </w:r>
    </w:p>
    <w:p w14:paraId="3574A10B" w14:textId="77777777" w:rsidR="00861BAC" w:rsidRPr="00861BAC" w:rsidRDefault="00861BAC" w:rsidP="00861BAC">
      <w:pPr>
        <w:ind w:left="1701" w:right="567" w:hanging="567"/>
        <w:rPr>
          <w:rFonts w:eastAsia="Calibri"/>
          <w:snapToGrid w:val="0"/>
          <w:sz w:val="18"/>
        </w:rPr>
      </w:pPr>
    </w:p>
    <w:p w14:paraId="5652E78E" w14:textId="77777777" w:rsidR="00861BAC" w:rsidRPr="00861BAC" w:rsidRDefault="00861BAC" w:rsidP="00861BAC">
      <w:pPr>
        <w:ind w:left="1701" w:right="567" w:hanging="567"/>
        <w:rPr>
          <w:rFonts w:eastAsia="Calibri"/>
          <w:snapToGrid w:val="0"/>
          <w:sz w:val="18"/>
        </w:rPr>
      </w:pPr>
      <w:r w:rsidRPr="00861BAC">
        <w:rPr>
          <w:rFonts w:eastAsia="Calibri"/>
          <w:snapToGrid w:val="0"/>
          <w:sz w:val="18"/>
        </w:rPr>
        <w:t>(d)</w:t>
      </w:r>
      <w:r w:rsidRPr="00861BAC">
        <w:rPr>
          <w:rFonts w:eastAsia="Calibri"/>
          <w:snapToGrid w:val="0"/>
          <w:sz w:val="18"/>
        </w:rPr>
        <w:tab/>
      </w:r>
      <w:r w:rsidRPr="00861BAC">
        <w:rPr>
          <w:rFonts w:eastAsia="Calibri"/>
          <w:snapToGrid w:val="0"/>
          <w:sz w:val="18"/>
          <w:highlight w:val="lightGray"/>
          <w:u w:val="single"/>
        </w:rPr>
        <w:t>Examples varieties used in testing</w:t>
      </w:r>
      <w:r w:rsidRPr="00861BAC">
        <w:rPr>
          <w:rFonts w:eastAsia="Calibri"/>
          <w:snapToGrid w:val="0"/>
          <w:sz w:val="18"/>
        </w:rPr>
        <w:t xml:space="preserve"> </w:t>
      </w:r>
    </w:p>
    <w:p w14:paraId="458A1424" w14:textId="77777777" w:rsidR="00861BAC" w:rsidRPr="00861BAC" w:rsidRDefault="00861BAC" w:rsidP="00861BAC">
      <w:pPr>
        <w:ind w:left="1134" w:right="567"/>
        <w:rPr>
          <w:rFonts w:eastAsia="Calibri"/>
          <w:snapToGrid w:val="0"/>
          <w:sz w:val="18"/>
        </w:rPr>
      </w:pPr>
    </w:p>
    <w:p w14:paraId="5D3395F3" w14:textId="77777777" w:rsidR="00861BAC" w:rsidRPr="00861BAC" w:rsidRDefault="00861BAC" w:rsidP="00861BAC">
      <w:pPr>
        <w:ind w:left="1134" w:right="567"/>
        <w:rPr>
          <w:rFonts w:eastAsia="Calibri"/>
          <w:snapToGrid w:val="0"/>
          <w:sz w:val="18"/>
        </w:rPr>
      </w:pPr>
      <w:r w:rsidRPr="00861BAC">
        <w:rPr>
          <w:rFonts w:eastAsia="Calibri"/>
          <w:snapToGrid w:val="0"/>
          <w:sz w:val="18"/>
          <w:highlight w:val="lightGray"/>
          <w:u w:val="single"/>
        </w:rPr>
        <w:t>(e)</w:t>
      </w:r>
      <w:r w:rsidRPr="00861BAC">
        <w:rPr>
          <w:rFonts w:eastAsia="Calibri"/>
          <w:snapToGrid w:val="0"/>
          <w:sz w:val="18"/>
        </w:rPr>
        <w:tab/>
        <w:t>Remarks</w:t>
      </w:r>
    </w:p>
    <w:p w14:paraId="1F0C6232" w14:textId="77777777" w:rsidR="00861BAC" w:rsidRPr="00861BAC" w:rsidRDefault="00861BAC" w:rsidP="00861BAC">
      <w:pPr>
        <w:rPr>
          <w:rFonts w:eastAsiaTheme="minorEastAsia"/>
        </w:rPr>
      </w:pPr>
    </w:p>
    <w:p w14:paraId="391FE69D"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that the elements provided under item 17 “Additional information” were examples to be considered on a case-by-case basis, as appropriate, according to crop type and variety described.</w:t>
      </w:r>
    </w:p>
    <w:p w14:paraId="17DEF5B2" w14:textId="77777777" w:rsidR="00861BAC" w:rsidRDefault="00861BAC" w:rsidP="00861BAC">
      <w:pPr>
        <w:rPr>
          <w:rFonts w:eastAsiaTheme="minorEastAsia"/>
        </w:rPr>
      </w:pPr>
    </w:p>
    <w:p w14:paraId="1EC2CE77" w14:textId="77777777" w:rsidR="00C5143F" w:rsidRPr="00861BAC" w:rsidRDefault="00C5143F" w:rsidP="00861BAC">
      <w:pPr>
        <w:rPr>
          <w:rFonts w:eastAsiaTheme="minorEastAsia"/>
        </w:rPr>
      </w:pPr>
    </w:p>
    <w:p w14:paraId="5F846D47" w14:textId="77777777" w:rsidR="00861BAC" w:rsidRPr="00861BAC" w:rsidRDefault="00861BAC" w:rsidP="004B69BD">
      <w:pPr>
        <w:pStyle w:val="Heading2"/>
        <w:keepLines/>
        <w:rPr>
          <w:rFonts w:eastAsiaTheme="minorEastAsia"/>
        </w:rPr>
      </w:pPr>
      <w:bookmarkStart w:id="18" w:name="_Toc164155514"/>
      <w:bookmarkStart w:id="19" w:name="_Toc165056366"/>
      <w:bookmarkStart w:id="20" w:name="_Hlk162632520"/>
      <w:r w:rsidRPr="00861BAC">
        <w:rPr>
          <w:rFonts w:eastAsiaTheme="minorEastAsia"/>
        </w:rPr>
        <w:lastRenderedPageBreak/>
        <w:t>TGP/7 “Development of Test Guidelines” (Revision)</w:t>
      </w:r>
      <w:bookmarkEnd w:id="18"/>
      <w:bookmarkEnd w:id="19"/>
    </w:p>
    <w:p w14:paraId="76611ECC" w14:textId="77777777" w:rsidR="00861BAC" w:rsidRPr="00861BAC" w:rsidRDefault="00861BAC" w:rsidP="004B69BD">
      <w:pPr>
        <w:keepNext/>
        <w:keepLines/>
        <w:rPr>
          <w:rFonts w:eastAsiaTheme="minorEastAsia"/>
        </w:rPr>
      </w:pPr>
    </w:p>
    <w:p w14:paraId="06E7686E" w14:textId="77777777" w:rsidR="00861BAC" w:rsidRPr="00861BAC" w:rsidRDefault="00861BAC" w:rsidP="004B69BD">
      <w:pPr>
        <w:pStyle w:val="Heading3"/>
        <w:keepLines/>
        <w:rPr>
          <w:rFonts w:eastAsiaTheme="minorEastAsia"/>
        </w:rPr>
      </w:pPr>
      <w:bookmarkStart w:id="21" w:name="_Toc144998032"/>
      <w:bookmarkStart w:id="22" w:name="_Toc164155515"/>
      <w:bookmarkStart w:id="23" w:name="_Toc165056367"/>
      <w:r w:rsidRPr="00861BAC">
        <w:rPr>
          <w:rFonts w:eastAsiaTheme="minorEastAsia"/>
        </w:rPr>
        <w:t>Additional Standard Wording (ASW) 3 “Explanation of the growing cycle</w:t>
      </w:r>
      <w:bookmarkEnd w:id="21"/>
      <w:r w:rsidRPr="00861BAC">
        <w:rPr>
          <w:rFonts w:eastAsiaTheme="minorEastAsia"/>
        </w:rPr>
        <w:t>”</w:t>
      </w:r>
      <w:bookmarkEnd w:id="22"/>
      <w:bookmarkEnd w:id="23"/>
    </w:p>
    <w:bookmarkEnd w:id="20"/>
    <w:p w14:paraId="769E0239" w14:textId="77777777" w:rsidR="00861BAC" w:rsidRPr="00861BAC" w:rsidRDefault="00861BAC" w:rsidP="004B69BD">
      <w:pPr>
        <w:keepNext/>
        <w:keepLines/>
        <w:rPr>
          <w:rFonts w:eastAsiaTheme="minorEastAsia"/>
        </w:rPr>
      </w:pPr>
    </w:p>
    <w:p w14:paraId="26C842BD" w14:textId="77777777" w:rsidR="00861BAC" w:rsidRPr="00861BAC" w:rsidRDefault="00861BAC" w:rsidP="004B69BD">
      <w:pPr>
        <w:keepNext/>
        <w:keepLines/>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the proposal to amend the standard wording of growing cycle for “fruit species with clearly defined dormant period” in document TGP/7, ASW 3(a), as set out in document TWP/8/1, paragraph 24.</w:t>
      </w:r>
    </w:p>
    <w:p w14:paraId="6BB51437" w14:textId="77777777" w:rsidR="00861BAC" w:rsidRPr="00861BAC" w:rsidRDefault="00861BAC" w:rsidP="00861BAC">
      <w:pPr>
        <w:rPr>
          <w:rFonts w:eastAsiaTheme="minorEastAsia"/>
        </w:rPr>
      </w:pPr>
    </w:p>
    <w:p w14:paraId="1CD56DBB" w14:textId="77777777" w:rsidR="00861BAC" w:rsidRPr="004B69BD" w:rsidRDefault="00861BAC" w:rsidP="004B69BD">
      <w:pPr>
        <w:rPr>
          <w:rFonts w:eastAsiaTheme="minorEastAsia"/>
        </w:rPr>
      </w:pPr>
      <w:r w:rsidRPr="004B69BD">
        <w:rPr>
          <w:rFonts w:eastAsiaTheme="minorEastAsia"/>
        </w:rPr>
        <w:fldChar w:fldCharType="begin"/>
      </w:r>
      <w:r w:rsidRPr="004B69BD">
        <w:rPr>
          <w:rFonts w:eastAsiaTheme="minorEastAsia"/>
        </w:rPr>
        <w:instrText xml:space="preserve"> AUTONUM  </w:instrText>
      </w:r>
      <w:r w:rsidRPr="004B69BD">
        <w:rPr>
          <w:rFonts w:eastAsiaTheme="minorEastAsia"/>
        </w:rPr>
        <w:fldChar w:fldCharType="end"/>
      </w:r>
      <w:r w:rsidRPr="004B69BD">
        <w:rPr>
          <w:rFonts w:eastAsiaTheme="minorEastAsia"/>
        </w:rPr>
        <w:tab/>
        <w:t>The TWV agreed with the proposal while noting it was not common situation in vegetables.</w:t>
      </w:r>
    </w:p>
    <w:p w14:paraId="42DF5A34" w14:textId="77777777" w:rsidR="00861BAC" w:rsidRPr="00861BAC" w:rsidRDefault="00861BAC" w:rsidP="00861BAC">
      <w:pPr>
        <w:rPr>
          <w:rFonts w:eastAsiaTheme="minorEastAsia"/>
        </w:rPr>
      </w:pPr>
    </w:p>
    <w:p w14:paraId="0D944A5F" w14:textId="77777777" w:rsidR="00861BAC" w:rsidRPr="00861BAC" w:rsidRDefault="00861BAC" w:rsidP="00861BAC">
      <w:pPr>
        <w:pStyle w:val="Heading3"/>
        <w:rPr>
          <w:rFonts w:eastAsiaTheme="minorEastAsia"/>
        </w:rPr>
      </w:pPr>
      <w:bookmarkStart w:id="24" w:name="_Toc47696980"/>
      <w:bookmarkStart w:id="25" w:name="_Toc144998033"/>
      <w:bookmarkStart w:id="26" w:name="_Toc164155516"/>
      <w:bookmarkStart w:id="27" w:name="_Toc165056368"/>
      <w:r w:rsidRPr="00861BAC">
        <w:rPr>
          <w:rFonts w:eastAsiaTheme="minorEastAsia"/>
        </w:rPr>
        <w:t xml:space="preserve">Additional Standard Wording (ASW) 7(b) “Number of plants / parts of plants to be </w:t>
      </w:r>
      <w:proofErr w:type="gramStart"/>
      <w:r w:rsidRPr="00861BAC">
        <w:rPr>
          <w:rFonts w:eastAsiaTheme="minorEastAsia"/>
        </w:rPr>
        <w:t>examined</w:t>
      </w:r>
      <w:bookmarkEnd w:id="24"/>
      <w:bookmarkEnd w:id="25"/>
      <w:proofErr w:type="gramEnd"/>
      <w:r w:rsidRPr="00861BAC">
        <w:rPr>
          <w:rFonts w:eastAsiaTheme="minorEastAsia"/>
        </w:rPr>
        <w:t>”</w:t>
      </w:r>
      <w:bookmarkEnd w:id="26"/>
      <w:bookmarkEnd w:id="27"/>
    </w:p>
    <w:p w14:paraId="0CF5CAF3" w14:textId="77777777" w:rsidR="00861BAC" w:rsidRPr="00861BAC" w:rsidRDefault="00861BAC" w:rsidP="00861BAC">
      <w:pPr>
        <w:rPr>
          <w:rFonts w:eastAsiaTheme="minorEastAsia"/>
        </w:rPr>
      </w:pPr>
    </w:p>
    <w:p w14:paraId="4C7774BD"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the proposal to amend document TGP/7, ASW 7(b), on the number of parts to be examined from single plants, as set out in document TWP/8/1, paragraph 28.</w:t>
      </w:r>
    </w:p>
    <w:p w14:paraId="1DC653CC" w14:textId="77777777" w:rsidR="00861BAC" w:rsidRPr="00861BAC" w:rsidRDefault="00861BAC" w:rsidP="00861BAC">
      <w:pPr>
        <w:rPr>
          <w:rFonts w:eastAsiaTheme="minorEastAsia"/>
        </w:rPr>
      </w:pPr>
    </w:p>
    <w:p w14:paraId="5C898A7B"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that the number of parts to be taken from each plant was particularly relevant for assessments on small sample sizes.  The TWV agreed that more information would be required on any consequences for international harmonization of not having a precise value provided in the Test Guidelines.</w:t>
      </w:r>
    </w:p>
    <w:p w14:paraId="23927491" w14:textId="77777777" w:rsidR="00861BAC" w:rsidRDefault="00861BAC" w:rsidP="00861BAC">
      <w:pPr>
        <w:rPr>
          <w:rFonts w:eastAsiaTheme="minorEastAsia"/>
        </w:rPr>
      </w:pPr>
    </w:p>
    <w:p w14:paraId="21CEBB5C" w14:textId="77777777" w:rsidR="00861BAC" w:rsidRPr="00861BAC" w:rsidRDefault="00861BAC" w:rsidP="00861BAC">
      <w:pPr>
        <w:rPr>
          <w:rFonts w:eastAsiaTheme="minorEastAsia"/>
        </w:rPr>
      </w:pPr>
    </w:p>
    <w:p w14:paraId="448E9706" w14:textId="77777777" w:rsidR="00861BAC" w:rsidRPr="00861BAC" w:rsidRDefault="00861BAC" w:rsidP="00861BAC">
      <w:pPr>
        <w:pStyle w:val="Heading3"/>
        <w:rPr>
          <w:rFonts w:eastAsiaTheme="minorEastAsia"/>
        </w:rPr>
      </w:pPr>
      <w:bookmarkStart w:id="28" w:name="_Toc164155517"/>
      <w:bookmarkStart w:id="29" w:name="_Toc165056369"/>
      <w:bookmarkStart w:id="30" w:name="_Hlk164718275"/>
      <w:r w:rsidRPr="00861BAC">
        <w:rPr>
          <w:rFonts w:eastAsiaTheme="minorEastAsia"/>
        </w:rPr>
        <w:t xml:space="preserve">Guidance Note (GN) 28 “Example Varieties” – Example varieties for asterisked quantitative characteristics when illustrations are </w:t>
      </w:r>
      <w:proofErr w:type="gramStart"/>
      <w:r w:rsidRPr="00861BAC">
        <w:rPr>
          <w:rFonts w:eastAsiaTheme="minorEastAsia"/>
        </w:rPr>
        <w:t>provided</w:t>
      </w:r>
      <w:bookmarkEnd w:id="28"/>
      <w:bookmarkEnd w:id="29"/>
      <w:proofErr w:type="gramEnd"/>
    </w:p>
    <w:p w14:paraId="2D448B6F" w14:textId="77777777" w:rsidR="00861BAC" w:rsidRPr="00861BAC" w:rsidRDefault="00861BAC" w:rsidP="00861BAC">
      <w:pPr>
        <w:keepNext/>
        <w:jc w:val="left"/>
        <w:rPr>
          <w:rFonts w:eastAsiaTheme="minorEastAsia"/>
        </w:rPr>
      </w:pPr>
    </w:p>
    <w:p w14:paraId="39A5FB64" w14:textId="77777777" w:rsidR="00861BAC" w:rsidRPr="00861BAC" w:rsidRDefault="00861BAC" w:rsidP="00861BAC">
      <w:pPr>
        <w:keepNext/>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considered document TWV/58/10, presented by an expert from Germany.</w:t>
      </w:r>
    </w:p>
    <w:p w14:paraId="2FA9EB8B" w14:textId="77777777" w:rsidR="00861BAC" w:rsidRPr="00861BAC" w:rsidRDefault="00861BAC" w:rsidP="00861BAC">
      <w:pPr>
        <w:rPr>
          <w:rFonts w:eastAsiaTheme="minorEastAsia"/>
        </w:rPr>
      </w:pPr>
    </w:p>
    <w:p w14:paraId="24BE0086" w14:textId="77777777" w:rsidR="00861BAC" w:rsidRPr="00861BAC" w:rsidRDefault="00861BAC" w:rsidP="00861BAC">
      <w:pPr>
        <w:tabs>
          <w:tab w:val="left" w:pos="567"/>
          <w:tab w:val="left" w:pos="1134"/>
          <w:tab w:val="left" w:pos="1701"/>
        </w:tabs>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that Test Guidelines should have as much information as possible, including both example varieties and illustrations. The TWV agreed that illustrations provided additional information and could be more informative than example varieties, in some cases.</w:t>
      </w:r>
    </w:p>
    <w:p w14:paraId="2826E408" w14:textId="77777777" w:rsidR="00861BAC" w:rsidRPr="00861BAC" w:rsidRDefault="00861BAC" w:rsidP="00861BAC">
      <w:pPr>
        <w:tabs>
          <w:tab w:val="left" w:pos="567"/>
          <w:tab w:val="left" w:pos="1134"/>
          <w:tab w:val="left" w:pos="1701"/>
        </w:tabs>
        <w:rPr>
          <w:rFonts w:eastAsiaTheme="minorEastAsia"/>
        </w:rPr>
      </w:pPr>
    </w:p>
    <w:p w14:paraId="7706C817"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that illustrations were particularly useful when the example varieties in Test Guidelines were not available or not suitable for cultivation in certain growing conditions.  The TWV agreed with the proposal to provide further guidance on the situations where illustrations would complement or could replace example varieties.</w:t>
      </w:r>
    </w:p>
    <w:p w14:paraId="5A371B9B" w14:textId="77777777" w:rsidR="00861BAC" w:rsidRPr="00861BAC" w:rsidRDefault="00861BAC" w:rsidP="00861BAC">
      <w:pPr>
        <w:rPr>
          <w:rFonts w:eastAsiaTheme="minorEastAsia"/>
        </w:rPr>
      </w:pPr>
    </w:p>
    <w:p w14:paraId="0F2AEFE4"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 xml:space="preserve">The TWV considered paragraphs 2.1 to 2.3 of the proposal and agreed to invite the drafter from Germany to provide further explanation on the criteria for decision or examples when illustrations could replace example varieties.  </w:t>
      </w:r>
    </w:p>
    <w:bookmarkEnd w:id="30"/>
    <w:p w14:paraId="7D41A47D" w14:textId="77777777" w:rsidR="00861BAC" w:rsidRDefault="00861BAC" w:rsidP="00861BAC">
      <w:pPr>
        <w:rPr>
          <w:rFonts w:eastAsiaTheme="minorEastAsia"/>
        </w:rPr>
      </w:pPr>
    </w:p>
    <w:p w14:paraId="17DA1324" w14:textId="77777777" w:rsidR="00861BAC" w:rsidRPr="00861BAC" w:rsidRDefault="00861BAC" w:rsidP="00861BAC">
      <w:pPr>
        <w:rPr>
          <w:rFonts w:eastAsiaTheme="minorEastAsia"/>
        </w:rPr>
      </w:pPr>
    </w:p>
    <w:p w14:paraId="5A50451F" w14:textId="77777777" w:rsidR="00861BAC" w:rsidRPr="00861BAC" w:rsidRDefault="00861BAC" w:rsidP="00861BAC">
      <w:pPr>
        <w:pStyle w:val="Heading2"/>
        <w:rPr>
          <w:rFonts w:eastAsiaTheme="minorEastAsia"/>
        </w:rPr>
      </w:pPr>
      <w:bookmarkStart w:id="31" w:name="_Toc144998034"/>
      <w:bookmarkStart w:id="32" w:name="_Toc164155518"/>
      <w:bookmarkStart w:id="33" w:name="_Toc165056370"/>
      <w:r w:rsidRPr="00861BAC">
        <w:rPr>
          <w:rFonts w:eastAsiaTheme="minorEastAsia"/>
        </w:rPr>
        <w:t>TGP/12: Guidance on Certain Physiological Characteristics</w:t>
      </w:r>
      <w:bookmarkEnd w:id="31"/>
      <w:bookmarkEnd w:id="32"/>
      <w:bookmarkEnd w:id="33"/>
    </w:p>
    <w:p w14:paraId="54789DE3" w14:textId="77777777" w:rsidR="00861BAC" w:rsidRPr="00861BAC" w:rsidRDefault="00861BAC" w:rsidP="00861BAC">
      <w:pPr>
        <w:rPr>
          <w:rFonts w:eastAsiaTheme="minorEastAsia"/>
        </w:rPr>
      </w:pPr>
    </w:p>
    <w:p w14:paraId="324DEF53" w14:textId="77777777" w:rsidR="00861BAC" w:rsidRPr="00861BAC" w:rsidRDefault="00861BAC" w:rsidP="00861BAC">
      <w:pPr>
        <w:keepNext/>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with the proposal to amend document TGP/12 “Guidance on Certain Physiological Characteristics” to include a table of equivalence of states of expression in Test Guidelines with terminology used in the vegetable seed sector, as set out in document TWP/8/1, paragraph 34, and reproduced as follows:</w:t>
      </w:r>
    </w:p>
    <w:p w14:paraId="72E2FF2B" w14:textId="77777777" w:rsidR="00861BAC" w:rsidRPr="00861BAC" w:rsidRDefault="00861BAC" w:rsidP="00861BAC">
      <w:pPr>
        <w:keepNext/>
        <w:rPr>
          <w:rFonts w:eastAsiaTheme="minorEastAsia"/>
        </w:rPr>
      </w:pPr>
    </w:p>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861BAC" w:rsidRPr="00861BAC" w14:paraId="2FF88BDD" w14:textId="77777777" w:rsidTr="002B0147">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4016C" w14:textId="77777777" w:rsidR="00861BAC" w:rsidRPr="00861BAC" w:rsidRDefault="00861BAC" w:rsidP="00861BAC">
            <w:pPr>
              <w:keepNext/>
              <w:jc w:val="left"/>
              <w:rPr>
                <w:rFonts w:eastAsiaTheme="minorEastAsia" w:cs="Arial"/>
                <w:color w:val="000000"/>
                <w:sz w:val="18"/>
              </w:rPr>
            </w:pPr>
            <w:r w:rsidRPr="00861BAC">
              <w:rPr>
                <w:rFonts w:eastAsiaTheme="minorEastAsia"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5C9735D1" w14:textId="77777777" w:rsidR="00861BAC" w:rsidRPr="00861BAC" w:rsidRDefault="00861BAC" w:rsidP="00861BAC">
            <w:pPr>
              <w:keepNext/>
              <w:jc w:val="center"/>
              <w:rPr>
                <w:rFonts w:eastAsiaTheme="minorEastAsia" w:cs="Arial"/>
                <w:color w:val="000000"/>
                <w:sz w:val="18"/>
              </w:rPr>
            </w:pPr>
            <w:r w:rsidRPr="00861BAC">
              <w:rPr>
                <w:rFonts w:eastAsiaTheme="minorEastAsia" w:cs="Arial"/>
                <w:color w:val="000000"/>
                <w:sz w:val="18"/>
              </w:rPr>
              <w:t>Equivalence of states of expression in UPOV Test Guidelines with the terminology used in the vegetable seed sector</w:t>
            </w:r>
          </w:p>
        </w:tc>
      </w:tr>
      <w:tr w:rsidR="00861BAC" w:rsidRPr="00861BAC" w14:paraId="572518D8" w14:textId="77777777" w:rsidTr="002B0147">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D1A5734" w14:textId="77777777" w:rsidR="00861BAC" w:rsidRPr="00861BAC" w:rsidRDefault="00861BAC" w:rsidP="00861BAC">
            <w:pPr>
              <w:keepNext/>
              <w:jc w:val="left"/>
              <w:rPr>
                <w:rFonts w:eastAsiaTheme="minorEastAsia" w:cs="Arial"/>
                <w:sz w:val="18"/>
              </w:rPr>
            </w:pPr>
            <w:r w:rsidRPr="00861BAC">
              <w:rPr>
                <w:rFonts w:eastAsiaTheme="minorEastAsia"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26904F64" w14:textId="77777777" w:rsidR="00861BAC" w:rsidRPr="00861BAC" w:rsidRDefault="00861BAC" w:rsidP="00861BAC">
            <w:pPr>
              <w:keepNext/>
              <w:jc w:val="center"/>
              <w:rPr>
                <w:rFonts w:eastAsiaTheme="minorEastAsia" w:cs="Arial"/>
                <w:bCs/>
                <w:sz w:val="18"/>
              </w:rPr>
            </w:pPr>
            <w:r w:rsidRPr="00861BAC">
              <w:rPr>
                <w:rFonts w:eastAsiaTheme="minorEastAsia"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09427F94" w14:textId="77777777" w:rsidR="00861BAC" w:rsidRPr="00861BAC" w:rsidRDefault="00861BAC" w:rsidP="00861BAC">
            <w:pPr>
              <w:keepNext/>
              <w:jc w:val="center"/>
              <w:rPr>
                <w:rFonts w:eastAsiaTheme="minorEastAsia" w:cs="Arial"/>
                <w:bCs/>
                <w:sz w:val="18"/>
              </w:rPr>
            </w:pPr>
            <w:r w:rsidRPr="00861BAC">
              <w:rPr>
                <w:rFonts w:eastAsiaTheme="minorEastAsia" w:cs="Arial"/>
                <w:bCs/>
                <w:sz w:val="18"/>
              </w:rPr>
              <w:t>Terminology used in the vegetable seed sector</w:t>
            </w:r>
            <w:r w:rsidRPr="00861BAC">
              <w:rPr>
                <w:rFonts w:eastAsiaTheme="minorEastAsia" w:cs="Arial"/>
                <w:bCs/>
                <w:sz w:val="18"/>
                <w:vertAlign w:val="superscript"/>
              </w:rPr>
              <w:footnoteReference w:id="3"/>
            </w:r>
          </w:p>
        </w:tc>
      </w:tr>
      <w:tr w:rsidR="00861BAC" w:rsidRPr="00861BAC" w14:paraId="3FC911DD" w14:textId="77777777" w:rsidTr="002B014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5370CA1" w14:textId="77777777" w:rsidR="00861BAC" w:rsidRPr="00861BAC" w:rsidRDefault="00861BAC" w:rsidP="00861BAC">
            <w:pPr>
              <w:keepNext/>
              <w:jc w:val="left"/>
              <w:rPr>
                <w:rFonts w:eastAsiaTheme="minorEastAsia" w:cs="Arial"/>
                <w:sz w:val="18"/>
              </w:rPr>
            </w:pPr>
            <w:r w:rsidRPr="00861BAC">
              <w:rPr>
                <w:rFonts w:eastAsiaTheme="minorEastAsia"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6BEC677C" w14:textId="77777777" w:rsidR="00861BAC" w:rsidRPr="00861BAC" w:rsidRDefault="00861BAC" w:rsidP="00861BAC">
            <w:pPr>
              <w:keepNext/>
              <w:jc w:val="left"/>
              <w:rPr>
                <w:rFonts w:eastAsiaTheme="minorEastAsia" w:cs="Arial"/>
                <w:sz w:val="18"/>
              </w:rPr>
            </w:pPr>
            <w:r w:rsidRPr="00861BAC">
              <w:rPr>
                <w:rFonts w:eastAsiaTheme="minorEastAsia"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674AE892" w14:textId="77777777" w:rsidR="00861BAC" w:rsidRPr="00861BAC" w:rsidRDefault="00861BAC" w:rsidP="00861BAC">
            <w:pPr>
              <w:keepNext/>
              <w:jc w:val="left"/>
              <w:rPr>
                <w:rFonts w:eastAsiaTheme="minorEastAsia" w:cs="Arial"/>
                <w:sz w:val="18"/>
              </w:rPr>
            </w:pPr>
            <w:r w:rsidRPr="00861BAC">
              <w:rPr>
                <w:rFonts w:eastAsiaTheme="minorEastAsia" w:cs="Arial"/>
                <w:sz w:val="18"/>
              </w:rPr>
              <w:t>Reaction of a plant variety to a specific pest is:</w:t>
            </w:r>
          </w:p>
        </w:tc>
      </w:tr>
      <w:tr w:rsidR="00861BAC" w:rsidRPr="00861BAC" w14:paraId="25E07131" w14:textId="77777777" w:rsidTr="002B014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F298C" w14:textId="77777777" w:rsidR="00861BAC" w:rsidRPr="00861BAC" w:rsidRDefault="00861BAC" w:rsidP="00861BAC">
            <w:pPr>
              <w:keepNext/>
              <w:jc w:val="right"/>
              <w:rPr>
                <w:rFonts w:eastAsiaTheme="minorEastAsia" w:cs="Arial"/>
                <w:sz w:val="18"/>
              </w:rPr>
            </w:pPr>
            <w:r w:rsidRPr="00861BAC">
              <w:rPr>
                <w:rFonts w:eastAsiaTheme="minorEastAsia"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03A9A6AC" w14:textId="77777777" w:rsidR="00861BAC" w:rsidRPr="00861BAC" w:rsidRDefault="00861BAC" w:rsidP="00861BAC">
            <w:pPr>
              <w:keepNext/>
              <w:jc w:val="left"/>
              <w:rPr>
                <w:rFonts w:eastAsiaTheme="minorEastAsia" w:cs="Arial"/>
                <w:sz w:val="18"/>
              </w:rPr>
            </w:pPr>
            <w:r w:rsidRPr="00861BAC">
              <w:rPr>
                <w:rFonts w:eastAsiaTheme="minorEastAsia"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1E6BBA8D" w14:textId="77777777" w:rsidR="00861BAC" w:rsidRPr="00861BAC" w:rsidRDefault="00861BAC" w:rsidP="00861BAC">
            <w:pPr>
              <w:keepNext/>
              <w:jc w:val="left"/>
              <w:rPr>
                <w:rFonts w:eastAsiaTheme="minorEastAsia" w:cs="Arial"/>
                <w:sz w:val="18"/>
              </w:rPr>
            </w:pPr>
            <w:r w:rsidRPr="00861BAC">
              <w:rPr>
                <w:rFonts w:eastAsiaTheme="minorEastAsia" w:cs="Arial"/>
                <w:sz w:val="18"/>
              </w:rPr>
              <w:t>Susceptibility (S)</w:t>
            </w:r>
          </w:p>
        </w:tc>
      </w:tr>
      <w:tr w:rsidR="00861BAC" w:rsidRPr="00861BAC" w14:paraId="6DAFF37E" w14:textId="77777777" w:rsidTr="002B014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632098" w14:textId="77777777" w:rsidR="00861BAC" w:rsidRPr="00861BAC" w:rsidRDefault="00861BAC" w:rsidP="00861BAC">
            <w:pPr>
              <w:keepNext/>
              <w:jc w:val="right"/>
              <w:rPr>
                <w:rFonts w:eastAsiaTheme="minorEastAsia" w:cs="Arial"/>
                <w:sz w:val="18"/>
              </w:rPr>
            </w:pPr>
            <w:r w:rsidRPr="00861BAC">
              <w:rPr>
                <w:rFonts w:eastAsiaTheme="minorEastAsia"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2BE63F1C" w14:textId="77777777" w:rsidR="00861BAC" w:rsidRPr="00861BAC" w:rsidRDefault="00861BAC" w:rsidP="00861BAC">
            <w:pPr>
              <w:keepNext/>
              <w:jc w:val="left"/>
              <w:rPr>
                <w:rFonts w:eastAsiaTheme="minorEastAsia" w:cs="Arial"/>
                <w:sz w:val="18"/>
              </w:rPr>
            </w:pPr>
            <w:r w:rsidRPr="00861BAC">
              <w:rPr>
                <w:rFonts w:eastAsiaTheme="minorEastAsia"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3B0FF17C" w14:textId="77777777" w:rsidR="00861BAC" w:rsidRPr="00861BAC" w:rsidRDefault="00861BAC" w:rsidP="00861BAC">
            <w:pPr>
              <w:keepNext/>
              <w:jc w:val="left"/>
              <w:rPr>
                <w:rFonts w:eastAsiaTheme="minorEastAsia" w:cs="Arial"/>
                <w:sz w:val="18"/>
              </w:rPr>
            </w:pPr>
            <w:r w:rsidRPr="00861BAC">
              <w:rPr>
                <w:rFonts w:eastAsiaTheme="minorEastAsia" w:cs="Arial"/>
                <w:sz w:val="18"/>
              </w:rPr>
              <w:t>Intermediate Resistance (IR)</w:t>
            </w:r>
          </w:p>
        </w:tc>
      </w:tr>
      <w:tr w:rsidR="00861BAC" w:rsidRPr="00861BAC" w14:paraId="2767E27B" w14:textId="77777777" w:rsidTr="002B014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21D13A0" w14:textId="77777777" w:rsidR="00861BAC" w:rsidRPr="00861BAC" w:rsidRDefault="00861BAC" w:rsidP="00861BAC">
            <w:pPr>
              <w:keepNext/>
              <w:jc w:val="right"/>
              <w:rPr>
                <w:rFonts w:eastAsiaTheme="minorEastAsia" w:cs="Arial"/>
                <w:sz w:val="18"/>
              </w:rPr>
            </w:pPr>
            <w:r w:rsidRPr="00861BAC">
              <w:rPr>
                <w:rFonts w:eastAsiaTheme="minorEastAsia"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00869581" w14:textId="77777777" w:rsidR="00861BAC" w:rsidRPr="00861BAC" w:rsidRDefault="00861BAC" w:rsidP="00861BAC">
            <w:pPr>
              <w:keepNext/>
              <w:jc w:val="left"/>
              <w:rPr>
                <w:rFonts w:eastAsiaTheme="minorEastAsia" w:cs="Arial"/>
                <w:sz w:val="18"/>
              </w:rPr>
            </w:pPr>
            <w:r w:rsidRPr="00861BAC">
              <w:rPr>
                <w:rFonts w:eastAsiaTheme="minorEastAsia"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46222811" w14:textId="77777777" w:rsidR="00861BAC" w:rsidRPr="00861BAC" w:rsidRDefault="00861BAC" w:rsidP="00861BAC">
            <w:pPr>
              <w:keepNext/>
              <w:jc w:val="left"/>
              <w:rPr>
                <w:rFonts w:eastAsiaTheme="minorEastAsia" w:cs="Arial"/>
                <w:sz w:val="18"/>
              </w:rPr>
            </w:pPr>
            <w:r w:rsidRPr="00861BAC">
              <w:rPr>
                <w:rFonts w:eastAsiaTheme="minorEastAsia" w:cs="Arial"/>
                <w:sz w:val="18"/>
              </w:rPr>
              <w:t>High Resistance (HR)</w:t>
            </w:r>
          </w:p>
        </w:tc>
      </w:tr>
    </w:tbl>
    <w:p w14:paraId="57684081" w14:textId="77777777" w:rsidR="00861BAC" w:rsidRPr="00861BAC" w:rsidRDefault="00861BAC" w:rsidP="00861BAC">
      <w:pPr>
        <w:rPr>
          <w:rFonts w:eastAsiaTheme="minorEastAsia"/>
        </w:rPr>
      </w:pPr>
    </w:p>
    <w:p w14:paraId="557F7B11" w14:textId="77777777" w:rsidR="00861BAC" w:rsidRPr="00861BAC" w:rsidRDefault="00861BAC" w:rsidP="00861BAC">
      <w:pPr>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agreed with the proposal to add an explanation in document TGP/12 that the table could be used as a reference in case of equivalence between the states of expression according to the method described in the explanation of the characteristic in Section 8.2 of the Test Guidelines.</w:t>
      </w:r>
    </w:p>
    <w:p w14:paraId="16A10BBA" w14:textId="77777777" w:rsidR="00861BAC" w:rsidRDefault="00861BAC" w:rsidP="00861BAC">
      <w:pPr>
        <w:rPr>
          <w:rFonts w:eastAsiaTheme="minorEastAsia"/>
        </w:rPr>
      </w:pPr>
    </w:p>
    <w:p w14:paraId="0E3CF724" w14:textId="77777777" w:rsidR="00861BAC" w:rsidRPr="00861BAC" w:rsidRDefault="00861BAC" w:rsidP="00861BAC">
      <w:pPr>
        <w:rPr>
          <w:rFonts w:eastAsiaTheme="minorEastAsia"/>
        </w:rPr>
      </w:pPr>
    </w:p>
    <w:p w14:paraId="3B4B9C29" w14:textId="77777777" w:rsidR="00861BAC" w:rsidRPr="00861BAC" w:rsidRDefault="00861BAC" w:rsidP="00861BAC">
      <w:pPr>
        <w:pStyle w:val="Heading1"/>
        <w:rPr>
          <w:rFonts w:eastAsiaTheme="minorEastAsia"/>
        </w:rPr>
      </w:pPr>
      <w:bookmarkStart w:id="34" w:name="_Toc164155519"/>
      <w:bookmarkStart w:id="35" w:name="_Toc165056371"/>
      <w:r w:rsidRPr="00861BAC">
        <w:rPr>
          <w:rFonts w:eastAsiaTheme="minorEastAsia"/>
        </w:rPr>
        <w:lastRenderedPageBreak/>
        <w:t>(c)</w:t>
      </w:r>
      <w:r w:rsidRPr="00861BAC">
        <w:rPr>
          <w:rFonts w:eastAsiaTheme="minorEastAsia"/>
        </w:rPr>
        <w:tab/>
        <w:t>Access to plant material for the purpose of management of variety collections and DUS examination</w:t>
      </w:r>
      <w:bookmarkEnd w:id="34"/>
      <w:bookmarkEnd w:id="35"/>
    </w:p>
    <w:p w14:paraId="5EB2B692" w14:textId="77777777" w:rsidR="00861BAC" w:rsidRPr="00861BAC" w:rsidRDefault="00861BAC" w:rsidP="00861BAC">
      <w:pPr>
        <w:keepNext/>
        <w:rPr>
          <w:rFonts w:eastAsiaTheme="minorEastAsia"/>
        </w:rPr>
      </w:pPr>
    </w:p>
    <w:p w14:paraId="0912EB8A" w14:textId="77777777" w:rsidR="00861BAC" w:rsidRPr="00861BAC" w:rsidRDefault="00861BAC" w:rsidP="00861BAC">
      <w:pPr>
        <w:keepNext/>
        <w:rPr>
          <w:rFonts w:eastAsiaTheme="minorEastAs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 xml:space="preserve">The TWV considered the proposed </w:t>
      </w:r>
      <w:r w:rsidRPr="00861BAC">
        <w:rPr>
          <w:rFonts w:eastAsia="Cambria"/>
        </w:rPr>
        <w:t xml:space="preserve">elements for inclusion in requests for the submission of plant material of candidate varieties and varieties of common knowledge for DUS examination, as set out in </w:t>
      </w:r>
      <w:r w:rsidRPr="00861BAC">
        <w:rPr>
          <w:rFonts w:eastAsiaTheme="minorEastAsia"/>
        </w:rPr>
        <w:t xml:space="preserve">document TWP/8/1, </w:t>
      </w:r>
      <w:r w:rsidRPr="00861BAC">
        <w:rPr>
          <w:rFonts w:eastAsia="Cambria"/>
        </w:rPr>
        <w:t>paragraph 41.</w:t>
      </w:r>
    </w:p>
    <w:p w14:paraId="35E2C135" w14:textId="77777777" w:rsidR="00861BAC" w:rsidRPr="00861BAC" w:rsidRDefault="00861BAC" w:rsidP="00861BAC">
      <w:pPr>
        <w:rPr>
          <w:rFonts w:eastAsiaTheme="minorEastAsia"/>
        </w:rPr>
      </w:pPr>
    </w:p>
    <w:p w14:paraId="571AF14F" w14:textId="77777777" w:rsidR="00861BAC" w:rsidRPr="00861BAC" w:rsidRDefault="00861BAC" w:rsidP="00861BAC">
      <w:pPr>
        <w:rPr>
          <w:rFonts w:eastAsia="Cambria"/>
        </w:rPr>
      </w:pPr>
      <w:r w:rsidRPr="00861BAC">
        <w:rPr>
          <w:rFonts w:eastAsiaTheme="minorEastAsia"/>
        </w:rPr>
        <w:fldChar w:fldCharType="begin"/>
      </w:r>
      <w:r w:rsidRPr="00861BAC">
        <w:rPr>
          <w:rFonts w:eastAsiaTheme="minorEastAsia"/>
        </w:rPr>
        <w:instrText xml:space="preserve"> AUTONUM  </w:instrText>
      </w:r>
      <w:r w:rsidRPr="00861BAC">
        <w:rPr>
          <w:rFonts w:eastAsiaTheme="minorEastAsia"/>
        </w:rPr>
        <w:fldChar w:fldCharType="end"/>
      </w:r>
      <w:r w:rsidRPr="00861BAC">
        <w:rPr>
          <w:rFonts w:eastAsiaTheme="minorEastAsia"/>
        </w:rPr>
        <w:tab/>
        <w:t>The TWV noted</w:t>
      </w:r>
      <w:r w:rsidRPr="00861BAC">
        <w:rPr>
          <w:rFonts w:eastAsia="Cambria"/>
        </w:rPr>
        <w:t xml:space="preserve"> the experiences reported with a model request for the submission of plant material from plant breeders based on existing regulations in the European Union and France. </w:t>
      </w:r>
    </w:p>
    <w:p w14:paraId="3FA8427C" w14:textId="77777777" w:rsidR="00861BAC" w:rsidRPr="00861BAC" w:rsidRDefault="00861BAC" w:rsidP="00861BAC">
      <w:pPr>
        <w:rPr>
          <w:rFonts w:eastAsia="Cambria"/>
        </w:rPr>
      </w:pPr>
    </w:p>
    <w:p w14:paraId="350B6045" w14:textId="77777777" w:rsidR="00861BAC" w:rsidRPr="00861BAC" w:rsidRDefault="00861BAC" w:rsidP="00861BAC">
      <w:pPr>
        <w:rPr>
          <w:rFonts w:eastAsia="Cambria"/>
        </w:rPr>
      </w:pPr>
      <w:r w:rsidRPr="00861BAC">
        <w:rPr>
          <w:rFonts w:eastAsia="Cambria"/>
        </w:rPr>
        <w:fldChar w:fldCharType="begin"/>
      </w:r>
      <w:r w:rsidRPr="00861BAC">
        <w:rPr>
          <w:rFonts w:eastAsia="Cambria"/>
        </w:rPr>
        <w:instrText xml:space="preserve"> AUTONUM  </w:instrText>
      </w:r>
      <w:r w:rsidRPr="00861BAC">
        <w:rPr>
          <w:rFonts w:eastAsia="Cambria"/>
        </w:rPr>
        <w:fldChar w:fldCharType="end"/>
      </w:r>
      <w:r w:rsidRPr="00861BAC">
        <w:rPr>
          <w:rFonts w:eastAsia="Cambria"/>
        </w:rPr>
        <w:tab/>
        <w:t xml:space="preserve">The TWV agreed that information on the reasons for the request and intended use of the plant material could facilitate its provision by breeders.  The TWV agreed to invite further information on experiences with requests for the submission of plant material to be considered in future meetings.  </w:t>
      </w:r>
    </w:p>
    <w:p w14:paraId="10790D03" w14:textId="77777777" w:rsidR="00861BAC" w:rsidRPr="00861BAC" w:rsidRDefault="00861BAC" w:rsidP="00861BAC">
      <w:pPr>
        <w:rPr>
          <w:rFonts w:eastAsia="Cambria"/>
        </w:rPr>
      </w:pPr>
    </w:p>
    <w:p w14:paraId="0EF4ECAE" w14:textId="77777777" w:rsidR="00861BAC" w:rsidRPr="00861BAC" w:rsidRDefault="00861BAC" w:rsidP="00861BAC">
      <w:pPr>
        <w:rPr>
          <w:rFonts w:eastAsiaTheme="minorEastAsia"/>
        </w:rPr>
      </w:pPr>
      <w:r w:rsidRPr="00861BAC">
        <w:rPr>
          <w:rFonts w:eastAsia="Cambria"/>
        </w:rPr>
        <w:fldChar w:fldCharType="begin"/>
      </w:r>
      <w:r w:rsidRPr="00861BAC">
        <w:rPr>
          <w:rFonts w:eastAsia="Cambria"/>
        </w:rPr>
        <w:instrText xml:space="preserve"> AUTONUM  </w:instrText>
      </w:r>
      <w:r w:rsidRPr="00861BAC">
        <w:rPr>
          <w:rFonts w:eastAsia="Cambria"/>
        </w:rPr>
        <w:fldChar w:fldCharType="end"/>
      </w:r>
      <w:r w:rsidRPr="00861BAC">
        <w:rPr>
          <w:rFonts w:eastAsia="Cambria"/>
        </w:rPr>
        <w:tab/>
        <w:t>The TWV noted the reports from Germany and Japan on the existence of particular requirements from domestic regulations and agreed that it would not be appropriate to develop guidance on the matter at this stage.</w:t>
      </w:r>
    </w:p>
    <w:p w14:paraId="316A4CA7" w14:textId="77777777" w:rsidR="00050E16" w:rsidRDefault="00050E16" w:rsidP="00050E16"/>
    <w:p w14:paraId="560B7889" w14:textId="77777777" w:rsidR="00544581" w:rsidRDefault="00544581">
      <w:pPr>
        <w:jc w:val="left"/>
      </w:pPr>
    </w:p>
    <w:p w14:paraId="111BFFC2" w14:textId="77777777" w:rsidR="00050E16" w:rsidRPr="00C651CE" w:rsidRDefault="00050E16" w:rsidP="00050E16"/>
    <w:p w14:paraId="7A2F5CBC" w14:textId="77777777" w:rsidR="009B440E" w:rsidRDefault="00050E16" w:rsidP="00050E16">
      <w:pPr>
        <w:jc w:val="right"/>
      </w:pPr>
      <w:r w:rsidRPr="00C5280D">
        <w:t>[End of document]</w:t>
      </w:r>
    </w:p>
    <w:p w14:paraId="06059F65" w14:textId="77777777" w:rsidR="00903264" w:rsidRDefault="00903264">
      <w:pPr>
        <w:jc w:val="left"/>
      </w:pPr>
    </w:p>
    <w:p w14:paraId="20C0AC5A" w14:textId="77777777"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474E" w14:textId="77777777" w:rsidR="00911357" w:rsidRDefault="00911357" w:rsidP="006655D3">
      <w:r>
        <w:separator/>
      </w:r>
    </w:p>
    <w:p w14:paraId="778876E4" w14:textId="77777777" w:rsidR="00911357" w:rsidRDefault="00911357" w:rsidP="006655D3"/>
    <w:p w14:paraId="4945F6D3" w14:textId="77777777" w:rsidR="00911357" w:rsidRDefault="00911357" w:rsidP="006655D3"/>
  </w:endnote>
  <w:endnote w:type="continuationSeparator" w:id="0">
    <w:p w14:paraId="4A9E08B9" w14:textId="77777777" w:rsidR="00911357" w:rsidRDefault="00911357" w:rsidP="006655D3">
      <w:r>
        <w:separator/>
      </w:r>
    </w:p>
    <w:p w14:paraId="2BC1877C" w14:textId="77777777" w:rsidR="00911357" w:rsidRPr="00294751" w:rsidRDefault="00911357">
      <w:pPr>
        <w:pStyle w:val="Footer"/>
        <w:spacing w:after="60"/>
        <w:rPr>
          <w:sz w:val="18"/>
          <w:lang w:val="fr-FR"/>
        </w:rPr>
      </w:pPr>
      <w:r w:rsidRPr="00294751">
        <w:rPr>
          <w:sz w:val="18"/>
          <w:lang w:val="fr-FR"/>
        </w:rPr>
        <w:t>[Suite de la note de la page précédente]</w:t>
      </w:r>
    </w:p>
    <w:p w14:paraId="3A777790" w14:textId="77777777" w:rsidR="00911357" w:rsidRPr="00294751" w:rsidRDefault="00911357" w:rsidP="006655D3">
      <w:pPr>
        <w:rPr>
          <w:lang w:val="fr-FR"/>
        </w:rPr>
      </w:pPr>
    </w:p>
    <w:p w14:paraId="1432AF26" w14:textId="77777777" w:rsidR="00911357" w:rsidRPr="00294751" w:rsidRDefault="00911357" w:rsidP="006655D3">
      <w:pPr>
        <w:rPr>
          <w:lang w:val="fr-FR"/>
        </w:rPr>
      </w:pPr>
    </w:p>
  </w:endnote>
  <w:endnote w:type="continuationNotice" w:id="1">
    <w:p w14:paraId="05973EC0" w14:textId="77777777" w:rsidR="00911357" w:rsidRPr="00294751" w:rsidRDefault="00911357" w:rsidP="006655D3">
      <w:pPr>
        <w:rPr>
          <w:lang w:val="fr-FR"/>
        </w:rPr>
      </w:pPr>
      <w:r w:rsidRPr="00294751">
        <w:rPr>
          <w:lang w:val="fr-FR"/>
        </w:rPr>
        <w:t>[Suite de la note page suivante]</w:t>
      </w:r>
    </w:p>
    <w:p w14:paraId="164F11A9" w14:textId="77777777" w:rsidR="00911357" w:rsidRPr="00294751" w:rsidRDefault="00911357" w:rsidP="006655D3">
      <w:pPr>
        <w:rPr>
          <w:lang w:val="fr-FR"/>
        </w:rPr>
      </w:pPr>
    </w:p>
    <w:p w14:paraId="726545ED" w14:textId="77777777" w:rsidR="00911357" w:rsidRPr="00294751" w:rsidRDefault="0091135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055A" w14:textId="77777777" w:rsidR="00911357" w:rsidRDefault="00911357" w:rsidP="006655D3">
      <w:r>
        <w:separator/>
      </w:r>
    </w:p>
  </w:footnote>
  <w:footnote w:type="continuationSeparator" w:id="0">
    <w:p w14:paraId="0CA23DDE" w14:textId="77777777" w:rsidR="00911357" w:rsidRDefault="00911357" w:rsidP="006655D3">
      <w:r>
        <w:separator/>
      </w:r>
    </w:p>
  </w:footnote>
  <w:footnote w:type="continuationNotice" w:id="1">
    <w:p w14:paraId="0355D66C" w14:textId="77777777" w:rsidR="00911357" w:rsidRPr="00AB530F" w:rsidRDefault="00911357" w:rsidP="00AB530F">
      <w:pPr>
        <w:pStyle w:val="Footer"/>
      </w:pPr>
    </w:p>
  </w:footnote>
  <w:footnote w:id="2">
    <w:p w14:paraId="3BDBE8D3" w14:textId="1AB7E5A1" w:rsidR="00274EEC" w:rsidRDefault="00274EEC">
      <w:pPr>
        <w:pStyle w:val="FootnoteText"/>
      </w:pPr>
      <w:r>
        <w:rPr>
          <w:rStyle w:val="FootnoteReference"/>
        </w:rPr>
        <w:footnoteRef/>
      </w:r>
      <w:r>
        <w:t xml:space="preserve"> TWV, fifty-eighth session, held via virtual means from April 22 to 25, </w:t>
      </w:r>
      <w:proofErr w:type="gramStart"/>
      <w:r>
        <w:t>2024</w:t>
      </w:r>
      <w:proofErr w:type="gramEnd"/>
    </w:p>
  </w:footnote>
  <w:footnote w:id="3">
    <w:p w14:paraId="61778596" w14:textId="77777777" w:rsidR="00861BAC" w:rsidRDefault="00861BAC" w:rsidP="00861BAC">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E57D" w14:textId="269DF6D3" w:rsidR="0004198B" w:rsidRPr="00C5280D" w:rsidRDefault="002172DA" w:rsidP="00EB048E">
    <w:pPr>
      <w:pStyle w:val="Header"/>
      <w:rPr>
        <w:rStyle w:val="PageNumber"/>
        <w:lang w:val="en-US"/>
      </w:rPr>
    </w:pPr>
    <w:r>
      <w:rPr>
        <w:rStyle w:val="PageNumber"/>
        <w:lang w:val="en-US"/>
      </w:rPr>
      <w:t>TWO/5</w:t>
    </w:r>
    <w:r w:rsidR="00E40BF0">
      <w:rPr>
        <w:rStyle w:val="PageNumber"/>
        <w:lang w:val="en-US"/>
      </w:rPr>
      <w:t>6</w:t>
    </w:r>
    <w:r w:rsidR="0004198B">
      <w:rPr>
        <w:rStyle w:val="PageNumber"/>
        <w:lang w:val="en-US"/>
      </w:rPr>
      <w:t>/</w:t>
    </w:r>
    <w:r w:rsidR="00861BAC">
      <w:rPr>
        <w:rStyle w:val="PageNumber"/>
        <w:lang w:val="en-US"/>
      </w:rPr>
      <w:t>8</w:t>
    </w:r>
  </w:p>
  <w:p w14:paraId="7E2DB6F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3AD0F14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F13A"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19585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5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172DA"/>
    <w:rsid w:val="0024416D"/>
    <w:rsid w:val="00271911"/>
    <w:rsid w:val="00273187"/>
    <w:rsid w:val="00274EEC"/>
    <w:rsid w:val="002800A0"/>
    <w:rsid w:val="002801B3"/>
    <w:rsid w:val="00281060"/>
    <w:rsid w:val="00284050"/>
    <w:rsid w:val="00285BD0"/>
    <w:rsid w:val="002940E8"/>
    <w:rsid w:val="00294751"/>
    <w:rsid w:val="002A6E50"/>
    <w:rsid w:val="002B4298"/>
    <w:rsid w:val="002B7A36"/>
    <w:rsid w:val="002C256A"/>
    <w:rsid w:val="002C38DB"/>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B69BD"/>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023D"/>
    <w:rsid w:val="00751613"/>
    <w:rsid w:val="00753EE9"/>
    <w:rsid w:val="007556F6"/>
    <w:rsid w:val="00760EEF"/>
    <w:rsid w:val="00777EE5"/>
    <w:rsid w:val="00784836"/>
    <w:rsid w:val="0079023E"/>
    <w:rsid w:val="007A2854"/>
    <w:rsid w:val="007C1D92"/>
    <w:rsid w:val="007C4CB9"/>
    <w:rsid w:val="007D0B9D"/>
    <w:rsid w:val="007D19B0"/>
    <w:rsid w:val="007E0A13"/>
    <w:rsid w:val="007F498F"/>
    <w:rsid w:val="0080679D"/>
    <w:rsid w:val="008108B0"/>
    <w:rsid w:val="00811B20"/>
    <w:rsid w:val="00812609"/>
    <w:rsid w:val="008211B5"/>
    <w:rsid w:val="0082296E"/>
    <w:rsid w:val="00824099"/>
    <w:rsid w:val="00846D7C"/>
    <w:rsid w:val="00846ECA"/>
    <w:rsid w:val="00861BAC"/>
    <w:rsid w:val="00867AC1"/>
    <w:rsid w:val="008751DE"/>
    <w:rsid w:val="00890DF8"/>
    <w:rsid w:val="008A0ADE"/>
    <w:rsid w:val="008A743F"/>
    <w:rsid w:val="008C0970"/>
    <w:rsid w:val="008D0BC5"/>
    <w:rsid w:val="008D2CF7"/>
    <w:rsid w:val="00900C26"/>
    <w:rsid w:val="0090197F"/>
    <w:rsid w:val="00901A83"/>
    <w:rsid w:val="00903264"/>
    <w:rsid w:val="00906DDC"/>
    <w:rsid w:val="00911357"/>
    <w:rsid w:val="00934E09"/>
    <w:rsid w:val="00936253"/>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77CF"/>
    <w:rsid w:val="00A24C10"/>
    <w:rsid w:val="00A3482B"/>
    <w:rsid w:val="00A42AC3"/>
    <w:rsid w:val="00A430CF"/>
    <w:rsid w:val="00A54309"/>
    <w:rsid w:val="00A610A9"/>
    <w:rsid w:val="00A76DA2"/>
    <w:rsid w:val="00A80F2A"/>
    <w:rsid w:val="00A96C33"/>
    <w:rsid w:val="00AB2B93"/>
    <w:rsid w:val="00AB530F"/>
    <w:rsid w:val="00AB7E3F"/>
    <w:rsid w:val="00AB7E5B"/>
    <w:rsid w:val="00AC2883"/>
    <w:rsid w:val="00AC4CB3"/>
    <w:rsid w:val="00AE0EF1"/>
    <w:rsid w:val="00AE2937"/>
    <w:rsid w:val="00B07301"/>
    <w:rsid w:val="00B11F3E"/>
    <w:rsid w:val="00B149C1"/>
    <w:rsid w:val="00B224DE"/>
    <w:rsid w:val="00B324D4"/>
    <w:rsid w:val="00B46575"/>
    <w:rsid w:val="00B61777"/>
    <w:rsid w:val="00B622E6"/>
    <w:rsid w:val="00B83E82"/>
    <w:rsid w:val="00B84BBD"/>
    <w:rsid w:val="00B96D1C"/>
    <w:rsid w:val="00BA43FB"/>
    <w:rsid w:val="00BC127D"/>
    <w:rsid w:val="00BC1FE6"/>
    <w:rsid w:val="00BD7707"/>
    <w:rsid w:val="00C061B6"/>
    <w:rsid w:val="00C2446C"/>
    <w:rsid w:val="00C36AE5"/>
    <w:rsid w:val="00C41F17"/>
    <w:rsid w:val="00C437A3"/>
    <w:rsid w:val="00C5143F"/>
    <w:rsid w:val="00C527FA"/>
    <w:rsid w:val="00C5280D"/>
    <w:rsid w:val="00C53EB3"/>
    <w:rsid w:val="00C5791C"/>
    <w:rsid w:val="00C66290"/>
    <w:rsid w:val="00C72B7A"/>
    <w:rsid w:val="00C95594"/>
    <w:rsid w:val="00C973F2"/>
    <w:rsid w:val="00CA304C"/>
    <w:rsid w:val="00CA774A"/>
    <w:rsid w:val="00CB4921"/>
    <w:rsid w:val="00CC11B0"/>
    <w:rsid w:val="00CC2841"/>
    <w:rsid w:val="00CE1A15"/>
    <w:rsid w:val="00CF1330"/>
    <w:rsid w:val="00CF7E36"/>
    <w:rsid w:val="00D0106A"/>
    <w:rsid w:val="00D11452"/>
    <w:rsid w:val="00D3708D"/>
    <w:rsid w:val="00D40426"/>
    <w:rsid w:val="00D57C96"/>
    <w:rsid w:val="00D57D18"/>
    <w:rsid w:val="00D70E65"/>
    <w:rsid w:val="00D91203"/>
    <w:rsid w:val="00D94C27"/>
    <w:rsid w:val="00D95174"/>
    <w:rsid w:val="00DA4973"/>
    <w:rsid w:val="00DA6F36"/>
    <w:rsid w:val="00DB596E"/>
    <w:rsid w:val="00DB7773"/>
    <w:rsid w:val="00DC00EA"/>
    <w:rsid w:val="00DC3802"/>
    <w:rsid w:val="00DD08F8"/>
    <w:rsid w:val="00DD6208"/>
    <w:rsid w:val="00DF7E99"/>
    <w:rsid w:val="00E07D87"/>
    <w:rsid w:val="00E226C2"/>
    <w:rsid w:val="00E249C8"/>
    <w:rsid w:val="00E32F7E"/>
    <w:rsid w:val="00E40BF0"/>
    <w:rsid w:val="00E5267B"/>
    <w:rsid w:val="00E559F0"/>
    <w:rsid w:val="00E63C0E"/>
    <w:rsid w:val="00E72D49"/>
    <w:rsid w:val="00E7593C"/>
    <w:rsid w:val="00E7678A"/>
    <w:rsid w:val="00E935F1"/>
    <w:rsid w:val="00E94A81"/>
    <w:rsid w:val="00EA1FFB"/>
    <w:rsid w:val="00EB048E"/>
    <w:rsid w:val="00EB4E9C"/>
    <w:rsid w:val="00EE34DF"/>
    <w:rsid w:val="00EF2F89"/>
    <w:rsid w:val="00EF5186"/>
    <w:rsid w:val="00EF7F1D"/>
    <w:rsid w:val="00F03E98"/>
    <w:rsid w:val="00F1237A"/>
    <w:rsid w:val="00F16B7A"/>
    <w:rsid w:val="00F22CBD"/>
    <w:rsid w:val="00F272F1"/>
    <w:rsid w:val="00F31412"/>
    <w:rsid w:val="00F45372"/>
    <w:rsid w:val="00F560F7"/>
    <w:rsid w:val="00F6334D"/>
    <w:rsid w:val="00F63599"/>
    <w:rsid w:val="00F71781"/>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310AE"/>
  <w15:docId w15:val="{236191F3-F07D-43D1-B59C-2CC2CBEC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F16B7A"/>
    <w:pPr>
      <w:tabs>
        <w:tab w:val="right" w:leader="dot" w:pos="9639"/>
      </w:tabs>
      <w:ind w:left="568" w:right="851" w:hanging="284"/>
      <w:contextualSpacing/>
      <w:jc w:val="left"/>
    </w:pPr>
  </w:style>
  <w:style w:type="paragraph" w:styleId="TOC3">
    <w:name w:val="toc 3"/>
    <w:next w:val="Normal"/>
    <w:autoRedefine/>
    <w:uiPriority w:val="39"/>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F16B7A"/>
    <w:pPr>
      <w:tabs>
        <w:tab w:val="left" w:pos="568"/>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274EEC"/>
    <w:rPr>
      <w:rFonts w:ascii="Arial" w:hAnsi="Arial"/>
      <w:u w:val="single"/>
    </w:rPr>
  </w:style>
  <w:style w:type="character" w:customStyle="1" w:styleId="Heading3Char">
    <w:name w:val="Heading 3 Char"/>
    <w:basedOn w:val="DefaultParagraphFont"/>
    <w:link w:val="Heading3"/>
    <w:rsid w:val="00274EE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6\Template\routing_slip_with_doc_two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routing_slip_with_doc_two_56</Template>
  <TotalTime>3</TotalTime>
  <Pages>4</Pages>
  <Words>1417</Words>
  <Characters>9072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TWO/56/</vt:lpstr>
    </vt:vector>
  </TitlesOfParts>
  <Company>UPOV</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TWO/56/</dc:title>
  <dc:creator>REZENDE TAVEIRA Leontino</dc:creator>
  <cp:lastModifiedBy>MAY Jessica</cp:lastModifiedBy>
  <cp:revision>5</cp:revision>
  <cp:lastPrinted>2016-11-22T15:41:00Z</cp:lastPrinted>
  <dcterms:created xsi:type="dcterms:W3CDTF">2024-04-26T18:42:00Z</dcterms:created>
  <dcterms:modified xsi:type="dcterms:W3CDTF">2024-04-29T07:56:00Z</dcterms:modified>
</cp:coreProperties>
</file>