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2172DA" w:rsidRPr="00365DC1" w:rsidRDefault="002172DA" w:rsidP="002172DA"/>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2172DA" w:rsidRPr="00C5280D" w:rsidTr="004226CC">
        <w:tc>
          <w:tcPr>
            <w:tcW w:w="6512" w:type="dxa"/>
          </w:tcPr>
          <w:p w:rsidR="002172DA" w:rsidRPr="00AC2883" w:rsidRDefault="002172DA" w:rsidP="004226CC">
            <w:pPr>
              <w:pStyle w:val="Sessiontc"/>
            </w:pPr>
            <w:r w:rsidRPr="00E70039">
              <w:t xml:space="preserve">Technical Working Party for </w:t>
            </w:r>
            <w:r w:rsidRPr="00EE41AF">
              <w:t>Ornamental Plants and Forest Trees</w:t>
            </w:r>
          </w:p>
          <w:p w:rsidR="002172DA" w:rsidRPr="00DC3802" w:rsidRDefault="002172DA" w:rsidP="004226CC">
            <w:pPr>
              <w:pStyle w:val="Sessiontcplacedate"/>
              <w:rPr>
                <w:sz w:val="22"/>
              </w:rPr>
            </w:pPr>
            <w:r>
              <w:t xml:space="preserve">Fifty-Third </w:t>
            </w:r>
            <w:r w:rsidRPr="00DA4973">
              <w:t>Session</w:t>
            </w:r>
            <w:r w:rsidRPr="00DA4973">
              <w:br/>
            </w:r>
            <w:proofErr w:type="spellStart"/>
            <w:r w:rsidRPr="00514A2A">
              <w:t>Roelofarendsveen</w:t>
            </w:r>
            <w:proofErr w:type="spellEnd"/>
            <w:r w:rsidRPr="00514A2A">
              <w:t xml:space="preserve">, Netherlands, June </w:t>
            </w:r>
            <w:r>
              <w:t>7</w:t>
            </w:r>
            <w:r w:rsidRPr="00514A2A">
              <w:t xml:space="preserve"> to 1</w:t>
            </w:r>
            <w:r>
              <w:t>1</w:t>
            </w:r>
            <w:r w:rsidRPr="00514A2A">
              <w:t>, 202</w:t>
            </w:r>
            <w:r>
              <w:t>1</w:t>
            </w:r>
          </w:p>
        </w:tc>
        <w:tc>
          <w:tcPr>
            <w:tcW w:w="3127" w:type="dxa"/>
          </w:tcPr>
          <w:p w:rsidR="002172DA" w:rsidRPr="003C7FBE" w:rsidRDefault="002172DA" w:rsidP="004226CC">
            <w:pPr>
              <w:pStyle w:val="Doccode"/>
            </w:pPr>
            <w:r>
              <w:t>TWO</w:t>
            </w:r>
            <w:r w:rsidRPr="00AC2883">
              <w:t>/</w:t>
            </w:r>
            <w:r>
              <w:t>53</w:t>
            </w:r>
            <w:r w:rsidRPr="00AC2883">
              <w:t>/</w:t>
            </w:r>
            <w:r w:rsidR="00B50261">
              <w:t>9</w:t>
            </w:r>
          </w:p>
          <w:p w:rsidR="002172DA" w:rsidRPr="003C7FBE" w:rsidRDefault="002172DA" w:rsidP="004226CC">
            <w:pPr>
              <w:pStyle w:val="Docoriginal"/>
            </w:pPr>
            <w:r w:rsidRPr="00AC2883">
              <w:t>Original:</w:t>
            </w:r>
            <w:r w:rsidRPr="000E636A">
              <w:rPr>
                <w:b w:val="0"/>
                <w:spacing w:val="0"/>
              </w:rPr>
              <w:t xml:space="preserve">  English</w:t>
            </w:r>
          </w:p>
          <w:p w:rsidR="002172DA" w:rsidRPr="007C1D92" w:rsidRDefault="002172DA" w:rsidP="004C1E6D">
            <w:pPr>
              <w:pStyle w:val="Docoriginal"/>
            </w:pPr>
            <w:r w:rsidRPr="00AC2883">
              <w:t>Date:</w:t>
            </w:r>
            <w:r w:rsidRPr="000E636A">
              <w:rPr>
                <w:b w:val="0"/>
                <w:spacing w:val="0"/>
              </w:rPr>
              <w:t xml:space="preserve">  </w:t>
            </w:r>
            <w:r w:rsidR="00235E67" w:rsidRPr="004C1E6D">
              <w:rPr>
                <w:b w:val="0"/>
                <w:spacing w:val="0"/>
              </w:rPr>
              <w:t>May 1</w:t>
            </w:r>
            <w:r w:rsidR="004C1E6D" w:rsidRPr="004C1E6D">
              <w:rPr>
                <w:b w:val="0"/>
                <w:spacing w:val="0"/>
              </w:rPr>
              <w:t>9</w:t>
            </w:r>
            <w:r w:rsidRPr="004C1E6D">
              <w:rPr>
                <w:b w:val="0"/>
                <w:spacing w:val="0"/>
              </w:rPr>
              <w:t>, 2021</w:t>
            </w:r>
          </w:p>
        </w:tc>
      </w:tr>
    </w:tbl>
    <w:p w:rsidR="002172DA" w:rsidRPr="006A644A" w:rsidRDefault="00235E67" w:rsidP="002172DA">
      <w:pPr>
        <w:pStyle w:val="Titleofdoc0"/>
      </w:pPr>
      <w:bookmarkStart w:id="1" w:name="TitleOfDoc"/>
      <w:bookmarkEnd w:id="1"/>
      <w:r>
        <w:t xml:space="preserve">comments on </w:t>
      </w:r>
      <w:r w:rsidR="00CE6597">
        <w:t>guidance and information materials</w:t>
      </w:r>
    </w:p>
    <w:p w:rsidR="002172DA" w:rsidRPr="006A644A" w:rsidRDefault="002172DA" w:rsidP="002172DA">
      <w:pPr>
        <w:pStyle w:val="preparedby1"/>
      </w:pPr>
      <w:bookmarkStart w:id="2" w:name="Prepared"/>
      <w:bookmarkEnd w:id="2"/>
      <w:r w:rsidRPr="000C4E25">
        <w:t>Document prepared by the Office of the Union</w:t>
      </w:r>
    </w:p>
    <w:p w:rsidR="002172DA" w:rsidRPr="006A644A" w:rsidRDefault="002172DA" w:rsidP="002172DA">
      <w:pPr>
        <w:pStyle w:val="Disclaimer"/>
      </w:pPr>
      <w:r w:rsidRPr="006A644A">
        <w:t>Disclaimer:  this document does not represent UPOV policies or guidance</w:t>
      </w:r>
    </w:p>
    <w:p w:rsidR="00235E67" w:rsidRDefault="00235E67" w:rsidP="00235E67">
      <w:r>
        <w:fldChar w:fldCharType="begin"/>
      </w:r>
      <w:r>
        <w:instrText xml:space="preserve"> AUTONUM  </w:instrText>
      </w:r>
      <w:r>
        <w:fldChar w:fldCharType="end"/>
      </w:r>
      <w:r>
        <w:tab/>
        <w:t xml:space="preserve">The purpose of this document is to report the comments on </w:t>
      </w:r>
      <w:r w:rsidR="00CE6597">
        <w:t>guidance and information materials</w:t>
      </w:r>
      <w:r>
        <w:t xml:space="preserve"> made by the Technical Working Party for Vegetables (TWV), at its fifty-fifth session, hosted by the Netherlands and held via electronic means, from May 3 to 7, 2021.</w:t>
      </w:r>
    </w:p>
    <w:p w:rsidR="00235E67" w:rsidRDefault="00235E67" w:rsidP="00235E67"/>
    <w:p w:rsidR="00235E67" w:rsidRPr="00C67E8E" w:rsidRDefault="00235E67" w:rsidP="00235E67">
      <w:r w:rsidRPr="00C67E8E">
        <w:fldChar w:fldCharType="begin"/>
      </w:r>
      <w:r w:rsidRPr="00C67E8E">
        <w:instrText xml:space="preserve"> AUTONUM  </w:instrText>
      </w:r>
      <w:r w:rsidRPr="00C67E8E">
        <w:fldChar w:fldCharType="end"/>
      </w:r>
      <w:r w:rsidRPr="00C67E8E">
        <w:tab/>
        <w:t>The structure of this document is as follows:</w:t>
      </w:r>
    </w:p>
    <w:p w:rsidR="00235E67" w:rsidRPr="008264A8" w:rsidRDefault="00235E67" w:rsidP="00235E67">
      <w:pPr>
        <w:rPr>
          <w:highlight w:val="yellow"/>
        </w:rPr>
      </w:pPr>
    </w:p>
    <w:p w:rsidR="00C67E8E" w:rsidRDefault="00235E67" w:rsidP="00774785">
      <w:pPr>
        <w:pStyle w:val="TOC1"/>
        <w:rPr>
          <w:rFonts w:asciiTheme="minorHAnsi" w:eastAsiaTheme="minorEastAsia" w:hAnsiTheme="minorHAnsi" w:cstheme="minorBidi"/>
          <w:noProof/>
          <w:sz w:val="22"/>
          <w:szCs w:val="22"/>
        </w:rPr>
      </w:pPr>
      <w:r w:rsidRPr="008264A8">
        <w:rPr>
          <w:snapToGrid w:val="0"/>
          <w:sz w:val="20"/>
          <w:highlight w:val="yellow"/>
        </w:rPr>
        <w:fldChar w:fldCharType="begin"/>
      </w:r>
      <w:r w:rsidRPr="008264A8">
        <w:rPr>
          <w:snapToGrid w:val="0"/>
          <w:highlight w:val="yellow"/>
        </w:rPr>
        <w:instrText xml:space="preserve"> TOC \o "1-3" \h \z \u </w:instrText>
      </w:r>
      <w:r w:rsidRPr="008264A8">
        <w:rPr>
          <w:snapToGrid w:val="0"/>
          <w:sz w:val="20"/>
          <w:highlight w:val="yellow"/>
        </w:rPr>
        <w:fldChar w:fldCharType="separate"/>
      </w:r>
      <w:hyperlink w:anchor="_Toc72241786" w:history="1">
        <w:r w:rsidR="00C67E8E" w:rsidRPr="00A24B0D">
          <w:rPr>
            <w:rStyle w:val="Hyperlink"/>
            <w:noProof/>
          </w:rPr>
          <w:t>Documents for adoption in 2021</w:t>
        </w:r>
        <w:r w:rsidR="00C67E8E">
          <w:rPr>
            <w:noProof/>
            <w:webHidden/>
          </w:rPr>
          <w:tab/>
        </w:r>
        <w:r w:rsidR="00C67E8E">
          <w:rPr>
            <w:noProof/>
            <w:webHidden/>
          </w:rPr>
          <w:fldChar w:fldCharType="begin"/>
        </w:r>
        <w:r w:rsidR="00C67E8E">
          <w:rPr>
            <w:noProof/>
            <w:webHidden/>
          </w:rPr>
          <w:instrText xml:space="preserve"> PAGEREF _Toc72241786 \h </w:instrText>
        </w:r>
        <w:r w:rsidR="00C67E8E">
          <w:rPr>
            <w:noProof/>
            <w:webHidden/>
          </w:rPr>
        </w:r>
        <w:r w:rsidR="00C67E8E">
          <w:rPr>
            <w:noProof/>
            <w:webHidden/>
          </w:rPr>
          <w:fldChar w:fldCharType="separate"/>
        </w:r>
        <w:r w:rsidR="00C67E8E">
          <w:rPr>
            <w:noProof/>
            <w:webHidden/>
          </w:rPr>
          <w:t>1</w:t>
        </w:r>
        <w:r w:rsidR="00C67E8E">
          <w:rPr>
            <w:noProof/>
            <w:webHidden/>
          </w:rPr>
          <w:fldChar w:fldCharType="end"/>
        </w:r>
      </w:hyperlink>
    </w:p>
    <w:p w:rsidR="00C67E8E" w:rsidRDefault="00165273">
      <w:pPr>
        <w:pStyle w:val="TOC2"/>
        <w:rPr>
          <w:rFonts w:asciiTheme="minorHAnsi" w:eastAsiaTheme="minorEastAsia" w:hAnsiTheme="minorHAnsi" w:cstheme="minorBidi"/>
          <w:smallCaps/>
          <w:noProof/>
          <w:sz w:val="22"/>
          <w:szCs w:val="22"/>
        </w:rPr>
      </w:pPr>
      <w:hyperlink w:anchor="_Toc72241787" w:history="1">
        <w:r w:rsidR="00C67E8E" w:rsidRPr="00A24B0D">
          <w:rPr>
            <w:rStyle w:val="Hyperlink"/>
            <w:noProof/>
          </w:rPr>
          <w:t>Development</w:t>
        </w:r>
        <w:r w:rsidR="00C67E8E" w:rsidRPr="00A24B0D">
          <w:rPr>
            <w:rStyle w:val="Hyperlink"/>
            <w:noProof/>
            <w:snapToGrid w:val="0"/>
          </w:rPr>
          <w:t xml:space="preserve"> of document UPOV/INF/23 “</w:t>
        </w:r>
        <w:r w:rsidR="00C67E8E" w:rsidRPr="00A24B0D">
          <w:rPr>
            <w:rStyle w:val="Hyperlink"/>
            <w:noProof/>
          </w:rPr>
          <w:t>UPOV Code System”</w:t>
        </w:r>
        <w:r w:rsidR="00C67E8E">
          <w:rPr>
            <w:noProof/>
            <w:webHidden/>
          </w:rPr>
          <w:tab/>
        </w:r>
        <w:r w:rsidR="00C67E8E">
          <w:rPr>
            <w:noProof/>
            <w:webHidden/>
          </w:rPr>
          <w:fldChar w:fldCharType="begin"/>
        </w:r>
        <w:r w:rsidR="00C67E8E">
          <w:rPr>
            <w:noProof/>
            <w:webHidden/>
          </w:rPr>
          <w:instrText xml:space="preserve"> PAGEREF _Toc72241787 \h </w:instrText>
        </w:r>
        <w:r w:rsidR="00C67E8E">
          <w:rPr>
            <w:noProof/>
            <w:webHidden/>
          </w:rPr>
        </w:r>
        <w:r w:rsidR="00C67E8E">
          <w:rPr>
            <w:noProof/>
            <w:webHidden/>
          </w:rPr>
          <w:fldChar w:fldCharType="separate"/>
        </w:r>
        <w:r w:rsidR="00C67E8E">
          <w:rPr>
            <w:noProof/>
            <w:webHidden/>
          </w:rPr>
          <w:t>1</w:t>
        </w:r>
        <w:r w:rsidR="00C67E8E">
          <w:rPr>
            <w:noProof/>
            <w:webHidden/>
          </w:rPr>
          <w:fldChar w:fldCharType="end"/>
        </w:r>
      </w:hyperlink>
    </w:p>
    <w:p w:rsidR="00C67E8E" w:rsidRDefault="00165273" w:rsidP="00774785">
      <w:pPr>
        <w:pStyle w:val="TOC1"/>
        <w:rPr>
          <w:rFonts w:asciiTheme="minorHAnsi" w:eastAsiaTheme="minorEastAsia" w:hAnsiTheme="minorHAnsi" w:cstheme="minorBidi"/>
          <w:noProof/>
          <w:sz w:val="22"/>
          <w:szCs w:val="22"/>
        </w:rPr>
      </w:pPr>
      <w:hyperlink w:anchor="_Toc72241788" w:history="1">
        <w:r w:rsidR="00C67E8E" w:rsidRPr="00A24B0D">
          <w:rPr>
            <w:rStyle w:val="Hyperlink"/>
            <w:noProof/>
          </w:rPr>
          <w:t>documents for adoption after 2021</w:t>
        </w:r>
        <w:r w:rsidR="00C67E8E">
          <w:rPr>
            <w:noProof/>
            <w:webHidden/>
          </w:rPr>
          <w:tab/>
        </w:r>
        <w:r w:rsidR="00C67E8E">
          <w:rPr>
            <w:noProof/>
            <w:webHidden/>
          </w:rPr>
          <w:fldChar w:fldCharType="begin"/>
        </w:r>
        <w:r w:rsidR="00C67E8E">
          <w:rPr>
            <w:noProof/>
            <w:webHidden/>
          </w:rPr>
          <w:instrText xml:space="preserve"> PAGEREF _Toc72241788 \h </w:instrText>
        </w:r>
        <w:r w:rsidR="00C67E8E">
          <w:rPr>
            <w:noProof/>
            <w:webHidden/>
          </w:rPr>
        </w:r>
        <w:r w:rsidR="00C67E8E">
          <w:rPr>
            <w:noProof/>
            <w:webHidden/>
          </w:rPr>
          <w:fldChar w:fldCharType="separate"/>
        </w:r>
        <w:r w:rsidR="00C67E8E">
          <w:rPr>
            <w:noProof/>
            <w:webHidden/>
          </w:rPr>
          <w:t>1</w:t>
        </w:r>
        <w:r w:rsidR="00C67E8E">
          <w:rPr>
            <w:noProof/>
            <w:webHidden/>
          </w:rPr>
          <w:fldChar w:fldCharType="end"/>
        </w:r>
      </w:hyperlink>
    </w:p>
    <w:p w:rsidR="00C67E8E" w:rsidRDefault="00165273">
      <w:pPr>
        <w:pStyle w:val="TOC2"/>
        <w:rPr>
          <w:rFonts w:asciiTheme="minorHAnsi" w:eastAsiaTheme="minorEastAsia" w:hAnsiTheme="minorHAnsi" w:cstheme="minorBidi"/>
          <w:smallCaps/>
          <w:noProof/>
          <w:sz w:val="22"/>
          <w:szCs w:val="22"/>
        </w:rPr>
      </w:pPr>
      <w:hyperlink w:anchor="_Toc72241789" w:history="1">
        <w:r w:rsidR="00C67E8E" w:rsidRPr="00A24B0D">
          <w:rPr>
            <w:rStyle w:val="Hyperlink"/>
            <w:noProof/>
          </w:rPr>
          <w:t>Revision of document TGP/5 “Experience and cooperation in DUS testing”, Section 6 “UPOV Report on Technical Examination and UPOV Variety Description”</w:t>
        </w:r>
        <w:r w:rsidR="00C67E8E">
          <w:rPr>
            <w:noProof/>
            <w:webHidden/>
          </w:rPr>
          <w:tab/>
        </w:r>
        <w:r w:rsidR="00C67E8E">
          <w:rPr>
            <w:noProof/>
            <w:webHidden/>
          </w:rPr>
          <w:fldChar w:fldCharType="begin"/>
        </w:r>
        <w:r w:rsidR="00C67E8E">
          <w:rPr>
            <w:noProof/>
            <w:webHidden/>
          </w:rPr>
          <w:instrText xml:space="preserve"> PAGEREF _Toc72241789 \h </w:instrText>
        </w:r>
        <w:r w:rsidR="00C67E8E">
          <w:rPr>
            <w:noProof/>
            <w:webHidden/>
          </w:rPr>
        </w:r>
        <w:r w:rsidR="00C67E8E">
          <w:rPr>
            <w:noProof/>
            <w:webHidden/>
          </w:rPr>
          <w:fldChar w:fldCharType="separate"/>
        </w:r>
        <w:r w:rsidR="00C67E8E">
          <w:rPr>
            <w:noProof/>
            <w:webHidden/>
          </w:rPr>
          <w:t>2</w:t>
        </w:r>
        <w:r w:rsidR="00C67E8E">
          <w:rPr>
            <w:noProof/>
            <w:webHidden/>
          </w:rPr>
          <w:fldChar w:fldCharType="end"/>
        </w:r>
      </w:hyperlink>
    </w:p>
    <w:p w:rsidR="00C67E8E" w:rsidRDefault="00165273">
      <w:pPr>
        <w:pStyle w:val="TOC3"/>
        <w:rPr>
          <w:rFonts w:asciiTheme="minorHAnsi" w:eastAsiaTheme="minorEastAsia" w:hAnsiTheme="minorHAnsi" w:cstheme="minorBidi"/>
          <w:noProof/>
          <w:sz w:val="22"/>
          <w:szCs w:val="22"/>
          <w:lang w:val="en-US"/>
        </w:rPr>
      </w:pPr>
      <w:hyperlink w:anchor="_Toc72241790" w:history="1">
        <w:r w:rsidR="00C67E8E" w:rsidRPr="00A24B0D">
          <w:rPr>
            <w:rStyle w:val="Hyperlink"/>
            <w:noProof/>
          </w:rPr>
          <w:t>Testing facility and location</w:t>
        </w:r>
        <w:r w:rsidR="00C67E8E">
          <w:rPr>
            <w:noProof/>
            <w:webHidden/>
          </w:rPr>
          <w:tab/>
        </w:r>
        <w:r w:rsidR="00C67E8E">
          <w:rPr>
            <w:noProof/>
            <w:webHidden/>
          </w:rPr>
          <w:fldChar w:fldCharType="begin"/>
        </w:r>
        <w:r w:rsidR="00C67E8E">
          <w:rPr>
            <w:noProof/>
            <w:webHidden/>
          </w:rPr>
          <w:instrText xml:space="preserve"> PAGEREF _Toc72241790 \h </w:instrText>
        </w:r>
        <w:r w:rsidR="00C67E8E">
          <w:rPr>
            <w:noProof/>
            <w:webHidden/>
          </w:rPr>
        </w:r>
        <w:r w:rsidR="00C67E8E">
          <w:rPr>
            <w:noProof/>
            <w:webHidden/>
          </w:rPr>
          <w:fldChar w:fldCharType="separate"/>
        </w:r>
        <w:r w:rsidR="00C67E8E">
          <w:rPr>
            <w:noProof/>
            <w:webHidden/>
          </w:rPr>
          <w:t>2</w:t>
        </w:r>
        <w:r w:rsidR="00C67E8E">
          <w:rPr>
            <w:noProof/>
            <w:webHidden/>
          </w:rPr>
          <w:fldChar w:fldCharType="end"/>
        </w:r>
      </w:hyperlink>
    </w:p>
    <w:p w:rsidR="00C67E8E" w:rsidRDefault="00165273">
      <w:pPr>
        <w:pStyle w:val="TOC3"/>
        <w:rPr>
          <w:rFonts w:asciiTheme="minorHAnsi" w:eastAsiaTheme="minorEastAsia" w:hAnsiTheme="minorHAnsi" w:cstheme="minorBidi"/>
          <w:noProof/>
          <w:sz w:val="22"/>
          <w:szCs w:val="22"/>
          <w:lang w:val="en-US"/>
        </w:rPr>
      </w:pPr>
      <w:hyperlink w:anchor="_Toc72241791" w:history="1">
        <w:r w:rsidR="00C67E8E" w:rsidRPr="00A24B0D">
          <w:rPr>
            <w:rStyle w:val="Hyperlink"/>
            <w:noProof/>
          </w:rPr>
          <w:t>Additional information to be included in DUS test reports</w:t>
        </w:r>
        <w:r w:rsidR="00C67E8E">
          <w:rPr>
            <w:noProof/>
            <w:webHidden/>
          </w:rPr>
          <w:tab/>
        </w:r>
        <w:r w:rsidR="00C67E8E">
          <w:rPr>
            <w:noProof/>
            <w:webHidden/>
          </w:rPr>
          <w:fldChar w:fldCharType="begin"/>
        </w:r>
        <w:r w:rsidR="00C67E8E">
          <w:rPr>
            <w:noProof/>
            <w:webHidden/>
          </w:rPr>
          <w:instrText xml:space="preserve"> PAGEREF _Toc72241791 \h </w:instrText>
        </w:r>
        <w:r w:rsidR="00C67E8E">
          <w:rPr>
            <w:noProof/>
            <w:webHidden/>
          </w:rPr>
        </w:r>
        <w:r w:rsidR="00C67E8E">
          <w:rPr>
            <w:noProof/>
            <w:webHidden/>
          </w:rPr>
          <w:fldChar w:fldCharType="separate"/>
        </w:r>
        <w:r w:rsidR="00C67E8E">
          <w:rPr>
            <w:noProof/>
            <w:webHidden/>
          </w:rPr>
          <w:t>2</w:t>
        </w:r>
        <w:r w:rsidR="00C67E8E">
          <w:rPr>
            <w:noProof/>
            <w:webHidden/>
          </w:rPr>
          <w:fldChar w:fldCharType="end"/>
        </w:r>
      </w:hyperlink>
    </w:p>
    <w:p w:rsidR="00C67E8E" w:rsidRDefault="00165273">
      <w:pPr>
        <w:pStyle w:val="TOC2"/>
        <w:tabs>
          <w:tab w:val="left" w:pos="1100"/>
        </w:tabs>
        <w:rPr>
          <w:rFonts w:asciiTheme="minorHAnsi" w:eastAsiaTheme="minorEastAsia" w:hAnsiTheme="minorHAnsi" w:cstheme="minorBidi"/>
          <w:smallCaps/>
          <w:noProof/>
          <w:sz w:val="22"/>
          <w:szCs w:val="22"/>
        </w:rPr>
      </w:pPr>
      <w:hyperlink w:anchor="_Toc72241792" w:history="1">
        <w:r w:rsidR="00C67E8E" w:rsidRPr="00A24B0D">
          <w:rPr>
            <w:rStyle w:val="Hyperlink"/>
            <w:noProof/>
          </w:rPr>
          <w:t>TGP/8</w:t>
        </w:r>
        <w:r w:rsidR="00C67E8E">
          <w:rPr>
            <w:rFonts w:asciiTheme="minorHAnsi" w:eastAsiaTheme="minorEastAsia" w:hAnsiTheme="minorHAnsi" w:cstheme="minorBidi"/>
            <w:noProof/>
            <w:sz w:val="22"/>
            <w:szCs w:val="22"/>
          </w:rPr>
          <w:tab/>
        </w:r>
        <w:r w:rsidR="00C67E8E" w:rsidRPr="00A24B0D">
          <w:rPr>
            <w:rStyle w:val="Hyperlink"/>
            <w:noProof/>
          </w:rPr>
          <w:t>Trial Design and Techniques Used in the Examination of Distinctness, Uniformity and Stability (Revision)</w:t>
        </w:r>
        <w:r w:rsidR="00C67E8E">
          <w:rPr>
            <w:noProof/>
            <w:webHidden/>
          </w:rPr>
          <w:tab/>
        </w:r>
        <w:r w:rsidR="00C67E8E">
          <w:rPr>
            <w:noProof/>
            <w:webHidden/>
          </w:rPr>
          <w:fldChar w:fldCharType="begin"/>
        </w:r>
        <w:r w:rsidR="00C67E8E">
          <w:rPr>
            <w:noProof/>
            <w:webHidden/>
          </w:rPr>
          <w:instrText xml:space="preserve"> PAGEREF _Toc72241792 \h </w:instrText>
        </w:r>
        <w:r w:rsidR="00C67E8E">
          <w:rPr>
            <w:noProof/>
            <w:webHidden/>
          </w:rPr>
        </w:r>
        <w:r w:rsidR="00C67E8E">
          <w:rPr>
            <w:noProof/>
            <w:webHidden/>
          </w:rPr>
          <w:fldChar w:fldCharType="separate"/>
        </w:r>
        <w:r w:rsidR="00C67E8E">
          <w:rPr>
            <w:noProof/>
            <w:webHidden/>
          </w:rPr>
          <w:t>2</w:t>
        </w:r>
        <w:r w:rsidR="00C67E8E">
          <w:rPr>
            <w:noProof/>
            <w:webHidden/>
          </w:rPr>
          <w:fldChar w:fldCharType="end"/>
        </w:r>
      </w:hyperlink>
    </w:p>
    <w:p w:rsidR="00C67E8E" w:rsidRDefault="00165273">
      <w:pPr>
        <w:pStyle w:val="TOC3"/>
        <w:rPr>
          <w:rFonts w:asciiTheme="minorHAnsi" w:eastAsiaTheme="minorEastAsia" w:hAnsiTheme="minorHAnsi" w:cstheme="minorBidi"/>
          <w:noProof/>
          <w:sz w:val="22"/>
          <w:szCs w:val="22"/>
          <w:lang w:val="en-US"/>
        </w:rPr>
      </w:pPr>
      <w:hyperlink w:anchor="_Toc72241793" w:history="1">
        <w:r w:rsidR="00C67E8E" w:rsidRPr="00A24B0D">
          <w:rPr>
            <w:rStyle w:val="Hyperlink"/>
            <w:noProof/>
          </w:rPr>
          <w:t>The Combined-Over-Years Uniformity Criterion (COYU)</w:t>
        </w:r>
        <w:r w:rsidR="00C67E8E">
          <w:rPr>
            <w:noProof/>
            <w:webHidden/>
          </w:rPr>
          <w:tab/>
        </w:r>
        <w:r w:rsidR="00C67E8E">
          <w:rPr>
            <w:noProof/>
            <w:webHidden/>
          </w:rPr>
          <w:fldChar w:fldCharType="begin"/>
        </w:r>
        <w:r w:rsidR="00C67E8E">
          <w:rPr>
            <w:noProof/>
            <w:webHidden/>
          </w:rPr>
          <w:instrText xml:space="preserve"> PAGEREF _Toc72241793 \h </w:instrText>
        </w:r>
        <w:r w:rsidR="00C67E8E">
          <w:rPr>
            <w:noProof/>
            <w:webHidden/>
          </w:rPr>
        </w:r>
        <w:r w:rsidR="00C67E8E">
          <w:rPr>
            <w:noProof/>
            <w:webHidden/>
          </w:rPr>
          <w:fldChar w:fldCharType="separate"/>
        </w:r>
        <w:r w:rsidR="00C67E8E">
          <w:rPr>
            <w:noProof/>
            <w:webHidden/>
          </w:rPr>
          <w:t>2</w:t>
        </w:r>
        <w:r w:rsidR="00C67E8E">
          <w:rPr>
            <w:noProof/>
            <w:webHidden/>
          </w:rPr>
          <w:fldChar w:fldCharType="end"/>
        </w:r>
      </w:hyperlink>
    </w:p>
    <w:p w:rsidR="00235E67" w:rsidRDefault="00235E67" w:rsidP="00235E67">
      <w:pPr>
        <w:keepNext/>
        <w:outlineLvl w:val="0"/>
        <w:rPr>
          <w:rFonts w:cs="Arial"/>
          <w:bCs/>
          <w:caps/>
          <w:snapToGrid w:val="0"/>
          <w:sz w:val="18"/>
        </w:rPr>
      </w:pPr>
      <w:r w:rsidRPr="008264A8">
        <w:rPr>
          <w:rFonts w:cs="Arial"/>
          <w:bCs/>
          <w:caps/>
          <w:snapToGrid w:val="0"/>
          <w:sz w:val="18"/>
          <w:highlight w:val="yellow"/>
        </w:rPr>
        <w:fldChar w:fldCharType="end"/>
      </w:r>
    </w:p>
    <w:p w:rsidR="00235E67" w:rsidRDefault="00235E67" w:rsidP="00235E67">
      <w:pPr>
        <w:keepNext/>
        <w:outlineLvl w:val="0"/>
        <w:rPr>
          <w:rFonts w:cs="Arial"/>
          <w:bCs/>
          <w:caps/>
          <w:snapToGrid w:val="0"/>
          <w:sz w:val="18"/>
        </w:rPr>
      </w:pPr>
    </w:p>
    <w:p w:rsidR="00235E67" w:rsidRDefault="00235E67" w:rsidP="00235E67">
      <w:pPr>
        <w:jc w:val="left"/>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t xml:space="preserve">The following abbreviations </w:t>
      </w:r>
      <w:proofErr w:type="gramStart"/>
      <w:r>
        <w:rPr>
          <w:rFonts w:cs="Arial"/>
          <w:color w:val="000000"/>
        </w:rPr>
        <w:t>are used</w:t>
      </w:r>
      <w:proofErr w:type="gramEnd"/>
      <w:r>
        <w:rPr>
          <w:rFonts w:cs="Arial"/>
          <w:color w:val="000000"/>
        </w:rPr>
        <w:t xml:space="preserve"> in this document:</w:t>
      </w:r>
    </w:p>
    <w:p w:rsidR="00235E67" w:rsidRDefault="00235E67" w:rsidP="00235E67">
      <w:pPr>
        <w:jc w:val="left"/>
        <w:rPr>
          <w:rFonts w:cs="Arial"/>
          <w:color w:val="000000"/>
        </w:rPr>
      </w:pPr>
    </w:p>
    <w:p w:rsidR="00235E67" w:rsidRDefault="00235E67" w:rsidP="00235E67">
      <w:pPr>
        <w:tabs>
          <w:tab w:val="left" w:pos="1134"/>
        </w:tabs>
        <w:jc w:val="left"/>
        <w:rPr>
          <w:rFonts w:cs="Arial"/>
          <w:color w:val="000000"/>
        </w:rPr>
      </w:pPr>
      <w:r>
        <w:rPr>
          <w:rFonts w:cs="Arial"/>
          <w:color w:val="000000"/>
        </w:rPr>
        <w:t xml:space="preserve">TC:  </w:t>
      </w:r>
      <w:r>
        <w:rPr>
          <w:rFonts w:cs="Arial"/>
          <w:color w:val="000000"/>
        </w:rPr>
        <w:tab/>
        <w:t>Technical Committee</w:t>
      </w:r>
    </w:p>
    <w:p w:rsidR="00235E67" w:rsidRDefault="00235E67" w:rsidP="00235E67">
      <w:pPr>
        <w:jc w:val="left"/>
        <w:rPr>
          <w:rFonts w:cs="Arial"/>
          <w:color w:val="000000"/>
        </w:rPr>
      </w:pPr>
      <w:r>
        <w:rPr>
          <w:rFonts w:cs="Arial"/>
          <w:color w:val="000000"/>
        </w:rPr>
        <w:t xml:space="preserve">TC-EDC:  </w:t>
      </w:r>
      <w:r>
        <w:rPr>
          <w:rFonts w:cs="Arial"/>
          <w:color w:val="000000"/>
        </w:rPr>
        <w:tab/>
        <w:t>Enlarged Editorial Committee</w:t>
      </w:r>
    </w:p>
    <w:p w:rsidR="00235E67" w:rsidRDefault="00235E67" w:rsidP="00235E67">
      <w:pPr>
        <w:jc w:val="left"/>
        <w:rPr>
          <w:rFonts w:cs="Arial"/>
          <w:color w:val="000000"/>
        </w:rPr>
      </w:pPr>
      <w:r>
        <w:rPr>
          <w:rFonts w:cs="Arial"/>
          <w:color w:val="000000"/>
        </w:rPr>
        <w:t xml:space="preserve">TWA:  </w:t>
      </w:r>
      <w:r>
        <w:rPr>
          <w:rFonts w:cs="Arial"/>
          <w:color w:val="000000"/>
        </w:rPr>
        <w:tab/>
        <w:t>Technical Working Party for Agricultural Crops</w:t>
      </w:r>
    </w:p>
    <w:p w:rsidR="00235E67" w:rsidRDefault="00235E67" w:rsidP="00235E67">
      <w:pPr>
        <w:jc w:val="left"/>
        <w:rPr>
          <w:rFonts w:cs="Arial"/>
          <w:color w:val="000000"/>
        </w:rPr>
      </w:pPr>
      <w:r>
        <w:rPr>
          <w:rFonts w:cs="Arial"/>
          <w:color w:val="000000"/>
        </w:rPr>
        <w:t xml:space="preserve">TWC:  </w:t>
      </w:r>
      <w:r>
        <w:rPr>
          <w:rFonts w:cs="Arial"/>
          <w:color w:val="000000"/>
        </w:rPr>
        <w:tab/>
        <w:t>Technical Working Party on Automation and Computer Programs</w:t>
      </w:r>
    </w:p>
    <w:p w:rsidR="00235E67" w:rsidRDefault="00235E67" w:rsidP="00235E67">
      <w:pPr>
        <w:jc w:val="left"/>
        <w:rPr>
          <w:rFonts w:cs="Arial"/>
          <w:color w:val="000000"/>
        </w:rPr>
      </w:pPr>
      <w:r>
        <w:rPr>
          <w:rFonts w:cs="Arial"/>
          <w:color w:val="000000"/>
        </w:rPr>
        <w:t xml:space="preserve">TWF:  </w:t>
      </w:r>
      <w:r>
        <w:rPr>
          <w:rFonts w:cs="Arial"/>
          <w:color w:val="000000"/>
        </w:rPr>
        <w:tab/>
        <w:t xml:space="preserve">Technical Working Party for Fruit Crops </w:t>
      </w:r>
    </w:p>
    <w:p w:rsidR="00235E67" w:rsidRDefault="00235E67" w:rsidP="00235E67">
      <w:pPr>
        <w:jc w:val="left"/>
        <w:rPr>
          <w:rFonts w:cs="Arial"/>
          <w:color w:val="000000"/>
        </w:rPr>
      </w:pPr>
      <w:r>
        <w:rPr>
          <w:rFonts w:cs="Arial"/>
          <w:color w:val="000000"/>
        </w:rPr>
        <w:t xml:space="preserve">TWO:  </w:t>
      </w:r>
      <w:r>
        <w:rPr>
          <w:rFonts w:cs="Arial"/>
          <w:color w:val="000000"/>
        </w:rPr>
        <w:tab/>
        <w:t xml:space="preserve">Technical Working Party for Ornamental Plants and Forest Trees </w:t>
      </w:r>
    </w:p>
    <w:p w:rsidR="00235E67" w:rsidRDefault="00235E67" w:rsidP="00235E67">
      <w:pPr>
        <w:jc w:val="left"/>
        <w:rPr>
          <w:rFonts w:cs="Arial"/>
          <w:color w:val="000000"/>
        </w:rPr>
      </w:pPr>
      <w:r>
        <w:rPr>
          <w:rFonts w:cs="Arial"/>
          <w:color w:val="000000"/>
        </w:rPr>
        <w:t xml:space="preserve">TWV:  </w:t>
      </w:r>
      <w:r>
        <w:rPr>
          <w:rFonts w:cs="Arial"/>
          <w:color w:val="000000"/>
        </w:rPr>
        <w:tab/>
        <w:t>Technical Working Party for Vegetables</w:t>
      </w:r>
    </w:p>
    <w:p w:rsidR="00235E67" w:rsidRDefault="00235E67" w:rsidP="00235E67">
      <w:pPr>
        <w:jc w:val="left"/>
        <w:rPr>
          <w:rFonts w:cs="Arial"/>
          <w:color w:val="000000"/>
        </w:rPr>
      </w:pPr>
      <w:r>
        <w:rPr>
          <w:rFonts w:cs="Arial"/>
          <w:color w:val="000000"/>
        </w:rPr>
        <w:t>TWPs:</w:t>
      </w:r>
      <w:r>
        <w:rPr>
          <w:rFonts w:cs="Arial"/>
          <w:color w:val="000000"/>
        </w:rPr>
        <w:tab/>
        <w:t>Technical Working Parties</w:t>
      </w:r>
    </w:p>
    <w:p w:rsidR="00CE6597" w:rsidRDefault="00CE6597" w:rsidP="00CE6597">
      <w:pPr>
        <w:tabs>
          <w:tab w:val="left" w:pos="1134"/>
        </w:tabs>
        <w:ind w:left="1134" w:hanging="567"/>
        <w:jc w:val="left"/>
        <w:rPr>
          <w:caps/>
        </w:rPr>
      </w:pPr>
    </w:p>
    <w:p w:rsidR="00CE6597" w:rsidRDefault="00CE6597" w:rsidP="00CE6597"/>
    <w:p w:rsidR="00CE6597" w:rsidRDefault="00CE6597" w:rsidP="00CE6597">
      <w:pPr>
        <w:keepNext/>
        <w:outlineLvl w:val="0"/>
        <w:rPr>
          <w:caps/>
        </w:rPr>
      </w:pPr>
      <w:bookmarkStart w:id="3" w:name="_Toc889243"/>
      <w:bookmarkStart w:id="4" w:name="_Toc37165238"/>
      <w:bookmarkStart w:id="5" w:name="_Toc65839437"/>
      <w:bookmarkStart w:id="6" w:name="_Toc72241786"/>
      <w:r>
        <w:rPr>
          <w:caps/>
        </w:rPr>
        <w:t>Documents for adoption in 20</w:t>
      </w:r>
      <w:bookmarkEnd w:id="3"/>
      <w:r>
        <w:rPr>
          <w:caps/>
        </w:rPr>
        <w:t>2</w:t>
      </w:r>
      <w:bookmarkEnd w:id="4"/>
      <w:r>
        <w:rPr>
          <w:caps/>
        </w:rPr>
        <w:t>1</w:t>
      </w:r>
      <w:bookmarkEnd w:id="5"/>
      <w:bookmarkEnd w:id="6"/>
    </w:p>
    <w:p w:rsidR="00CE6597" w:rsidRDefault="00CE6597" w:rsidP="00CE6597">
      <w:pPr>
        <w:keepNext/>
        <w:outlineLvl w:val="0"/>
        <w:rPr>
          <w:caps/>
        </w:rPr>
      </w:pPr>
    </w:p>
    <w:p w:rsidR="00CE6597" w:rsidRDefault="00CE6597" w:rsidP="00CE6597">
      <w:pPr>
        <w:pStyle w:val="Heading2"/>
      </w:pPr>
      <w:bookmarkStart w:id="7" w:name="_Toc65839441"/>
      <w:bookmarkStart w:id="8" w:name="_Toc37165259"/>
      <w:bookmarkStart w:id="9" w:name="_Toc72241787"/>
      <w:r>
        <w:t>Development</w:t>
      </w:r>
      <w:r>
        <w:rPr>
          <w:snapToGrid w:val="0"/>
        </w:rPr>
        <w:t xml:space="preserve"> of document UPOV/INF/23 “</w:t>
      </w:r>
      <w:r>
        <w:t>UPOV Code System”</w:t>
      </w:r>
      <w:bookmarkEnd w:id="7"/>
      <w:bookmarkEnd w:id="8"/>
      <w:bookmarkEnd w:id="9"/>
    </w:p>
    <w:p w:rsidR="00CE6597" w:rsidRDefault="00CE6597" w:rsidP="00CE6597">
      <w:pPr>
        <w:keepNext/>
        <w:outlineLvl w:val="0"/>
        <w:rPr>
          <w:caps/>
        </w:rPr>
      </w:pPr>
    </w:p>
    <w:p w:rsidR="00184B4A" w:rsidRPr="00377E6F" w:rsidRDefault="00184B4A" w:rsidP="00184B4A">
      <w:pPr>
        <w:rPr>
          <w:snapToGrid w:val="0"/>
        </w:rPr>
      </w:pPr>
      <w:r>
        <w:rPr>
          <w:snapToGrid w:val="0"/>
        </w:rPr>
        <w:t>73</w:t>
      </w:r>
      <w:r w:rsidRPr="00377E6F">
        <w:rPr>
          <w:snapToGrid w:val="0"/>
        </w:rPr>
        <w:tab/>
        <w:t>The TWV</w:t>
      </w:r>
      <w:r w:rsidR="00CE6597">
        <w:rPr>
          <w:snapToGrid w:val="0"/>
        </w:rPr>
        <w:t>, at its fifty-fifth session,</w:t>
      </w:r>
      <w:r w:rsidRPr="00377E6F">
        <w:rPr>
          <w:snapToGrid w:val="0"/>
        </w:rPr>
        <w:t xml:space="preserve"> agreed with the proposal for amending the UPOV code system to provide information on variety types, groups and denomination class, as set out in document UPOV/INF/23/1 Draft 2</w:t>
      </w:r>
      <w:r w:rsidR="00CE6597">
        <w:rPr>
          <w:snapToGrid w:val="0"/>
        </w:rPr>
        <w:t xml:space="preserve"> (see document TWV/55/16 “Report”, paragraph 73).</w:t>
      </w:r>
    </w:p>
    <w:p w:rsidR="00184B4A" w:rsidRDefault="00184B4A" w:rsidP="008264A8">
      <w:pPr>
        <w:ind w:left="567" w:hanging="567"/>
        <w:rPr>
          <w:caps/>
        </w:rPr>
      </w:pPr>
    </w:p>
    <w:p w:rsidR="004B7808" w:rsidRDefault="004B7808" w:rsidP="004B7808">
      <w:pPr>
        <w:ind w:left="567" w:hanging="567"/>
        <w:jc w:val="left"/>
      </w:pPr>
    </w:p>
    <w:p w:rsidR="004B7808" w:rsidRDefault="004B7808" w:rsidP="007340E4">
      <w:pPr>
        <w:keepNext/>
        <w:outlineLvl w:val="0"/>
        <w:rPr>
          <w:caps/>
        </w:rPr>
      </w:pPr>
      <w:bookmarkStart w:id="10" w:name="_Toc65839442"/>
      <w:bookmarkStart w:id="11" w:name="_Toc72241788"/>
      <w:r>
        <w:rPr>
          <w:caps/>
        </w:rPr>
        <w:lastRenderedPageBreak/>
        <w:t>documents for adoption after 2021</w:t>
      </w:r>
      <w:bookmarkEnd w:id="10"/>
      <w:bookmarkEnd w:id="11"/>
    </w:p>
    <w:p w:rsidR="00184B4A" w:rsidRPr="008264A8" w:rsidRDefault="00184B4A" w:rsidP="007340E4">
      <w:pPr>
        <w:keepNext/>
        <w:ind w:left="567" w:hanging="567"/>
        <w:rPr>
          <w:snapToGrid w:val="0"/>
        </w:rPr>
      </w:pPr>
    </w:p>
    <w:p w:rsidR="008264A8" w:rsidRPr="008264A8" w:rsidRDefault="008264A8" w:rsidP="007340E4">
      <w:pPr>
        <w:pStyle w:val="Heading2"/>
      </w:pPr>
      <w:bookmarkStart w:id="12" w:name="_Toc72241789"/>
      <w:r w:rsidRPr="008264A8">
        <w:t>Revision of document TGP/5 “Experience and cooperation in DUS testing”, Section 6 “UPOV Report on Technical Examination and UPOV Variety Description”</w:t>
      </w:r>
      <w:bookmarkEnd w:id="12"/>
    </w:p>
    <w:p w:rsidR="0048184D" w:rsidRDefault="0048184D" w:rsidP="004B7808">
      <w:pPr>
        <w:pStyle w:val="Heading3"/>
      </w:pPr>
      <w:bookmarkStart w:id="13" w:name="_Toc64558674"/>
      <w:bookmarkStart w:id="14" w:name="_Toc69828443"/>
      <w:bookmarkStart w:id="15" w:name="_Toc72241790"/>
    </w:p>
    <w:p w:rsidR="0048184D" w:rsidRPr="00377E6F" w:rsidRDefault="0048184D" w:rsidP="0048184D">
      <w:r w:rsidRPr="00377E6F">
        <w:fldChar w:fldCharType="begin"/>
      </w:r>
      <w:r w:rsidRPr="00377E6F">
        <w:instrText xml:space="preserve"> AUTONUM  </w:instrText>
      </w:r>
      <w:r w:rsidRPr="00377E6F">
        <w:fldChar w:fldCharType="end"/>
      </w:r>
      <w:r w:rsidRPr="00377E6F">
        <w:tab/>
        <w:t>The TWV considered document TWP/5/14.</w:t>
      </w:r>
    </w:p>
    <w:p w:rsidR="0048184D" w:rsidRDefault="0048184D" w:rsidP="004B7808">
      <w:pPr>
        <w:pStyle w:val="Heading3"/>
      </w:pPr>
    </w:p>
    <w:p w:rsidR="008264A8" w:rsidRPr="008264A8" w:rsidRDefault="008264A8" w:rsidP="004B7808">
      <w:pPr>
        <w:pStyle w:val="Heading3"/>
      </w:pPr>
      <w:r w:rsidRPr="008264A8">
        <w:t>Testing facility and location</w:t>
      </w:r>
      <w:bookmarkEnd w:id="13"/>
      <w:bookmarkEnd w:id="14"/>
      <w:bookmarkEnd w:id="15"/>
    </w:p>
    <w:p w:rsidR="008264A8" w:rsidRPr="008264A8" w:rsidRDefault="008264A8" w:rsidP="008264A8"/>
    <w:p w:rsidR="008264A8" w:rsidRPr="008264A8" w:rsidRDefault="008264A8" w:rsidP="008264A8">
      <w:r w:rsidRPr="008264A8">
        <w:fldChar w:fldCharType="begin"/>
      </w:r>
      <w:r w:rsidRPr="008264A8">
        <w:instrText xml:space="preserve"> AUTONUM  </w:instrText>
      </w:r>
      <w:r w:rsidRPr="008264A8">
        <w:fldChar w:fldCharType="end"/>
      </w:r>
      <w:r w:rsidRPr="008264A8">
        <w:tab/>
        <w:t>The TWV agreed with the proposal to amend document TGP/5 Section 6, chapters “UPOV Report on Technical Examination” and “UPOV Variety Description”, as follows</w:t>
      </w:r>
      <w:r w:rsidR="004B7808">
        <w:t xml:space="preserve"> </w:t>
      </w:r>
      <w:r w:rsidR="004B7808">
        <w:rPr>
          <w:snapToGrid w:val="0"/>
        </w:rPr>
        <w:t>(see document TWV/55/16 “Report”, paragraph 19)</w:t>
      </w:r>
      <w:r w:rsidRPr="008264A8">
        <w:t>:</w:t>
      </w:r>
    </w:p>
    <w:p w:rsidR="008264A8" w:rsidRPr="008264A8" w:rsidRDefault="008264A8" w:rsidP="008264A8"/>
    <w:p w:rsidR="008264A8" w:rsidRPr="008264A8" w:rsidRDefault="008264A8" w:rsidP="008264A8">
      <w:pPr>
        <w:ind w:left="1134" w:hanging="567"/>
      </w:pPr>
      <w:r w:rsidRPr="008264A8">
        <w:t>Chapter: UPOV Report on Technical Examination</w:t>
      </w:r>
    </w:p>
    <w:p w:rsidR="008264A8" w:rsidRPr="008264A8" w:rsidRDefault="008264A8" w:rsidP="008264A8">
      <w:pPr>
        <w:tabs>
          <w:tab w:val="left" w:pos="567"/>
          <w:tab w:val="left" w:pos="1134"/>
          <w:tab w:val="left" w:pos="5103"/>
          <w:tab w:val="left" w:leader="dot" w:pos="9639"/>
        </w:tabs>
        <w:ind w:left="567"/>
        <w:rPr>
          <w:rFonts w:cs="Arial"/>
        </w:rPr>
      </w:pPr>
      <w:r w:rsidRPr="008264A8">
        <w:rPr>
          <w:rFonts w:cs="Arial"/>
        </w:rPr>
        <w:t>13.</w:t>
      </w:r>
      <w:r w:rsidRPr="008264A8">
        <w:rPr>
          <w:rFonts w:cs="Arial"/>
        </w:rPr>
        <w:tab/>
      </w:r>
      <w:r w:rsidRPr="008264A8">
        <w:rPr>
          <w:rFonts w:eastAsiaTheme="minorEastAsia" w:cs="Arial"/>
          <w:szCs w:val="22"/>
        </w:rPr>
        <w:t xml:space="preserve">Testing </w:t>
      </w:r>
      <w:r w:rsidRPr="008264A8">
        <w:rPr>
          <w:rFonts w:eastAsiaTheme="minorEastAsia" w:cs="Arial"/>
          <w:strike/>
          <w:szCs w:val="22"/>
          <w:highlight w:val="lightGray"/>
        </w:rPr>
        <w:t>station</w:t>
      </w:r>
      <w:r w:rsidRPr="008264A8">
        <w:rPr>
          <w:rFonts w:eastAsiaTheme="minorEastAsia" w:cs="Arial"/>
          <w:szCs w:val="22"/>
        </w:rPr>
        <w:t xml:space="preserve"> </w:t>
      </w:r>
      <w:proofErr w:type="gramStart"/>
      <w:r w:rsidRPr="008264A8">
        <w:rPr>
          <w:rFonts w:eastAsiaTheme="minorEastAsia" w:cs="Arial"/>
          <w:szCs w:val="22"/>
          <w:highlight w:val="lightGray"/>
          <w:u w:val="single"/>
        </w:rPr>
        <w:t>facility</w:t>
      </w:r>
      <w:r w:rsidRPr="008264A8">
        <w:rPr>
          <w:rFonts w:eastAsiaTheme="minorEastAsia" w:cs="Arial"/>
          <w:szCs w:val="22"/>
        </w:rPr>
        <w:t>(</w:t>
      </w:r>
      <w:proofErr w:type="spellStart"/>
      <w:proofErr w:type="gramEnd"/>
      <w:r w:rsidRPr="008264A8">
        <w:rPr>
          <w:rFonts w:eastAsiaTheme="minorEastAsia" w:cs="Arial"/>
          <w:szCs w:val="22"/>
          <w:highlight w:val="lightGray"/>
          <w:u w:val="single"/>
        </w:rPr>
        <w:t>ie</w:t>
      </w:r>
      <w:r w:rsidRPr="008264A8">
        <w:rPr>
          <w:rFonts w:eastAsiaTheme="minorEastAsia" w:cs="Arial"/>
          <w:szCs w:val="22"/>
        </w:rPr>
        <w:t>s</w:t>
      </w:r>
      <w:proofErr w:type="spellEnd"/>
      <w:r w:rsidRPr="008264A8">
        <w:rPr>
          <w:rFonts w:eastAsiaTheme="minorEastAsia" w:cs="Arial"/>
          <w:szCs w:val="22"/>
        </w:rPr>
        <w:t xml:space="preserve">) and </w:t>
      </w:r>
      <w:r w:rsidRPr="008264A8">
        <w:rPr>
          <w:rFonts w:eastAsiaTheme="minorEastAsia" w:cs="Arial"/>
          <w:strike/>
          <w:szCs w:val="22"/>
          <w:highlight w:val="lightGray"/>
        </w:rPr>
        <w:t>place</w:t>
      </w:r>
      <w:r w:rsidRPr="008264A8">
        <w:rPr>
          <w:rFonts w:eastAsiaTheme="minorEastAsia" w:cs="Arial"/>
          <w:szCs w:val="22"/>
          <w:highlight w:val="lightGray"/>
        </w:rPr>
        <w:t xml:space="preserve"> </w:t>
      </w:r>
      <w:r w:rsidRPr="008264A8">
        <w:rPr>
          <w:rFonts w:eastAsiaTheme="minorEastAsia" w:cs="Arial"/>
          <w:szCs w:val="22"/>
          <w:highlight w:val="lightGray"/>
          <w:u w:val="single"/>
        </w:rPr>
        <w:t>location</w:t>
      </w:r>
      <w:r w:rsidRPr="008264A8">
        <w:rPr>
          <w:rFonts w:eastAsiaTheme="minorEastAsia" w:cs="Arial"/>
          <w:szCs w:val="22"/>
        </w:rPr>
        <w:t>(s)</w:t>
      </w:r>
    </w:p>
    <w:p w:rsidR="008264A8" w:rsidRPr="008264A8" w:rsidRDefault="008264A8" w:rsidP="008264A8">
      <w:pPr>
        <w:tabs>
          <w:tab w:val="left" w:pos="567"/>
          <w:tab w:val="left" w:pos="1134"/>
          <w:tab w:val="left" w:pos="5103"/>
          <w:tab w:val="left" w:leader="dot" w:pos="9639"/>
        </w:tabs>
        <w:ind w:left="567"/>
        <w:rPr>
          <w:rFonts w:cs="Arial"/>
        </w:rPr>
      </w:pPr>
      <w:r w:rsidRPr="008264A8">
        <w:rPr>
          <w:rFonts w:cs="Arial"/>
        </w:rPr>
        <w:t>[…]</w:t>
      </w:r>
    </w:p>
    <w:p w:rsidR="008264A8" w:rsidRPr="008264A8" w:rsidRDefault="008264A8" w:rsidP="008264A8">
      <w:pPr>
        <w:tabs>
          <w:tab w:val="left" w:pos="567"/>
          <w:tab w:val="left" w:pos="1134"/>
          <w:tab w:val="left" w:pos="5670"/>
          <w:tab w:val="left" w:leader="dot" w:pos="9639"/>
        </w:tabs>
        <w:ind w:left="567"/>
        <w:jc w:val="left"/>
        <w:rPr>
          <w:rFonts w:cs="Arial"/>
          <w:highlight w:val="lightGray"/>
          <w:u w:val="single"/>
        </w:rPr>
      </w:pPr>
      <w:r w:rsidRPr="008264A8">
        <w:rPr>
          <w:rFonts w:cs="Arial"/>
          <w:highlight w:val="lightGray"/>
          <w:u w:val="single"/>
        </w:rPr>
        <w:t>16.</w:t>
      </w:r>
      <w:r w:rsidRPr="008264A8">
        <w:rPr>
          <w:rFonts w:cs="Arial"/>
          <w:highlight w:val="lightGray"/>
          <w:u w:val="single"/>
        </w:rPr>
        <w:tab/>
        <w:t>Date and document number of UPOV Test Guidelines</w:t>
      </w:r>
    </w:p>
    <w:p w:rsidR="008264A8" w:rsidRPr="008264A8" w:rsidRDefault="008264A8" w:rsidP="008264A8">
      <w:pPr>
        <w:tabs>
          <w:tab w:val="left" w:pos="567"/>
          <w:tab w:val="left" w:pos="1134"/>
          <w:tab w:val="left" w:pos="6804"/>
          <w:tab w:val="left" w:leader="dot" w:pos="9639"/>
        </w:tabs>
        <w:ind w:left="567"/>
        <w:jc w:val="left"/>
        <w:rPr>
          <w:rFonts w:cs="Arial"/>
          <w:u w:val="single"/>
        </w:rPr>
      </w:pPr>
      <w:r w:rsidRPr="008264A8">
        <w:rPr>
          <w:rFonts w:cs="Arial"/>
          <w:highlight w:val="lightGray"/>
          <w:u w:val="single"/>
        </w:rPr>
        <w:t>17.</w:t>
      </w:r>
      <w:r w:rsidRPr="008264A8">
        <w:rPr>
          <w:rFonts w:cs="Arial"/>
          <w:highlight w:val="lightGray"/>
          <w:u w:val="single"/>
        </w:rPr>
        <w:tab/>
        <w:t>Date and/or document number of Reporting Authority’s test guidelines</w:t>
      </w:r>
    </w:p>
    <w:p w:rsidR="008264A8" w:rsidRPr="008264A8" w:rsidRDefault="008264A8" w:rsidP="008264A8"/>
    <w:p w:rsidR="008264A8" w:rsidRPr="008264A8" w:rsidRDefault="008264A8" w:rsidP="008264A8">
      <w:pPr>
        <w:ind w:left="1134" w:hanging="567"/>
      </w:pPr>
      <w:r w:rsidRPr="008264A8">
        <w:t>Chapter: UPOV Variety Description</w:t>
      </w:r>
    </w:p>
    <w:p w:rsidR="008264A8" w:rsidRPr="008264A8" w:rsidRDefault="008264A8" w:rsidP="008264A8">
      <w:pPr>
        <w:spacing w:after="200" w:line="276" w:lineRule="auto"/>
        <w:ind w:firstLine="567"/>
        <w:contextualSpacing/>
        <w:jc w:val="left"/>
        <w:rPr>
          <w:rFonts w:eastAsiaTheme="minorEastAsia" w:cstheme="minorBidi"/>
          <w:szCs w:val="22"/>
        </w:rPr>
      </w:pPr>
      <w:r w:rsidRPr="008264A8">
        <w:rPr>
          <w:rFonts w:eastAsiaTheme="minorEastAsia" w:cs="Arial"/>
          <w:szCs w:val="22"/>
        </w:rPr>
        <w:t xml:space="preserve">Item 11 to read “Testing </w:t>
      </w:r>
      <w:r w:rsidRPr="008264A8">
        <w:rPr>
          <w:rFonts w:eastAsiaTheme="minorEastAsia" w:cs="Arial"/>
          <w:strike/>
          <w:szCs w:val="22"/>
          <w:highlight w:val="lightGray"/>
        </w:rPr>
        <w:t>station</w:t>
      </w:r>
      <w:r w:rsidRPr="008264A8">
        <w:rPr>
          <w:rFonts w:eastAsiaTheme="minorEastAsia" w:cs="Arial"/>
          <w:szCs w:val="22"/>
        </w:rPr>
        <w:t xml:space="preserve"> </w:t>
      </w:r>
      <w:proofErr w:type="gramStart"/>
      <w:r w:rsidRPr="008264A8">
        <w:rPr>
          <w:rFonts w:eastAsiaTheme="minorEastAsia" w:cs="Arial"/>
          <w:szCs w:val="22"/>
          <w:highlight w:val="lightGray"/>
          <w:u w:val="single"/>
        </w:rPr>
        <w:t>facility</w:t>
      </w:r>
      <w:r w:rsidRPr="008264A8">
        <w:rPr>
          <w:rFonts w:eastAsiaTheme="minorEastAsia" w:cs="Arial"/>
          <w:szCs w:val="22"/>
        </w:rPr>
        <w:t>(</w:t>
      </w:r>
      <w:proofErr w:type="spellStart"/>
      <w:proofErr w:type="gramEnd"/>
      <w:r w:rsidRPr="008264A8">
        <w:rPr>
          <w:rFonts w:eastAsiaTheme="minorEastAsia" w:cs="Arial"/>
          <w:szCs w:val="22"/>
          <w:highlight w:val="lightGray"/>
          <w:u w:val="single"/>
        </w:rPr>
        <w:t>ie</w:t>
      </w:r>
      <w:r w:rsidRPr="008264A8">
        <w:rPr>
          <w:rFonts w:eastAsiaTheme="minorEastAsia" w:cs="Arial"/>
          <w:szCs w:val="22"/>
        </w:rPr>
        <w:t>s</w:t>
      </w:r>
      <w:proofErr w:type="spellEnd"/>
      <w:r w:rsidRPr="008264A8">
        <w:rPr>
          <w:rFonts w:eastAsiaTheme="minorEastAsia" w:cs="Arial"/>
          <w:szCs w:val="22"/>
        </w:rPr>
        <w:t xml:space="preserve">) and </w:t>
      </w:r>
      <w:r w:rsidRPr="008264A8">
        <w:rPr>
          <w:rFonts w:eastAsiaTheme="minorEastAsia" w:cs="Arial"/>
          <w:strike/>
          <w:szCs w:val="22"/>
          <w:highlight w:val="lightGray"/>
        </w:rPr>
        <w:t>place</w:t>
      </w:r>
      <w:r w:rsidRPr="008264A8">
        <w:rPr>
          <w:rFonts w:eastAsiaTheme="minorEastAsia" w:cs="Arial"/>
          <w:szCs w:val="22"/>
          <w:highlight w:val="lightGray"/>
        </w:rPr>
        <w:t xml:space="preserve"> </w:t>
      </w:r>
      <w:r w:rsidRPr="008264A8">
        <w:rPr>
          <w:rFonts w:eastAsiaTheme="minorEastAsia" w:cs="Arial"/>
          <w:szCs w:val="22"/>
          <w:highlight w:val="lightGray"/>
          <w:u w:val="single"/>
        </w:rPr>
        <w:t>location</w:t>
      </w:r>
      <w:r w:rsidRPr="008264A8">
        <w:rPr>
          <w:rFonts w:eastAsiaTheme="minorEastAsia" w:cs="Arial"/>
          <w:szCs w:val="22"/>
        </w:rPr>
        <w:t>(s)”</w:t>
      </w:r>
    </w:p>
    <w:p w:rsidR="008264A8" w:rsidRDefault="008264A8" w:rsidP="008264A8"/>
    <w:p w:rsidR="004B7808" w:rsidRPr="008264A8" w:rsidRDefault="004B7808" w:rsidP="008264A8"/>
    <w:p w:rsidR="008264A8" w:rsidRPr="008264A8" w:rsidRDefault="008264A8" w:rsidP="004B7808">
      <w:pPr>
        <w:pStyle w:val="Heading3"/>
      </w:pPr>
      <w:bookmarkStart w:id="16" w:name="_Toc64558673"/>
      <w:bookmarkStart w:id="17" w:name="_Toc69828444"/>
      <w:bookmarkStart w:id="18" w:name="_Toc72241791"/>
      <w:r w:rsidRPr="008264A8">
        <w:t>Additional information to be included in DUS test reports</w:t>
      </w:r>
      <w:bookmarkEnd w:id="16"/>
      <w:bookmarkEnd w:id="17"/>
      <w:bookmarkEnd w:id="18"/>
    </w:p>
    <w:p w:rsidR="008264A8" w:rsidRPr="008264A8" w:rsidRDefault="008264A8" w:rsidP="008264A8"/>
    <w:p w:rsidR="008264A8" w:rsidRPr="008264A8" w:rsidRDefault="008264A8" w:rsidP="008264A8">
      <w:pPr>
        <w:keepLines/>
      </w:pPr>
      <w:r w:rsidRPr="008264A8">
        <w:fldChar w:fldCharType="begin"/>
      </w:r>
      <w:r w:rsidRPr="008264A8">
        <w:instrText xml:space="preserve"> AUTONUM  </w:instrText>
      </w:r>
      <w:r w:rsidRPr="008264A8">
        <w:fldChar w:fldCharType="end"/>
      </w:r>
      <w:r w:rsidRPr="008264A8">
        <w:tab/>
        <w:t xml:space="preserve">The TWV considered the proposal to revise document TGP/5, Section 6 “UPOV Report on Technical Examination and UPOV Variety Description” to include additional information in DUS test reports.  The TWV agreed that the proposed additional information was not useful for individual DUS test reports and presented practical difficulties for reporting authorities.  The TWV agreed that the proposed additional information </w:t>
      </w:r>
      <w:proofErr w:type="gramStart"/>
      <w:r w:rsidRPr="008264A8">
        <w:t>should be provided</w:t>
      </w:r>
      <w:proofErr w:type="gramEnd"/>
      <w:r w:rsidRPr="008264A8">
        <w:t xml:space="preserve"> through other means, such dedicated information platforms and specified in cooperation agreements, where appropriate</w:t>
      </w:r>
      <w:r w:rsidR="00D555CC">
        <w:t xml:space="preserve"> </w:t>
      </w:r>
      <w:r w:rsidR="00D555CC">
        <w:rPr>
          <w:snapToGrid w:val="0"/>
        </w:rPr>
        <w:t>(see document TWV/55/16 “Report”, paragraph 20)</w:t>
      </w:r>
      <w:r w:rsidRPr="008264A8">
        <w:t xml:space="preserve">. </w:t>
      </w:r>
    </w:p>
    <w:p w:rsidR="008264A8" w:rsidRDefault="008264A8" w:rsidP="008264A8"/>
    <w:p w:rsidR="004B7808" w:rsidRPr="008264A8" w:rsidRDefault="004B7808" w:rsidP="008264A8"/>
    <w:p w:rsidR="008264A8" w:rsidRPr="008264A8" w:rsidRDefault="008264A8" w:rsidP="004B7808">
      <w:pPr>
        <w:pStyle w:val="Heading2"/>
      </w:pPr>
      <w:bookmarkStart w:id="19" w:name="_Toc72241792"/>
      <w:r w:rsidRPr="008264A8">
        <w:t>TGP/8</w:t>
      </w:r>
      <w:r w:rsidRPr="008264A8">
        <w:tab/>
        <w:t>Trial Design and Techniques Used in the Examination of Distinctness, Uniformity and Stability (Revision)</w:t>
      </w:r>
      <w:bookmarkEnd w:id="19"/>
    </w:p>
    <w:p w:rsidR="008264A8" w:rsidRPr="008264A8" w:rsidRDefault="008264A8" w:rsidP="008264A8"/>
    <w:p w:rsidR="008264A8" w:rsidRPr="008264A8" w:rsidRDefault="008264A8" w:rsidP="004B7808">
      <w:pPr>
        <w:pStyle w:val="Heading3"/>
      </w:pPr>
      <w:bookmarkStart w:id="20" w:name="_Toc72241793"/>
      <w:r w:rsidRPr="008264A8">
        <w:t>The Combined-Over-Years Uniformity Criterion (COYU)</w:t>
      </w:r>
      <w:bookmarkEnd w:id="20"/>
      <w:r w:rsidRPr="008264A8">
        <w:rPr>
          <w:snapToGrid w:val="0"/>
        </w:rPr>
        <w:t xml:space="preserve"> </w:t>
      </w:r>
    </w:p>
    <w:p w:rsidR="0048184D" w:rsidRPr="005C34FF" w:rsidRDefault="0048184D" w:rsidP="0048184D"/>
    <w:p w:rsidR="0048184D" w:rsidRPr="00377E6F" w:rsidRDefault="0048184D" w:rsidP="0048184D">
      <w:pPr>
        <w:rPr>
          <w:snapToGrid w:val="0"/>
        </w:rPr>
      </w:pPr>
      <w:r w:rsidRPr="00377E6F">
        <w:rPr>
          <w:lang w:val="fr-FR"/>
        </w:rPr>
        <w:fldChar w:fldCharType="begin"/>
      </w:r>
      <w:r w:rsidRPr="00377E6F">
        <w:instrText xml:space="preserve"> AUTONUM  </w:instrText>
      </w:r>
      <w:r w:rsidRPr="00377E6F">
        <w:rPr>
          <w:lang w:val="fr-FR"/>
        </w:rPr>
        <w:fldChar w:fldCharType="end"/>
      </w:r>
      <w:r w:rsidRPr="00377E6F">
        <w:tab/>
        <w:t xml:space="preserve"> The TWV considered </w:t>
      </w:r>
      <w:r w:rsidRPr="00377E6F">
        <w:rPr>
          <w:snapToGrid w:val="0"/>
        </w:rPr>
        <w:t>document TWP/5/11.</w:t>
      </w:r>
    </w:p>
    <w:p w:rsidR="0048184D" w:rsidRPr="00377E6F" w:rsidRDefault="0048184D" w:rsidP="0048184D">
      <w:pPr>
        <w:rPr>
          <w:snapToGrid w:val="0"/>
        </w:rPr>
      </w:pPr>
    </w:p>
    <w:p w:rsidR="0048184D" w:rsidRPr="00377E6F" w:rsidRDefault="0048184D" w:rsidP="0048184D">
      <w:r w:rsidRPr="00377E6F">
        <w:rPr>
          <w:snapToGrid w:val="0"/>
        </w:rPr>
        <w:fldChar w:fldCharType="begin"/>
      </w:r>
      <w:r w:rsidRPr="00377E6F">
        <w:rPr>
          <w:snapToGrid w:val="0"/>
        </w:rPr>
        <w:instrText xml:space="preserve"> AUTONUM  </w:instrText>
      </w:r>
      <w:r w:rsidRPr="00377E6F">
        <w:rPr>
          <w:snapToGrid w:val="0"/>
        </w:rPr>
        <w:fldChar w:fldCharType="end"/>
      </w:r>
      <w:r w:rsidRPr="00377E6F">
        <w:rPr>
          <w:snapToGrid w:val="0"/>
        </w:rPr>
        <w:tab/>
      </w:r>
      <w:r w:rsidRPr="00377E6F">
        <w:t xml:space="preserve">The TWV considered the proposed revision of document TGP/8, Section 9 “The Combined-Over-Years Uniformity Criterion (COYU);” </w:t>
      </w:r>
      <w:proofErr w:type="gramStart"/>
      <w:r w:rsidRPr="00377E6F">
        <w:t>on the basis of</w:t>
      </w:r>
      <w:proofErr w:type="gramEnd"/>
      <w:r w:rsidRPr="00377E6F">
        <w:t xml:space="preserve"> the draft presented in the Annexes to </w:t>
      </w:r>
      <w:r w:rsidRPr="00377E6F">
        <w:rPr>
          <w:snapToGrid w:val="0"/>
        </w:rPr>
        <w:t>document TWP/5/11</w:t>
      </w:r>
      <w:r w:rsidRPr="00377E6F">
        <w:t>.</w:t>
      </w:r>
    </w:p>
    <w:p w:rsidR="008264A8" w:rsidRPr="008264A8" w:rsidRDefault="008264A8" w:rsidP="008264A8"/>
    <w:p w:rsidR="008264A8" w:rsidRPr="008264A8" w:rsidRDefault="008264A8" w:rsidP="008264A8">
      <w:r w:rsidRPr="008264A8">
        <w:fldChar w:fldCharType="begin"/>
      </w:r>
      <w:r w:rsidRPr="008264A8">
        <w:instrText xml:space="preserve"> AUTONUM  </w:instrText>
      </w:r>
      <w:r w:rsidRPr="008264A8">
        <w:fldChar w:fldCharType="end"/>
      </w:r>
      <w:r w:rsidRPr="008264A8">
        <w:tab/>
        <w:t xml:space="preserve">The TWV noted the report from the expert from the United Kingdom that DUS Centers in that country would evaluate the COYU Splines software on a range of crops in 2021 and that the COYU Splines method likely to </w:t>
      </w:r>
      <w:proofErr w:type="gramStart"/>
      <w:r w:rsidRPr="008264A8">
        <w:t>be implemented</w:t>
      </w:r>
      <w:proofErr w:type="gramEnd"/>
      <w:r w:rsidRPr="008264A8">
        <w:t xml:space="preserve"> from 2022.  The TWV agreed to invite the United Kingdom to make a presentation at its fifty-sixth session to report on the evaluation of COYU Splines for any vegetable crops</w:t>
      </w:r>
      <w:r w:rsidR="00D555CC">
        <w:t xml:space="preserve"> </w:t>
      </w:r>
      <w:r w:rsidR="00D555CC">
        <w:rPr>
          <w:snapToGrid w:val="0"/>
        </w:rPr>
        <w:t>(see document TWV/55/16 “Report”, paragraph</w:t>
      </w:r>
      <w:r w:rsidR="0048184D">
        <w:rPr>
          <w:snapToGrid w:val="0"/>
        </w:rPr>
        <w:t>s 25 to</w:t>
      </w:r>
      <w:r w:rsidR="00D555CC">
        <w:rPr>
          <w:snapToGrid w:val="0"/>
        </w:rPr>
        <w:t xml:space="preserve"> 27)</w:t>
      </w:r>
      <w:r w:rsidRPr="008264A8">
        <w:t>.</w:t>
      </w:r>
    </w:p>
    <w:p w:rsidR="00050E16" w:rsidRDefault="00050E16" w:rsidP="00050E16"/>
    <w:p w:rsidR="00544581" w:rsidRDefault="00544581">
      <w:pPr>
        <w:jc w:val="left"/>
      </w:pPr>
    </w:p>
    <w:p w:rsidR="00050E16" w:rsidRPr="00C651CE" w:rsidRDefault="00050E16" w:rsidP="00050E16"/>
    <w:p w:rsidR="009B440E" w:rsidRDefault="00050E16" w:rsidP="00050E16">
      <w:pPr>
        <w:jc w:val="right"/>
      </w:pPr>
      <w:r w:rsidRPr="00C5280D">
        <w:t>[End of document]</w:t>
      </w:r>
    </w:p>
    <w:p w:rsidR="00903264" w:rsidRDefault="00903264">
      <w:pPr>
        <w:jc w:val="left"/>
      </w:pPr>
    </w:p>
    <w:p w:rsidR="00050E16" w:rsidRPr="00C5280D" w:rsidRDefault="00050E16" w:rsidP="009B440E">
      <w:pPr>
        <w:jc w:val="left"/>
      </w:pPr>
    </w:p>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14" w:rsidRDefault="00182B14" w:rsidP="006655D3">
      <w:r>
        <w:separator/>
      </w:r>
    </w:p>
    <w:p w:rsidR="00182B14" w:rsidRDefault="00182B14" w:rsidP="006655D3"/>
    <w:p w:rsidR="00182B14" w:rsidRDefault="00182B14" w:rsidP="006655D3"/>
  </w:endnote>
  <w:endnote w:type="continuationSeparator" w:id="0">
    <w:p w:rsidR="00182B14" w:rsidRDefault="00182B14" w:rsidP="006655D3">
      <w:r>
        <w:separator/>
      </w:r>
    </w:p>
    <w:p w:rsidR="00182B14" w:rsidRPr="00294751" w:rsidRDefault="00182B14">
      <w:pPr>
        <w:pStyle w:val="Footer"/>
        <w:spacing w:after="60"/>
        <w:rPr>
          <w:sz w:val="18"/>
          <w:lang w:val="fr-FR"/>
        </w:rPr>
      </w:pPr>
      <w:r w:rsidRPr="00294751">
        <w:rPr>
          <w:sz w:val="18"/>
          <w:lang w:val="fr-FR"/>
        </w:rPr>
        <w:t>[Suite de la note de la page précédente]</w:t>
      </w:r>
    </w:p>
    <w:p w:rsidR="00182B14" w:rsidRPr="00294751" w:rsidRDefault="00182B14" w:rsidP="006655D3">
      <w:pPr>
        <w:rPr>
          <w:lang w:val="fr-FR"/>
        </w:rPr>
      </w:pPr>
    </w:p>
    <w:p w:rsidR="00182B14" w:rsidRPr="00294751" w:rsidRDefault="00182B14" w:rsidP="006655D3">
      <w:pPr>
        <w:rPr>
          <w:lang w:val="fr-FR"/>
        </w:rPr>
      </w:pPr>
    </w:p>
  </w:endnote>
  <w:endnote w:type="continuationNotice" w:id="1">
    <w:p w:rsidR="00182B14" w:rsidRPr="00294751" w:rsidRDefault="00182B14" w:rsidP="006655D3">
      <w:pPr>
        <w:rPr>
          <w:lang w:val="fr-FR"/>
        </w:rPr>
      </w:pPr>
      <w:r w:rsidRPr="00294751">
        <w:rPr>
          <w:lang w:val="fr-FR"/>
        </w:rPr>
        <w:t>[Suite de la note page suivante]</w:t>
      </w:r>
    </w:p>
    <w:p w:rsidR="00182B14" w:rsidRPr="00294751" w:rsidRDefault="00182B14" w:rsidP="006655D3">
      <w:pPr>
        <w:rPr>
          <w:lang w:val="fr-FR"/>
        </w:rPr>
      </w:pPr>
    </w:p>
    <w:p w:rsidR="00182B14" w:rsidRPr="00294751" w:rsidRDefault="00182B1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14" w:rsidRDefault="00182B14" w:rsidP="006655D3">
      <w:r>
        <w:separator/>
      </w:r>
    </w:p>
  </w:footnote>
  <w:footnote w:type="continuationSeparator" w:id="0">
    <w:p w:rsidR="00182B14" w:rsidRDefault="00182B14" w:rsidP="006655D3">
      <w:r>
        <w:separator/>
      </w:r>
    </w:p>
  </w:footnote>
  <w:footnote w:type="continuationNotice" w:id="1">
    <w:p w:rsidR="00182B14" w:rsidRPr="00AB530F" w:rsidRDefault="00182B1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172DA" w:rsidP="00EB048E">
    <w:pPr>
      <w:pStyle w:val="Header"/>
      <w:rPr>
        <w:rStyle w:val="PageNumber"/>
        <w:lang w:val="en-US"/>
      </w:rPr>
    </w:pPr>
    <w:r>
      <w:rPr>
        <w:rStyle w:val="PageNumber"/>
        <w:lang w:val="en-US"/>
      </w:rPr>
      <w:t>TWO/53</w:t>
    </w:r>
    <w:r w:rsidR="0004198B">
      <w:rPr>
        <w:rStyle w:val="PageNumber"/>
        <w:lang w:val="en-US"/>
      </w:rPr>
      <w:t>/</w:t>
    </w:r>
    <w:r w:rsidR="00C67E8E">
      <w:rPr>
        <w:rStyle w:val="PageNumber"/>
        <w:lang w:val="en-US"/>
      </w:rPr>
      <w:t>9</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65273">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B14"/>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65273"/>
    <w:rsid w:val="00172084"/>
    <w:rsid w:val="0017474A"/>
    <w:rsid w:val="001758C6"/>
    <w:rsid w:val="00182B14"/>
    <w:rsid w:val="00182B99"/>
    <w:rsid w:val="00184B4A"/>
    <w:rsid w:val="001C1525"/>
    <w:rsid w:val="0021332C"/>
    <w:rsid w:val="00213982"/>
    <w:rsid w:val="002172DA"/>
    <w:rsid w:val="00235E67"/>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F3A94"/>
    <w:rsid w:val="00305A7F"/>
    <w:rsid w:val="0030689F"/>
    <w:rsid w:val="003152FE"/>
    <w:rsid w:val="00327436"/>
    <w:rsid w:val="00344BD6"/>
    <w:rsid w:val="0035528D"/>
    <w:rsid w:val="00361821"/>
    <w:rsid w:val="00361E9E"/>
    <w:rsid w:val="003753EE"/>
    <w:rsid w:val="003A0835"/>
    <w:rsid w:val="003A5AAF"/>
    <w:rsid w:val="003B700A"/>
    <w:rsid w:val="003C7FBE"/>
    <w:rsid w:val="003D227C"/>
    <w:rsid w:val="003D2B4D"/>
    <w:rsid w:val="003E2ADF"/>
    <w:rsid w:val="003F37F5"/>
    <w:rsid w:val="00444A88"/>
    <w:rsid w:val="00474DA4"/>
    <w:rsid w:val="00476B4D"/>
    <w:rsid w:val="004805FA"/>
    <w:rsid w:val="0048184D"/>
    <w:rsid w:val="004935D2"/>
    <w:rsid w:val="004B1215"/>
    <w:rsid w:val="004B7808"/>
    <w:rsid w:val="004C1E6D"/>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C34FF"/>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40E4"/>
    <w:rsid w:val="00735BD5"/>
    <w:rsid w:val="007451EC"/>
    <w:rsid w:val="00751613"/>
    <w:rsid w:val="00753EE9"/>
    <w:rsid w:val="007556F6"/>
    <w:rsid w:val="00760EEF"/>
    <w:rsid w:val="00774785"/>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64A8"/>
    <w:rsid w:val="00846D7C"/>
    <w:rsid w:val="00846ECA"/>
    <w:rsid w:val="00867AC1"/>
    <w:rsid w:val="008751DE"/>
    <w:rsid w:val="00890DF8"/>
    <w:rsid w:val="008A0ADE"/>
    <w:rsid w:val="008A743F"/>
    <w:rsid w:val="008C0970"/>
    <w:rsid w:val="008D0BC5"/>
    <w:rsid w:val="008D1B76"/>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2E2A"/>
    <w:rsid w:val="009D690D"/>
    <w:rsid w:val="009E65B6"/>
    <w:rsid w:val="009F0A51"/>
    <w:rsid w:val="009F77CF"/>
    <w:rsid w:val="00A24C10"/>
    <w:rsid w:val="00A42AC3"/>
    <w:rsid w:val="00A430CF"/>
    <w:rsid w:val="00A54309"/>
    <w:rsid w:val="00A610A9"/>
    <w:rsid w:val="00A80F2A"/>
    <w:rsid w:val="00A96C33"/>
    <w:rsid w:val="00AB2B93"/>
    <w:rsid w:val="00AB530F"/>
    <w:rsid w:val="00AB7E3F"/>
    <w:rsid w:val="00AB7E5B"/>
    <w:rsid w:val="00AC2883"/>
    <w:rsid w:val="00AE0EF1"/>
    <w:rsid w:val="00AE2937"/>
    <w:rsid w:val="00B07301"/>
    <w:rsid w:val="00B11F3E"/>
    <w:rsid w:val="00B224DE"/>
    <w:rsid w:val="00B324D4"/>
    <w:rsid w:val="00B46575"/>
    <w:rsid w:val="00B50261"/>
    <w:rsid w:val="00B61777"/>
    <w:rsid w:val="00B622E6"/>
    <w:rsid w:val="00B83E82"/>
    <w:rsid w:val="00B84BBD"/>
    <w:rsid w:val="00BA43FB"/>
    <w:rsid w:val="00BC127D"/>
    <w:rsid w:val="00BC1FE6"/>
    <w:rsid w:val="00C061B6"/>
    <w:rsid w:val="00C15F10"/>
    <w:rsid w:val="00C2446C"/>
    <w:rsid w:val="00C36AE5"/>
    <w:rsid w:val="00C41F17"/>
    <w:rsid w:val="00C437A3"/>
    <w:rsid w:val="00C527FA"/>
    <w:rsid w:val="00C5280D"/>
    <w:rsid w:val="00C53EB3"/>
    <w:rsid w:val="00C5791C"/>
    <w:rsid w:val="00C66290"/>
    <w:rsid w:val="00C67E8E"/>
    <w:rsid w:val="00C72B7A"/>
    <w:rsid w:val="00C973F2"/>
    <w:rsid w:val="00CA304C"/>
    <w:rsid w:val="00CA774A"/>
    <w:rsid w:val="00CB4921"/>
    <w:rsid w:val="00CC11B0"/>
    <w:rsid w:val="00CC2841"/>
    <w:rsid w:val="00CE1A15"/>
    <w:rsid w:val="00CE6597"/>
    <w:rsid w:val="00CF1330"/>
    <w:rsid w:val="00CF7E36"/>
    <w:rsid w:val="00D0106A"/>
    <w:rsid w:val="00D3708D"/>
    <w:rsid w:val="00D40426"/>
    <w:rsid w:val="00D555CC"/>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C48FDF9-F566-4623-AA4B-F122AB35F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link w:val="Heading2Char"/>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774785"/>
    <w:pPr>
      <w:tabs>
        <w:tab w:val="right" w:leader="dot" w:pos="9639"/>
      </w:tabs>
      <w:ind w:left="568" w:right="851" w:hanging="284"/>
      <w:contextualSpacing/>
      <w:jc w:val="left"/>
    </w:pPr>
    <w:rPr>
      <w:sz w:val="18"/>
    </w:rPr>
  </w:style>
  <w:style w:type="paragraph" w:styleId="TOC3">
    <w:name w:val="toc 3"/>
    <w:next w:val="Normal"/>
    <w:autoRedefine/>
    <w:uiPriority w:val="39"/>
    <w:rsid w:val="00774785"/>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774785"/>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CE6597"/>
    <w:pPr>
      <w:ind w:left="720"/>
      <w:contextualSpacing/>
    </w:pPr>
  </w:style>
  <w:style w:type="character" w:customStyle="1" w:styleId="Heading2Char">
    <w:name w:val="Heading 2 Char"/>
    <w:basedOn w:val="DefaultParagraphFont"/>
    <w:link w:val="Heading2"/>
    <w:rsid w:val="00CE6597"/>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7768">
      <w:bodyDiv w:val="1"/>
      <w:marLeft w:val="0"/>
      <w:marRight w:val="0"/>
      <w:marTop w:val="0"/>
      <w:marBottom w:val="0"/>
      <w:divBdr>
        <w:top w:val="none" w:sz="0" w:space="0" w:color="auto"/>
        <w:left w:val="none" w:sz="0" w:space="0" w:color="auto"/>
        <w:bottom w:val="none" w:sz="0" w:space="0" w:color="auto"/>
        <w:right w:val="none" w:sz="0" w:space="0" w:color="auto"/>
      </w:divBdr>
    </w:div>
    <w:div w:id="117114177">
      <w:bodyDiv w:val="1"/>
      <w:marLeft w:val="0"/>
      <w:marRight w:val="0"/>
      <w:marTop w:val="0"/>
      <w:marBottom w:val="0"/>
      <w:divBdr>
        <w:top w:val="none" w:sz="0" w:space="0" w:color="auto"/>
        <w:left w:val="none" w:sz="0" w:space="0" w:color="auto"/>
        <w:bottom w:val="none" w:sz="0" w:space="0" w:color="auto"/>
        <w:right w:val="none" w:sz="0" w:space="0" w:color="auto"/>
      </w:divBdr>
    </w:div>
    <w:div w:id="210962050">
      <w:bodyDiv w:val="1"/>
      <w:marLeft w:val="0"/>
      <w:marRight w:val="0"/>
      <w:marTop w:val="0"/>
      <w:marBottom w:val="0"/>
      <w:divBdr>
        <w:top w:val="none" w:sz="0" w:space="0" w:color="auto"/>
        <w:left w:val="none" w:sz="0" w:space="0" w:color="auto"/>
        <w:bottom w:val="none" w:sz="0" w:space="0" w:color="auto"/>
        <w:right w:val="none" w:sz="0" w:space="0" w:color="auto"/>
      </w:divBdr>
    </w:div>
    <w:div w:id="462967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53\templates\routing_slip_with_doc_two_5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38B1C-7FE7-4B97-BFEF-ED02BA464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routing_slip_with_doc_two_53</Template>
  <TotalTime>0</TotalTime>
  <Pages>2</Pages>
  <Words>649</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TWO/53/</vt:lpstr>
    </vt:vector>
  </TitlesOfParts>
  <Company>UPOV</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TWO/53/9</dc:title>
  <dc:creator>REZENDE TAVEIRA Leontino</dc:creator>
  <cp:lastModifiedBy>MAY Jessica</cp:lastModifiedBy>
  <cp:revision>5</cp:revision>
  <cp:lastPrinted>2016-11-22T15:41:00Z</cp:lastPrinted>
  <dcterms:created xsi:type="dcterms:W3CDTF">2021-05-25T09:20:00Z</dcterms:created>
  <dcterms:modified xsi:type="dcterms:W3CDTF">2021-05-25T09:22:00Z</dcterms:modified>
</cp:coreProperties>
</file>