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EE41AF" w:rsidRPr="00EE41AF">
              <w:t>Ornamental Plants and Forest Trees</w:t>
            </w:r>
          </w:p>
          <w:p w:rsidR="00EB4E9C" w:rsidRPr="00DC3802" w:rsidRDefault="00805E12" w:rsidP="00514A2A">
            <w:pPr>
              <w:pStyle w:val="Sessiontcplacedate"/>
              <w:rPr>
                <w:sz w:val="22"/>
              </w:rPr>
            </w:pPr>
            <w:r>
              <w:t>Fift</w:t>
            </w:r>
            <w:r w:rsidR="00D3603B">
              <w:t>y-</w:t>
            </w:r>
            <w:r w:rsidR="00514A2A">
              <w:t>Second</w:t>
            </w:r>
            <w:r w:rsidR="00D3603B">
              <w:t xml:space="preserve"> </w:t>
            </w:r>
            <w:r w:rsidR="00EB4E9C" w:rsidRPr="00DA4973">
              <w:t>Session</w:t>
            </w:r>
            <w:r w:rsidR="00EB4E9C" w:rsidRPr="00DA4973">
              <w:br/>
            </w:r>
            <w:proofErr w:type="spellStart"/>
            <w:r w:rsidR="00514A2A" w:rsidRPr="00514A2A">
              <w:t>Roelofarendsveen</w:t>
            </w:r>
            <w:proofErr w:type="spellEnd"/>
            <w:r w:rsidR="00514A2A" w:rsidRPr="00514A2A">
              <w:t>, Netherlands, June 8 to 12, 2020</w:t>
            </w:r>
          </w:p>
        </w:tc>
        <w:tc>
          <w:tcPr>
            <w:tcW w:w="3127" w:type="dxa"/>
          </w:tcPr>
          <w:p w:rsidR="00DA4499" w:rsidRPr="003C7FBE" w:rsidRDefault="00621302" w:rsidP="003C7FBE">
            <w:pPr>
              <w:pStyle w:val="Doccode"/>
            </w:pPr>
            <w:r>
              <w:t>T</w:t>
            </w:r>
            <w:r w:rsidR="00E70039">
              <w:t>W</w:t>
            </w:r>
            <w:r w:rsidR="00EE41AF">
              <w:t>O</w:t>
            </w:r>
            <w:r w:rsidR="00EB4E9C" w:rsidRPr="00AC2883">
              <w:t>/</w:t>
            </w:r>
            <w:r w:rsidR="00805E12">
              <w:t>5</w:t>
            </w:r>
            <w:r w:rsidR="00514A2A">
              <w:t>2</w:t>
            </w:r>
            <w:r w:rsidR="00EB4E9C" w:rsidRPr="00AC2883">
              <w:t>/</w:t>
            </w:r>
            <w:r w:rsidR="00EE5E04">
              <w:t>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326A8">
            <w:pPr>
              <w:pStyle w:val="Docoriginal"/>
            </w:pPr>
            <w:r w:rsidRPr="00AC2883">
              <w:t>Date:</w:t>
            </w:r>
            <w:r w:rsidRPr="000E636A">
              <w:rPr>
                <w:b w:val="0"/>
                <w:spacing w:val="0"/>
              </w:rPr>
              <w:t xml:space="preserve">  </w:t>
            </w:r>
            <w:r w:rsidR="004326A8" w:rsidRPr="004326A8">
              <w:rPr>
                <w:b w:val="0"/>
                <w:spacing w:val="0"/>
              </w:rPr>
              <w:t>July 23</w:t>
            </w:r>
            <w:r w:rsidRPr="004326A8">
              <w:rPr>
                <w:b w:val="0"/>
                <w:spacing w:val="0"/>
              </w:rPr>
              <w:t>, 20</w:t>
            </w:r>
            <w:r w:rsidR="00514A2A" w:rsidRPr="004326A8">
              <w:rPr>
                <w:b w:val="0"/>
                <w:spacing w:val="0"/>
              </w:rPr>
              <w:t>20</w:t>
            </w:r>
          </w:p>
        </w:tc>
      </w:tr>
    </w:tbl>
    <w:p w:rsidR="000D7780" w:rsidRPr="006A644A" w:rsidRDefault="00D07994" w:rsidP="006A644A">
      <w:pPr>
        <w:pStyle w:val="Titleofdoc0"/>
      </w:pPr>
      <w:bookmarkStart w:id="0" w:name="TitleOfDoc"/>
      <w:bookmarkEnd w:id="0"/>
      <w:r w:rsidRPr="00D07994">
        <w:t>Reports on Developments in Plant Variety Protection from Members and Observers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D07994" w:rsidRPr="0004029A" w:rsidRDefault="00D07994" w:rsidP="00D07994">
      <w:pPr>
        <w:tabs>
          <w:tab w:val="left" w:pos="567"/>
        </w:tabs>
        <w:rPr>
          <w:rFonts w:cs="Arial"/>
          <w:snapToGrid w:val="0"/>
        </w:rPr>
      </w:pPr>
      <w:r w:rsidRPr="0004029A">
        <w:rPr>
          <w:rFonts w:cs="Arial"/>
        </w:rPr>
        <w:fldChar w:fldCharType="begin"/>
      </w:r>
      <w:r w:rsidRPr="0004029A">
        <w:rPr>
          <w:rFonts w:cs="Arial"/>
        </w:rPr>
        <w:instrText xml:space="preserve"> AUTONUM  </w:instrText>
      </w:r>
      <w:r w:rsidRPr="0004029A">
        <w:rPr>
          <w:rFonts w:cs="Arial"/>
        </w:rPr>
        <w:fldChar w:fldCharType="end"/>
      </w:r>
      <w:r w:rsidRPr="0004029A">
        <w:rPr>
          <w:rFonts w:cs="Arial"/>
        </w:rPr>
        <w:tab/>
      </w:r>
      <w:proofErr w:type="gramStart"/>
      <w:r w:rsidRPr="0004029A">
        <w:rPr>
          <w:rFonts w:cs="Arial"/>
        </w:rPr>
        <w:t xml:space="preserve">The Technical Committee (TC), at its </w:t>
      </w:r>
      <w:r w:rsidRPr="0004029A">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04029A">
        <w:rPr>
          <w:rFonts w:cs="Arial"/>
          <w:snapToGrid w:val="0"/>
        </w:rPr>
        <w:t xml:space="preserve">  The TC noted that TWP experts would be invited to make a brief oral summary of their written report at the session and </w:t>
      </w:r>
      <w:proofErr w:type="gramStart"/>
      <w:r w:rsidRPr="0004029A">
        <w:rPr>
          <w:rFonts w:cs="Arial"/>
          <w:snapToGrid w:val="0"/>
        </w:rPr>
        <w:t>would also</w:t>
      </w:r>
      <w:proofErr w:type="gramEnd"/>
      <w:r w:rsidRPr="0004029A">
        <w:rPr>
          <w:rFonts w:cs="Arial"/>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D07994" w:rsidRPr="0004029A" w:rsidRDefault="00D07994" w:rsidP="00D07994">
      <w:pPr>
        <w:tabs>
          <w:tab w:val="left" w:pos="567"/>
        </w:tabs>
        <w:rPr>
          <w:rFonts w:cs="Arial"/>
          <w:snapToGrid w:val="0"/>
        </w:rPr>
      </w:pPr>
    </w:p>
    <w:p w:rsidR="00D07994" w:rsidRPr="009E088E" w:rsidRDefault="00D07994" w:rsidP="00D07994">
      <w:pPr>
        <w:tabs>
          <w:tab w:val="left" w:pos="567"/>
        </w:tabs>
        <w:rPr>
          <w:rFonts w:cs="Arial"/>
          <w:snapToGrid w:val="0"/>
        </w:rPr>
      </w:pPr>
      <w:r w:rsidRPr="0004029A">
        <w:rPr>
          <w:rFonts w:cs="Arial"/>
          <w:snapToGrid w:val="0"/>
        </w:rPr>
        <w:fldChar w:fldCharType="begin"/>
      </w:r>
      <w:r w:rsidRPr="0004029A">
        <w:rPr>
          <w:rFonts w:cs="Arial"/>
          <w:snapToGrid w:val="0"/>
        </w:rPr>
        <w:instrText xml:space="preserve"> AUTONUM  \* Arabic </w:instrText>
      </w:r>
      <w:r w:rsidRPr="0004029A">
        <w:rPr>
          <w:rFonts w:cs="Arial"/>
          <w:snapToGrid w:val="0"/>
        </w:rPr>
        <w:fldChar w:fldCharType="end"/>
      </w:r>
      <w:r w:rsidRPr="0004029A">
        <w:rPr>
          <w:rFonts w:cs="Arial"/>
          <w:snapToGrid w:val="0"/>
        </w:rPr>
        <w:tab/>
        <w:t xml:space="preserve">Written reports </w:t>
      </w:r>
      <w:proofErr w:type="gramStart"/>
      <w:r w:rsidRPr="0004029A">
        <w:rPr>
          <w:rFonts w:cs="Arial"/>
          <w:snapToGrid w:val="0"/>
        </w:rPr>
        <w:t>were invited</w:t>
      </w:r>
      <w:proofErr w:type="gramEnd"/>
      <w:r w:rsidRPr="0004029A">
        <w:rPr>
          <w:rFonts w:cs="Arial"/>
          <w:snapToGrid w:val="0"/>
        </w:rPr>
        <w:t xml:space="preserve"> by the Office of the Union in </w:t>
      </w:r>
      <w:r w:rsidRPr="0004029A">
        <w:rPr>
          <w:rFonts w:cs="Arial"/>
        </w:rPr>
        <w:t xml:space="preserve">Circular </w:t>
      </w:r>
      <w:r w:rsidRPr="00EF1CDC">
        <w:rPr>
          <w:rFonts w:cs="Arial"/>
        </w:rPr>
        <w:t>E-20/0</w:t>
      </w:r>
      <w:r>
        <w:rPr>
          <w:rFonts w:cs="Arial"/>
        </w:rPr>
        <w:t>43</w:t>
      </w:r>
      <w:r w:rsidRPr="00EF1CDC">
        <w:rPr>
          <w:rFonts w:cs="Arial"/>
        </w:rPr>
        <w:t xml:space="preserve"> of April </w:t>
      </w:r>
      <w:r>
        <w:rPr>
          <w:rFonts w:cs="Arial"/>
        </w:rPr>
        <w:t>23</w:t>
      </w:r>
      <w:r w:rsidRPr="00EF1CDC">
        <w:rPr>
          <w:rFonts w:cs="Arial"/>
        </w:rPr>
        <w:t>, 2020</w:t>
      </w:r>
      <w:r w:rsidRPr="00EF1CDC">
        <w:rPr>
          <w:rFonts w:cs="Arial"/>
          <w:snapToGrid w:val="0"/>
        </w:rPr>
        <w:t xml:space="preserve">.  The following reports </w:t>
      </w:r>
      <w:proofErr w:type="gramStart"/>
      <w:r w:rsidRPr="00EF1CDC">
        <w:rPr>
          <w:rFonts w:cs="Arial"/>
          <w:snapToGrid w:val="0"/>
        </w:rPr>
        <w:t>were received</w:t>
      </w:r>
      <w:proofErr w:type="gramEnd"/>
      <w:r w:rsidRPr="00EF1CDC">
        <w:rPr>
          <w:rFonts w:cs="Arial"/>
          <w:snapToGrid w:val="0"/>
        </w:rPr>
        <w:t xml:space="preserve"> </w:t>
      </w:r>
      <w:r w:rsidRPr="009E088E">
        <w:rPr>
          <w:rFonts w:cs="Arial"/>
          <w:snapToGrid w:val="0"/>
        </w:rPr>
        <w:t>(in alphabetical order):</w:t>
      </w:r>
    </w:p>
    <w:p w:rsidR="00D07994" w:rsidRPr="009E088E" w:rsidRDefault="00D07994" w:rsidP="00D07994">
      <w:pPr>
        <w:tabs>
          <w:tab w:val="left" w:pos="567"/>
        </w:tabs>
        <w:rPr>
          <w:rFonts w:cs="Arial"/>
          <w:snapToGrid w:val="0"/>
          <w:u w:val="single"/>
        </w:rPr>
      </w:pPr>
    </w:p>
    <w:p w:rsidR="00D07994" w:rsidRPr="009E088E" w:rsidRDefault="00D07994" w:rsidP="00D07994">
      <w:pPr>
        <w:numPr>
          <w:ilvl w:val="0"/>
          <w:numId w:val="1"/>
        </w:numPr>
        <w:contextualSpacing/>
        <w:rPr>
          <w:rFonts w:eastAsiaTheme="minorEastAsia" w:cs="Arial"/>
          <w:snapToGrid w:val="0"/>
          <w:lang w:eastAsia="ja-JP"/>
        </w:rPr>
      </w:pPr>
      <w:r w:rsidRPr="009E088E">
        <w:rPr>
          <w:rFonts w:cs="Arial"/>
          <w:snapToGrid w:val="0"/>
          <w:u w:val="single"/>
        </w:rPr>
        <w:t>Members of the Union</w:t>
      </w:r>
      <w:r w:rsidRPr="009E088E">
        <w:rPr>
          <w:rFonts w:cs="Arial"/>
          <w:snapToGrid w:val="0"/>
        </w:rPr>
        <w:t xml:space="preserve">:  Annexes I to </w:t>
      </w:r>
      <w:r w:rsidR="00702BDA">
        <w:rPr>
          <w:rFonts w:cs="Arial"/>
          <w:snapToGrid w:val="0"/>
        </w:rPr>
        <w:t>V</w:t>
      </w:r>
      <w:r w:rsidR="00C12180">
        <w:rPr>
          <w:rFonts w:cs="Arial"/>
          <w:snapToGrid w:val="0"/>
        </w:rPr>
        <w:t>II</w:t>
      </w:r>
      <w:r w:rsidR="00702BDA">
        <w:rPr>
          <w:rFonts w:cs="Arial"/>
          <w:snapToGrid w:val="0"/>
        </w:rPr>
        <w:t>I</w:t>
      </w:r>
      <w:r w:rsidRPr="009E088E">
        <w:rPr>
          <w:rFonts w:cs="Arial"/>
          <w:snapToGrid w:val="0"/>
        </w:rPr>
        <w:t xml:space="preserve">:  European Union, </w:t>
      </w:r>
      <w:r w:rsidR="004E0415">
        <w:rPr>
          <w:rFonts w:cs="Arial"/>
          <w:snapToGrid w:val="0"/>
        </w:rPr>
        <w:t xml:space="preserve">France, </w:t>
      </w:r>
      <w:r w:rsidR="00C12180" w:rsidRPr="00395921">
        <w:rPr>
          <w:rFonts w:cs="Arial"/>
          <w:snapToGrid w:val="0"/>
        </w:rPr>
        <w:t xml:space="preserve">Hungary, </w:t>
      </w:r>
      <w:r w:rsidRPr="00395921">
        <w:rPr>
          <w:rFonts w:cs="Arial"/>
          <w:snapToGrid w:val="0"/>
        </w:rPr>
        <w:t xml:space="preserve">Japan, </w:t>
      </w:r>
      <w:r w:rsidR="00C12180" w:rsidRPr="00395921">
        <w:rPr>
          <w:rFonts w:cs="Arial"/>
          <w:snapToGrid w:val="0"/>
        </w:rPr>
        <w:t>Mexico,</w:t>
      </w:r>
      <w:bookmarkStart w:id="2" w:name="_GoBack"/>
      <w:bookmarkEnd w:id="2"/>
      <w:r w:rsidR="00C12180">
        <w:rPr>
          <w:rFonts w:cs="Arial"/>
          <w:snapToGrid w:val="0"/>
        </w:rPr>
        <w:t xml:space="preserve"> </w:t>
      </w:r>
      <w:r w:rsidRPr="009E088E">
        <w:rPr>
          <w:rFonts w:cs="Arial"/>
          <w:snapToGrid w:val="0"/>
        </w:rPr>
        <w:t>Netherlands</w:t>
      </w:r>
      <w:r w:rsidR="00EA452B">
        <w:rPr>
          <w:rFonts w:cs="Arial"/>
          <w:snapToGrid w:val="0"/>
        </w:rPr>
        <w:t>,</w:t>
      </w:r>
      <w:r>
        <w:rPr>
          <w:rFonts w:cs="Arial"/>
          <w:snapToGrid w:val="0"/>
        </w:rPr>
        <w:t xml:space="preserve"> </w:t>
      </w:r>
      <w:r w:rsidR="00F91C00">
        <w:rPr>
          <w:rFonts w:cs="Arial"/>
          <w:snapToGrid w:val="0"/>
        </w:rPr>
        <w:t>New </w:t>
      </w:r>
      <w:r>
        <w:rPr>
          <w:rFonts w:cs="Arial"/>
          <w:snapToGrid w:val="0"/>
        </w:rPr>
        <w:t>Zealand</w:t>
      </w:r>
      <w:r w:rsidR="00EA452B">
        <w:rPr>
          <w:rFonts w:cs="Arial"/>
          <w:snapToGrid w:val="0"/>
        </w:rPr>
        <w:t xml:space="preserve"> and the United Kingdom</w:t>
      </w:r>
    </w:p>
    <w:p w:rsidR="00D07994" w:rsidRPr="009E088E" w:rsidRDefault="00D07994" w:rsidP="00D07994">
      <w:pPr>
        <w:ind w:left="720"/>
        <w:contextualSpacing/>
        <w:rPr>
          <w:rFonts w:eastAsiaTheme="minorEastAsia" w:cs="Arial"/>
          <w:snapToGrid w:val="0"/>
          <w:lang w:eastAsia="ja-JP"/>
        </w:rPr>
      </w:pPr>
    </w:p>
    <w:p w:rsidR="00D07994" w:rsidRPr="0004029A" w:rsidRDefault="00D07994" w:rsidP="00D07994">
      <w:pPr>
        <w:tabs>
          <w:tab w:val="left" w:pos="567"/>
        </w:tabs>
        <w:rPr>
          <w:rFonts w:cs="Arial"/>
          <w:snapToGrid w:val="0"/>
        </w:rPr>
      </w:pPr>
    </w:p>
    <w:p w:rsidR="00D07994" w:rsidRPr="0004029A" w:rsidRDefault="00D07994" w:rsidP="00D07994">
      <w:pPr>
        <w:tabs>
          <w:tab w:val="left" w:pos="567"/>
        </w:tabs>
        <w:rPr>
          <w:rFonts w:cs="Arial"/>
          <w:snapToGrid w:val="0"/>
        </w:rPr>
      </w:pPr>
    </w:p>
    <w:p w:rsidR="00D07994" w:rsidRPr="0004029A" w:rsidRDefault="00D07994" w:rsidP="00D07994">
      <w:pPr>
        <w:tabs>
          <w:tab w:val="left" w:pos="567"/>
        </w:tabs>
        <w:rPr>
          <w:rFonts w:cs="Arial"/>
          <w:snapToGrid w:val="0"/>
        </w:rPr>
      </w:pPr>
    </w:p>
    <w:p w:rsidR="00D07994" w:rsidRPr="0004029A" w:rsidRDefault="00D07994" w:rsidP="00D07994">
      <w:pPr>
        <w:tabs>
          <w:tab w:val="left" w:pos="567"/>
        </w:tabs>
        <w:rPr>
          <w:rFonts w:cs="Arial"/>
          <w:snapToGrid w:val="0"/>
        </w:rPr>
      </w:pPr>
    </w:p>
    <w:p w:rsidR="00D07994" w:rsidRPr="0004029A" w:rsidRDefault="00D07994" w:rsidP="00D07994">
      <w:pPr>
        <w:jc w:val="right"/>
        <w:rPr>
          <w:snapToGrid w:val="0"/>
        </w:rPr>
      </w:pPr>
      <w:r w:rsidRPr="0004029A">
        <w:rPr>
          <w:snapToGrid w:val="0"/>
        </w:rPr>
        <w:t>[Annexes follow]</w:t>
      </w:r>
    </w:p>
    <w:p w:rsidR="00050E16" w:rsidRPr="004B1215" w:rsidRDefault="00050E16" w:rsidP="004B1215"/>
    <w:p w:rsidR="00050E16" w:rsidRDefault="00050E16" w:rsidP="00050E16"/>
    <w:p w:rsidR="001061E9" w:rsidRDefault="001061E9">
      <w:pPr>
        <w:jc w:val="left"/>
        <w:sectPr w:rsidR="001061E9" w:rsidSect="001061E9">
          <w:headerReference w:type="default" r:id="rId8"/>
          <w:pgSz w:w="11907" w:h="16840" w:code="9"/>
          <w:pgMar w:top="510" w:right="1134" w:bottom="1134" w:left="1134" w:header="510" w:footer="680" w:gutter="0"/>
          <w:pgNumType w:start="1"/>
          <w:cols w:space="720"/>
          <w:titlePg/>
        </w:sectPr>
      </w:pPr>
    </w:p>
    <w:p w:rsidR="00544581" w:rsidRDefault="00544581">
      <w:pPr>
        <w:jc w:val="left"/>
      </w:pPr>
    </w:p>
    <w:p w:rsidR="004A0952" w:rsidRDefault="004A0952" w:rsidP="004A0952">
      <w:pPr>
        <w:jc w:val="center"/>
      </w:pPr>
      <w:r>
        <w:t>EUROPEAN UNION</w:t>
      </w:r>
    </w:p>
    <w:p w:rsidR="004A0952" w:rsidRDefault="004A0952">
      <w:pPr>
        <w:jc w:val="left"/>
      </w:pPr>
    </w:p>
    <w:p w:rsidR="004A0952" w:rsidRDefault="004A0952">
      <w:pPr>
        <w:jc w:val="left"/>
      </w:pPr>
    </w:p>
    <w:p w:rsidR="00362626" w:rsidRDefault="00AC1124" w:rsidP="00362626">
      <w:pPr>
        <w:pStyle w:val="Heading2"/>
      </w:pPr>
      <w:bookmarkStart w:id="3" w:name="_Toc8669123"/>
      <w:r>
        <w:t>Community Plant Variety Office of the European Union (</w:t>
      </w:r>
      <w:r w:rsidR="00362626" w:rsidRPr="00362626">
        <w:t>CPVO</w:t>
      </w:r>
      <w:r>
        <w:t>)</w:t>
      </w:r>
      <w:r w:rsidR="00362626" w:rsidRPr="00362626">
        <w:t xml:space="preserve"> statistics and figures</w:t>
      </w:r>
      <w:bookmarkEnd w:id="3"/>
    </w:p>
    <w:p w:rsidR="00362626" w:rsidRDefault="00362626" w:rsidP="00362626"/>
    <w:p w:rsidR="00362626" w:rsidRPr="00362626" w:rsidRDefault="00362626" w:rsidP="00362626"/>
    <w:p w:rsidR="00362626" w:rsidRDefault="00362626" w:rsidP="00362626">
      <w:pPr>
        <w:rPr>
          <w:rFonts w:eastAsia="Cambria"/>
        </w:rPr>
      </w:pPr>
      <w:r w:rsidRPr="00362626">
        <w:rPr>
          <w:rFonts w:eastAsia="Cambria"/>
        </w:rPr>
        <w:t>Statistics for 2019</w:t>
      </w:r>
    </w:p>
    <w:p w:rsidR="00362626" w:rsidRPr="00362626" w:rsidRDefault="00362626" w:rsidP="00362626">
      <w:pPr>
        <w:rPr>
          <w:rFonts w:eastAsia="Cambria"/>
        </w:rPr>
      </w:pPr>
    </w:p>
    <w:p w:rsidR="00362626" w:rsidRDefault="00362626" w:rsidP="00362626">
      <w:pPr>
        <w:rPr>
          <w:rFonts w:eastAsia="Cambria"/>
        </w:rPr>
      </w:pPr>
      <w:r w:rsidRPr="00362626">
        <w:rPr>
          <w:rFonts w:eastAsia="Cambria"/>
        </w:rPr>
        <w:t>In 2019, the CPVO received 3525 applications for Community plant variety rights</w:t>
      </w:r>
      <w:r w:rsidR="003F68D4">
        <w:rPr>
          <w:rFonts w:eastAsia="Cambria"/>
        </w:rPr>
        <w:t xml:space="preserve"> (CPVRs)</w:t>
      </w:r>
      <w:r w:rsidRPr="00362626">
        <w:rPr>
          <w:rFonts w:eastAsia="Cambria"/>
        </w:rPr>
        <w:t xml:space="preserve">, 683 applicants filed applications for CPVRs. In 2019, the distribution between crop sectors was as follows: </w:t>
      </w:r>
    </w:p>
    <w:p w:rsidR="00362626" w:rsidRPr="00362626" w:rsidRDefault="00362626" w:rsidP="00362626">
      <w:pPr>
        <w:rPr>
          <w:rFonts w:eastAsia="Cambria"/>
        </w:rPr>
      </w:pPr>
    </w:p>
    <w:p w:rsidR="00362626" w:rsidRPr="00AC1124" w:rsidRDefault="00362626" w:rsidP="00362626">
      <w:pPr>
        <w:numPr>
          <w:ilvl w:val="0"/>
          <w:numId w:val="3"/>
        </w:numPr>
        <w:suppressAutoHyphens/>
        <w:spacing w:after="160" w:line="259" w:lineRule="auto"/>
        <w:rPr>
          <w:rFonts w:eastAsia="Cambria" w:cs="Arial"/>
          <w:bCs/>
          <w:spacing w:val="-3"/>
        </w:rPr>
      </w:pPr>
      <w:r w:rsidRPr="00AC1124">
        <w:rPr>
          <w:rFonts w:eastAsia="Cambria" w:cs="Arial"/>
          <w:bCs/>
          <w:spacing w:val="-3"/>
        </w:rPr>
        <w:t>Ornamental, 1592 applications (45.2%)</w:t>
      </w:r>
    </w:p>
    <w:p w:rsidR="00362626" w:rsidRPr="00362626" w:rsidRDefault="00362626" w:rsidP="00362626">
      <w:pPr>
        <w:numPr>
          <w:ilvl w:val="0"/>
          <w:numId w:val="3"/>
        </w:numPr>
        <w:suppressAutoHyphens/>
        <w:spacing w:after="160" w:line="259" w:lineRule="auto"/>
        <w:rPr>
          <w:rFonts w:eastAsia="Cambria" w:cs="Arial"/>
          <w:bCs/>
          <w:spacing w:val="-3"/>
        </w:rPr>
      </w:pPr>
      <w:r w:rsidRPr="00362626">
        <w:rPr>
          <w:rFonts w:eastAsia="Cambria" w:cs="Arial"/>
          <w:bCs/>
          <w:spacing w:val="-3"/>
        </w:rPr>
        <w:t>Agricultural, 1005 applications (28.5%)</w:t>
      </w:r>
    </w:p>
    <w:p w:rsidR="00362626" w:rsidRPr="00362626" w:rsidRDefault="00362626" w:rsidP="00362626">
      <w:pPr>
        <w:numPr>
          <w:ilvl w:val="0"/>
          <w:numId w:val="3"/>
        </w:numPr>
        <w:suppressAutoHyphens/>
        <w:spacing w:after="160" w:line="259" w:lineRule="auto"/>
        <w:rPr>
          <w:rFonts w:eastAsia="Cambria" w:cs="Arial"/>
          <w:bCs/>
          <w:spacing w:val="-3"/>
        </w:rPr>
      </w:pPr>
      <w:r w:rsidRPr="00362626">
        <w:rPr>
          <w:rFonts w:eastAsia="Cambria" w:cs="Arial"/>
          <w:bCs/>
          <w:spacing w:val="-3"/>
        </w:rPr>
        <w:t>Vegetable, 682 applications (19.3%) very similar to last year (19.4%)</w:t>
      </w:r>
    </w:p>
    <w:p w:rsidR="00362626" w:rsidRPr="00362626" w:rsidRDefault="00362626" w:rsidP="00362626">
      <w:pPr>
        <w:numPr>
          <w:ilvl w:val="0"/>
          <w:numId w:val="3"/>
        </w:numPr>
        <w:suppressAutoHyphens/>
        <w:spacing w:after="120" w:line="259" w:lineRule="auto"/>
        <w:ind w:left="714" w:hanging="357"/>
        <w:rPr>
          <w:rFonts w:eastAsia="Cambria" w:cs="Arial"/>
          <w:bCs/>
          <w:spacing w:val="-3"/>
        </w:rPr>
      </w:pPr>
      <w:r w:rsidRPr="00362626">
        <w:rPr>
          <w:rFonts w:eastAsia="Cambria" w:cs="Arial"/>
          <w:bCs/>
          <w:spacing w:val="-3"/>
        </w:rPr>
        <w:t>Fruit 246 applications (6.9%).</w:t>
      </w:r>
    </w:p>
    <w:p w:rsidR="00362626" w:rsidRDefault="00362626" w:rsidP="00362626">
      <w:pPr>
        <w:rPr>
          <w:rFonts w:eastAsia="Cambria"/>
        </w:rPr>
      </w:pPr>
    </w:p>
    <w:p w:rsidR="00362626" w:rsidRDefault="00362626" w:rsidP="00362626">
      <w:pPr>
        <w:rPr>
          <w:rFonts w:eastAsia="Cambria"/>
        </w:rPr>
      </w:pPr>
      <w:r w:rsidRPr="00362626">
        <w:rPr>
          <w:rFonts w:eastAsia="Cambria"/>
        </w:rPr>
        <w:t xml:space="preserve">In 2019, the </w:t>
      </w:r>
      <w:r w:rsidR="003F68D4">
        <w:rPr>
          <w:rFonts w:eastAsia="Cambria"/>
        </w:rPr>
        <w:t>CPVO</w:t>
      </w:r>
      <w:r w:rsidRPr="00362626">
        <w:rPr>
          <w:rFonts w:eastAsia="Cambria"/>
        </w:rPr>
        <w:t xml:space="preserve"> granted 3188 titles for Community protection; 28228 titles were in force by the end of the year. National authorities from all over the world regularly base their decisions on applications for CPVRs on technical examinations carried out on behalf of the CPVO (international cooperation, takeover of reports).</w:t>
      </w:r>
      <w:r w:rsidRPr="00362626">
        <w:rPr>
          <w:rFonts w:eastAsia="Cambria"/>
          <w:lang w:val="en-IE"/>
        </w:rPr>
        <w:t xml:space="preserve"> </w:t>
      </w:r>
      <w:r w:rsidRPr="00362626">
        <w:rPr>
          <w:rFonts w:eastAsia="Cambria"/>
        </w:rPr>
        <w:t xml:space="preserve">By the end of </w:t>
      </w:r>
      <w:proofErr w:type="gramStart"/>
      <w:r w:rsidRPr="00362626">
        <w:rPr>
          <w:rFonts w:eastAsia="Cambria"/>
        </w:rPr>
        <w:t>2019</w:t>
      </w:r>
      <w:proofErr w:type="gramEnd"/>
      <w:r w:rsidRPr="00362626">
        <w:rPr>
          <w:rFonts w:eastAsia="Cambria"/>
        </w:rPr>
        <w:t xml:space="preserve"> the CPVO had provided 7231 technical reports to 60 countries. During 2019, the five countries from which most requests emanated were Colombia, Morocco, Ecuador, Brazil and Canada.</w:t>
      </w:r>
    </w:p>
    <w:p w:rsidR="00362626" w:rsidRDefault="00362626" w:rsidP="00362626">
      <w:pPr>
        <w:rPr>
          <w:rFonts w:eastAsia="Cambria"/>
        </w:rPr>
      </w:pPr>
    </w:p>
    <w:p w:rsidR="00362626" w:rsidRPr="00362626" w:rsidRDefault="00362626" w:rsidP="00362626">
      <w:pPr>
        <w:rPr>
          <w:rFonts w:eastAsia="Cambria"/>
        </w:rPr>
      </w:pPr>
    </w:p>
    <w:p w:rsidR="00362626" w:rsidRDefault="00362626" w:rsidP="00362626">
      <w:pPr>
        <w:rPr>
          <w:rFonts w:eastAsia="Cambria"/>
        </w:rPr>
      </w:pPr>
      <w:r w:rsidRPr="00362626">
        <w:rPr>
          <w:rFonts w:eastAsia="Cambria"/>
        </w:rPr>
        <w:t xml:space="preserve">Administrative Council (AC) </w:t>
      </w:r>
    </w:p>
    <w:p w:rsidR="00362626" w:rsidRPr="00362626" w:rsidRDefault="00362626" w:rsidP="00362626">
      <w:pPr>
        <w:rPr>
          <w:rFonts w:eastAsia="Cambria"/>
        </w:rPr>
      </w:pPr>
    </w:p>
    <w:p w:rsidR="00362626" w:rsidRDefault="00362626" w:rsidP="00362626">
      <w:pPr>
        <w:rPr>
          <w:rFonts w:eastAsia="Cambria"/>
        </w:rPr>
      </w:pPr>
      <w:r w:rsidRPr="00362626">
        <w:rPr>
          <w:rFonts w:eastAsia="Cambria"/>
        </w:rPr>
        <w:t>The AC met twice in 2019: in Angers (France) on 19-20 March and in Brussels (Belgium) on 19 September. The members of the AC adopted particularly the following:</w:t>
      </w:r>
    </w:p>
    <w:p w:rsidR="00362626" w:rsidRPr="00362626" w:rsidRDefault="00362626" w:rsidP="00362626">
      <w:pPr>
        <w:rPr>
          <w:rFonts w:eastAsia="Cambria"/>
        </w:rPr>
      </w:pPr>
    </w:p>
    <w:p w:rsidR="00362626" w:rsidRPr="00362626" w:rsidRDefault="00362626" w:rsidP="00362626">
      <w:pPr>
        <w:numPr>
          <w:ilvl w:val="0"/>
          <w:numId w:val="2"/>
        </w:numPr>
        <w:suppressAutoHyphens/>
        <w:spacing w:after="160" w:line="259" w:lineRule="auto"/>
        <w:ind w:left="284"/>
        <w:rPr>
          <w:rFonts w:eastAsia="Cambria" w:cs="Arial"/>
          <w:bCs/>
          <w:spacing w:val="-3"/>
        </w:rPr>
      </w:pPr>
      <w:r w:rsidRPr="00362626">
        <w:rPr>
          <w:rFonts w:eastAsia="Cambria" w:cs="Arial"/>
          <w:bCs/>
          <w:spacing w:val="-3"/>
        </w:rPr>
        <w:t>The amendment of the fees regulation, the chosen option for application fee changes for the period 2020-2023, and the move to close to 100 % of recovery of the real examination costs with no change in the annual fee.</w:t>
      </w:r>
    </w:p>
    <w:p w:rsidR="00362626" w:rsidRPr="00362626" w:rsidRDefault="00362626" w:rsidP="00362626">
      <w:pPr>
        <w:numPr>
          <w:ilvl w:val="0"/>
          <w:numId w:val="2"/>
        </w:numPr>
        <w:suppressAutoHyphens/>
        <w:spacing w:after="160" w:line="259" w:lineRule="auto"/>
        <w:ind w:left="284"/>
        <w:rPr>
          <w:rFonts w:eastAsia="Cambria" w:cs="Arial"/>
          <w:bCs/>
          <w:spacing w:val="-3"/>
        </w:rPr>
      </w:pPr>
      <w:r w:rsidRPr="00362626">
        <w:rPr>
          <w:rFonts w:eastAsia="Cambria" w:cs="Arial"/>
          <w:bCs/>
          <w:spacing w:val="-3"/>
          <w:lang w:val="en-IE"/>
        </w:rPr>
        <w:t>A decision process to be applied by the CPVO when attributing candidate varieties to Examination Offices</w:t>
      </w:r>
    </w:p>
    <w:p w:rsidR="00362626" w:rsidRPr="00362626" w:rsidRDefault="00362626" w:rsidP="00362626">
      <w:pPr>
        <w:numPr>
          <w:ilvl w:val="0"/>
          <w:numId w:val="2"/>
        </w:numPr>
        <w:suppressAutoHyphens/>
        <w:spacing w:after="160" w:line="259" w:lineRule="auto"/>
        <w:ind w:left="284"/>
        <w:rPr>
          <w:rFonts w:eastAsia="Cambria" w:cs="Arial"/>
          <w:bCs/>
          <w:spacing w:val="-3"/>
        </w:rPr>
      </w:pPr>
      <w:r w:rsidRPr="00362626">
        <w:rPr>
          <w:rFonts w:eastAsia="Cambria" w:cs="Arial"/>
          <w:bCs/>
          <w:spacing w:val="-3"/>
        </w:rPr>
        <w:t xml:space="preserve">The proposal that DUS examinations would be organized at the Mexican Office – SNICS – for an ongoing CPVO application as well as for future applications for the species </w:t>
      </w:r>
      <w:proofErr w:type="spellStart"/>
      <w:r w:rsidRPr="00362626">
        <w:rPr>
          <w:rFonts w:eastAsia="Cambria" w:cs="Arial"/>
          <w:bCs/>
          <w:i/>
          <w:spacing w:val="-3"/>
        </w:rPr>
        <w:t>Psidium</w:t>
      </w:r>
      <w:proofErr w:type="spellEnd"/>
      <w:r w:rsidRPr="00362626">
        <w:rPr>
          <w:rFonts w:eastAsia="Cambria" w:cs="Arial"/>
          <w:bCs/>
          <w:spacing w:val="-3"/>
        </w:rPr>
        <w:t xml:space="preserve"> </w:t>
      </w:r>
      <w:proofErr w:type="spellStart"/>
      <w:r w:rsidRPr="00362626">
        <w:rPr>
          <w:rFonts w:eastAsia="Cambria" w:cs="Arial"/>
          <w:bCs/>
          <w:i/>
          <w:spacing w:val="-3"/>
        </w:rPr>
        <w:t>guajava</w:t>
      </w:r>
      <w:proofErr w:type="spellEnd"/>
      <w:r w:rsidRPr="00362626">
        <w:rPr>
          <w:rFonts w:eastAsia="Cambria" w:cs="Arial"/>
          <w:bCs/>
          <w:spacing w:val="-3"/>
        </w:rPr>
        <w:t>. They also agreed that the CPVO would be entering into an arrangement for 5 years with SNICS under which the CPVO could both take over DUS reports and initiate DUS tests for the species in question.</w:t>
      </w:r>
    </w:p>
    <w:p w:rsidR="00362626" w:rsidRPr="009115C0" w:rsidRDefault="00362626" w:rsidP="00362626">
      <w:pPr>
        <w:numPr>
          <w:ilvl w:val="0"/>
          <w:numId w:val="2"/>
        </w:numPr>
        <w:suppressAutoHyphens/>
        <w:spacing w:after="160" w:line="259" w:lineRule="auto"/>
        <w:ind w:left="284"/>
        <w:rPr>
          <w:rFonts w:eastAsia="Cambria" w:cs="Arial"/>
          <w:bCs/>
          <w:spacing w:val="-3"/>
        </w:rPr>
      </w:pPr>
      <w:r w:rsidRPr="009115C0">
        <w:rPr>
          <w:rFonts w:eastAsia="Cambria" w:cs="Arial"/>
          <w:bCs/>
          <w:spacing w:val="-3"/>
        </w:rPr>
        <w:t xml:space="preserve">The proposal to enter into an agreement with the Costa Rican Office – ONS– to take over the DUS report for the genetically modified </w:t>
      </w:r>
      <w:proofErr w:type="spellStart"/>
      <w:r w:rsidRPr="009115C0">
        <w:rPr>
          <w:rFonts w:eastAsia="Cambria" w:cs="Arial"/>
          <w:bCs/>
          <w:i/>
          <w:spacing w:val="-3"/>
        </w:rPr>
        <w:t>Ananas</w:t>
      </w:r>
      <w:proofErr w:type="spellEnd"/>
      <w:r w:rsidRPr="009115C0">
        <w:rPr>
          <w:rFonts w:eastAsia="Cambria" w:cs="Arial"/>
          <w:bCs/>
          <w:spacing w:val="-3"/>
        </w:rPr>
        <w:t xml:space="preserve"> </w:t>
      </w:r>
      <w:proofErr w:type="spellStart"/>
      <w:r w:rsidRPr="009115C0">
        <w:rPr>
          <w:rFonts w:eastAsia="Cambria" w:cs="Arial"/>
          <w:bCs/>
          <w:i/>
          <w:spacing w:val="-3"/>
        </w:rPr>
        <w:t>comosus</w:t>
      </w:r>
      <w:proofErr w:type="spellEnd"/>
      <w:r w:rsidRPr="009115C0">
        <w:rPr>
          <w:rFonts w:eastAsia="Cambria" w:cs="Arial"/>
          <w:bCs/>
          <w:spacing w:val="-3"/>
        </w:rPr>
        <w:t xml:space="preserve"> (L.) </w:t>
      </w:r>
      <w:proofErr w:type="spellStart"/>
      <w:r w:rsidRPr="009115C0">
        <w:rPr>
          <w:rFonts w:eastAsia="Cambria" w:cs="Arial"/>
          <w:bCs/>
          <w:spacing w:val="-3"/>
        </w:rPr>
        <w:t>Merr</w:t>
      </w:r>
      <w:proofErr w:type="spellEnd"/>
      <w:r w:rsidRPr="009115C0">
        <w:rPr>
          <w:rFonts w:eastAsia="Cambria" w:cs="Arial"/>
          <w:bCs/>
          <w:spacing w:val="-3"/>
        </w:rPr>
        <w:t xml:space="preserve"> variety ‘Rose’.</w:t>
      </w:r>
    </w:p>
    <w:p w:rsidR="00362626" w:rsidRDefault="00362626" w:rsidP="00362626">
      <w:pPr>
        <w:rPr>
          <w:rFonts w:eastAsia="Cambria"/>
        </w:rPr>
      </w:pPr>
    </w:p>
    <w:p w:rsidR="00362626" w:rsidRPr="00362626" w:rsidRDefault="00362626" w:rsidP="00362626">
      <w:pPr>
        <w:rPr>
          <w:rFonts w:eastAsia="Cambria"/>
        </w:rPr>
      </w:pPr>
    </w:p>
    <w:p w:rsidR="00362626" w:rsidRDefault="00362626" w:rsidP="00362626">
      <w:pPr>
        <w:rPr>
          <w:rFonts w:eastAsia="Cambria"/>
        </w:rPr>
      </w:pPr>
      <w:r w:rsidRPr="00362626">
        <w:rPr>
          <w:rFonts w:eastAsia="Cambria"/>
        </w:rPr>
        <w:t>International affairs</w:t>
      </w:r>
    </w:p>
    <w:p w:rsidR="00362626" w:rsidRPr="00362626" w:rsidRDefault="00362626" w:rsidP="00362626">
      <w:pPr>
        <w:rPr>
          <w:rFonts w:eastAsia="Cambria"/>
        </w:rPr>
      </w:pPr>
    </w:p>
    <w:p w:rsidR="00362626" w:rsidRPr="00362626" w:rsidRDefault="00362626" w:rsidP="00362626">
      <w:pPr>
        <w:rPr>
          <w:rFonts w:eastAsia="Cambria"/>
        </w:rPr>
      </w:pPr>
      <w:r w:rsidRPr="00362626">
        <w:rPr>
          <w:rFonts w:eastAsia="Cambria"/>
        </w:rPr>
        <w:t>The CPVO participated in several international events:</w:t>
      </w:r>
    </w:p>
    <w:p w:rsidR="00362626" w:rsidRPr="00362626" w:rsidRDefault="00362626" w:rsidP="00362626">
      <w:pPr>
        <w:numPr>
          <w:ilvl w:val="0"/>
          <w:numId w:val="2"/>
        </w:numPr>
        <w:suppressAutoHyphens/>
        <w:spacing w:before="120" w:after="120" w:line="259" w:lineRule="auto"/>
        <w:rPr>
          <w:rFonts w:eastAsia="Cambria" w:cs="Arial"/>
          <w:bCs/>
          <w:spacing w:val="-3"/>
        </w:rPr>
      </w:pPr>
      <w:r w:rsidRPr="00362626">
        <w:rPr>
          <w:rFonts w:eastAsia="Cambria" w:cs="Arial"/>
          <w:bCs/>
          <w:spacing w:val="-3"/>
        </w:rPr>
        <w:t xml:space="preserve">Visit of the African Intellectual Property </w:t>
      </w:r>
      <w:proofErr w:type="spellStart"/>
      <w:r w:rsidRPr="00362626">
        <w:rPr>
          <w:rFonts w:eastAsia="Cambria" w:cs="Arial"/>
          <w:bCs/>
          <w:spacing w:val="-3"/>
        </w:rPr>
        <w:t>Organisation</w:t>
      </w:r>
      <w:proofErr w:type="spellEnd"/>
      <w:r w:rsidRPr="00362626">
        <w:rPr>
          <w:rFonts w:eastAsia="Cambria" w:cs="Arial"/>
          <w:bCs/>
          <w:spacing w:val="-3"/>
        </w:rPr>
        <w:t xml:space="preserve"> (Yaoundé, Cameroon) to analyze the method used to process applications. In September and October, the CPVO contributed to three seminars in Togo, Burkina Faso and Mali and received experts from OAPI at its premises. All activities </w:t>
      </w:r>
      <w:proofErr w:type="gramStart"/>
      <w:r w:rsidRPr="00362626">
        <w:rPr>
          <w:rFonts w:eastAsia="Cambria" w:cs="Arial"/>
          <w:bCs/>
          <w:spacing w:val="-3"/>
        </w:rPr>
        <w:t>were conducted</w:t>
      </w:r>
      <w:proofErr w:type="gramEnd"/>
      <w:r w:rsidRPr="00362626">
        <w:rPr>
          <w:rFonts w:eastAsia="Cambria" w:cs="Arial"/>
          <w:bCs/>
          <w:spacing w:val="-3"/>
        </w:rPr>
        <w:t xml:space="preserve"> in closed cooperation with the other project partners UPOV, GEVES, </w:t>
      </w:r>
      <w:proofErr w:type="spellStart"/>
      <w:r w:rsidRPr="00362626">
        <w:rPr>
          <w:rFonts w:eastAsia="Cambria" w:cs="Arial"/>
          <w:bCs/>
          <w:spacing w:val="-3"/>
        </w:rPr>
        <w:t>Naktuinbouw</w:t>
      </w:r>
      <w:proofErr w:type="spellEnd"/>
      <w:r w:rsidRPr="00362626">
        <w:rPr>
          <w:rFonts w:eastAsia="Cambria" w:cs="Arial"/>
          <w:bCs/>
          <w:spacing w:val="-3"/>
        </w:rPr>
        <w:t xml:space="preserve"> and GNIS.</w:t>
      </w:r>
    </w:p>
    <w:p w:rsidR="00362626" w:rsidRPr="00362626" w:rsidRDefault="00362626" w:rsidP="00362626">
      <w:pPr>
        <w:numPr>
          <w:ilvl w:val="0"/>
          <w:numId w:val="2"/>
        </w:numPr>
        <w:suppressAutoHyphens/>
        <w:spacing w:before="120" w:after="120" w:line="259" w:lineRule="auto"/>
        <w:rPr>
          <w:rFonts w:eastAsia="Cambria" w:cs="Arial"/>
          <w:bCs/>
          <w:spacing w:val="-3"/>
        </w:rPr>
      </w:pPr>
      <w:r w:rsidRPr="00362626">
        <w:rPr>
          <w:rFonts w:eastAsia="Cambria" w:cs="Arial"/>
          <w:bCs/>
          <w:spacing w:val="-3"/>
        </w:rPr>
        <w:t>IP Key China, Latin America (LA), South-east Asia (SEA)</w:t>
      </w:r>
    </w:p>
    <w:p w:rsidR="00362626" w:rsidRPr="00362626" w:rsidRDefault="00362626" w:rsidP="00362626">
      <w:pPr>
        <w:numPr>
          <w:ilvl w:val="0"/>
          <w:numId w:val="2"/>
        </w:numPr>
        <w:suppressAutoHyphens/>
        <w:spacing w:before="120" w:after="120" w:line="259" w:lineRule="auto"/>
        <w:rPr>
          <w:rFonts w:ascii="Tahoma" w:eastAsia="Cambria" w:hAnsi="Tahoma" w:cs="Tahoma"/>
          <w:bCs/>
          <w:spacing w:val="-3"/>
          <w:sz w:val="18"/>
          <w:szCs w:val="18"/>
        </w:rPr>
      </w:pPr>
      <w:r w:rsidRPr="00362626">
        <w:rPr>
          <w:rFonts w:ascii="Tahoma" w:eastAsia="Cambria" w:hAnsi="Tahoma" w:cs="Tahoma"/>
          <w:bCs/>
          <w:spacing w:val="-3"/>
          <w:sz w:val="18"/>
          <w:szCs w:val="18"/>
        </w:rPr>
        <w:br w:type="page"/>
      </w:r>
    </w:p>
    <w:p w:rsidR="00362626" w:rsidRDefault="00362626" w:rsidP="00362626">
      <w:pPr>
        <w:pStyle w:val="Heading2"/>
      </w:pPr>
      <w:bookmarkStart w:id="4" w:name="_Toc8669124"/>
      <w:r w:rsidRPr="00362626">
        <w:lastRenderedPageBreak/>
        <w:t>Ornamental sector</w:t>
      </w:r>
      <w:bookmarkEnd w:id="4"/>
    </w:p>
    <w:p w:rsidR="00362626" w:rsidRPr="00362626" w:rsidRDefault="00362626" w:rsidP="00362626"/>
    <w:p w:rsidR="00362626" w:rsidRDefault="00362626" w:rsidP="00362626">
      <w:pPr>
        <w:rPr>
          <w:rFonts w:eastAsia="Cambria"/>
        </w:rPr>
      </w:pPr>
      <w:r w:rsidRPr="00362626">
        <w:rPr>
          <w:rFonts w:eastAsia="Cambria"/>
        </w:rPr>
        <w:t>Administrative Council decisions on ornamental TPs</w:t>
      </w:r>
    </w:p>
    <w:p w:rsidR="00362626" w:rsidRPr="00362626" w:rsidRDefault="00362626" w:rsidP="00362626">
      <w:pPr>
        <w:suppressAutoHyphens/>
        <w:spacing w:line="259" w:lineRule="auto"/>
        <w:rPr>
          <w:rFonts w:ascii="Tahoma" w:eastAsia="Cambria" w:hAnsi="Tahoma" w:cs="Tahoma"/>
          <w:bCs/>
          <w:spacing w:val="-3"/>
          <w:sz w:val="18"/>
          <w:szCs w:val="1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29"/>
        <w:gridCol w:w="2299"/>
      </w:tblGrid>
      <w:tr w:rsidR="00362626" w:rsidRPr="00362626" w:rsidTr="00EA6E90">
        <w:tc>
          <w:tcPr>
            <w:tcW w:w="6629" w:type="dxa"/>
            <w:shd w:val="clear" w:color="auto" w:fill="auto"/>
          </w:tcPr>
          <w:p w:rsidR="00362626" w:rsidRPr="00362626" w:rsidRDefault="00362626" w:rsidP="00362626">
            <w:pPr>
              <w:suppressAutoHyphens/>
              <w:spacing w:line="259" w:lineRule="auto"/>
              <w:rPr>
                <w:rFonts w:eastAsia="Cambria" w:cs="Arial"/>
                <w:bCs/>
                <w:spacing w:val="-3"/>
              </w:rPr>
            </w:pPr>
            <w:proofErr w:type="spellStart"/>
            <w:r w:rsidRPr="00362626">
              <w:rPr>
                <w:rFonts w:eastAsia="Cambria" w:cs="Arial"/>
                <w:bCs/>
                <w:i/>
                <w:color w:val="000000"/>
                <w:spacing w:val="-3"/>
                <w:lang w:val="en-IE"/>
              </w:rPr>
              <w:t>Callistephus</w:t>
            </w:r>
            <w:proofErr w:type="spellEnd"/>
            <w:r w:rsidRPr="00362626">
              <w:rPr>
                <w:rFonts w:eastAsia="Cambria" w:cs="Arial"/>
                <w:bCs/>
                <w:color w:val="000000"/>
                <w:spacing w:val="-3"/>
                <w:lang w:val="en-IE"/>
              </w:rPr>
              <w:t xml:space="preserve"> </w:t>
            </w:r>
            <w:proofErr w:type="spellStart"/>
            <w:r w:rsidRPr="00362626">
              <w:rPr>
                <w:rFonts w:eastAsia="Cambria" w:cs="Arial"/>
                <w:bCs/>
                <w:i/>
                <w:color w:val="000000"/>
                <w:spacing w:val="-3"/>
                <w:lang w:val="en-IE"/>
              </w:rPr>
              <w:t>chinensis</w:t>
            </w:r>
            <w:proofErr w:type="spellEnd"/>
            <w:r w:rsidRPr="00362626">
              <w:rPr>
                <w:rFonts w:eastAsia="Cambria" w:cs="Arial"/>
                <w:bCs/>
                <w:color w:val="000000"/>
                <w:spacing w:val="-3"/>
                <w:lang w:val="en-IE"/>
              </w:rPr>
              <w:t xml:space="preserve"> (L.) </w:t>
            </w:r>
            <w:proofErr w:type="spellStart"/>
            <w:r w:rsidRPr="00362626">
              <w:rPr>
                <w:rFonts w:eastAsia="Cambria" w:cs="Arial"/>
                <w:bCs/>
                <w:color w:val="000000"/>
                <w:spacing w:val="-3"/>
                <w:lang w:val="en-IE"/>
              </w:rPr>
              <w:t>Nees</w:t>
            </w:r>
            <w:proofErr w:type="spellEnd"/>
          </w:p>
        </w:tc>
        <w:tc>
          <w:tcPr>
            <w:tcW w:w="2299" w:type="dxa"/>
            <w:shd w:val="clear" w:color="auto" w:fill="auto"/>
          </w:tcPr>
          <w:p w:rsidR="00362626" w:rsidRPr="00362626" w:rsidRDefault="00362626" w:rsidP="00362626">
            <w:pPr>
              <w:suppressAutoHyphens/>
              <w:spacing w:line="259" w:lineRule="auto"/>
              <w:rPr>
                <w:rFonts w:eastAsia="Cambria" w:cs="Arial"/>
                <w:bCs/>
                <w:spacing w:val="-3"/>
              </w:rPr>
            </w:pPr>
            <w:r w:rsidRPr="00362626">
              <w:rPr>
                <w:rFonts w:eastAsia="Cambria" w:cs="Arial"/>
                <w:bCs/>
                <w:color w:val="000000"/>
                <w:spacing w:val="-3"/>
                <w:lang w:val="en-IE"/>
              </w:rPr>
              <w:t>CPVO-TP/307/1</w:t>
            </w:r>
          </w:p>
        </w:tc>
      </w:tr>
      <w:tr w:rsidR="00362626" w:rsidRPr="00362626" w:rsidTr="00EA6E90">
        <w:tc>
          <w:tcPr>
            <w:tcW w:w="6629" w:type="dxa"/>
            <w:shd w:val="clear" w:color="auto" w:fill="auto"/>
          </w:tcPr>
          <w:p w:rsidR="00362626" w:rsidRPr="00362626" w:rsidRDefault="00362626" w:rsidP="00362626">
            <w:pPr>
              <w:suppressAutoHyphens/>
              <w:spacing w:line="259" w:lineRule="auto"/>
              <w:rPr>
                <w:rFonts w:eastAsia="Cambria" w:cs="Arial"/>
                <w:bCs/>
                <w:spacing w:val="-3"/>
              </w:rPr>
            </w:pPr>
            <w:r w:rsidRPr="00362626">
              <w:rPr>
                <w:rFonts w:eastAsia="Cambria" w:cs="Arial"/>
                <w:bCs/>
                <w:i/>
                <w:color w:val="000000"/>
                <w:spacing w:val="-3"/>
                <w:lang w:val="en-IE"/>
              </w:rPr>
              <w:t>Geranium</w:t>
            </w:r>
            <w:r w:rsidRPr="00362626">
              <w:rPr>
                <w:rFonts w:eastAsia="Cambria" w:cs="Arial"/>
                <w:bCs/>
                <w:color w:val="000000"/>
                <w:spacing w:val="-3"/>
                <w:lang w:val="en-IE"/>
              </w:rPr>
              <w:t xml:space="preserve"> L.</w:t>
            </w:r>
          </w:p>
        </w:tc>
        <w:tc>
          <w:tcPr>
            <w:tcW w:w="2299" w:type="dxa"/>
            <w:shd w:val="clear" w:color="auto" w:fill="auto"/>
          </w:tcPr>
          <w:p w:rsidR="00362626" w:rsidRPr="00362626" w:rsidRDefault="00362626" w:rsidP="00362626">
            <w:pPr>
              <w:suppressAutoHyphens/>
              <w:spacing w:line="259" w:lineRule="auto"/>
              <w:rPr>
                <w:rFonts w:eastAsia="Cambria" w:cs="Arial"/>
                <w:bCs/>
                <w:spacing w:val="-3"/>
              </w:rPr>
            </w:pPr>
            <w:r w:rsidRPr="00362626">
              <w:rPr>
                <w:rFonts w:eastAsia="Cambria" w:cs="Arial"/>
                <w:bCs/>
                <w:color w:val="000000"/>
                <w:spacing w:val="-3"/>
                <w:lang w:val="en-IE"/>
              </w:rPr>
              <w:t>CPVO-TP/330/1</w:t>
            </w:r>
          </w:p>
        </w:tc>
      </w:tr>
      <w:tr w:rsidR="00362626" w:rsidRPr="00362626" w:rsidTr="00EA6E90">
        <w:tc>
          <w:tcPr>
            <w:tcW w:w="6629" w:type="dxa"/>
            <w:shd w:val="clear" w:color="auto" w:fill="auto"/>
          </w:tcPr>
          <w:p w:rsidR="00362626" w:rsidRPr="00362626" w:rsidRDefault="00362626" w:rsidP="00362626">
            <w:pPr>
              <w:suppressAutoHyphens/>
              <w:spacing w:line="259" w:lineRule="auto"/>
              <w:rPr>
                <w:rFonts w:eastAsia="Cambria" w:cs="Arial"/>
                <w:bCs/>
                <w:spacing w:val="-3"/>
              </w:rPr>
            </w:pPr>
            <w:proofErr w:type="spellStart"/>
            <w:r w:rsidRPr="00362626">
              <w:rPr>
                <w:rFonts w:eastAsia="Cambria" w:cs="Arial"/>
                <w:bCs/>
                <w:i/>
                <w:color w:val="000000"/>
                <w:spacing w:val="-3"/>
                <w:lang w:val="fr-FR"/>
              </w:rPr>
              <w:t>Guzmania</w:t>
            </w:r>
            <w:proofErr w:type="spellEnd"/>
            <w:r w:rsidRPr="00362626">
              <w:rPr>
                <w:rFonts w:eastAsia="Cambria" w:cs="Arial"/>
                <w:bCs/>
                <w:color w:val="000000"/>
                <w:spacing w:val="-3"/>
                <w:lang w:val="fr-FR"/>
              </w:rPr>
              <w:t xml:space="preserve"> Ruiz et </w:t>
            </w:r>
            <w:proofErr w:type="spellStart"/>
            <w:r w:rsidRPr="00362626">
              <w:rPr>
                <w:rFonts w:eastAsia="Cambria" w:cs="Arial"/>
                <w:bCs/>
                <w:color w:val="000000"/>
                <w:spacing w:val="-3"/>
                <w:lang w:val="fr-FR"/>
              </w:rPr>
              <w:t>Pav</w:t>
            </w:r>
            <w:proofErr w:type="spellEnd"/>
            <w:r w:rsidRPr="00362626">
              <w:rPr>
                <w:rFonts w:eastAsia="Cambria" w:cs="Arial"/>
                <w:bCs/>
                <w:color w:val="000000"/>
                <w:spacing w:val="-3"/>
                <w:lang w:val="fr-FR"/>
              </w:rPr>
              <w:t>.</w:t>
            </w:r>
          </w:p>
        </w:tc>
        <w:tc>
          <w:tcPr>
            <w:tcW w:w="2299" w:type="dxa"/>
            <w:shd w:val="clear" w:color="auto" w:fill="auto"/>
          </w:tcPr>
          <w:p w:rsidR="00362626" w:rsidRPr="00362626" w:rsidRDefault="00362626" w:rsidP="00362626">
            <w:pPr>
              <w:suppressAutoHyphens/>
              <w:spacing w:line="259" w:lineRule="auto"/>
              <w:rPr>
                <w:rFonts w:eastAsia="Cambria" w:cs="Arial"/>
                <w:bCs/>
                <w:spacing w:val="-3"/>
              </w:rPr>
            </w:pPr>
            <w:r w:rsidRPr="00362626">
              <w:rPr>
                <w:rFonts w:eastAsia="Cambria" w:cs="Arial"/>
                <w:bCs/>
                <w:color w:val="000000"/>
                <w:spacing w:val="-3"/>
                <w:lang w:val="fr-FR"/>
              </w:rPr>
              <w:t>CPVO-TP/182/2</w:t>
            </w:r>
          </w:p>
        </w:tc>
      </w:tr>
      <w:tr w:rsidR="00362626" w:rsidRPr="00362626" w:rsidTr="00EA6E90">
        <w:tc>
          <w:tcPr>
            <w:tcW w:w="6629" w:type="dxa"/>
            <w:shd w:val="clear" w:color="auto" w:fill="auto"/>
          </w:tcPr>
          <w:p w:rsidR="00362626" w:rsidRPr="00362626" w:rsidRDefault="00362626" w:rsidP="00362626">
            <w:pPr>
              <w:suppressAutoHyphens/>
              <w:spacing w:line="259" w:lineRule="auto"/>
              <w:rPr>
                <w:rFonts w:eastAsia="Cambria" w:cs="Arial"/>
                <w:bCs/>
                <w:spacing w:val="-3"/>
                <w:lang w:val="es-ES"/>
              </w:rPr>
            </w:pPr>
            <w:proofErr w:type="spellStart"/>
            <w:r w:rsidRPr="00362626">
              <w:rPr>
                <w:rFonts w:eastAsia="Cambria" w:cs="Arial"/>
                <w:bCs/>
                <w:i/>
                <w:color w:val="000000"/>
                <w:spacing w:val="-3"/>
                <w:lang w:val="es-ES"/>
              </w:rPr>
              <w:t>Portulaca</w:t>
            </w:r>
            <w:proofErr w:type="spellEnd"/>
            <w:r w:rsidRPr="00362626">
              <w:rPr>
                <w:rFonts w:eastAsia="Cambria" w:cs="Arial"/>
                <w:bCs/>
                <w:color w:val="000000"/>
                <w:spacing w:val="-3"/>
                <w:lang w:val="es-ES"/>
              </w:rPr>
              <w:t xml:space="preserve"> </w:t>
            </w:r>
            <w:r w:rsidRPr="00362626">
              <w:rPr>
                <w:rFonts w:eastAsia="Cambria" w:cs="Arial"/>
                <w:bCs/>
                <w:i/>
                <w:color w:val="000000"/>
                <w:spacing w:val="-3"/>
                <w:lang w:val="es-ES"/>
              </w:rPr>
              <w:t>grandiflora</w:t>
            </w:r>
            <w:r w:rsidRPr="00362626">
              <w:rPr>
                <w:rFonts w:eastAsia="Cambria" w:cs="Arial"/>
                <w:bCs/>
                <w:color w:val="000000"/>
                <w:spacing w:val="-3"/>
                <w:lang w:val="es-ES"/>
              </w:rPr>
              <w:t xml:space="preserve"> Hook.; </w:t>
            </w:r>
            <w:proofErr w:type="spellStart"/>
            <w:r w:rsidRPr="00362626">
              <w:rPr>
                <w:rFonts w:eastAsia="Cambria" w:cs="Arial"/>
                <w:bCs/>
                <w:i/>
                <w:color w:val="000000"/>
                <w:spacing w:val="-3"/>
                <w:lang w:val="es-ES"/>
              </w:rPr>
              <w:t>Portulaca</w:t>
            </w:r>
            <w:proofErr w:type="spellEnd"/>
            <w:r w:rsidRPr="00362626">
              <w:rPr>
                <w:rFonts w:eastAsia="Cambria" w:cs="Arial"/>
                <w:bCs/>
                <w:color w:val="000000"/>
                <w:spacing w:val="-3"/>
                <w:lang w:val="es-ES"/>
              </w:rPr>
              <w:t xml:space="preserve"> </w:t>
            </w:r>
            <w:proofErr w:type="spellStart"/>
            <w:r w:rsidRPr="00362626">
              <w:rPr>
                <w:rFonts w:eastAsia="Cambria" w:cs="Arial"/>
                <w:bCs/>
                <w:i/>
                <w:color w:val="000000"/>
                <w:spacing w:val="-3"/>
                <w:lang w:val="es-ES"/>
              </w:rPr>
              <w:t>oleracea</w:t>
            </w:r>
            <w:proofErr w:type="spellEnd"/>
            <w:r w:rsidRPr="00362626">
              <w:rPr>
                <w:rFonts w:eastAsia="Cambria" w:cs="Arial"/>
                <w:bCs/>
                <w:color w:val="000000"/>
                <w:spacing w:val="-3"/>
                <w:lang w:val="es-ES"/>
              </w:rPr>
              <w:t xml:space="preserve"> L.; </w:t>
            </w:r>
            <w:proofErr w:type="spellStart"/>
            <w:r w:rsidRPr="00362626">
              <w:rPr>
                <w:rFonts w:eastAsia="Cambria" w:cs="Arial"/>
                <w:bCs/>
                <w:i/>
                <w:color w:val="000000"/>
                <w:spacing w:val="-3"/>
                <w:lang w:val="es-ES"/>
              </w:rPr>
              <w:t>Portulaca</w:t>
            </w:r>
            <w:proofErr w:type="spellEnd"/>
            <w:r w:rsidRPr="00362626">
              <w:rPr>
                <w:rFonts w:eastAsia="Cambria" w:cs="Arial"/>
                <w:bCs/>
                <w:color w:val="000000"/>
                <w:spacing w:val="-3"/>
                <w:lang w:val="es-ES"/>
              </w:rPr>
              <w:t xml:space="preserve"> </w:t>
            </w:r>
            <w:proofErr w:type="spellStart"/>
            <w:r w:rsidRPr="00362626">
              <w:rPr>
                <w:rFonts w:eastAsia="Cambria" w:cs="Arial"/>
                <w:bCs/>
                <w:i/>
                <w:color w:val="000000"/>
                <w:spacing w:val="-3"/>
                <w:lang w:val="es-ES"/>
              </w:rPr>
              <w:t>umbraticola</w:t>
            </w:r>
            <w:proofErr w:type="spellEnd"/>
            <w:r w:rsidRPr="00362626">
              <w:rPr>
                <w:rFonts w:eastAsia="Cambria" w:cs="Arial"/>
                <w:bCs/>
                <w:color w:val="000000"/>
                <w:spacing w:val="-3"/>
                <w:lang w:val="es-ES"/>
              </w:rPr>
              <w:t xml:space="preserve"> </w:t>
            </w:r>
            <w:proofErr w:type="spellStart"/>
            <w:r w:rsidRPr="00362626">
              <w:rPr>
                <w:rFonts w:eastAsia="Cambria" w:cs="Arial"/>
                <w:bCs/>
                <w:color w:val="000000"/>
                <w:spacing w:val="-3"/>
                <w:lang w:val="es-ES"/>
              </w:rPr>
              <w:t>Kunth</w:t>
            </w:r>
            <w:proofErr w:type="spellEnd"/>
          </w:p>
        </w:tc>
        <w:tc>
          <w:tcPr>
            <w:tcW w:w="2299" w:type="dxa"/>
            <w:shd w:val="clear" w:color="auto" w:fill="auto"/>
          </w:tcPr>
          <w:p w:rsidR="00362626" w:rsidRPr="00362626" w:rsidRDefault="00362626" w:rsidP="00362626">
            <w:pPr>
              <w:suppressAutoHyphens/>
              <w:spacing w:line="259" w:lineRule="auto"/>
              <w:rPr>
                <w:rFonts w:eastAsia="Cambria" w:cs="Arial"/>
                <w:bCs/>
                <w:spacing w:val="-3"/>
                <w:lang w:val="es-ES"/>
              </w:rPr>
            </w:pPr>
            <w:r w:rsidRPr="00362626">
              <w:rPr>
                <w:rFonts w:eastAsia="Cambria" w:cs="Arial"/>
                <w:bCs/>
                <w:color w:val="000000"/>
                <w:spacing w:val="-3"/>
                <w:lang w:val="es-ES"/>
              </w:rPr>
              <w:t>CPVO-TP/242/2</w:t>
            </w:r>
          </w:p>
        </w:tc>
      </w:tr>
      <w:tr w:rsidR="00362626" w:rsidRPr="00362626" w:rsidTr="00EA6E90">
        <w:tc>
          <w:tcPr>
            <w:tcW w:w="6629" w:type="dxa"/>
            <w:shd w:val="clear" w:color="auto" w:fill="auto"/>
          </w:tcPr>
          <w:p w:rsidR="00362626" w:rsidRPr="004E0415" w:rsidRDefault="00362626" w:rsidP="00362626">
            <w:pPr>
              <w:spacing w:before="100" w:beforeAutospacing="1" w:after="100" w:afterAutospacing="1"/>
              <w:jc w:val="left"/>
              <w:rPr>
                <w:rFonts w:cs="Arial"/>
                <w:lang w:eastAsia="fr-FR"/>
              </w:rPr>
            </w:pPr>
            <w:r w:rsidRPr="004E0415">
              <w:rPr>
                <w:rFonts w:cs="Arial"/>
                <w:i/>
                <w:color w:val="000000"/>
                <w:lang w:eastAsia="fr-FR"/>
              </w:rPr>
              <w:t>Lobelia</w:t>
            </w:r>
            <w:r w:rsidRPr="004E0415">
              <w:rPr>
                <w:rFonts w:cs="Arial"/>
                <w:color w:val="000000"/>
                <w:lang w:eastAsia="fr-FR"/>
              </w:rPr>
              <w:t xml:space="preserve"> </w:t>
            </w:r>
            <w:proofErr w:type="spellStart"/>
            <w:r w:rsidRPr="004E0415">
              <w:rPr>
                <w:rFonts w:cs="Arial"/>
                <w:i/>
                <w:color w:val="000000"/>
                <w:lang w:eastAsia="fr-FR"/>
              </w:rPr>
              <w:t>alsinoides</w:t>
            </w:r>
            <w:proofErr w:type="spellEnd"/>
            <w:r w:rsidRPr="004E0415">
              <w:rPr>
                <w:rFonts w:cs="Arial"/>
                <w:color w:val="000000"/>
                <w:lang w:eastAsia="fr-FR"/>
              </w:rPr>
              <w:t xml:space="preserve"> Lam.; </w:t>
            </w:r>
            <w:r w:rsidRPr="004E0415">
              <w:rPr>
                <w:rFonts w:cs="Arial"/>
                <w:i/>
                <w:color w:val="000000"/>
                <w:lang w:eastAsia="fr-FR"/>
              </w:rPr>
              <w:t>Lobelia</w:t>
            </w:r>
            <w:r w:rsidRPr="004E0415">
              <w:rPr>
                <w:rFonts w:cs="Arial"/>
                <w:color w:val="000000"/>
                <w:lang w:eastAsia="fr-FR"/>
              </w:rPr>
              <w:t xml:space="preserve"> </w:t>
            </w:r>
            <w:proofErr w:type="spellStart"/>
            <w:r w:rsidRPr="004E0415">
              <w:rPr>
                <w:rFonts w:cs="Arial"/>
                <w:i/>
                <w:color w:val="000000"/>
                <w:lang w:eastAsia="fr-FR"/>
              </w:rPr>
              <w:t>erinus</w:t>
            </w:r>
            <w:proofErr w:type="spellEnd"/>
            <w:r w:rsidRPr="004E0415">
              <w:rPr>
                <w:rFonts w:cs="Arial"/>
                <w:color w:val="000000"/>
                <w:lang w:eastAsia="fr-FR"/>
              </w:rPr>
              <w:t xml:space="preserve"> L.; </w:t>
            </w:r>
            <w:r w:rsidRPr="004E0415">
              <w:rPr>
                <w:rFonts w:cs="Arial"/>
                <w:i/>
                <w:color w:val="000000"/>
                <w:lang w:eastAsia="fr-FR"/>
              </w:rPr>
              <w:t>Lobelia</w:t>
            </w:r>
            <w:r w:rsidRPr="004E0415">
              <w:rPr>
                <w:rFonts w:cs="Arial"/>
                <w:color w:val="000000"/>
                <w:lang w:eastAsia="fr-FR"/>
              </w:rPr>
              <w:t xml:space="preserve"> </w:t>
            </w:r>
            <w:proofErr w:type="spellStart"/>
            <w:r w:rsidRPr="004E0415">
              <w:rPr>
                <w:rFonts w:cs="Arial"/>
                <w:i/>
                <w:color w:val="000000"/>
                <w:lang w:eastAsia="fr-FR"/>
              </w:rPr>
              <w:t>valida</w:t>
            </w:r>
            <w:proofErr w:type="spellEnd"/>
            <w:r w:rsidRPr="004E0415">
              <w:rPr>
                <w:rFonts w:cs="Arial"/>
                <w:color w:val="000000"/>
                <w:lang w:eastAsia="fr-FR"/>
              </w:rPr>
              <w:t xml:space="preserve"> L. Bolus; Hybrids between </w:t>
            </w:r>
            <w:r w:rsidRPr="004E0415">
              <w:rPr>
                <w:rFonts w:cs="Arial"/>
                <w:i/>
                <w:color w:val="000000"/>
                <w:lang w:eastAsia="fr-FR"/>
              </w:rPr>
              <w:t>Lobelia</w:t>
            </w:r>
            <w:r w:rsidRPr="004E0415">
              <w:rPr>
                <w:rFonts w:cs="Arial"/>
                <w:color w:val="000000"/>
                <w:lang w:eastAsia="fr-FR"/>
              </w:rPr>
              <w:t xml:space="preserve"> </w:t>
            </w:r>
            <w:proofErr w:type="spellStart"/>
            <w:r w:rsidRPr="004E0415">
              <w:rPr>
                <w:rFonts w:cs="Arial"/>
                <w:i/>
                <w:color w:val="000000"/>
                <w:lang w:eastAsia="fr-FR"/>
              </w:rPr>
              <w:t>erinus</w:t>
            </w:r>
            <w:proofErr w:type="spellEnd"/>
            <w:r w:rsidRPr="004E0415">
              <w:rPr>
                <w:rFonts w:cs="Arial"/>
                <w:color w:val="000000"/>
                <w:lang w:eastAsia="fr-FR"/>
              </w:rPr>
              <w:t xml:space="preserve"> and </w:t>
            </w:r>
            <w:r w:rsidRPr="004E0415">
              <w:rPr>
                <w:rFonts w:cs="Arial"/>
                <w:i/>
                <w:color w:val="000000"/>
                <w:lang w:eastAsia="fr-FR"/>
              </w:rPr>
              <w:t>Lobelia</w:t>
            </w:r>
            <w:r w:rsidRPr="004E0415">
              <w:rPr>
                <w:rFonts w:cs="Arial"/>
                <w:color w:val="000000"/>
                <w:lang w:eastAsia="fr-FR"/>
              </w:rPr>
              <w:t xml:space="preserve"> </w:t>
            </w:r>
            <w:proofErr w:type="spellStart"/>
            <w:r w:rsidRPr="004E0415">
              <w:rPr>
                <w:rFonts w:cs="Arial"/>
                <w:i/>
                <w:color w:val="000000"/>
                <w:lang w:eastAsia="fr-FR"/>
              </w:rPr>
              <w:t>alsinoides</w:t>
            </w:r>
            <w:proofErr w:type="spellEnd"/>
            <w:r w:rsidRPr="004E0415">
              <w:rPr>
                <w:rFonts w:cs="Arial"/>
                <w:color w:val="000000"/>
                <w:lang w:eastAsia="fr-FR"/>
              </w:rPr>
              <w:t xml:space="preserve">; Hybrids between </w:t>
            </w:r>
            <w:r w:rsidRPr="004E0415">
              <w:rPr>
                <w:rFonts w:cs="Arial"/>
                <w:i/>
                <w:color w:val="000000"/>
                <w:lang w:eastAsia="fr-FR"/>
              </w:rPr>
              <w:t>Lobelia</w:t>
            </w:r>
            <w:r w:rsidRPr="004E0415">
              <w:rPr>
                <w:rFonts w:cs="Arial"/>
                <w:color w:val="000000"/>
                <w:lang w:eastAsia="fr-FR"/>
              </w:rPr>
              <w:t xml:space="preserve"> </w:t>
            </w:r>
            <w:proofErr w:type="spellStart"/>
            <w:r w:rsidRPr="004E0415">
              <w:rPr>
                <w:rFonts w:cs="Arial"/>
                <w:i/>
                <w:color w:val="000000"/>
                <w:lang w:eastAsia="fr-FR"/>
              </w:rPr>
              <w:t>erinus</w:t>
            </w:r>
            <w:proofErr w:type="spellEnd"/>
            <w:r w:rsidRPr="004E0415">
              <w:rPr>
                <w:rFonts w:cs="Arial"/>
                <w:color w:val="000000"/>
                <w:lang w:eastAsia="fr-FR"/>
              </w:rPr>
              <w:t xml:space="preserve"> and </w:t>
            </w:r>
            <w:r w:rsidRPr="004E0415">
              <w:rPr>
                <w:rFonts w:cs="Arial"/>
                <w:i/>
                <w:color w:val="000000"/>
                <w:lang w:eastAsia="fr-FR"/>
              </w:rPr>
              <w:t>Lobelia</w:t>
            </w:r>
            <w:r w:rsidRPr="004E0415">
              <w:rPr>
                <w:rFonts w:cs="Arial"/>
                <w:color w:val="000000"/>
                <w:lang w:eastAsia="fr-FR"/>
              </w:rPr>
              <w:t xml:space="preserve"> </w:t>
            </w:r>
            <w:proofErr w:type="spellStart"/>
            <w:r w:rsidRPr="004E0415">
              <w:rPr>
                <w:rFonts w:cs="Arial"/>
                <w:i/>
                <w:color w:val="000000"/>
                <w:lang w:eastAsia="fr-FR"/>
              </w:rPr>
              <w:t>valida</w:t>
            </w:r>
            <w:proofErr w:type="spellEnd"/>
            <w:r w:rsidRPr="004E0415">
              <w:rPr>
                <w:rFonts w:cs="Arial"/>
                <w:color w:val="000000"/>
                <w:lang w:eastAsia="fr-FR"/>
              </w:rPr>
              <w:t xml:space="preserve"> </w:t>
            </w:r>
          </w:p>
        </w:tc>
        <w:tc>
          <w:tcPr>
            <w:tcW w:w="2299" w:type="dxa"/>
            <w:shd w:val="clear" w:color="auto" w:fill="auto"/>
          </w:tcPr>
          <w:p w:rsidR="00362626" w:rsidRPr="00362626" w:rsidRDefault="00362626" w:rsidP="00362626">
            <w:pPr>
              <w:suppressAutoHyphens/>
              <w:spacing w:line="259" w:lineRule="auto"/>
              <w:rPr>
                <w:rFonts w:eastAsia="Cambria" w:cs="Arial"/>
                <w:bCs/>
                <w:spacing w:val="-3"/>
                <w:lang w:val="es-ES"/>
              </w:rPr>
            </w:pPr>
            <w:r w:rsidRPr="00362626">
              <w:rPr>
                <w:rFonts w:eastAsia="Cambria" w:cs="Arial"/>
                <w:bCs/>
                <w:color w:val="000000"/>
                <w:spacing w:val="-3"/>
                <w:lang w:val="en-IE"/>
              </w:rPr>
              <w:t>CPVO-TP/293/1 Corr.</w:t>
            </w:r>
          </w:p>
        </w:tc>
      </w:tr>
    </w:tbl>
    <w:p w:rsidR="00362626" w:rsidRPr="00362626" w:rsidRDefault="00362626" w:rsidP="00362626">
      <w:pPr>
        <w:rPr>
          <w:rFonts w:eastAsia="Cambria"/>
          <w:lang w:val="es-ES"/>
        </w:rPr>
      </w:pPr>
    </w:p>
    <w:p w:rsidR="00362626" w:rsidRPr="00362626" w:rsidRDefault="00362626" w:rsidP="001061E9">
      <w:pPr>
        <w:rPr>
          <w:rFonts w:eastAsia="Cambria"/>
        </w:rPr>
      </w:pPr>
    </w:p>
    <w:p w:rsidR="00362626" w:rsidRDefault="00362626" w:rsidP="001061E9">
      <w:pPr>
        <w:rPr>
          <w:rFonts w:eastAsia="Cambria"/>
        </w:rPr>
      </w:pPr>
      <w:r w:rsidRPr="00362626">
        <w:rPr>
          <w:rFonts w:eastAsia="Cambria"/>
        </w:rPr>
        <w:t>Statistics</w:t>
      </w:r>
    </w:p>
    <w:p w:rsidR="001061E9" w:rsidRPr="00362626" w:rsidRDefault="001061E9" w:rsidP="001061E9">
      <w:pPr>
        <w:rPr>
          <w:rFonts w:eastAsia="Cambria"/>
        </w:rPr>
      </w:pPr>
    </w:p>
    <w:p w:rsidR="00362626" w:rsidRDefault="00362626" w:rsidP="001061E9">
      <w:pPr>
        <w:rPr>
          <w:rFonts w:eastAsia="Cambria"/>
          <w:lang w:val="en-GB"/>
        </w:rPr>
      </w:pPr>
      <w:r w:rsidRPr="00362626">
        <w:rPr>
          <w:rFonts w:eastAsia="Cambria"/>
          <w:lang w:val="en-GB"/>
        </w:rPr>
        <w:t xml:space="preserve">The 10 most important ornamental crops over the last 5 years. Changes in the importance of most of these crops seem to be rather accidental. Roses and chrysanthemums remained by far the most important species in 2019. After a decline for two years, application numbers for </w:t>
      </w:r>
      <w:proofErr w:type="spellStart"/>
      <w:r w:rsidRPr="00362626">
        <w:rPr>
          <w:rFonts w:eastAsia="Cambria"/>
          <w:i/>
          <w:lang w:val="en-GB"/>
        </w:rPr>
        <w:t>Phalaenopsis</w:t>
      </w:r>
      <w:proofErr w:type="spellEnd"/>
      <w:r w:rsidRPr="00362626">
        <w:rPr>
          <w:rFonts w:eastAsia="Cambria"/>
          <w:lang w:val="en-GB"/>
        </w:rPr>
        <w:t xml:space="preserve"> varieties were on the rise again. In the longer run, one may anticipate that </w:t>
      </w:r>
      <w:proofErr w:type="spellStart"/>
      <w:r w:rsidRPr="00362626">
        <w:rPr>
          <w:rFonts w:eastAsia="Cambria"/>
          <w:i/>
          <w:lang w:val="en-GB"/>
        </w:rPr>
        <w:t>Phalaenopsis</w:t>
      </w:r>
      <w:proofErr w:type="spellEnd"/>
      <w:r w:rsidRPr="00362626">
        <w:rPr>
          <w:rFonts w:eastAsia="Cambria"/>
          <w:lang w:val="en-GB"/>
        </w:rPr>
        <w:t xml:space="preserve"> will rise in ranking and that </w:t>
      </w:r>
      <w:r w:rsidRPr="00362626">
        <w:rPr>
          <w:rFonts w:eastAsia="Cambria"/>
          <w:i/>
          <w:lang w:val="en-GB"/>
        </w:rPr>
        <w:t>Hydrangea</w:t>
      </w:r>
      <w:r w:rsidRPr="00362626">
        <w:rPr>
          <w:rFonts w:eastAsia="Cambria"/>
          <w:lang w:val="en-GB"/>
        </w:rPr>
        <w:t xml:space="preserve"> varieties may make it into the top 10 list.</w:t>
      </w:r>
    </w:p>
    <w:p w:rsidR="001061E9" w:rsidRPr="00362626" w:rsidRDefault="001061E9" w:rsidP="001061E9">
      <w:pPr>
        <w:rPr>
          <w:rFonts w:eastAsia="Cambria"/>
          <w:lang w:val="en-GB"/>
        </w:rP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3"/>
        <w:gridCol w:w="709"/>
        <w:gridCol w:w="708"/>
        <w:gridCol w:w="709"/>
        <w:gridCol w:w="709"/>
        <w:gridCol w:w="709"/>
        <w:gridCol w:w="1842"/>
      </w:tblGrid>
      <w:tr w:rsidR="001061E9" w:rsidRPr="009115C0" w:rsidTr="001061E9">
        <w:trPr>
          <w:trHeight w:val="240"/>
        </w:trPr>
        <w:tc>
          <w:tcPr>
            <w:tcW w:w="4193" w:type="dxa"/>
            <w:shd w:val="clear" w:color="auto" w:fill="D9D9D9"/>
            <w:vAlign w:val="bottom"/>
            <w:hideMark/>
          </w:tcPr>
          <w:p w:rsidR="00362626" w:rsidRPr="009115C0" w:rsidRDefault="00362626" w:rsidP="00362626">
            <w:pPr>
              <w:spacing w:before="120" w:after="120" w:line="276" w:lineRule="auto"/>
              <w:rPr>
                <w:rFonts w:eastAsia="Calibri" w:cs="Arial"/>
                <w:color w:val="000000"/>
                <w:lang w:val="en-GB" w:eastAsia="fr-FR"/>
              </w:rPr>
            </w:pPr>
            <w:r w:rsidRPr="009115C0">
              <w:rPr>
                <w:rFonts w:eastAsia="Calibri" w:cs="Arial"/>
                <w:color w:val="000000"/>
                <w:lang w:val="en-GB" w:eastAsia="fr-FR"/>
              </w:rPr>
              <w:t>Species</w:t>
            </w:r>
          </w:p>
        </w:tc>
        <w:tc>
          <w:tcPr>
            <w:tcW w:w="709" w:type="dxa"/>
            <w:shd w:val="clear" w:color="auto" w:fill="D9D9D9"/>
            <w:vAlign w:val="bottom"/>
          </w:tcPr>
          <w:p w:rsidR="00362626" w:rsidRPr="009115C0" w:rsidRDefault="00362626" w:rsidP="00362626">
            <w:pPr>
              <w:spacing w:before="120" w:after="120" w:line="276" w:lineRule="auto"/>
              <w:rPr>
                <w:rFonts w:eastAsia="Calibri" w:cs="Arial"/>
                <w:color w:val="000000"/>
                <w:lang w:val="en-GB" w:eastAsia="fr-FR"/>
              </w:rPr>
            </w:pPr>
            <w:r w:rsidRPr="009115C0">
              <w:rPr>
                <w:rFonts w:eastAsia="Calibri" w:cs="Arial"/>
                <w:color w:val="000000"/>
                <w:lang w:val="en-GB"/>
              </w:rPr>
              <w:t>2015</w:t>
            </w:r>
          </w:p>
        </w:tc>
        <w:tc>
          <w:tcPr>
            <w:tcW w:w="708" w:type="dxa"/>
            <w:shd w:val="clear" w:color="auto" w:fill="D9D9D9"/>
            <w:vAlign w:val="bottom"/>
          </w:tcPr>
          <w:p w:rsidR="00362626" w:rsidRPr="009115C0" w:rsidRDefault="00362626" w:rsidP="00362626">
            <w:pPr>
              <w:spacing w:before="120" w:after="120" w:line="276" w:lineRule="auto"/>
              <w:rPr>
                <w:rFonts w:eastAsia="Calibri" w:cs="Arial"/>
                <w:color w:val="000000"/>
                <w:lang w:val="en-GB" w:eastAsia="fr-FR"/>
              </w:rPr>
            </w:pPr>
            <w:r w:rsidRPr="009115C0">
              <w:rPr>
                <w:rFonts w:eastAsia="Calibri" w:cs="Arial"/>
                <w:color w:val="000000"/>
                <w:lang w:val="en-GB" w:eastAsia="fr-FR"/>
              </w:rPr>
              <w:t>2016</w:t>
            </w:r>
          </w:p>
        </w:tc>
        <w:tc>
          <w:tcPr>
            <w:tcW w:w="709" w:type="dxa"/>
            <w:shd w:val="clear" w:color="auto" w:fill="D9D9D9"/>
            <w:vAlign w:val="bottom"/>
          </w:tcPr>
          <w:p w:rsidR="00362626" w:rsidRPr="009115C0" w:rsidRDefault="00362626" w:rsidP="00362626">
            <w:pPr>
              <w:spacing w:before="120" w:after="120" w:line="276" w:lineRule="auto"/>
              <w:rPr>
                <w:rFonts w:eastAsia="Calibri" w:cs="Arial"/>
                <w:color w:val="000000"/>
                <w:lang w:val="en-GB" w:eastAsia="fr-FR"/>
              </w:rPr>
            </w:pPr>
            <w:r w:rsidRPr="009115C0">
              <w:rPr>
                <w:rFonts w:eastAsia="Calibri" w:cs="Arial"/>
                <w:color w:val="000000"/>
                <w:lang w:val="en-GB"/>
              </w:rPr>
              <w:t>2017</w:t>
            </w:r>
          </w:p>
        </w:tc>
        <w:tc>
          <w:tcPr>
            <w:tcW w:w="709" w:type="dxa"/>
            <w:shd w:val="clear" w:color="auto" w:fill="D9D9D9"/>
            <w:vAlign w:val="bottom"/>
          </w:tcPr>
          <w:p w:rsidR="00362626" w:rsidRPr="009115C0" w:rsidRDefault="00362626" w:rsidP="00362626">
            <w:pPr>
              <w:spacing w:before="120" w:after="120" w:line="276" w:lineRule="auto"/>
              <w:rPr>
                <w:rFonts w:eastAsia="Calibri" w:cs="Arial"/>
                <w:color w:val="000000"/>
                <w:lang w:val="en-GB" w:eastAsia="fr-FR"/>
              </w:rPr>
            </w:pPr>
            <w:r w:rsidRPr="009115C0">
              <w:rPr>
                <w:rFonts w:eastAsia="Calibri" w:cs="Arial"/>
                <w:color w:val="000000"/>
                <w:lang w:val="en-GB" w:eastAsia="fr-FR"/>
              </w:rPr>
              <w:t>2018</w:t>
            </w:r>
          </w:p>
        </w:tc>
        <w:tc>
          <w:tcPr>
            <w:tcW w:w="709" w:type="dxa"/>
            <w:shd w:val="clear" w:color="auto" w:fill="D9D9D9"/>
            <w:vAlign w:val="bottom"/>
          </w:tcPr>
          <w:p w:rsidR="00362626" w:rsidRPr="009115C0" w:rsidRDefault="00362626" w:rsidP="00362626">
            <w:pPr>
              <w:spacing w:before="120" w:after="120" w:line="276" w:lineRule="auto"/>
              <w:rPr>
                <w:rFonts w:eastAsia="Calibri" w:cs="Arial"/>
                <w:color w:val="000000"/>
                <w:lang w:val="en-GB" w:eastAsia="fr-FR"/>
              </w:rPr>
            </w:pPr>
            <w:r w:rsidRPr="009115C0">
              <w:rPr>
                <w:rFonts w:eastAsia="Calibri" w:cs="Arial"/>
                <w:color w:val="000000"/>
                <w:lang w:val="en-GB"/>
              </w:rPr>
              <w:t>2019</w:t>
            </w:r>
          </w:p>
        </w:tc>
        <w:tc>
          <w:tcPr>
            <w:tcW w:w="1842" w:type="dxa"/>
            <w:shd w:val="clear" w:color="auto" w:fill="D9D9D9"/>
            <w:noWrap/>
            <w:vAlign w:val="bottom"/>
            <w:hideMark/>
          </w:tcPr>
          <w:p w:rsidR="00362626" w:rsidRPr="009115C0" w:rsidRDefault="00362626" w:rsidP="00362626">
            <w:pPr>
              <w:spacing w:before="120" w:after="120" w:line="276" w:lineRule="auto"/>
              <w:rPr>
                <w:rFonts w:eastAsia="Calibri" w:cs="Arial"/>
                <w:color w:val="000000"/>
                <w:lang w:val="en-GB" w:eastAsia="fr-FR"/>
              </w:rPr>
            </w:pPr>
            <w:r w:rsidRPr="009115C0">
              <w:rPr>
                <w:rFonts w:eastAsia="Calibri" w:cs="Arial"/>
                <w:color w:val="000000"/>
                <w:lang w:val="en-GB" w:eastAsia="en-GB"/>
              </w:rPr>
              <w:t>Total (1995-2019)</w:t>
            </w:r>
          </w:p>
        </w:tc>
      </w:tr>
      <w:tr w:rsidR="001061E9" w:rsidRPr="009115C0" w:rsidTr="001061E9">
        <w:trPr>
          <w:trHeight w:val="284"/>
        </w:trPr>
        <w:tc>
          <w:tcPr>
            <w:tcW w:w="4193" w:type="dxa"/>
            <w:shd w:val="clear" w:color="auto" w:fill="auto"/>
            <w:vAlign w:val="center"/>
            <w:hideMark/>
          </w:tcPr>
          <w:p w:rsidR="00362626" w:rsidRPr="009115C0" w:rsidRDefault="00362626" w:rsidP="00362626">
            <w:pPr>
              <w:rPr>
                <w:rFonts w:eastAsia="Calibri" w:cs="Arial"/>
                <w:color w:val="000000"/>
                <w:lang w:val="en-GB" w:eastAsia="fr-FR"/>
              </w:rPr>
            </w:pPr>
            <w:r w:rsidRPr="009115C0">
              <w:rPr>
                <w:rFonts w:eastAsia="Calibri" w:cs="Arial"/>
                <w:i/>
                <w:color w:val="000000"/>
                <w:lang w:val="en-GB"/>
              </w:rPr>
              <w:t>Rosa</w:t>
            </w:r>
            <w:r w:rsidRPr="009115C0">
              <w:rPr>
                <w:rFonts w:eastAsia="Calibri" w:cs="Arial"/>
                <w:color w:val="000000"/>
                <w:lang w:val="en-GB"/>
              </w:rPr>
              <w:t xml:space="preserve"> L. </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161</w:t>
            </w:r>
          </w:p>
        </w:tc>
        <w:tc>
          <w:tcPr>
            <w:tcW w:w="708" w:type="dxa"/>
          </w:tcPr>
          <w:p w:rsidR="00362626" w:rsidRPr="009115C0" w:rsidRDefault="00362626" w:rsidP="00362626">
            <w:pPr>
              <w:jc w:val="center"/>
              <w:rPr>
                <w:rFonts w:eastAsia="Calibri" w:cs="Arial"/>
                <w:lang w:val="fr-FR"/>
              </w:rPr>
            </w:pPr>
            <w:r w:rsidRPr="009115C0">
              <w:rPr>
                <w:rFonts w:eastAsia="Calibri" w:cs="Arial"/>
                <w:lang w:val="fr-FR"/>
              </w:rPr>
              <w:t>185</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169</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242</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175</w:t>
            </w:r>
          </w:p>
        </w:tc>
        <w:tc>
          <w:tcPr>
            <w:tcW w:w="1842" w:type="dxa"/>
            <w:shd w:val="clear" w:color="auto" w:fill="auto"/>
            <w:noWrap/>
          </w:tcPr>
          <w:p w:rsidR="00362626" w:rsidRPr="009115C0" w:rsidRDefault="00362626" w:rsidP="00362626">
            <w:pPr>
              <w:jc w:val="center"/>
              <w:rPr>
                <w:rFonts w:eastAsia="Calibri" w:cs="Arial"/>
                <w:lang w:val="fr-FR"/>
              </w:rPr>
            </w:pPr>
            <w:r w:rsidRPr="009115C0">
              <w:rPr>
                <w:rFonts w:eastAsia="Calibri" w:cs="Arial"/>
                <w:lang w:val="fr-FR"/>
              </w:rPr>
              <w:t>4628</w:t>
            </w:r>
          </w:p>
        </w:tc>
      </w:tr>
      <w:tr w:rsidR="001061E9" w:rsidRPr="009115C0" w:rsidTr="001061E9">
        <w:trPr>
          <w:trHeight w:val="284"/>
        </w:trPr>
        <w:tc>
          <w:tcPr>
            <w:tcW w:w="4193" w:type="dxa"/>
            <w:shd w:val="clear" w:color="auto" w:fill="auto"/>
            <w:vAlign w:val="center"/>
            <w:hideMark/>
          </w:tcPr>
          <w:p w:rsidR="00362626" w:rsidRPr="009115C0" w:rsidRDefault="00362626" w:rsidP="00362626">
            <w:pPr>
              <w:rPr>
                <w:rFonts w:eastAsia="Calibri" w:cs="Arial"/>
                <w:color w:val="000000"/>
                <w:lang w:val="en-GB" w:eastAsia="fr-FR"/>
              </w:rPr>
            </w:pPr>
            <w:r w:rsidRPr="009115C0">
              <w:rPr>
                <w:rFonts w:eastAsia="Calibri" w:cs="Arial"/>
                <w:i/>
                <w:color w:val="000000"/>
                <w:lang w:val="en-GB"/>
              </w:rPr>
              <w:t>Chrysanthemum</w:t>
            </w:r>
            <w:r w:rsidRPr="009115C0">
              <w:rPr>
                <w:rFonts w:eastAsia="Calibri" w:cs="Arial"/>
                <w:color w:val="000000"/>
                <w:lang w:val="en-GB"/>
              </w:rPr>
              <w:t xml:space="preserve"> L.</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100</w:t>
            </w:r>
          </w:p>
        </w:tc>
        <w:tc>
          <w:tcPr>
            <w:tcW w:w="708" w:type="dxa"/>
          </w:tcPr>
          <w:p w:rsidR="00362626" w:rsidRPr="009115C0" w:rsidRDefault="00362626" w:rsidP="00362626">
            <w:pPr>
              <w:jc w:val="center"/>
              <w:rPr>
                <w:rFonts w:eastAsia="Calibri" w:cs="Arial"/>
                <w:lang w:val="fr-FR"/>
              </w:rPr>
            </w:pPr>
            <w:r w:rsidRPr="009115C0">
              <w:rPr>
                <w:rFonts w:eastAsia="Calibri" w:cs="Arial"/>
                <w:lang w:val="fr-FR"/>
              </w:rPr>
              <w:t>117</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148</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140</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121</w:t>
            </w:r>
          </w:p>
        </w:tc>
        <w:tc>
          <w:tcPr>
            <w:tcW w:w="1842" w:type="dxa"/>
            <w:shd w:val="clear" w:color="auto" w:fill="auto"/>
            <w:noWrap/>
          </w:tcPr>
          <w:p w:rsidR="00362626" w:rsidRPr="009115C0" w:rsidRDefault="00362626" w:rsidP="00362626">
            <w:pPr>
              <w:jc w:val="center"/>
              <w:rPr>
                <w:rFonts w:eastAsia="Calibri" w:cs="Arial"/>
                <w:lang w:val="fr-FR"/>
              </w:rPr>
            </w:pPr>
            <w:r w:rsidRPr="009115C0">
              <w:rPr>
                <w:rFonts w:eastAsia="Calibri" w:cs="Arial"/>
                <w:lang w:val="fr-FR"/>
              </w:rPr>
              <w:t>3745</w:t>
            </w:r>
          </w:p>
        </w:tc>
      </w:tr>
      <w:tr w:rsidR="001061E9" w:rsidRPr="009115C0" w:rsidTr="001061E9">
        <w:trPr>
          <w:trHeight w:val="284"/>
        </w:trPr>
        <w:tc>
          <w:tcPr>
            <w:tcW w:w="4193" w:type="dxa"/>
            <w:tcBorders>
              <w:top w:val="single" w:sz="4" w:space="0" w:color="auto"/>
              <w:left w:val="single" w:sz="4" w:space="0" w:color="auto"/>
              <w:bottom w:val="single" w:sz="4" w:space="0" w:color="auto"/>
              <w:right w:val="single" w:sz="4" w:space="0" w:color="auto"/>
            </w:tcBorders>
            <w:shd w:val="clear" w:color="auto" w:fill="auto"/>
            <w:vAlign w:val="center"/>
          </w:tcPr>
          <w:p w:rsidR="00362626" w:rsidRPr="009115C0" w:rsidRDefault="00362626" w:rsidP="00362626">
            <w:pPr>
              <w:rPr>
                <w:rFonts w:eastAsia="Calibri" w:cs="Arial"/>
                <w:color w:val="000000"/>
                <w:lang w:val="en-GB"/>
              </w:rPr>
            </w:pPr>
            <w:r w:rsidRPr="009115C0">
              <w:rPr>
                <w:rFonts w:eastAsia="Calibri" w:cs="Arial"/>
                <w:i/>
                <w:color w:val="000000"/>
                <w:lang w:val="en-GB"/>
              </w:rPr>
              <w:t xml:space="preserve">Pelargonium </w:t>
            </w:r>
            <w:proofErr w:type="spellStart"/>
            <w:r w:rsidRPr="009115C0">
              <w:rPr>
                <w:rFonts w:eastAsia="Calibri" w:cs="Arial"/>
                <w:color w:val="000000"/>
                <w:lang w:val="en-GB"/>
              </w:rPr>
              <w:t>L’Hér</w:t>
            </w:r>
            <w:proofErr w:type="spellEnd"/>
            <w:r w:rsidRPr="009115C0">
              <w:rPr>
                <w:rFonts w:eastAsia="Calibri" w:cs="Arial"/>
                <w:color w:val="000000"/>
                <w:lang w:val="en-GB"/>
              </w:rPr>
              <w:t xml:space="preserve">. Ex </w:t>
            </w:r>
            <w:proofErr w:type="spellStart"/>
            <w:r w:rsidRPr="009115C0">
              <w:rPr>
                <w:rFonts w:eastAsia="Calibri" w:cs="Arial"/>
                <w:color w:val="000000"/>
                <w:lang w:val="en-GB"/>
              </w:rPr>
              <w:t>Aiton</w:t>
            </w:r>
            <w:proofErr w:type="spellEnd"/>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lang w:val="fr-FR"/>
              </w:rPr>
            </w:pPr>
            <w:r w:rsidRPr="009115C0">
              <w:rPr>
                <w:rFonts w:eastAsia="Calibri" w:cs="Arial"/>
                <w:lang w:val="fr-FR"/>
              </w:rPr>
              <w:t>51</w:t>
            </w:r>
          </w:p>
        </w:tc>
        <w:tc>
          <w:tcPr>
            <w:tcW w:w="708"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lang w:val="fr-FR"/>
              </w:rPr>
            </w:pPr>
            <w:r w:rsidRPr="009115C0">
              <w:rPr>
                <w:rFonts w:eastAsia="Calibri" w:cs="Arial"/>
                <w:lang w:val="fr-FR"/>
              </w:rPr>
              <w:t>43</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lang w:val="fr-FR"/>
              </w:rPr>
            </w:pPr>
            <w:r w:rsidRPr="009115C0">
              <w:rPr>
                <w:rFonts w:eastAsia="Calibri" w:cs="Arial"/>
                <w:lang w:val="fr-FR"/>
              </w:rPr>
              <w:t>33</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lang w:val="fr-FR"/>
              </w:rPr>
            </w:pPr>
            <w:r w:rsidRPr="009115C0">
              <w:rPr>
                <w:rFonts w:eastAsia="Calibri" w:cs="Arial"/>
                <w:lang w:val="fr-FR"/>
              </w:rPr>
              <w:t>53</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lang w:val="fr-FR"/>
              </w:rPr>
            </w:pPr>
            <w:r w:rsidRPr="009115C0">
              <w:rPr>
                <w:rFonts w:eastAsia="Calibri" w:cs="Arial"/>
                <w:lang w:val="fr-FR"/>
              </w:rPr>
              <w:t>56</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362626" w:rsidRPr="009115C0" w:rsidRDefault="00362626" w:rsidP="00362626">
            <w:pPr>
              <w:jc w:val="center"/>
              <w:rPr>
                <w:rFonts w:eastAsia="Calibri" w:cs="Arial"/>
                <w:lang w:val="fr-FR"/>
              </w:rPr>
            </w:pPr>
            <w:r w:rsidRPr="009115C0">
              <w:rPr>
                <w:rFonts w:eastAsia="Calibri" w:cs="Arial"/>
                <w:lang w:val="fr-FR"/>
              </w:rPr>
              <w:t>1679</w:t>
            </w:r>
          </w:p>
        </w:tc>
      </w:tr>
      <w:tr w:rsidR="001061E9" w:rsidRPr="009115C0" w:rsidTr="001061E9">
        <w:trPr>
          <w:trHeight w:val="284"/>
        </w:trPr>
        <w:tc>
          <w:tcPr>
            <w:tcW w:w="4193" w:type="dxa"/>
            <w:shd w:val="clear" w:color="auto" w:fill="auto"/>
            <w:vAlign w:val="center"/>
            <w:hideMark/>
          </w:tcPr>
          <w:p w:rsidR="00362626" w:rsidRPr="009115C0" w:rsidRDefault="00362626" w:rsidP="00362626">
            <w:pPr>
              <w:rPr>
                <w:rFonts w:eastAsia="Calibri" w:cs="Arial"/>
                <w:color w:val="000000"/>
                <w:lang w:val="en-GB" w:eastAsia="fr-FR"/>
              </w:rPr>
            </w:pPr>
            <w:proofErr w:type="spellStart"/>
            <w:r w:rsidRPr="009115C0">
              <w:rPr>
                <w:rFonts w:eastAsia="Calibri" w:cs="Arial"/>
                <w:i/>
                <w:color w:val="000000"/>
                <w:lang w:val="en-GB"/>
              </w:rPr>
              <w:t>Calibrachoa</w:t>
            </w:r>
            <w:proofErr w:type="spellEnd"/>
            <w:r w:rsidRPr="009115C0">
              <w:rPr>
                <w:rFonts w:eastAsia="Calibri" w:cs="Arial"/>
                <w:color w:val="000000"/>
                <w:lang w:val="en-GB"/>
              </w:rPr>
              <w:t xml:space="preserve"> </w:t>
            </w:r>
            <w:proofErr w:type="spellStart"/>
            <w:r w:rsidRPr="009115C0">
              <w:rPr>
                <w:rFonts w:eastAsia="Calibri" w:cs="Arial"/>
                <w:color w:val="000000"/>
                <w:lang w:val="en-GB"/>
              </w:rPr>
              <w:t>Llave</w:t>
            </w:r>
            <w:proofErr w:type="spellEnd"/>
            <w:r w:rsidRPr="009115C0">
              <w:rPr>
                <w:rFonts w:eastAsia="Calibri" w:cs="Arial"/>
                <w:color w:val="000000"/>
                <w:lang w:val="en-GB"/>
              </w:rPr>
              <w:t xml:space="preserve"> &amp; Lex. </w:t>
            </w:r>
            <w:proofErr w:type="gramStart"/>
            <w:r w:rsidRPr="009115C0">
              <w:rPr>
                <w:rFonts w:eastAsia="Calibri" w:cs="Arial"/>
                <w:color w:val="000000"/>
                <w:lang w:val="en-GB"/>
              </w:rPr>
              <w:t>and</w:t>
            </w:r>
            <w:proofErr w:type="gramEnd"/>
            <w:r w:rsidRPr="009115C0">
              <w:rPr>
                <w:rFonts w:eastAsia="Calibri" w:cs="Arial"/>
                <w:color w:val="000000"/>
                <w:lang w:val="en-GB"/>
              </w:rPr>
              <w:t xml:space="preserve"> </w:t>
            </w:r>
            <w:r w:rsidRPr="009115C0">
              <w:rPr>
                <w:rFonts w:eastAsia="Calibri" w:cs="Arial"/>
                <w:i/>
                <w:color w:val="000000"/>
                <w:lang w:val="en-GB"/>
              </w:rPr>
              <w:t>Petunia</w:t>
            </w:r>
            <w:r w:rsidRPr="009115C0">
              <w:rPr>
                <w:rFonts w:eastAsia="Calibri" w:cs="Arial"/>
                <w:color w:val="000000"/>
                <w:lang w:val="en-GB"/>
              </w:rPr>
              <w:t xml:space="preserve"> </w:t>
            </w:r>
            <w:proofErr w:type="spellStart"/>
            <w:r w:rsidRPr="009115C0">
              <w:rPr>
                <w:rFonts w:eastAsia="Calibri" w:cs="Arial"/>
                <w:color w:val="000000"/>
                <w:lang w:val="en-GB"/>
              </w:rPr>
              <w:t>Juss</w:t>
            </w:r>
            <w:proofErr w:type="spellEnd"/>
            <w:r w:rsidRPr="009115C0">
              <w:rPr>
                <w:rFonts w:eastAsia="Calibri" w:cs="Arial"/>
                <w:color w:val="000000"/>
                <w:lang w:val="en-GB"/>
              </w:rPr>
              <w:t xml:space="preserve">. </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80</w:t>
            </w:r>
          </w:p>
        </w:tc>
        <w:tc>
          <w:tcPr>
            <w:tcW w:w="708" w:type="dxa"/>
          </w:tcPr>
          <w:p w:rsidR="00362626" w:rsidRPr="009115C0" w:rsidRDefault="00362626" w:rsidP="00362626">
            <w:pPr>
              <w:jc w:val="center"/>
              <w:rPr>
                <w:rFonts w:eastAsia="Calibri" w:cs="Arial"/>
                <w:lang w:val="fr-FR"/>
              </w:rPr>
            </w:pPr>
            <w:r w:rsidRPr="009115C0">
              <w:rPr>
                <w:rFonts w:eastAsia="Calibri" w:cs="Arial"/>
                <w:lang w:val="fr-FR"/>
              </w:rPr>
              <w:t>50</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104</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78</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50</w:t>
            </w:r>
          </w:p>
        </w:tc>
        <w:tc>
          <w:tcPr>
            <w:tcW w:w="1842" w:type="dxa"/>
            <w:shd w:val="clear" w:color="auto" w:fill="auto"/>
            <w:noWrap/>
          </w:tcPr>
          <w:p w:rsidR="00362626" w:rsidRPr="009115C0" w:rsidRDefault="00362626" w:rsidP="00362626">
            <w:pPr>
              <w:jc w:val="center"/>
              <w:rPr>
                <w:rFonts w:eastAsia="Calibri" w:cs="Arial"/>
                <w:lang w:val="fr-FR"/>
              </w:rPr>
            </w:pPr>
            <w:r w:rsidRPr="009115C0">
              <w:rPr>
                <w:rFonts w:eastAsia="Calibri" w:cs="Arial"/>
                <w:lang w:val="fr-FR"/>
              </w:rPr>
              <w:t>1569</w:t>
            </w:r>
          </w:p>
        </w:tc>
      </w:tr>
      <w:tr w:rsidR="001061E9" w:rsidRPr="009115C0" w:rsidTr="001061E9">
        <w:trPr>
          <w:trHeight w:val="284"/>
        </w:trPr>
        <w:tc>
          <w:tcPr>
            <w:tcW w:w="4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626" w:rsidRPr="009115C0" w:rsidRDefault="00362626" w:rsidP="00362626">
            <w:pPr>
              <w:rPr>
                <w:rFonts w:eastAsia="Calibri" w:cs="Arial"/>
                <w:i/>
                <w:color w:val="000000"/>
                <w:lang w:val="en-GB"/>
              </w:rPr>
            </w:pPr>
            <w:proofErr w:type="spellStart"/>
            <w:r w:rsidRPr="009115C0">
              <w:rPr>
                <w:rFonts w:eastAsia="Calibri" w:cs="Arial"/>
                <w:i/>
                <w:color w:val="000000"/>
                <w:lang w:val="en-GB"/>
              </w:rPr>
              <w:t>Lilium</w:t>
            </w:r>
            <w:proofErr w:type="spellEnd"/>
            <w:r w:rsidRPr="009115C0">
              <w:rPr>
                <w:rFonts w:eastAsia="Calibri" w:cs="Arial"/>
                <w:i/>
                <w:color w:val="000000"/>
                <w:lang w:val="en-GB"/>
              </w:rPr>
              <w:t xml:space="preserve"> </w:t>
            </w:r>
            <w:r w:rsidRPr="009115C0">
              <w:rPr>
                <w:rFonts w:eastAsia="Calibri" w:cs="Arial"/>
                <w:color w:val="000000"/>
                <w:lang w:val="en-GB"/>
              </w:rPr>
              <w:t>L.</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lang w:val="fr-FR"/>
              </w:rPr>
            </w:pPr>
            <w:r w:rsidRPr="009115C0">
              <w:rPr>
                <w:rFonts w:eastAsia="Calibri" w:cs="Arial"/>
                <w:lang w:val="fr-FR"/>
              </w:rPr>
              <w:t>58</w:t>
            </w:r>
          </w:p>
        </w:tc>
        <w:tc>
          <w:tcPr>
            <w:tcW w:w="708"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lang w:val="fr-FR"/>
              </w:rPr>
            </w:pPr>
            <w:r w:rsidRPr="009115C0">
              <w:rPr>
                <w:rFonts w:eastAsia="Calibri" w:cs="Arial"/>
                <w:lang w:val="fr-FR"/>
              </w:rPr>
              <w:t>50</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lang w:val="fr-FR"/>
              </w:rPr>
            </w:pPr>
            <w:r w:rsidRPr="009115C0">
              <w:rPr>
                <w:rFonts w:eastAsia="Calibri" w:cs="Arial"/>
                <w:lang w:val="fr-FR"/>
              </w:rPr>
              <w:t>36</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lang w:val="fr-FR"/>
              </w:rPr>
            </w:pPr>
            <w:r w:rsidRPr="009115C0">
              <w:rPr>
                <w:rFonts w:eastAsia="Calibri" w:cs="Arial"/>
                <w:lang w:val="fr-FR"/>
              </w:rPr>
              <w:t>35</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lang w:val="fr-FR"/>
              </w:rPr>
            </w:pPr>
            <w:r w:rsidRPr="009115C0">
              <w:rPr>
                <w:rFonts w:eastAsia="Calibri" w:cs="Arial"/>
                <w:lang w:val="fr-FR"/>
              </w:rPr>
              <w:t>21</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362626" w:rsidRPr="009115C0" w:rsidRDefault="00362626" w:rsidP="00362626">
            <w:pPr>
              <w:jc w:val="center"/>
              <w:rPr>
                <w:rFonts w:eastAsia="Calibri" w:cs="Arial"/>
                <w:lang w:val="fr-FR"/>
              </w:rPr>
            </w:pPr>
            <w:r w:rsidRPr="009115C0">
              <w:rPr>
                <w:rFonts w:eastAsia="Calibri" w:cs="Arial"/>
                <w:lang w:val="fr-FR"/>
              </w:rPr>
              <w:t>1321</w:t>
            </w:r>
          </w:p>
        </w:tc>
      </w:tr>
      <w:tr w:rsidR="001061E9" w:rsidRPr="009115C0" w:rsidTr="001061E9">
        <w:trPr>
          <w:trHeight w:val="284"/>
        </w:trPr>
        <w:tc>
          <w:tcPr>
            <w:tcW w:w="4193" w:type="dxa"/>
            <w:shd w:val="clear" w:color="auto" w:fill="auto"/>
            <w:vAlign w:val="center"/>
            <w:hideMark/>
          </w:tcPr>
          <w:p w:rsidR="00362626" w:rsidRPr="009115C0" w:rsidRDefault="00362626" w:rsidP="00362626">
            <w:pPr>
              <w:rPr>
                <w:rFonts w:eastAsia="Calibri" w:cs="Arial"/>
                <w:color w:val="000000"/>
                <w:lang w:val="en-GB" w:eastAsia="fr-FR"/>
              </w:rPr>
            </w:pPr>
            <w:proofErr w:type="spellStart"/>
            <w:r w:rsidRPr="009115C0">
              <w:rPr>
                <w:rFonts w:eastAsia="Calibri" w:cs="Arial"/>
                <w:i/>
                <w:color w:val="000000"/>
                <w:lang w:val="en-GB"/>
              </w:rPr>
              <w:t>Phalaenopsis</w:t>
            </w:r>
            <w:proofErr w:type="spellEnd"/>
            <w:r w:rsidRPr="009115C0">
              <w:rPr>
                <w:rFonts w:eastAsia="Calibri" w:cs="Arial"/>
                <w:i/>
                <w:color w:val="000000"/>
                <w:lang w:val="en-GB"/>
              </w:rPr>
              <w:t xml:space="preserve"> Blume and x </w:t>
            </w:r>
            <w:proofErr w:type="spellStart"/>
            <w:r w:rsidRPr="009115C0">
              <w:rPr>
                <w:rFonts w:eastAsia="Calibri" w:cs="Arial"/>
                <w:i/>
                <w:color w:val="000000"/>
                <w:lang w:val="en-GB"/>
              </w:rPr>
              <w:t>Doritaenopsis</w:t>
            </w:r>
            <w:proofErr w:type="spellEnd"/>
            <w:r w:rsidRPr="009115C0">
              <w:rPr>
                <w:rFonts w:eastAsia="Calibri" w:cs="Arial"/>
                <w:i/>
                <w:color w:val="000000"/>
                <w:lang w:val="en-GB"/>
              </w:rPr>
              <w:t xml:space="preserve"> hort.</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41</w:t>
            </w:r>
          </w:p>
        </w:tc>
        <w:tc>
          <w:tcPr>
            <w:tcW w:w="708" w:type="dxa"/>
          </w:tcPr>
          <w:p w:rsidR="00362626" w:rsidRPr="009115C0" w:rsidRDefault="00362626" w:rsidP="00362626">
            <w:pPr>
              <w:jc w:val="center"/>
              <w:rPr>
                <w:rFonts w:eastAsia="Calibri" w:cs="Arial"/>
                <w:lang w:val="fr-FR"/>
              </w:rPr>
            </w:pPr>
            <w:r w:rsidRPr="009115C0">
              <w:rPr>
                <w:rFonts w:eastAsia="Calibri" w:cs="Arial"/>
                <w:lang w:val="fr-FR"/>
              </w:rPr>
              <w:t>48</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134</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112</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151</w:t>
            </w:r>
          </w:p>
        </w:tc>
        <w:tc>
          <w:tcPr>
            <w:tcW w:w="1842" w:type="dxa"/>
            <w:shd w:val="clear" w:color="auto" w:fill="auto"/>
            <w:noWrap/>
          </w:tcPr>
          <w:p w:rsidR="00362626" w:rsidRPr="009115C0" w:rsidRDefault="00362626" w:rsidP="00362626">
            <w:pPr>
              <w:jc w:val="center"/>
              <w:rPr>
                <w:rFonts w:eastAsia="Calibri" w:cs="Arial"/>
                <w:lang w:val="fr-FR"/>
              </w:rPr>
            </w:pPr>
            <w:r w:rsidRPr="009115C0">
              <w:rPr>
                <w:rFonts w:eastAsia="Calibri" w:cs="Arial"/>
                <w:lang w:val="fr-FR"/>
              </w:rPr>
              <w:t>1243</w:t>
            </w:r>
          </w:p>
        </w:tc>
      </w:tr>
      <w:tr w:rsidR="001061E9" w:rsidRPr="009115C0" w:rsidTr="001061E9">
        <w:trPr>
          <w:trHeight w:val="284"/>
        </w:trPr>
        <w:tc>
          <w:tcPr>
            <w:tcW w:w="4193" w:type="dxa"/>
            <w:shd w:val="clear" w:color="auto" w:fill="auto"/>
            <w:vAlign w:val="center"/>
            <w:hideMark/>
          </w:tcPr>
          <w:p w:rsidR="00362626" w:rsidRPr="009115C0" w:rsidRDefault="00362626" w:rsidP="00362626">
            <w:pPr>
              <w:rPr>
                <w:rFonts w:eastAsia="Calibri" w:cs="Arial"/>
                <w:color w:val="000000"/>
                <w:lang w:val="en-GB" w:eastAsia="fr-FR"/>
              </w:rPr>
            </w:pPr>
            <w:r w:rsidRPr="009115C0">
              <w:rPr>
                <w:rFonts w:eastAsia="Calibri" w:cs="Arial"/>
                <w:i/>
                <w:color w:val="000000"/>
                <w:lang w:val="en-GB"/>
              </w:rPr>
              <w:t>Gerbera</w:t>
            </w:r>
            <w:r w:rsidRPr="009115C0">
              <w:rPr>
                <w:rFonts w:eastAsia="Calibri" w:cs="Arial"/>
                <w:color w:val="000000"/>
                <w:lang w:val="en-GB"/>
              </w:rPr>
              <w:t xml:space="preserve"> L.</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39</w:t>
            </w:r>
          </w:p>
        </w:tc>
        <w:tc>
          <w:tcPr>
            <w:tcW w:w="708" w:type="dxa"/>
          </w:tcPr>
          <w:p w:rsidR="00362626" w:rsidRPr="009115C0" w:rsidRDefault="00362626" w:rsidP="00362626">
            <w:pPr>
              <w:jc w:val="center"/>
              <w:rPr>
                <w:rFonts w:eastAsia="Calibri" w:cs="Arial"/>
                <w:lang w:val="fr-FR"/>
              </w:rPr>
            </w:pPr>
            <w:r w:rsidRPr="009115C0">
              <w:rPr>
                <w:rFonts w:eastAsia="Calibri" w:cs="Arial"/>
                <w:lang w:val="fr-FR"/>
              </w:rPr>
              <w:t>30</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30</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54</w:t>
            </w:r>
          </w:p>
        </w:tc>
        <w:tc>
          <w:tcPr>
            <w:tcW w:w="709" w:type="dxa"/>
          </w:tcPr>
          <w:p w:rsidR="00362626" w:rsidRPr="009115C0" w:rsidRDefault="00362626" w:rsidP="00362626">
            <w:pPr>
              <w:jc w:val="center"/>
              <w:rPr>
                <w:rFonts w:eastAsia="Calibri" w:cs="Arial"/>
                <w:lang w:val="fr-FR"/>
              </w:rPr>
            </w:pPr>
            <w:r w:rsidRPr="009115C0">
              <w:rPr>
                <w:rFonts w:eastAsia="Calibri" w:cs="Arial"/>
                <w:lang w:val="fr-FR"/>
              </w:rPr>
              <w:t>44</w:t>
            </w:r>
          </w:p>
        </w:tc>
        <w:tc>
          <w:tcPr>
            <w:tcW w:w="1842" w:type="dxa"/>
            <w:shd w:val="clear" w:color="auto" w:fill="auto"/>
            <w:noWrap/>
          </w:tcPr>
          <w:p w:rsidR="00362626" w:rsidRPr="009115C0" w:rsidRDefault="00362626" w:rsidP="00362626">
            <w:pPr>
              <w:jc w:val="center"/>
              <w:rPr>
                <w:rFonts w:eastAsia="Calibri" w:cs="Arial"/>
                <w:lang w:val="fr-FR"/>
              </w:rPr>
            </w:pPr>
            <w:r w:rsidRPr="009115C0">
              <w:rPr>
                <w:rFonts w:eastAsia="Calibri" w:cs="Arial"/>
                <w:lang w:val="fr-FR"/>
              </w:rPr>
              <w:t>1194</w:t>
            </w:r>
          </w:p>
        </w:tc>
      </w:tr>
      <w:tr w:rsidR="001061E9" w:rsidRPr="009115C0" w:rsidTr="001061E9">
        <w:trPr>
          <w:trHeight w:val="284"/>
        </w:trPr>
        <w:tc>
          <w:tcPr>
            <w:tcW w:w="4193" w:type="dxa"/>
            <w:shd w:val="clear" w:color="auto" w:fill="auto"/>
            <w:vAlign w:val="center"/>
            <w:hideMark/>
          </w:tcPr>
          <w:p w:rsidR="00362626" w:rsidRPr="009115C0" w:rsidRDefault="00362626" w:rsidP="00362626">
            <w:pPr>
              <w:rPr>
                <w:rFonts w:eastAsia="Calibri" w:cs="Arial"/>
                <w:color w:val="000000"/>
                <w:lang w:val="en-GB" w:eastAsia="fr-FR"/>
              </w:rPr>
            </w:pPr>
            <w:r w:rsidRPr="009115C0">
              <w:rPr>
                <w:rFonts w:eastAsia="Calibri" w:cs="Arial"/>
                <w:i/>
                <w:color w:val="000000"/>
                <w:lang w:val="en-GB"/>
              </w:rPr>
              <w:t xml:space="preserve">Dianthus </w:t>
            </w:r>
            <w:r w:rsidRPr="009115C0">
              <w:rPr>
                <w:rFonts w:eastAsia="Calibri" w:cs="Arial"/>
                <w:color w:val="000000"/>
                <w:lang w:val="en-GB"/>
              </w:rPr>
              <w:t xml:space="preserve">L. </w:t>
            </w:r>
          </w:p>
        </w:tc>
        <w:tc>
          <w:tcPr>
            <w:tcW w:w="709" w:type="dxa"/>
          </w:tcPr>
          <w:p w:rsidR="00362626" w:rsidRPr="009115C0" w:rsidRDefault="00362626" w:rsidP="00362626">
            <w:pPr>
              <w:jc w:val="center"/>
              <w:rPr>
                <w:rFonts w:eastAsia="Calibri" w:cs="Arial"/>
              </w:rPr>
            </w:pPr>
            <w:r w:rsidRPr="009115C0">
              <w:rPr>
                <w:rFonts w:eastAsia="Calibri" w:cs="Arial"/>
              </w:rPr>
              <w:t>26</w:t>
            </w:r>
          </w:p>
        </w:tc>
        <w:tc>
          <w:tcPr>
            <w:tcW w:w="708" w:type="dxa"/>
          </w:tcPr>
          <w:p w:rsidR="00362626" w:rsidRPr="009115C0" w:rsidRDefault="00362626" w:rsidP="00362626">
            <w:pPr>
              <w:jc w:val="center"/>
              <w:rPr>
                <w:rFonts w:eastAsia="Calibri" w:cs="Arial"/>
              </w:rPr>
            </w:pPr>
            <w:r w:rsidRPr="009115C0">
              <w:rPr>
                <w:rFonts w:eastAsia="Calibri" w:cs="Arial"/>
              </w:rPr>
              <w:t>35</w:t>
            </w:r>
          </w:p>
        </w:tc>
        <w:tc>
          <w:tcPr>
            <w:tcW w:w="709" w:type="dxa"/>
          </w:tcPr>
          <w:p w:rsidR="00362626" w:rsidRPr="009115C0" w:rsidRDefault="00362626" w:rsidP="00362626">
            <w:pPr>
              <w:jc w:val="center"/>
              <w:rPr>
                <w:rFonts w:eastAsia="Calibri" w:cs="Arial"/>
              </w:rPr>
            </w:pPr>
            <w:r w:rsidRPr="009115C0">
              <w:rPr>
                <w:rFonts w:eastAsia="Calibri" w:cs="Arial"/>
              </w:rPr>
              <w:t>60</w:t>
            </w:r>
          </w:p>
        </w:tc>
        <w:tc>
          <w:tcPr>
            <w:tcW w:w="709" w:type="dxa"/>
          </w:tcPr>
          <w:p w:rsidR="00362626" w:rsidRPr="009115C0" w:rsidRDefault="00362626" w:rsidP="00362626">
            <w:pPr>
              <w:jc w:val="center"/>
              <w:rPr>
                <w:rFonts w:eastAsia="Calibri" w:cs="Arial"/>
              </w:rPr>
            </w:pPr>
            <w:r w:rsidRPr="009115C0">
              <w:rPr>
                <w:rFonts w:eastAsia="Calibri" w:cs="Arial"/>
              </w:rPr>
              <w:t>35</w:t>
            </w:r>
          </w:p>
        </w:tc>
        <w:tc>
          <w:tcPr>
            <w:tcW w:w="709" w:type="dxa"/>
          </w:tcPr>
          <w:p w:rsidR="00362626" w:rsidRPr="009115C0" w:rsidRDefault="00362626" w:rsidP="00362626">
            <w:pPr>
              <w:jc w:val="center"/>
              <w:rPr>
                <w:rFonts w:eastAsia="Calibri" w:cs="Arial"/>
              </w:rPr>
            </w:pPr>
            <w:r w:rsidRPr="009115C0">
              <w:rPr>
                <w:rFonts w:eastAsia="Calibri" w:cs="Arial"/>
              </w:rPr>
              <w:t>40</w:t>
            </w:r>
          </w:p>
        </w:tc>
        <w:tc>
          <w:tcPr>
            <w:tcW w:w="1842" w:type="dxa"/>
            <w:shd w:val="clear" w:color="auto" w:fill="auto"/>
            <w:noWrap/>
          </w:tcPr>
          <w:p w:rsidR="00362626" w:rsidRPr="009115C0" w:rsidRDefault="00362626" w:rsidP="00362626">
            <w:pPr>
              <w:jc w:val="center"/>
              <w:rPr>
                <w:rFonts w:eastAsia="Calibri" w:cs="Arial"/>
              </w:rPr>
            </w:pPr>
            <w:r w:rsidRPr="009115C0">
              <w:rPr>
                <w:rFonts w:eastAsia="Calibri" w:cs="Arial"/>
              </w:rPr>
              <w:t>1055</w:t>
            </w:r>
          </w:p>
        </w:tc>
      </w:tr>
      <w:tr w:rsidR="001061E9" w:rsidRPr="009115C0" w:rsidTr="001061E9">
        <w:trPr>
          <w:trHeight w:val="284"/>
        </w:trPr>
        <w:tc>
          <w:tcPr>
            <w:tcW w:w="4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626" w:rsidRPr="009115C0" w:rsidRDefault="00362626" w:rsidP="00362626">
            <w:pPr>
              <w:rPr>
                <w:rFonts w:eastAsia="Calibri" w:cs="Arial"/>
                <w:color w:val="000000"/>
                <w:lang w:val="en-GB"/>
              </w:rPr>
            </w:pPr>
            <w:r w:rsidRPr="009115C0">
              <w:rPr>
                <w:rFonts w:eastAsia="Calibri" w:cs="Arial"/>
                <w:i/>
                <w:color w:val="000000"/>
                <w:lang w:val="en-GB"/>
              </w:rPr>
              <w:t xml:space="preserve">Impatiens </w:t>
            </w:r>
            <w:r w:rsidRPr="009115C0">
              <w:rPr>
                <w:rFonts w:eastAsia="Calibri" w:cs="Arial"/>
                <w:color w:val="000000"/>
                <w:lang w:val="en-GB"/>
              </w:rPr>
              <w:t xml:space="preserve">L. </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rPr>
            </w:pPr>
            <w:r w:rsidRPr="009115C0">
              <w:rPr>
                <w:rFonts w:eastAsia="Calibri" w:cs="Arial"/>
              </w:rPr>
              <w:t>19</w:t>
            </w:r>
          </w:p>
        </w:tc>
        <w:tc>
          <w:tcPr>
            <w:tcW w:w="708"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rPr>
            </w:pPr>
            <w:r w:rsidRPr="009115C0">
              <w:rPr>
                <w:rFonts w:eastAsia="Calibri" w:cs="Arial"/>
              </w:rPr>
              <w:t>10</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rPr>
            </w:pPr>
            <w:r w:rsidRPr="009115C0">
              <w:rPr>
                <w:rFonts w:eastAsia="Calibri" w:cs="Arial"/>
              </w:rPr>
              <w:t>12</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rPr>
            </w:pPr>
            <w:r w:rsidRPr="009115C0">
              <w:rPr>
                <w:rFonts w:eastAsia="Calibri" w:cs="Arial"/>
              </w:rPr>
              <w:t>12</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rPr>
            </w:pPr>
            <w:r w:rsidRPr="009115C0">
              <w:rPr>
                <w:rFonts w:eastAsia="Calibri" w:cs="Arial"/>
              </w:rPr>
              <w:t>16</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362626" w:rsidRPr="009115C0" w:rsidRDefault="00362626" w:rsidP="00362626">
            <w:pPr>
              <w:jc w:val="center"/>
              <w:rPr>
                <w:rFonts w:eastAsia="Calibri" w:cs="Arial"/>
              </w:rPr>
            </w:pPr>
            <w:r w:rsidRPr="009115C0">
              <w:rPr>
                <w:rFonts w:eastAsia="Calibri" w:cs="Arial"/>
              </w:rPr>
              <w:t>994</w:t>
            </w:r>
          </w:p>
        </w:tc>
      </w:tr>
      <w:tr w:rsidR="001061E9" w:rsidRPr="009115C0" w:rsidTr="001061E9">
        <w:trPr>
          <w:trHeight w:val="284"/>
        </w:trPr>
        <w:tc>
          <w:tcPr>
            <w:tcW w:w="4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626" w:rsidRPr="009115C0" w:rsidRDefault="00362626" w:rsidP="00362626">
            <w:pPr>
              <w:rPr>
                <w:rFonts w:eastAsia="Calibri" w:cs="Arial"/>
                <w:i/>
                <w:color w:val="000000"/>
                <w:lang w:val="en-GB"/>
              </w:rPr>
            </w:pPr>
            <w:proofErr w:type="spellStart"/>
            <w:r w:rsidRPr="009115C0">
              <w:rPr>
                <w:rFonts w:eastAsia="Calibri" w:cs="Arial"/>
                <w:i/>
                <w:color w:val="000000"/>
                <w:lang w:val="en-GB"/>
              </w:rPr>
              <w:t>Anthurium</w:t>
            </w:r>
            <w:proofErr w:type="spellEnd"/>
            <w:r w:rsidRPr="009115C0">
              <w:rPr>
                <w:rFonts w:eastAsia="Calibri" w:cs="Arial"/>
                <w:color w:val="000000"/>
                <w:lang w:val="en-GB"/>
              </w:rPr>
              <w:t xml:space="preserve"> Schott</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rPr>
            </w:pPr>
            <w:r w:rsidRPr="009115C0">
              <w:rPr>
                <w:rFonts w:eastAsia="Calibri" w:cs="Arial"/>
              </w:rPr>
              <w:t>34</w:t>
            </w:r>
          </w:p>
        </w:tc>
        <w:tc>
          <w:tcPr>
            <w:tcW w:w="708"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rPr>
            </w:pPr>
            <w:r w:rsidRPr="009115C0">
              <w:rPr>
                <w:rFonts w:eastAsia="Calibri" w:cs="Arial"/>
              </w:rPr>
              <w:t>30</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rPr>
            </w:pPr>
            <w:r w:rsidRPr="009115C0">
              <w:rPr>
                <w:rFonts w:eastAsia="Calibri" w:cs="Arial"/>
              </w:rPr>
              <w:t>25</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rPr>
            </w:pPr>
            <w:r w:rsidRPr="009115C0">
              <w:rPr>
                <w:rFonts w:eastAsia="Calibri" w:cs="Arial"/>
              </w:rPr>
              <w:t>15</w:t>
            </w:r>
          </w:p>
        </w:tc>
        <w:tc>
          <w:tcPr>
            <w:tcW w:w="709" w:type="dxa"/>
            <w:tcBorders>
              <w:top w:val="single" w:sz="4" w:space="0" w:color="auto"/>
              <w:left w:val="single" w:sz="4" w:space="0" w:color="auto"/>
              <w:bottom w:val="single" w:sz="4" w:space="0" w:color="auto"/>
              <w:right w:val="single" w:sz="4" w:space="0" w:color="auto"/>
            </w:tcBorders>
          </w:tcPr>
          <w:p w:rsidR="00362626" w:rsidRPr="009115C0" w:rsidRDefault="00362626" w:rsidP="00362626">
            <w:pPr>
              <w:jc w:val="center"/>
              <w:rPr>
                <w:rFonts w:eastAsia="Calibri" w:cs="Arial"/>
              </w:rPr>
            </w:pPr>
            <w:r w:rsidRPr="009115C0">
              <w:rPr>
                <w:rFonts w:eastAsia="Calibri" w:cs="Arial"/>
              </w:rPr>
              <w:t>30</w:t>
            </w: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362626" w:rsidRPr="009115C0" w:rsidRDefault="00362626" w:rsidP="00362626">
            <w:pPr>
              <w:jc w:val="center"/>
              <w:rPr>
                <w:rFonts w:eastAsia="Calibri" w:cs="Arial"/>
              </w:rPr>
            </w:pPr>
            <w:r w:rsidRPr="009115C0">
              <w:rPr>
                <w:rFonts w:eastAsia="Calibri" w:cs="Arial"/>
              </w:rPr>
              <w:t>839</w:t>
            </w:r>
          </w:p>
        </w:tc>
      </w:tr>
      <w:tr w:rsidR="001061E9" w:rsidRPr="009115C0" w:rsidTr="001061E9">
        <w:trPr>
          <w:trHeight w:hRule="exact" w:val="507"/>
        </w:trPr>
        <w:tc>
          <w:tcPr>
            <w:tcW w:w="4193" w:type="dxa"/>
            <w:shd w:val="clear" w:color="auto" w:fill="auto"/>
            <w:hideMark/>
          </w:tcPr>
          <w:p w:rsidR="00362626" w:rsidRPr="009115C0" w:rsidRDefault="00362626" w:rsidP="00362626">
            <w:pPr>
              <w:spacing w:before="120"/>
              <w:rPr>
                <w:rFonts w:eastAsia="Calibri" w:cs="Arial"/>
                <w:color w:val="000000"/>
                <w:lang w:val="en-GB" w:eastAsia="fr-FR"/>
              </w:rPr>
            </w:pPr>
            <w:r w:rsidRPr="009115C0">
              <w:rPr>
                <w:rFonts w:eastAsia="Calibri" w:cs="Arial"/>
                <w:color w:val="000000"/>
                <w:lang w:val="en-GB" w:eastAsia="fr-FR"/>
              </w:rPr>
              <w:t>Total</w:t>
            </w:r>
          </w:p>
        </w:tc>
        <w:tc>
          <w:tcPr>
            <w:tcW w:w="709" w:type="dxa"/>
          </w:tcPr>
          <w:p w:rsidR="00362626" w:rsidRPr="009115C0" w:rsidRDefault="00362626" w:rsidP="00362626">
            <w:pPr>
              <w:spacing w:before="120"/>
              <w:jc w:val="center"/>
              <w:rPr>
                <w:rFonts w:eastAsia="Calibri" w:cs="Arial"/>
              </w:rPr>
            </w:pPr>
            <w:r w:rsidRPr="009115C0">
              <w:rPr>
                <w:rFonts w:eastAsia="Calibri" w:cs="Arial"/>
              </w:rPr>
              <w:t>609</w:t>
            </w:r>
          </w:p>
        </w:tc>
        <w:tc>
          <w:tcPr>
            <w:tcW w:w="708" w:type="dxa"/>
          </w:tcPr>
          <w:p w:rsidR="00362626" w:rsidRPr="009115C0" w:rsidRDefault="00362626" w:rsidP="00362626">
            <w:pPr>
              <w:spacing w:before="120"/>
              <w:jc w:val="center"/>
              <w:rPr>
                <w:rFonts w:eastAsia="Calibri" w:cs="Arial"/>
              </w:rPr>
            </w:pPr>
            <w:r w:rsidRPr="009115C0">
              <w:rPr>
                <w:rFonts w:eastAsia="Calibri" w:cs="Arial"/>
              </w:rPr>
              <w:t>598</w:t>
            </w:r>
          </w:p>
        </w:tc>
        <w:tc>
          <w:tcPr>
            <w:tcW w:w="709" w:type="dxa"/>
          </w:tcPr>
          <w:p w:rsidR="00362626" w:rsidRPr="009115C0" w:rsidRDefault="00362626" w:rsidP="00362626">
            <w:pPr>
              <w:spacing w:before="120"/>
              <w:jc w:val="center"/>
              <w:rPr>
                <w:rFonts w:eastAsia="Calibri" w:cs="Arial"/>
                <w:lang w:val="fr-FR"/>
              </w:rPr>
            </w:pPr>
            <w:r w:rsidRPr="009115C0">
              <w:rPr>
                <w:rFonts w:eastAsia="Calibri" w:cs="Arial"/>
                <w:lang w:val="fr-FR"/>
              </w:rPr>
              <w:t>751</w:t>
            </w:r>
          </w:p>
        </w:tc>
        <w:tc>
          <w:tcPr>
            <w:tcW w:w="709" w:type="dxa"/>
          </w:tcPr>
          <w:p w:rsidR="00362626" w:rsidRPr="009115C0" w:rsidRDefault="00362626" w:rsidP="00362626">
            <w:pPr>
              <w:spacing w:before="120"/>
              <w:jc w:val="center"/>
              <w:rPr>
                <w:rFonts w:eastAsia="Calibri" w:cs="Arial"/>
                <w:lang w:val="fr-FR"/>
              </w:rPr>
            </w:pPr>
            <w:r w:rsidRPr="009115C0">
              <w:rPr>
                <w:rFonts w:eastAsia="Calibri" w:cs="Arial"/>
                <w:lang w:val="fr-FR"/>
              </w:rPr>
              <w:t>776</w:t>
            </w:r>
          </w:p>
        </w:tc>
        <w:tc>
          <w:tcPr>
            <w:tcW w:w="709" w:type="dxa"/>
          </w:tcPr>
          <w:p w:rsidR="00362626" w:rsidRPr="009115C0" w:rsidRDefault="00362626" w:rsidP="00362626">
            <w:pPr>
              <w:spacing w:before="120"/>
              <w:jc w:val="center"/>
              <w:rPr>
                <w:rFonts w:eastAsia="Calibri" w:cs="Arial"/>
                <w:lang w:val="fr-FR"/>
              </w:rPr>
            </w:pPr>
            <w:r w:rsidRPr="009115C0">
              <w:rPr>
                <w:rFonts w:eastAsia="Calibri" w:cs="Arial"/>
                <w:lang w:val="fr-FR"/>
              </w:rPr>
              <w:t>704</w:t>
            </w:r>
          </w:p>
        </w:tc>
        <w:tc>
          <w:tcPr>
            <w:tcW w:w="1842" w:type="dxa"/>
            <w:shd w:val="clear" w:color="auto" w:fill="auto"/>
            <w:noWrap/>
            <w:hideMark/>
          </w:tcPr>
          <w:p w:rsidR="00362626" w:rsidRPr="009115C0" w:rsidRDefault="00362626" w:rsidP="00362626">
            <w:pPr>
              <w:spacing w:before="120"/>
              <w:jc w:val="center"/>
              <w:rPr>
                <w:rFonts w:eastAsia="Calibri" w:cs="Arial"/>
                <w:lang w:val="fr-FR"/>
              </w:rPr>
            </w:pPr>
          </w:p>
        </w:tc>
      </w:tr>
    </w:tbl>
    <w:p w:rsidR="00362626" w:rsidRPr="00362626" w:rsidRDefault="00362626" w:rsidP="001061E9">
      <w:pPr>
        <w:rPr>
          <w:rFonts w:eastAsia="Cambria"/>
          <w:lang w:val="en-GB"/>
        </w:rPr>
      </w:pPr>
    </w:p>
    <w:p w:rsidR="00362626" w:rsidRDefault="00362626" w:rsidP="001061E9">
      <w:pPr>
        <w:rPr>
          <w:rFonts w:eastAsia="Cambria"/>
        </w:rPr>
      </w:pPr>
      <w:r w:rsidRPr="00362626">
        <w:rPr>
          <w:rFonts w:eastAsia="Cambria"/>
        </w:rPr>
        <w:t xml:space="preserve">In the ornamental sector, rights were granted based </w:t>
      </w:r>
      <w:proofErr w:type="gramStart"/>
      <w:r w:rsidRPr="00362626">
        <w:rPr>
          <w:rFonts w:eastAsia="Cambria"/>
        </w:rPr>
        <w:t>upon a technical examinations</w:t>
      </w:r>
      <w:proofErr w:type="gramEnd"/>
      <w:r w:rsidRPr="00362626">
        <w:rPr>
          <w:rFonts w:eastAsia="Cambria"/>
        </w:rPr>
        <w:t xml:space="preserve"> are in some 95% of all application; in some 5% of the cases reports were taken over from other authorities. </w:t>
      </w:r>
    </w:p>
    <w:p w:rsidR="001061E9" w:rsidRPr="00362626" w:rsidRDefault="001061E9" w:rsidP="001061E9">
      <w:pPr>
        <w:rPr>
          <w:rFonts w:eastAsia="Cambria"/>
        </w:rPr>
      </w:pPr>
    </w:p>
    <w:p w:rsidR="00362626" w:rsidRPr="00362626" w:rsidRDefault="00362626" w:rsidP="001061E9">
      <w:pPr>
        <w:rPr>
          <w:rFonts w:eastAsia="Cambria"/>
        </w:rPr>
      </w:pPr>
      <w:r w:rsidRPr="00362626">
        <w:rPr>
          <w:rFonts w:eastAsia="Cambria"/>
        </w:rPr>
        <w:t xml:space="preserve">In 2019, the CPVO received applications for 85 species for which no European Examination office </w:t>
      </w:r>
      <w:proofErr w:type="gramStart"/>
      <w:r w:rsidRPr="00362626">
        <w:rPr>
          <w:rFonts w:eastAsia="Cambria"/>
        </w:rPr>
        <w:t>was entrusted</w:t>
      </w:r>
      <w:proofErr w:type="gramEnd"/>
      <w:r w:rsidRPr="00362626">
        <w:rPr>
          <w:rFonts w:eastAsia="Cambria"/>
        </w:rPr>
        <w:t xml:space="preserve"> so far. After two calls for tenders, testing facilities </w:t>
      </w:r>
      <w:proofErr w:type="gramStart"/>
      <w:r w:rsidRPr="00362626">
        <w:rPr>
          <w:rFonts w:eastAsia="Cambria"/>
        </w:rPr>
        <w:t>have been found</w:t>
      </w:r>
      <w:proofErr w:type="gramEnd"/>
      <w:r w:rsidRPr="00362626">
        <w:rPr>
          <w:rFonts w:eastAsia="Cambria"/>
        </w:rPr>
        <w:t xml:space="preserve"> for 63 species. Since 1995, the CPVO has received applications from 2226 different botanical taxon.</w:t>
      </w:r>
    </w:p>
    <w:p w:rsidR="00362626" w:rsidRDefault="00362626" w:rsidP="001061E9">
      <w:pPr>
        <w:rPr>
          <w:rFonts w:eastAsia="Cambria"/>
        </w:rPr>
      </w:pPr>
    </w:p>
    <w:p w:rsidR="001061E9" w:rsidRPr="00362626" w:rsidRDefault="001061E9" w:rsidP="001061E9">
      <w:pPr>
        <w:rPr>
          <w:rFonts w:eastAsia="Cambria"/>
        </w:rPr>
      </w:pPr>
    </w:p>
    <w:p w:rsidR="00362626" w:rsidRDefault="00362626" w:rsidP="001061E9">
      <w:pPr>
        <w:rPr>
          <w:rFonts w:eastAsia="Cambria"/>
        </w:rPr>
      </w:pPr>
      <w:r w:rsidRPr="00362626">
        <w:rPr>
          <w:rFonts w:eastAsia="Cambria"/>
        </w:rPr>
        <w:t>The ornamental expert meeting</w:t>
      </w:r>
    </w:p>
    <w:p w:rsidR="001061E9" w:rsidRPr="00362626" w:rsidRDefault="001061E9" w:rsidP="001061E9">
      <w:pPr>
        <w:rPr>
          <w:rFonts w:eastAsia="Cambria"/>
        </w:rPr>
      </w:pPr>
    </w:p>
    <w:p w:rsidR="00362626" w:rsidRDefault="00362626" w:rsidP="001061E9">
      <w:pPr>
        <w:rPr>
          <w:rFonts w:eastAsia="Cambria"/>
        </w:rPr>
      </w:pPr>
      <w:r w:rsidRPr="00362626">
        <w:rPr>
          <w:rFonts w:eastAsia="Cambria"/>
        </w:rPr>
        <w:t xml:space="preserve">The CPVO held its annual meeting with </w:t>
      </w:r>
      <w:r w:rsidR="00842F6D">
        <w:rPr>
          <w:rFonts w:eastAsia="Cambria"/>
        </w:rPr>
        <w:t>European Union (</w:t>
      </w:r>
      <w:r w:rsidRPr="00362626">
        <w:rPr>
          <w:rFonts w:eastAsia="Cambria"/>
        </w:rPr>
        <w:t>EU</w:t>
      </w:r>
      <w:r w:rsidR="00842F6D">
        <w:rPr>
          <w:rFonts w:eastAsia="Cambria"/>
        </w:rPr>
        <w:t>)</w:t>
      </w:r>
      <w:r w:rsidRPr="00362626">
        <w:rPr>
          <w:rFonts w:eastAsia="Cambria"/>
        </w:rPr>
        <w:t xml:space="preserve"> ornamental experts in Angers in November 2019. </w:t>
      </w:r>
      <w:proofErr w:type="gramStart"/>
      <w:r w:rsidRPr="00362626">
        <w:rPr>
          <w:rFonts w:eastAsia="Cambria"/>
        </w:rPr>
        <w:t>The meeting was attended by experts</w:t>
      </w:r>
      <w:proofErr w:type="gramEnd"/>
      <w:r w:rsidRPr="00362626">
        <w:rPr>
          <w:rFonts w:eastAsia="Cambria"/>
        </w:rPr>
        <w:t xml:space="preserve"> from five examinations offices as well as a representative of CIOPORA. </w:t>
      </w:r>
    </w:p>
    <w:p w:rsidR="001061E9" w:rsidRPr="00362626" w:rsidRDefault="001061E9" w:rsidP="001061E9">
      <w:pPr>
        <w:rPr>
          <w:rFonts w:eastAsia="Cambria"/>
        </w:rPr>
      </w:pPr>
    </w:p>
    <w:p w:rsidR="00362626" w:rsidRDefault="00362626" w:rsidP="001061E9">
      <w:pPr>
        <w:rPr>
          <w:rFonts w:eastAsia="Cambria"/>
          <w:lang w:val="en-GB"/>
        </w:rPr>
      </w:pPr>
      <w:proofErr w:type="gramStart"/>
      <w:r w:rsidRPr="00362626">
        <w:rPr>
          <w:rFonts w:eastAsia="Cambria"/>
          <w:lang w:val="en-GB"/>
        </w:rPr>
        <w:t>The aim of the meeting was to prepare the implementation of UPOV Test Guidelines as stated above (for which some unknown example varieties were exchanged by varieties available in the European Union), to inform examiners of the developments in the work of the CPVO and to discuss items linked to the technical examinations (such as obtaining reference varieties for DUS testing and the revision of the Technical Verification procedure,</w:t>
      </w:r>
      <w:r w:rsidRPr="00362626">
        <w:rPr>
          <w:rFonts w:eastAsia="Cambria"/>
        </w:rPr>
        <w:t xml:space="preserve"> </w:t>
      </w:r>
      <w:r w:rsidRPr="00362626">
        <w:rPr>
          <w:rFonts w:eastAsia="Cambria"/>
          <w:lang w:val="en-GB"/>
        </w:rPr>
        <w:t>the source of reference material, guidance on uniformity threshold for small deviating colour sections, the requirements of a Plant Passport/</w:t>
      </w:r>
      <w:proofErr w:type="spellStart"/>
      <w:r w:rsidRPr="00362626">
        <w:rPr>
          <w:rFonts w:eastAsia="Cambria"/>
          <w:lang w:val="en-GB"/>
        </w:rPr>
        <w:t>Phytosanitary</w:t>
      </w:r>
      <w:proofErr w:type="spellEnd"/>
      <w:r w:rsidRPr="00362626">
        <w:rPr>
          <w:rFonts w:eastAsia="Cambria"/>
          <w:lang w:val="en-GB"/>
        </w:rPr>
        <w:t xml:space="preserve"> Certificate, mentioning the trade name in the application documents or the</w:t>
      </w:r>
      <w:r w:rsidRPr="00362626">
        <w:rPr>
          <w:rFonts w:eastAsia="Cambria"/>
        </w:rPr>
        <w:t xml:space="preserve"> </w:t>
      </w:r>
      <w:r w:rsidRPr="00362626">
        <w:rPr>
          <w:rFonts w:eastAsia="Cambria"/>
          <w:lang w:val="en-GB"/>
        </w:rPr>
        <w:t>notion of the end of a DUS trial).</w:t>
      </w:r>
      <w:proofErr w:type="gramEnd"/>
      <w:r w:rsidRPr="00362626">
        <w:rPr>
          <w:rFonts w:eastAsia="Cambria"/>
          <w:lang w:val="en-GB"/>
        </w:rPr>
        <w:t xml:space="preserve"> Some of the discussions held served as preparation for the annual meeting with all Examination Offices. </w:t>
      </w:r>
    </w:p>
    <w:p w:rsidR="001061E9" w:rsidRDefault="001061E9" w:rsidP="001061E9">
      <w:pPr>
        <w:rPr>
          <w:rFonts w:eastAsia="Cambria"/>
          <w:lang w:val="en-GB"/>
        </w:rPr>
      </w:pPr>
    </w:p>
    <w:p w:rsidR="001061E9" w:rsidRPr="00362626" w:rsidRDefault="001061E9" w:rsidP="001061E9">
      <w:pPr>
        <w:rPr>
          <w:rFonts w:eastAsia="Cambria"/>
          <w:lang w:val="en-GB"/>
        </w:rPr>
      </w:pPr>
    </w:p>
    <w:p w:rsidR="00362626" w:rsidRDefault="00362626" w:rsidP="001061E9">
      <w:pPr>
        <w:rPr>
          <w:rFonts w:eastAsia="Cambria"/>
        </w:rPr>
      </w:pPr>
      <w:r w:rsidRPr="00362626">
        <w:rPr>
          <w:rFonts w:eastAsia="Cambria"/>
        </w:rPr>
        <w:t>R&amp;D projects:</w:t>
      </w:r>
    </w:p>
    <w:p w:rsidR="001061E9" w:rsidRPr="00362626" w:rsidRDefault="001061E9" w:rsidP="001061E9">
      <w:pPr>
        <w:rPr>
          <w:rFonts w:eastAsia="Cambria"/>
        </w:rPr>
      </w:pPr>
    </w:p>
    <w:p w:rsidR="00362626" w:rsidRPr="00842F6D" w:rsidRDefault="00362626" w:rsidP="001061E9">
      <w:pPr>
        <w:rPr>
          <w:rFonts w:eastAsia="Cambria"/>
          <w:lang w:val="en-IE"/>
        </w:rPr>
      </w:pPr>
      <w:r w:rsidRPr="00842F6D">
        <w:rPr>
          <w:rFonts w:eastAsia="Cambria"/>
        </w:rPr>
        <w:t xml:space="preserve">Finalized project - </w:t>
      </w:r>
      <w:r w:rsidRPr="00842F6D">
        <w:rPr>
          <w:rFonts w:eastAsia="Cambria"/>
          <w:lang w:val="en-IE"/>
        </w:rPr>
        <w:t xml:space="preserve">“Practical Case Study on Minimum Distances between Selected </w:t>
      </w:r>
      <w:r w:rsidRPr="00842F6D">
        <w:rPr>
          <w:rFonts w:eastAsia="Cambria"/>
          <w:i/>
          <w:lang w:val="en-IE"/>
        </w:rPr>
        <w:t>Pelargonium</w:t>
      </w:r>
      <w:r w:rsidRPr="00842F6D">
        <w:rPr>
          <w:rFonts w:eastAsia="Cambria"/>
          <w:lang w:val="en-IE"/>
        </w:rPr>
        <w:t xml:space="preserve"> Varieties”</w:t>
      </w:r>
    </w:p>
    <w:p w:rsidR="001061E9" w:rsidRPr="00362626" w:rsidRDefault="001061E9" w:rsidP="001061E9">
      <w:pPr>
        <w:rPr>
          <w:rFonts w:eastAsia="Cambria"/>
        </w:rPr>
      </w:pPr>
    </w:p>
    <w:p w:rsidR="00362626" w:rsidRDefault="00362626" w:rsidP="001061E9">
      <w:pPr>
        <w:rPr>
          <w:rFonts w:eastAsia="Cambria"/>
          <w:lang w:val="en-IE"/>
        </w:rPr>
      </w:pPr>
      <w:r w:rsidRPr="00362626">
        <w:rPr>
          <w:rFonts w:eastAsia="Cambria"/>
          <w:lang w:val="en-IE"/>
        </w:rPr>
        <w:t xml:space="preserve">The project </w:t>
      </w:r>
      <w:proofErr w:type="gramStart"/>
      <w:r w:rsidRPr="00362626">
        <w:rPr>
          <w:rFonts w:eastAsia="Cambria"/>
          <w:lang w:val="en-IE"/>
        </w:rPr>
        <w:t>was initiated and coordinated by CIOPORA and financed by the CPVO</w:t>
      </w:r>
      <w:proofErr w:type="gramEnd"/>
      <w:r w:rsidRPr="00362626">
        <w:rPr>
          <w:rFonts w:eastAsia="Cambria"/>
          <w:lang w:val="en-IE"/>
        </w:rPr>
        <w:t xml:space="preserve">; the </w:t>
      </w:r>
      <w:proofErr w:type="spellStart"/>
      <w:r w:rsidRPr="00362626">
        <w:rPr>
          <w:rFonts w:eastAsia="Cambria"/>
          <w:lang w:val="en-IE"/>
        </w:rPr>
        <w:t>Bundessortenamt</w:t>
      </w:r>
      <w:proofErr w:type="spellEnd"/>
      <w:r w:rsidRPr="00362626">
        <w:rPr>
          <w:rFonts w:eastAsia="Cambria"/>
          <w:lang w:val="en-IE"/>
        </w:rPr>
        <w:t xml:space="preserve"> being the examination office in Germany conducting technical examination of </w:t>
      </w:r>
      <w:r w:rsidRPr="00362626">
        <w:rPr>
          <w:rFonts w:eastAsia="Cambria"/>
          <w:i/>
          <w:lang w:val="en-IE"/>
        </w:rPr>
        <w:t>Pelargonium</w:t>
      </w:r>
      <w:r w:rsidRPr="00362626">
        <w:rPr>
          <w:rFonts w:eastAsia="Cambria"/>
          <w:lang w:val="en-IE"/>
        </w:rPr>
        <w:t xml:space="preserve"> varieties on behalf of the CPVO set up the growing trial. The project </w:t>
      </w:r>
      <w:proofErr w:type="gramStart"/>
      <w:r w:rsidRPr="00362626">
        <w:rPr>
          <w:rFonts w:eastAsia="Cambria"/>
          <w:lang w:val="en-IE"/>
        </w:rPr>
        <w:t>has been designed</w:t>
      </w:r>
      <w:proofErr w:type="gramEnd"/>
      <w:r w:rsidRPr="00362626">
        <w:rPr>
          <w:rFonts w:eastAsia="Cambria"/>
          <w:lang w:val="en-IE"/>
        </w:rPr>
        <w:t xml:space="preserve"> as a practical case study of seven pairs of </w:t>
      </w:r>
      <w:r w:rsidRPr="00362626">
        <w:rPr>
          <w:rFonts w:eastAsia="Cambria"/>
          <w:i/>
          <w:lang w:val="en-IE"/>
        </w:rPr>
        <w:t>Pelargonium</w:t>
      </w:r>
      <w:r w:rsidRPr="00362626">
        <w:rPr>
          <w:rFonts w:eastAsia="Cambria"/>
          <w:lang w:val="en-IE"/>
        </w:rPr>
        <w:t xml:space="preserve"> varieties whether these should be declared clearly distinguishable. </w:t>
      </w:r>
    </w:p>
    <w:p w:rsidR="001061E9" w:rsidRPr="00362626" w:rsidRDefault="001061E9" w:rsidP="001061E9">
      <w:pPr>
        <w:rPr>
          <w:rFonts w:eastAsia="Cambria"/>
          <w:lang w:val="en-IE"/>
        </w:rPr>
      </w:pPr>
    </w:p>
    <w:p w:rsidR="00362626" w:rsidRPr="00362626" w:rsidRDefault="00362626" w:rsidP="001061E9">
      <w:pPr>
        <w:rPr>
          <w:lang w:val="en-GB" w:eastAsia="en-GB" w:bidi="ne-IN"/>
        </w:rPr>
      </w:pPr>
      <w:r w:rsidRPr="00362626">
        <w:rPr>
          <w:lang w:val="en-GB" w:eastAsia="en-GB" w:bidi="ne-IN"/>
        </w:rPr>
        <w:t xml:space="preserve">In an earlier case study, the possible effects of the introduction of minimum distances according to the CIOPORA position on Minimum Distance for </w:t>
      </w:r>
      <w:proofErr w:type="gramStart"/>
      <w:r w:rsidRPr="00362626">
        <w:rPr>
          <w:lang w:val="en-GB" w:eastAsia="en-GB" w:bidi="ne-IN"/>
        </w:rPr>
        <w:t>3</w:t>
      </w:r>
      <w:proofErr w:type="gramEnd"/>
      <w:r w:rsidRPr="00362626">
        <w:rPr>
          <w:lang w:val="en-GB" w:eastAsia="en-GB" w:bidi="ne-IN"/>
        </w:rPr>
        <w:t xml:space="preserve"> vegetative reproduced species apple, rose and </w:t>
      </w:r>
      <w:r w:rsidRPr="00362626">
        <w:rPr>
          <w:i/>
          <w:lang w:val="en-GB" w:eastAsia="en-GB" w:bidi="ne-IN"/>
        </w:rPr>
        <w:t>Pelargonium</w:t>
      </w:r>
      <w:r w:rsidRPr="00362626">
        <w:rPr>
          <w:lang w:val="en-GB" w:eastAsia="en-GB" w:bidi="ne-IN"/>
        </w:rPr>
        <w:t xml:space="preserve"> has been studied. The result of that earlier study, which did not involve observations on real plants, but </w:t>
      </w:r>
      <w:proofErr w:type="gramStart"/>
      <w:r w:rsidRPr="00362626">
        <w:rPr>
          <w:lang w:val="en-GB" w:eastAsia="en-GB" w:bidi="ne-IN"/>
        </w:rPr>
        <w:t>was conducted</w:t>
      </w:r>
      <w:proofErr w:type="gramEnd"/>
      <w:r w:rsidRPr="00362626">
        <w:rPr>
          <w:lang w:val="en-GB" w:eastAsia="en-GB" w:bidi="ne-IN"/>
        </w:rPr>
        <w:t xml:space="preserve"> as a paper study, did not give a clear picture on the feasibility of the CIOPORA approach. This practical case study aims at a re-evaluation of the distinctness of actual </w:t>
      </w:r>
      <w:r w:rsidRPr="00362626">
        <w:rPr>
          <w:i/>
          <w:lang w:val="en-GB" w:eastAsia="en-GB" w:bidi="ne-IN"/>
        </w:rPr>
        <w:t>Pelargonium</w:t>
      </w:r>
      <w:r w:rsidRPr="00362626">
        <w:rPr>
          <w:lang w:val="en-GB" w:eastAsia="en-GB" w:bidi="ne-IN"/>
        </w:rPr>
        <w:t xml:space="preserve"> varieties, which have been declared distinct by </w:t>
      </w:r>
      <w:proofErr w:type="spellStart"/>
      <w:r w:rsidRPr="00362626">
        <w:rPr>
          <w:lang w:val="en-GB" w:eastAsia="en-GB" w:bidi="ne-IN"/>
        </w:rPr>
        <w:t>Bundessortenamt</w:t>
      </w:r>
      <w:proofErr w:type="spellEnd"/>
      <w:r w:rsidRPr="00362626">
        <w:rPr>
          <w:lang w:val="en-GB" w:eastAsia="en-GB" w:bidi="ne-IN"/>
        </w:rPr>
        <w:t xml:space="preserve"> in the past, </w:t>
      </w:r>
      <w:proofErr w:type="gramStart"/>
      <w:r w:rsidRPr="00362626">
        <w:rPr>
          <w:lang w:val="en-GB" w:eastAsia="en-GB" w:bidi="ne-IN"/>
        </w:rPr>
        <w:t>on the basis of</w:t>
      </w:r>
      <w:proofErr w:type="gramEnd"/>
      <w:r w:rsidRPr="00362626">
        <w:rPr>
          <w:lang w:val="en-GB" w:eastAsia="en-GB" w:bidi="ne-IN"/>
        </w:rPr>
        <w:t xml:space="preserve"> the Minimum Distance position of CIOPORA and the mock protocol for </w:t>
      </w:r>
      <w:r w:rsidRPr="00362626">
        <w:rPr>
          <w:i/>
          <w:lang w:val="en-GB" w:eastAsia="en-GB" w:bidi="ne-IN"/>
        </w:rPr>
        <w:t>Pelargonium</w:t>
      </w:r>
      <w:r w:rsidRPr="00362626">
        <w:rPr>
          <w:lang w:val="en-GB" w:eastAsia="en-GB" w:bidi="ne-IN"/>
        </w:rPr>
        <w:t xml:space="preserve">. The mock protocol has been prepared by CIOPORA </w:t>
      </w:r>
      <w:proofErr w:type="gramStart"/>
      <w:r w:rsidRPr="00362626">
        <w:rPr>
          <w:lang w:val="en-GB" w:eastAsia="en-GB" w:bidi="ne-IN"/>
        </w:rPr>
        <w:t>on the basis of</w:t>
      </w:r>
      <w:proofErr w:type="gramEnd"/>
      <w:r w:rsidRPr="00362626">
        <w:rPr>
          <w:lang w:val="en-GB" w:eastAsia="en-GB" w:bidi="ne-IN"/>
        </w:rPr>
        <w:t xml:space="preserve"> the existing CPVO protocol for </w:t>
      </w:r>
      <w:r w:rsidRPr="00362626">
        <w:rPr>
          <w:i/>
          <w:lang w:val="en-GB" w:eastAsia="en-GB" w:bidi="ne-IN"/>
        </w:rPr>
        <w:t>Pelargonium</w:t>
      </w:r>
      <w:r w:rsidRPr="00362626">
        <w:rPr>
          <w:lang w:val="en-GB" w:eastAsia="en-GB" w:bidi="ne-IN"/>
        </w:rPr>
        <w:t xml:space="preserve"> and includes proposals to disregard for the judgement on distinctness certain characteristics and to delete certain states in selected remaining characteristics.</w:t>
      </w:r>
    </w:p>
    <w:p w:rsidR="00362626" w:rsidRPr="00362626" w:rsidRDefault="00362626" w:rsidP="001061E9">
      <w:pPr>
        <w:rPr>
          <w:rFonts w:eastAsia="Cambria"/>
          <w:lang w:val="en-IE"/>
        </w:rPr>
      </w:pPr>
    </w:p>
    <w:p w:rsidR="00362626" w:rsidRDefault="00362626" w:rsidP="001061E9">
      <w:pPr>
        <w:rPr>
          <w:rFonts w:eastAsia="Cambria"/>
          <w:lang w:val="en-IE"/>
        </w:rPr>
      </w:pPr>
      <w:r w:rsidRPr="00362626">
        <w:rPr>
          <w:rFonts w:eastAsia="Cambria"/>
          <w:lang w:val="en-IE"/>
        </w:rPr>
        <w:t xml:space="preserve">The CPVO notes that the practical case study – comprising an on the spot assessment by </w:t>
      </w:r>
      <w:r w:rsidRPr="00362626">
        <w:rPr>
          <w:rFonts w:eastAsia="Cambria"/>
          <w:i/>
          <w:lang w:val="en-IE"/>
        </w:rPr>
        <w:t>Pelargonium</w:t>
      </w:r>
      <w:r w:rsidRPr="00362626">
        <w:rPr>
          <w:rFonts w:eastAsia="Cambria"/>
          <w:lang w:val="en-IE"/>
        </w:rPr>
        <w:t xml:space="preserve"> breeders – demonstrated that the Technical Protocol CPVO/TP-028/2 allows to take transparent decisions on the compliance with the distinctness requirement set out in Article 7 of Council Regulation (EC) 2100/94. The </w:t>
      </w:r>
      <w:r w:rsidRPr="00362626">
        <w:rPr>
          <w:rFonts w:eastAsia="Cambria"/>
          <w:i/>
          <w:lang w:val="en-IE"/>
        </w:rPr>
        <w:t>Pelargonium</w:t>
      </w:r>
      <w:r w:rsidRPr="00362626">
        <w:rPr>
          <w:rFonts w:eastAsia="Cambria"/>
          <w:lang w:val="en-IE"/>
        </w:rPr>
        <w:t xml:space="preserve"> breeders involved in the project are satisfied with the current protocol as it allows them to create and protect new varieties. </w:t>
      </w:r>
    </w:p>
    <w:p w:rsidR="001061E9" w:rsidRPr="00362626" w:rsidRDefault="001061E9" w:rsidP="001061E9">
      <w:pPr>
        <w:rPr>
          <w:rFonts w:eastAsia="Cambria"/>
          <w:lang w:val="en-IE"/>
        </w:rPr>
      </w:pPr>
    </w:p>
    <w:p w:rsidR="00362626" w:rsidRPr="00362626" w:rsidRDefault="00362626" w:rsidP="001061E9">
      <w:pPr>
        <w:rPr>
          <w:rFonts w:eastAsia="Cambria"/>
          <w:lang w:val="en-IE"/>
        </w:rPr>
      </w:pPr>
      <w:r w:rsidRPr="00362626">
        <w:rPr>
          <w:rFonts w:eastAsia="Cambria"/>
          <w:lang w:val="en-IE"/>
        </w:rPr>
        <w:t xml:space="preserve">One out of the seven variety pairs grown was particularly close and compliance with the requirement of clear distinctness may be arguable. However, it lies in the nature of varieties expressing their characteristics in a continued range that </w:t>
      </w:r>
      <w:proofErr w:type="gramStart"/>
      <w:r w:rsidRPr="00362626">
        <w:rPr>
          <w:rFonts w:eastAsia="Cambria"/>
          <w:lang w:val="en-IE"/>
        </w:rPr>
        <w:t>border line</w:t>
      </w:r>
      <w:proofErr w:type="gramEnd"/>
      <w:r w:rsidRPr="00362626">
        <w:rPr>
          <w:rFonts w:eastAsia="Cambria"/>
          <w:lang w:val="en-IE"/>
        </w:rPr>
        <w:t xml:space="preserve"> cases exist irrespective of where the threshold for clear distinctness is set. There is thus no immediate need neither for a revision of the Technical Protocol nor for any other follow-up. However, the CPVO acknowledges that there can be differences in opinions as regards where the border should be set when applying the concept of “clearly distinct” within the meaning of the Basic Regulation. CPVO Technical Protocols </w:t>
      </w:r>
      <w:proofErr w:type="gramStart"/>
      <w:r w:rsidRPr="00362626">
        <w:rPr>
          <w:rFonts w:eastAsia="Cambria"/>
          <w:lang w:val="en-IE"/>
        </w:rPr>
        <w:t>are applied</w:t>
      </w:r>
      <w:proofErr w:type="gramEnd"/>
      <w:r w:rsidRPr="00362626">
        <w:rPr>
          <w:rFonts w:eastAsia="Cambria"/>
          <w:lang w:val="en-IE"/>
        </w:rPr>
        <w:t xml:space="preserve"> when assessing distinctness and CIOPORA is encouraged to continue to participate actively in CPVO expert meetings where the protocols are discussed and in the CPVO Administrative Council where they are adopted. The CPVO looks forward to engage in discussions with CIOPORA bilaterally and in other fora on how to address concerns from the industry. </w:t>
      </w:r>
    </w:p>
    <w:p w:rsidR="004A0952" w:rsidRPr="00362626" w:rsidRDefault="004A0952">
      <w:pPr>
        <w:jc w:val="left"/>
        <w:rPr>
          <w:lang w:val="en-IE"/>
        </w:rPr>
      </w:pPr>
    </w:p>
    <w:p w:rsidR="004A0952" w:rsidRDefault="004A0952">
      <w:pPr>
        <w:jc w:val="left"/>
      </w:pPr>
    </w:p>
    <w:p w:rsidR="001061E9" w:rsidRDefault="001061E9">
      <w:pPr>
        <w:jc w:val="left"/>
      </w:pPr>
    </w:p>
    <w:p w:rsidR="001061E9" w:rsidRDefault="001061E9" w:rsidP="001061E9">
      <w:pPr>
        <w:jc w:val="right"/>
      </w:pPr>
      <w:r>
        <w:t xml:space="preserve"> </w:t>
      </w:r>
      <w:r w:rsidRPr="00C5280D">
        <w:t>[</w:t>
      </w:r>
      <w:r>
        <w:t>Annex II follows</w:t>
      </w:r>
      <w:r w:rsidRPr="00C5280D">
        <w:t>]</w:t>
      </w:r>
    </w:p>
    <w:p w:rsidR="001061E9" w:rsidRDefault="001061E9" w:rsidP="00050E16">
      <w:pPr>
        <w:sectPr w:rsidR="001061E9" w:rsidSect="001061E9">
          <w:headerReference w:type="first" r:id="rId9"/>
          <w:pgSz w:w="11907" w:h="16840" w:code="9"/>
          <w:pgMar w:top="510" w:right="1134" w:bottom="1134" w:left="1134" w:header="510" w:footer="680" w:gutter="0"/>
          <w:pgNumType w:start="1"/>
          <w:cols w:space="720"/>
          <w:titlePg/>
        </w:sectPr>
      </w:pPr>
    </w:p>
    <w:p w:rsidR="00050E16" w:rsidRDefault="00050E16" w:rsidP="00050E16"/>
    <w:p w:rsidR="00E563A8" w:rsidRDefault="00E563A8" w:rsidP="00E563A8">
      <w:pPr>
        <w:jc w:val="center"/>
      </w:pPr>
      <w:r>
        <w:t>FRANCE</w:t>
      </w:r>
    </w:p>
    <w:p w:rsidR="00E563A8" w:rsidRDefault="00E563A8" w:rsidP="007F54C4"/>
    <w:p w:rsidR="00E563A8" w:rsidRPr="00E563A8" w:rsidRDefault="00E563A8" w:rsidP="007F54C4">
      <w:pPr>
        <w:rPr>
          <w:rFonts w:eastAsia="Calibri"/>
        </w:rPr>
      </w:pPr>
    </w:p>
    <w:p w:rsidR="00E563A8" w:rsidRPr="00E563A8" w:rsidRDefault="00E563A8" w:rsidP="007F54C4">
      <w:pPr>
        <w:rPr>
          <w:rFonts w:eastAsia="Calibri"/>
        </w:rPr>
      </w:pPr>
      <w:r w:rsidRPr="00E563A8">
        <w:rPr>
          <w:rFonts w:eastAsia="Calibri"/>
        </w:rPr>
        <w:t xml:space="preserve">GEVES new website </w:t>
      </w:r>
      <w:proofErr w:type="gramStart"/>
      <w:r w:rsidRPr="00E563A8">
        <w:rPr>
          <w:rFonts w:eastAsia="Calibri"/>
        </w:rPr>
        <w:t>was launched</w:t>
      </w:r>
      <w:proofErr w:type="gramEnd"/>
      <w:r w:rsidRPr="00E563A8">
        <w:rPr>
          <w:rFonts w:eastAsia="Calibri"/>
        </w:rPr>
        <w:t xml:space="preserve"> in 2017 and can be consulted here </w:t>
      </w:r>
      <w:hyperlink r:id="rId10" w:history="1">
        <w:r w:rsidRPr="00E563A8">
          <w:rPr>
            <w:rFonts w:eastAsia="Calibri"/>
            <w:color w:val="0000FF"/>
            <w:u w:val="single"/>
          </w:rPr>
          <w:t>www.geves.fr</w:t>
        </w:r>
      </w:hyperlink>
      <w:r w:rsidRPr="00E563A8">
        <w:rPr>
          <w:rFonts w:eastAsia="Calibri"/>
        </w:rPr>
        <w:t xml:space="preserve"> </w:t>
      </w:r>
    </w:p>
    <w:p w:rsidR="00E563A8" w:rsidRPr="00E563A8" w:rsidRDefault="00E563A8" w:rsidP="007F54C4">
      <w:pPr>
        <w:rPr>
          <w:rFonts w:eastAsia="Calibri"/>
        </w:rPr>
      </w:pPr>
      <w:r w:rsidRPr="00E563A8">
        <w:rPr>
          <w:rFonts w:eastAsia="Calibri"/>
        </w:rPr>
        <w:t xml:space="preserve">Description files </w:t>
      </w:r>
      <w:proofErr w:type="gramStart"/>
      <w:r w:rsidRPr="00E563A8">
        <w:rPr>
          <w:rFonts w:eastAsia="Calibri"/>
        </w:rPr>
        <w:t>can be found</w:t>
      </w:r>
      <w:proofErr w:type="gramEnd"/>
      <w:r w:rsidRPr="00E563A8">
        <w:rPr>
          <w:rFonts w:eastAsia="Calibri"/>
        </w:rPr>
        <w:t xml:space="preserve"> on the website for the varieties listed on the French catalogue. </w:t>
      </w:r>
      <w:hyperlink r:id="rId11" w:history="1">
        <w:r w:rsidRPr="00E563A8">
          <w:rPr>
            <w:rFonts w:eastAsia="Calibri"/>
            <w:color w:val="0000FF"/>
            <w:u w:val="single"/>
          </w:rPr>
          <w:t>https://www.geves.fr/catalogue-france/</w:t>
        </w:r>
      </w:hyperlink>
      <w:r w:rsidRPr="00E563A8">
        <w:rPr>
          <w:rFonts w:eastAsia="Calibri"/>
        </w:rPr>
        <w:t xml:space="preserve"> </w:t>
      </w:r>
    </w:p>
    <w:p w:rsidR="00E563A8" w:rsidRPr="00E563A8" w:rsidRDefault="00E563A8" w:rsidP="007F54C4">
      <w:pPr>
        <w:rPr>
          <w:rFonts w:eastAsia="Calibri"/>
        </w:rPr>
      </w:pPr>
    </w:p>
    <w:p w:rsidR="00E563A8" w:rsidRPr="00E563A8" w:rsidRDefault="00E563A8" w:rsidP="007F54C4">
      <w:pPr>
        <w:rPr>
          <w:rFonts w:eastAsia="Calibri"/>
        </w:rPr>
      </w:pPr>
      <w:r w:rsidRPr="00E563A8">
        <w:rPr>
          <w:rFonts w:eastAsia="Calibri"/>
        </w:rPr>
        <w:t xml:space="preserve">The activity in the framework of national listing and the activity in the framework of DUS bilateral agreements is quite stable in 2019, with a great increase in ornamental species. </w:t>
      </w:r>
    </w:p>
    <w:p w:rsidR="00E563A8" w:rsidRPr="00E563A8" w:rsidRDefault="00E563A8" w:rsidP="007F54C4">
      <w:pPr>
        <w:rPr>
          <w:rFonts w:eastAsia="Calibri"/>
        </w:rPr>
      </w:pPr>
    </w:p>
    <w:p w:rsidR="00E563A8" w:rsidRDefault="00E563A8" w:rsidP="007F54C4">
      <w:pPr>
        <w:rPr>
          <w:rFonts w:eastAsia="Calibri"/>
        </w:rPr>
      </w:pPr>
      <w:r w:rsidRPr="00E563A8">
        <w:rPr>
          <w:rFonts w:eastAsia="Calibri"/>
        </w:rPr>
        <w:t xml:space="preserve">In total, GEVES studies each year more than 1400 new varieties, </w:t>
      </w:r>
    </w:p>
    <w:p w:rsidR="007F54C4" w:rsidRPr="00E563A8" w:rsidRDefault="007F54C4" w:rsidP="007F54C4">
      <w:pPr>
        <w:rPr>
          <w:rFonts w:eastAsia="Calibri"/>
        </w:rPr>
      </w:pPr>
    </w:p>
    <w:p w:rsidR="00E563A8" w:rsidRPr="00E563A8" w:rsidRDefault="00E563A8" w:rsidP="007F54C4">
      <w:pPr>
        <w:numPr>
          <w:ilvl w:val="0"/>
          <w:numId w:val="7"/>
        </w:numPr>
        <w:spacing w:after="200" w:line="276" w:lineRule="auto"/>
        <w:contextualSpacing/>
        <w:rPr>
          <w:rFonts w:eastAsia="Calibri" w:cs="Arial"/>
        </w:rPr>
      </w:pPr>
      <w:proofErr w:type="gramStart"/>
      <w:r w:rsidRPr="00E563A8">
        <w:rPr>
          <w:rFonts w:eastAsia="Calibri" w:cs="Arial"/>
        </w:rPr>
        <w:t>around</w:t>
      </w:r>
      <w:proofErr w:type="gramEnd"/>
      <w:r w:rsidRPr="00E563A8">
        <w:rPr>
          <w:rFonts w:eastAsia="Calibri" w:cs="Arial"/>
        </w:rPr>
        <w:t xml:space="preserve"> 1000 new candidate varieties, a year, in the agricultural sector.</w:t>
      </w:r>
    </w:p>
    <w:p w:rsidR="00E563A8" w:rsidRPr="00E563A8" w:rsidRDefault="00E563A8" w:rsidP="007F54C4">
      <w:pPr>
        <w:ind w:left="720"/>
        <w:rPr>
          <w:rFonts w:eastAsia="Calibri" w:cs="Arial"/>
        </w:rPr>
      </w:pPr>
      <w:r w:rsidRPr="00E563A8">
        <w:rPr>
          <w:rFonts w:eastAsia="Calibri" w:cs="Arial"/>
        </w:rPr>
        <w:t xml:space="preserve">Main species tested are maize, wheat, barley, oilseed rape, sunflower, </w:t>
      </w:r>
      <w:proofErr w:type="gramStart"/>
      <w:r w:rsidRPr="00E563A8">
        <w:rPr>
          <w:rFonts w:eastAsia="Calibri" w:cs="Arial"/>
        </w:rPr>
        <w:t>soybean</w:t>
      </w:r>
      <w:proofErr w:type="gramEnd"/>
      <w:r w:rsidRPr="00E563A8">
        <w:rPr>
          <w:rFonts w:eastAsia="Calibri" w:cs="Arial"/>
        </w:rPr>
        <w:t xml:space="preserve">. </w:t>
      </w:r>
    </w:p>
    <w:p w:rsidR="00E563A8" w:rsidRPr="00E563A8" w:rsidRDefault="00E563A8" w:rsidP="007F54C4">
      <w:pPr>
        <w:numPr>
          <w:ilvl w:val="0"/>
          <w:numId w:val="7"/>
        </w:numPr>
        <w:spacing w:after="200" w:line="276" w:lineRule="auto"/>
        <w:contextualSpacing/>
        <w:rPr>
          <w:rFonts w:eastAsia="Calibri" w:cs="Arial"/>
        </w:rPr>
      </w:pPr>
      <w:proofErr w:type="gramStart"/>
      <w:r w:rsidRPr="00E563A8">
        <w:rPr>
          <w:rFonts w:eastAsia="Calibri" w:cs="Arial"/>
        </w:rPr>
        <w:t>around</w:t>
      </w:r>
      <w:proofErr w:type="gramEnd"/>
      <w:r w:rsidRPr="00E563A8">
        <w:rPr>
          <w:rFonts w:eastAsia="Calibri" w:cs="Arial"/>
        </w:rPr>
        <w:t xml:space="preserve"> 250 new candidate varieties, a year, in the vegetable sector.</w:t>
      </w:r>
    </w:p>
    <w:p w:rsidR="00E563A8" w:rsidRPr="00E563A8" w:rsidRDefault="00E563A8" w:rsidP="007F54C4">
      <w:pPr>
        <w:ind w:left="720"/>
        <w:contextualSpacing/>
        <w:rPr>
          <w:rFonts w:eastAsia="Calibri" w:cs="Arial"/>
        </w:rPr>
      </w:pPr>
      <w:r w:rsidRPr="00E563A8">
        <w:rPr>
          <w:rFonts w:eastAsia="Calibri" w:cs="Arial"/>
        </w:rPr>
        <w:t>Main species are tomato, melon, lettuce.</w:t>
      </w:r>
    </w:p>
    <w:p w:rsidR="00E563A8" w:rsidRPr="00E563A8" w:rsidRDefault="00E563A8" w:rsidP="007F54C4">
      <w:pPr>
        <w:numPr>
          <w:ilvl w:val="0"/>
          <w:numId w:val="7"/>
        </w:numPr>
        <w:spacing w:after="200" w:line="276" w:lineRule="auto"/>
        <w:contextualSpacing/>
        <w:rPr>
          <w:rFonts w:eastAsia="Calibri" w:cs="Arial"/>
        </w:rPr>
      </w:pPr>
      <w:proofErr w:type="gramStart"/>
      <w:r w:rsidRPr="00E563A8">
        <w:rPr>
          <w:rFonts w:eastAsia="Calibri" w:cs="Arial"/>
        </w:rPr>
        <w:t>around</w:t>
      </w:r>
      <w:proofErr w:type="gramEnd"/>
      <w:r w:rsidRPr="00E563A8">
        <w:rPr>
          <w:rFonts w:eastAsia="Calibri" w:cs="Arial"/>
        </w:rPr>
        <w:t xml:space="preserve"> 100 new candidate varieties, a year, in the fruit sector.</w:t>
      </w:r>
    </w:p>
    <w:p w:rsidR="00E563A8" w:rsidRPr="00E563A8" w:rsidRDefault="00E563A8" w:rsidP="007F54C4">
      <w:pPr>
        <w:ind w:left="708"/>
        <w:rPr>
          <w:rFonts w:eastAsia="Calibri" w:cs="Arial"/>
        </w:rPr>
      </w:pPr>
      <w:proofErr w:type="gramStart"/>
      <w:r w:rsidRPr="00E563A8">
        <w:rPr>
          <w:rFonts w:eastAsia="Calibri" w:cs="Arial"/>
        </w:rPr>
        <w:t>Main species tested are apple, pear, peach, cherry, apricot, Japanese plum</w:t>
      </w:r>
      <w:proofErr w:type="gramEnd"/>
      <w:r w:rsidRPr="00E563A8">
        <w:rPr>
          <w:rFonts w:eastAsia="Calibri" w:cs="Arial"/>
        </w:rPr>
        <w:t xml:space="preserve">, </w:t>
      </w:r>
      <w:proofErr w:type="gramStart"/>
      <w:r w:rsidRPr="00E563A8">
        <w:rPr>
          <w:rFonts w:eastAsia="Calibri" w:cs="Arial"/>
        </w:rPr>
        <w:t>vine</w:t>
      </w:r>
      <w:proofErr w:type="gramEnd"/>
      <w:r w:rsidRPr="00E563A8">
        <w:rPr>
          <w:rFonts w:eastAsia="Calibri" w:cs="Arial"/>
        </w:rPr>
        <w:t>.</w:t>
      </w:r>
    </w:p>
    <w:p w:rsidR="00E563A8" w:rsidRPr="00E563A8" w:rsidRDefault="00E563A8" w:rsidP="007F54C4">
      <w:pPr>
        <w:numPr>
          <w:ilvl w:val="0"/>
          <w:numId w:val="7"/>
        </w:numPr>
        <w:spacing w:after="200" w:line="276" w:lineRule="auto"/>
        <w:contextualSpacing/>
        <w:rPr>
          <w:rFonts w:eastAsia="Calibri" w:cs="Arial"/>
        </w:rPr>
      </w:pPr>
      <w:proofErr w:type="gramStart"/>
      <w:r w:rsidRPr="00E563A8">
        <w:rPr>
          <w:rFonts w:eastAsia="Calibri" w:cs="Arial"/>
        </w:rPr>
        <w:t>around</w:t>
      </w:r>
      <w:proofErr w:type="gramEnd"/>
      <w:r w:rsidRPr="00E563A8">
        <w:rPr>
          <w:rFonts w:eastAsia="Calibri" w:cs="Arial"/>
        </w:rPr>
        <w:t xml:space="preserve"> 240 new candidate varieties, a year, in the ornamental sector.</w:t>
      </w:r>
    </w:p>
    <w:p w:rsidR="00E563A8" w:rsidRPr="00E563A8" w:rsidRDefault="00E563A8" w:rsidP="007F54C4">
      <w:pPr>
        <w:ind w:left="720"/>
        <w:contextualSpacing/>
        <w:rPr>
          <w:rFonts w:eastAsia="Calibri" w:cs="Arial"/>
        </w:rPr>
      </w:pPr>
      <w:r w:rsidRPr="00E563A8">
        <w:rPr>
          <w:rFonts w:eastAsia="Calibri" w:cs="Arial"/>
        </w:rPr>
        <w:t xml:space="preserve">Main species are Hydrangea, Salvia, Chrysanthemum, </w:t>
      </w:r>
      <w:proofErr w:type="spellStart"/>
      <w:proofErr w:type="gramStart"/>
      <w:r w:rsidRPr="00E563A8">
        <w:rPr>
          <w:rFonts w:eastAsia="Calibri" w:cs="Arial"/>
        </w:rPr>
        <w:t>Lavandula</w:t>
      </w:r>
      <w:proofErr w:type="spellEnd"/>
      <w:proofErr w:type="gramEnd"/>
      <w:r w:rsidRPr="00E563A8">
        <w:rPr>
          <w:rFonts w:eastAsia="Calibri" w:cs="Arial"/>
        </w:rPr>
        <w:t>.</w:t>
      </w:r>
    </w:p>
    <w:p w:rsidR="00E563A8" w:rsidRPr="00E563A8" w:rsidRDefault="00E563A8" w:rsidP="007F54C4">
      <w:pPr>
        <w:rPr>
          <w:rFonts w:eastAsia="Calibri"/>
        </w:rPr>
      </w:pPr>
    </w:p>
    <w:p w:rsidR="00E563A8" w:rsidRDefault="00E563A8" w:rsidP="007F54C4">
      <w:pPr>
        <w:rPr>
          <w:rFonts w:eastAsia="Calibri"/>
        </w:rPr>
      </w:pPr>
      <w:r w:rsidRPr="00E563A8">
        <w:rPr>
          <w:rFonts w:eastAsia="Calibri"/>
        </w:rPr>
        <w:t xml:space="preserve">GEVES activity </w:t>
      </w:r>
      <w:proofErr w:type="gramStart"/>
      <w:r w:rsidRPr="00E563A8">
        <w:rPr>
          <w:rFonts w:eastAsia="Calibri"/>
        </w:rPr>
        <w:t>is entrusted</w:t>
      </w:r>
      <w:proofErr w:type="gramEnd"/>
      <w:r w:rsidRPr="00E563A8">
        <w:rPr>
          <w:rFonts w:eastAsia="Calibri"/>
        </w:rPr>
        <w:t xml:space="preserve"> by the CPVO. GEVES, as an examination office on behalf of CPVO, receives around 700 requests of results each year including about 60% of take over reports related to field and vegetable crops tested first for national listing. GEVES also sends each year about 500 reports to other examination offices (about 100 examinations and 400 take-overs) and buy about 120 reports from them in the framework of bilateral agreements. </w:t>
      </w:r>
    </w:p>
    <w:p w:rsidR="00726ECC" w:rsidRPr="00E563A8" w:rsidRDefault="00726ECC" w:rsidP="007F54C4">
      <w:pPr>
        <w:rPr>
          <w:rFonts w:eastAsia="Calibri"/>
        </w:rPr>
      </w:pPr>
    </w:p>
    <w:p w:rsidR="00E563A8" w:rsidRPr="00E563A8" w:rsidRDefault="00E563A8" w:rsidP="007F54C4">
      <w:pPr>
        <w:rPr>
          <w:rFonts w:eastAsia="Calibri"/>
        </w:rPr>
      </w:pPr>
      <w:r w:rsidRPr="00E563A8">
        <w:rPr>
          <w:rFonts w:eastAsia="Calibri"/>
        </w:rPr>
        <w:t xml:space="preserve">The International System of Cooperation is active and efficient. For more information, the international cooperation service of GEVES </w:t>
      </w:r>
      <w:proofErr w:type="gramStart"/>
      <w:r w:rsidRPr="00E563A8">
        <w:rPr>
          <w:rFonts w:eastAsia="Calibri"/>
        </w:rPr>
        <w:t>can be contacted</w:t>
      </w:r>
      <w:proofErr w:type="gramEnd"/>
      <w:r w:rsidRPr="00E563A8">
        <w:rPr>
          <w:rFonts w:eastAsia="Calibri"/>
        </w:rPr>
        <w:t xml:space="preserve"> here: </w:t>
      </w:r>
      <w:hyperlink r:id="rId12" w:history="1">
        <w:r w:rsidRPr="00E563A8">
          <w:rPr>
            <w:rFonts w:eastAsia="Calibri"/>
            <w:color w:val="0000FF"/>
            <w:u w:val="single"/>
          </w:rPr>
          <w:t>camille.zitter@geves.fr</w:t>
        </w:r>
      </w:hyperlink>
      <w:r w:rsidRPr="00E563A8">
        <w:rPr>
          <w:rFonts w:eastAsia="Calibri"/>
        </w:rPr>
        <w:t xml:space="preserve"> (new!)</w:t>
      </w:r>
    </w:p>
    <w:p w:rsidR="00E563A8" w:rsidRPr="00E563A8" w:rsidRDefault="00E563A8" w:rsidP="007F54C4">
      <w:pPr>
        <w:rPr>
          <w:rFonts w:eastAsia="Calibri"/>
        </w:rPr>
      </w:pPr>
    </w:p>
    <w:p w:rsidR="00E563A8" w:rsidRPr="00E563A8" w:rsidRDefault="00E563A8" w:rsidP="007F54C4">
      <w:pPr>
        <w:rPr>
          <w:rFonts w:eastAsia="Calibri"/>
        </w:rPr>
      </w:pPr>
      <w:r w:rsidRPr="00E563A8">
        <w:rPr>
          <w:rFonts w:eastAsia="Calibri"/>
        </w:rPr>
        <w:t>In addition to that, the French National Office for PBR (</w:t>
      </w:r>
      <w:r w:rsidRPr="00E563A8">
        <w:rPr>
          <w:rFonts w:eastAsia="Calibri"/>
          <w:b/>
        </w:rPr>
        <w:t>INOV</w:t>
      </w:r>
      <w:r w:rsidRPr="00E563A8">
        <w:rPr>
          <w:rFonts w:eastAsia="Calibri"/>
        </w:rPr>
        <w:t xml:space="preserve">) has received 107 applications in 2019, out of which 95% </w:t>
      </w:r>
      <w:proofErr w:type="gramStart"/>
      <w:r w:rsidRPr="00E563A8">
        <w:rPr>
          <w:rFonts w:eastAsia="Calibri"/>
        </w:rPr>
        <w:t>were tested</w:t>
      </w:r>
      <w:proofErr w:type="gramEnd"/>
      <w:r w:rsidRPr="00E563A8">
        <w:rPr>
          <w:rFonts w:eastAsia="Calibri"/>
        </w:rPr>
        <w:t xml:space="preserve"> for DUS by GEVES.  </w:t>
      </w:r>
    </w:p>
    <w:p w:rsidR="00E563A8" w:rsidRPr="00726ECC" w:rsidRDefault="00E563A8" w:rsidP="007F54C4">
      <w:pPr>
        <w:rPr>
          <w:rFonts w:eastAsia="Calibri"/>
        </w:rPr>
      </w:pPr>
      <w:r w:rsidRPr="00726ECC">
        <w:rPr>
          <w:rFonts w:eastAsia="Calibri"/>
        </w:rPr>
        <w:t xml:space="preserve">INOV is involved in UPOV PRISMA for all genera and species. </w:t>
      </w:r>
    </w:p>
    <w:p w:rsidR="00E563A8" w:rsidRPr="00E563A8" w:rsidRDefault="00E563A8" w:rsidP="007F54C4">
      <w:pPr>
        <w:rPr>
          <w:rFonts w:eastAsia="Calibri"/>
        </w:rPr>
      </w:pPr>
    </w:p>
    <w:p w:rsidR="00E563A8" w:rsidRPr="00726ECC" w:rsidRDefault="00E563A8" w:rsidP="007F54C4">
      <w:pPr>
        <w:rPr>
          <w:rFonts w:eastAsia="Calibri" w:cs="Arial"/>
        </w:rPr>
      </w:pPr>
      <w:r w:rsidRPr="00726ECC">
        <w:rPr>
          <w:rFonts w:eastAsia="Calibri" w:cs="Arial"/>
        </w:rPr>
        <w:t>In 2018 and 2019, GEVES has significantly developed its activity on ornamental species.</w:t>
      </w:r>
    </w:p>
    <w:p w:rsidR="00E563A8" w:rsidRPr="00726ECC" w:rsidRDefault="00E563A8" w:rsidP="007F54C4">
      <w:pPr>
        <w:rPr>
          <w:rFonts w:eastAsia="Calibri" w:cs="Arial"/>
        </w:rPr>
      </w:pPr>
      <w:r w:rsidRPr="00726ECC">
        <w:rPr>
          <w:rFonts w:eastAsia="Calibri" w:cs="Arial"/>
        </w:rPr>
        <w:t>The volume of activity for ornamental DUS testing has doubled in 2019.</w:t>
      </w:r>
    </w:p>
    <w:p w:rsidR="00E563A8" w:rsidRPr="00726ECC" w:rsidRDefault="00E563A8" w:rsidP="007F54C4">
      <w:pPr>
        <w:rPr>
          <w:rFonts w:eastAsia="Calibri" w:cs="Arial"/>
        </w:rPr>
      </w:pPr>
      <w:r w:rsidRPr="00726ECC">
        <w:rPr>
          <w:rFonts w:eastAsia="Calibri" w:cs="Arial"/>
        </w:rPr>
        <w:t xml:space="preserve">The ornamental scope of GEVES now includes 79 genera (290 species): Coreopsis, Salvia, </w:t>
      </w:r>
      <w:proofErr w:type="spellStart"/>
      <w:r w:rsidRPr="00726ECC">
        <w:rPr>
          <w:rFonts w:eastAsia="Calibri" w:cs="Arial"/>
        </w:rPr>
        <w:t>Penstemon</w:t>
      </w:r>
      <w:proofErr w:type="spellEnd"/>
      <w:r w:rsidRPr="00726ECC">
        <w:rPr>
          <w:rFonts w:eastAsia="Calibri" w:cs="Arial"/>
        </w:rPr>
        <w:t xml:space="preserve">, Spirea, Hibiscus, </w:t>
      </w:r>
      <w:proofErr w:type="spellStart"/>
      <w:r w:rsidRPr="00726ECC">
        <w:rPr>
          <w:rFonts w:eastAsia="Calibri" w:cs="Arial"/>
        </w:rPr>
        <w:t>Leucenthemum</w:t>
      </w:r>
      <w:proofErr w:type="spellEnd"/>
      <w:r w:rsidRPr="00726ECC">
        <w:rPr>
          <w:rFonts w:eastAsia="Calibri" w:cs="Arial"/>
        </w:rPr>
        <w:t xml:space="preserve">, Echinacea, </w:t>
      </w:r>
      <w:proofErr w:type="spellStart"/>
      <w:r w:rsidRPr="00726ECC">
        <w:rPr>
          <w:rFonts w:eastAsia="Calibri" w:cs="Arial"/>
        </w:rPr>
        <w:t>Escallonia</w:t>
      </w:r>
      <w:proofErr w:type="spellEnd"/>
      <w:r w:rsidRPr="00726ECC">
        <w:rPr>
          <w:rFonts w:eastAsia="Calibri" w:cs="Arial"/>
        </w:rPr>
        <w:t xml:space="preserve">, </w:t>
      </w:r>
      <w:proofErr w:type="spellStart"/>
      <w:r w:rsidRPr="00726ECC">
        <w:rPr>
          <w:rFonts w:eastAsia="Calibri" w:cs="Arial"/>
        </w:rPr>
        <w:t>Astrantia</w:t>
      </w:r>
      <w:proofErr w:type="spellEnd"/>
      <w:r w:rsidRPr="00726ECC">
        <w:rPr>
          <w:rFonts w:eastAsia="Calibri" w:cs="Arial"/>
        </w:rPr>
        <w:t xml:space="preserve">, </w:t>
      </w:r>
      <w:proofErr w:type="spellStart"/>
      <w:r w:rsidRPr="00726ECC">
        <w:rPr>
          <w:rFonts w:eastAsia="Calibri" w:cs="Arial"/>
        </w:rPr>
        <w:t>Ipomea</w:t>
      </w:r>
      <w:proofErr w:type="spellEnd"/>
      <w:r w:rsidRPr="00726ECC">
        <w:rPr>
          <w:rFonts w:eastAsia="Calibri" w:cs="Arial"/>
        </w:rPr>
        <w:t xml:space="preserve">, </w:t>
      </w:r>
      <w:proofErr w:type="spellStart"/>
      <w:r w:rsidRPr="00726ECC">
        <w:rPr>
          <w:rFonts w:eastAsia="Calibri" w:cs="Arial"/>
        </w:rPr>
        <w:t>Iberis</w:t>
      </w:r>
      <w:proofErr w:type="spellEnd"/>
      <w:r w:rsidRPr="00726ECC">
        <w:rPr>
          <w:rFonts w:eastAsia="Calibri" w:cs="Arial"/>
        </w:rPr>
        <w:t xml:space="preserve">, </w:t>
      </w:r>
      <w:proofErr w:type="spellStart"/>
      <w:proofErr w:type="gramStart"/>
      <w:r w:rsidRPr="00726ECC">
        <w:rPr>
          <w:rFonts w:eastAsia="Calibri" w:cs="Arial"/>
        </w:rPr>
        <w:t>Scabiosa</w:t>
      </w:r>
      <w:proofErr w:type="spellEnd"/>
      <w:r w:rsidRPr="00726ECC">
        <w:rPr>
          <w:rFonts w:eastAsia="Calibri" w:cs="Arial"/>
        </w:rPr>
        <w:t>, …</w:t>
      </w:r>
      <w:proofErr w:type="gramEnd"/>
    </w:p>
    <w:p w:rsidR="00E563A8" w:rsidRPr="00726ECC" w:rsidRDefault="00E563A8" w:rsidP="007F54C4">
      <w:pPr>
        <w:rPr>
          <w:rFonts w:eastAsia="Calibri" w:cs="Arial"/>
          <w:bCs/>
        </w:rPr>
      </w:pPr>
      <w:r w:rsidRPr="00726ECC">
        <w:rPr>
          <w:rFonts w:eastAsia="Calibri" w:cs="Arial"/>
        </w:rPr>
        <w:t xml:space="preserve">GEVES </w:t>
      </w:r>
      <w:proofErr w:type="gramStart"/>
      <w:r w:rsidRPr="00726ECC">
        <w:rPr>
          <w:rFonts w:eastAsia="Calibri" w:cs="Arial"/>
        </w:rPr>
        <w:t>is now also entrusted</w:t>
      </w:r>
      <w:proofErr w:type="gramEnd"/>
      <w:r w:rsidRPr="00726ECC">
        <w:rPr>
          <w:rFonts w:eastAsia="Calibri" w:cs="Arial"/>
        </w:rPr>
        <w:t xml:space="preserve"> by CPVO on Chrysanthemum natural season: </w:t>
      </w:r>
      <w:r w:rsidRPr="00726ECC">
        <w:rPr>
          <w:rFonts w:eastAsia="Calibri" w:cs="Arial"/>
          <w:bCs/>
        </w:rPr>
        <w:t>24 applications are under test in 2020.</w:t>
      </w:r>
    </w:p>
    <w:p w:rsidR="00E563A8" w:rsidRPr="00E563A8" w:rsidRDefault="00E563A8" w:rsidP="007F54C4">
      <w:pPr>
        <w:rPr>
          <w:rFonts w:eastAsia="Calibri"/>
        </w:rPr>
      </w:pPr>
    </w:p>
    <w:p w:rsidR="00E563A8" w:rsidRPr="00E563A8" w:rsidRDefault="00E563A8" w:rsidP="007F54C4">
      <w:pPr>
        <w:rPr>
          <w:rFonts w:eastAsia="Calibri"/>
        </w:rPr>
      </w:pPr>
      <w:r w:rsidRPr="00E563A8">
        <w:rPr>
          <w:rFonts w:eastAsia="Calibri"/>
        </w:rPr>
        <w:t xml:space="preserve">GEVES has made a certain number of investments in order to be able to support this increase in activities (new experts, new </w:t>
      </w:r>
      <w:proofErr w:type="spellStart"/>
      <w:r w:rsidRPr="00E563A8">
        <w:rPr>
          <w:rFonts w:eastAsia="Calibri"/>
        </w:rPr>
        <w:t>equipment</w:t>
      </w:r>
      <w:proofErr w:type="gramStart"/>
      <w:r w:rsidRPr="00E563A8">
        <w:rPr>
          <w:rFonts w:eastAsia="Calibri"/>
        </w:rPr>
        <w:t>,etc</w:t>
      </w:r>
      <w:proofErr w:type="spellEnd"/>
      <w:proofErr w:type="gramEnd"/>
      <w:r w:rsidRPr="00E563A8">
        <w:rPr>
          <w:rFonts w:eastAsia="Calibri"/>
        </w:rPr>
        <w:t xml:space="preserve">), in particular the current building of a new greenhouse on the </w:t>
      </w:r>
      <w:proofErr w:type="spellStart"/>
      <w:r w:rsidRPr="00E563A8">
        <w:rPr>
          <w:rFonts w:eastAsia="Calibri"/>
        </w:rPr>
        <w:t>Brion</w:t>
      </w:r>
      <w:proofErr w:type="spellEnd"/>
      <w:r w:rsidRPr="00E563A8">
        <w:rPr>
          <w:rFonts w:eastAsia="Calibri"/>
        </w:rPr>
        <w:t xml:space="preserve"> site.</w:t>
      </w:r>
    </w:p>
    <w:p w:rsidR="00E563A8" w:rsidRPr="00E563A8" w:rsidRDefault="00E563A8" w:rsidP="007F54C4">
      <w:pPr>
        <w:rPr>
          <w:rFonts w:eastAsia="Calibri"/>
        </w:rPr>
      </w:pPr>
    </w:p>
    <w:p w:rsidR="00E563A8" w:rsidRPr="00E563A8" w:rsidRDefault="00E563A8" w:rsidP="007F54C4">
      <w:pPr>
        <w:rPr>
          <w:rFonts w:eastAsia="Calibri"/>
        </w:rPr>
      </w:pPr>
      <w:r w:rsidRPr="00E563A8">
        <w:rPr>
          <w:rFonts w:eastAsia="Calibri"/>
        </w:rPr>
        <w:t xml:space="preserve">In addition, GEVES has improved its procedures for the receipt of plant material (candidate varieties or reference ones) in relation to the EU Regulation </w:t>
      </w:r>
      <w:hyperlink r:id="rId13" w:history="1">
        <w:r w:rsidRPr="00E563A8">
          <w:rPr>
            <w:rFonts w:eastAsia="Calibri"/>
            <w:color w:val="0000FF"/>
            <w:u w:val="single"/>
          </w:rPr>
          <w:t>2016/2031</w:t>
        </w:r>
      </w:hyperlink>
      <w:r w:rsidRPr="00E563A8">
        <w:rPr>
          <w:rFonts w:eastAsia="Calibri"/>
        </w:rPr>
        <w:t xml:space="preserve"> of the European Parliament and of the Council on protective measures against pest of plants and its implementing regulation </w:t>
      </w:r>
      <w:hyperlink r:id="rId14" w:history="1">
        <w:r w:rsidRPr="00E563A8">
          <w:rPr>
            <w:rFonts w:eastAsia="Calibri"/>
            <w:color w:val="0000FF"/>
            <w:u w:val="single"/>
          </w:rPr>
          <w:t>EU 2019/2072</w:t>
        </w:r>
      </w:hyperlink>
      <w:r w:rsidRPr="00E563A8">
        <w:rPr>
          <w:rFonts w:eastAsia="Calibri"/>
        </w:rPr>
        <w:t xml:space="preserve"> implemented since 14 December 2019.</w:t>
      </w:r>
    </w:p>
    <w:p w:rsidR="00E563A8" w:rsidRPr="00E563A8" w:rsidRDefault="00E563A8" w:rsidP="007F54C4">
      <w:pPr>
        <w:rPr>
          <w:rFonts w:eastAsia="Calibri"/>
        </w:rPr>
      </w:pPr>
    </w:p>
    <w:p w:rsidR="00E563A8" w:rsidRDefault="00E563A8" w:rsidP="007F54C4">
      <w:pPr>
        <w:rPr>
          <w:rFonts w:eastAsia="Calibri"/>
        </w:rPr>
      </w:pPr>
      <w:r w:rsidRPr="00E563A8">
        <w:rPr>
          <w:rFonts w:eastAsia="Calibri"/>
        </w:rPr>
        <w:t>GEVES has been highly involved for the last few years in the following topics:</w:t>
      </w:r>
    </w:p>
    <w:p w:rsidR="007F54C4" w:rsidRPr="00E563A8" w:rsidRDefault="007F54C4" w:rsidP="007F54C4">
      <w:pPr>
        <w:rPr>
          <w:rFonts w:eastAsia="Calibri"/>
        </w:rPr>
      </w:pPr>
    </w:p>
    <w:p w:rsidR="00E563A8" w:rsidRPr="001D3231" w:rsidRDefault="00E563A8" w:rsidP="00E563A8">
      <w:pPr>
        <w:ind w:left="426" w:hanging="142"/>
        <w:rPr>
          <w:rFonts w:eastAsia="Calibri" w:cs="Arial"/>
        </w:rPr>
      </w:pPr>
      <w:r w:rsidRPr="001D3231">
        <w:rPr>
          <w:rFonts w:eastAsia="Calibri" w:cs="Arial"/>
        </w:rPr>
        <w:t xml:space="preserve">- </w:t>
      </w:r>
      <w:proofErr w:type="gramStart"/>
      <w:r w:rsidRPr="001D3231">
        <w:rPr>
          <w:rFonts w:eastAsia="Calibri" w:cs="Arial"/>
        </w:rPr>
        <w:t>the</w:t>
      </w:r>
      <w:proofErr w:type="gramEnd"/>
      <w:r w:rsidRPr="001D3231">
        <w:rPr>
          <w:rFonts w:eastAsia="Calibri" w:cs="Arial"/>
        </w:rPr>
        <w:t xml:space="preserve"> use of molecular markers in the DUS tests for the management of reference collections, for the identification and characterization of varieties, for checking of hybrid conformity. It </w:t>
      </w:r>
      <w:proofErr w:type="gramStart"/>
      <w:r w:rsidRPr="001D3231">
        <w:rPr>
          <w:rFonts w:eastAsia="Calibri" w:cs="Arial"/>
        </w:rPr>
        <w:t>is routinely used</w:t>
      </w:r>
      <w:proofErr w:type="gramEnd"/>
      <w:r w:rsidRPr="001D3231">
        <w:rPr>
          <w:rFonts w:eastAsia="Calibri" w:cs="Arial"/>
        </w:rPr>
        <w:t xml:space="preserve"> in maize, barley, sorghum, and fruit species</w:t>
      </w:r>
    </w:p>
    <w:p w:rsidR="00E563A8" w:rsidRPr="001D3231" w:rsidRDefault="00E563A8" w:rsidP="00E563A8">
      <w:pPr>
        <w:ind w:left="426" w:hanging="142"/>
        <w:rPr>
          <w:rFonts w:eastAsia="Calibri" w:cs="Arial"/>
        </w:rPr>
      </w:pPr>
      <w:r w:rsidRPr="001D3231">
        <w:rPr>
          <w:rFonts w:eastAsia="Calibri" w:cs="Arial"/>
        </w:rPr>
        <w:t xml:space="preserve">- </w:t>
      </w:r>
      <w:proofErr w:type="gramStart"/>
      <w:r w:rsidRPr="001D3231">
        <w:rPr>
          <w:rFonts w:eastAsia="Calibri" w:cs="Arial"/>
        </w:rPr>
        <w:t>continuous</w:t>
      </w:r>
      <w:proofErr w:type="gramEnd"/>
      <w:r w:rsidRPr="001D3231">
        <w:rPr>
          <w:rFonts w:eastAsia="Calibri" w:cs="Arial"/>
        </w:rPr>
        <w:t xml:space="preserve"> improvement of our methods and protocols, in line with CPVO TPs and CPVO requirements and UPOV guidance </w:t>
      </w:r>
    </w:p>
    <w:p w:rsidR="00E563A8" w:rsidRPr="001D3231" w:rsidRDefault="00E563A8" w:rsidP="00E563A8">
      <w:pPr>
        <w:ind w:left="426" w:hanging="142"/>
        <w:rPr>
          <w:rFonts w:eastAsia="Calibri" w:cs="Arial"/>
        </w:rPr>
      </w:pPr>
      <w:r w:rsidRPr="001D3231">
        <w:rPr>
          <w:rFonts w:eastAsia="Calibri" w:cs="Arial"/>
        </w:rPr>
        <w:t xml:space="preserve">- </w:t>
      </w:r>
      <w:proofErr w:type="gramStart"/>
      <w:r w:rsidRPr="001D3231">
        <w:rPr>
          <w:rFonts w:eastAsia="Calibri" w:cs="Arial"/>
        </w:rPr>
        <w:t>use</w:t>
      </w:r>
      <w:proofErr w:type="gramEnd"/>
      <w:r w:rsidRPr="001D3231">
        <w:rPr>
          <w:rFonts w:eastAsia="Calibri" w:cs="Arial"/>
        </w:rPr>
        <w:t xml:space="preserve"> and development of disease resistance characteristics, processed in bio tests, for DUS results, mainly for vegetable DUS testing</w:t>
      </w:r>
    </w:p>
    <w:p w:rsidR="00E563A8" w:rsidRPr="00E563A8" w:rsidRDefault="00E563A8" w:rsidP="007F54C4">
      <w:pPr>
        <w:rPr>
          <w:rFonts w:eastAsia="Calibri"/>
        </w:rPr>
      </w:pPr>
    </w:p>
    <w:p w:rsidR="00E563A8" w:rsidRPr="00E563A8" w:rsidRDefault="00E563A8" w:rsidP="007F54C4">
      <w:pPr>
        <w:rPr>
          <w:rFonts w:eastAsia="Calibri"/>
        </w:rPr>
      </w:pPr>
    </w:p>
    <w:p w:rsidR="00E563A8" w:rsidRPr="00E563A8" w:rsidRDefault="00E563A8" w:rsidP="007F54C4">
      <w:pPr>
        <w:rPr>
          <w:rFonts w:eastAsia="Calibri"/>
        </w:rPr>
      </w:pPr>
      <w:r w:rsidRPr="00E563A8">
        <w:rPr>
          <w:rFonts w:eastAsia="Calibri"/>
        </w:rPr>
        <w:t xml:space="preserve">Regarding the use of molecular markers, GEVES is using in 2020 in routine molecular markers for the management of reference collection according to UPOV guidance, for maize, sorghum, spring barley. </w:t>
      </w:r>
    </w:p>
    <w:p w:rsidR="00E563A8" w:rsidRPr="00E563A8" w:rsidRDefault="00E563A8" w:rsidP="007F54C4">
      <w:pPr>
        <w:rPr>
          <w:rFonts w:eastAsia="Calibri"/>
        </w:rPr>
      </w:pPr>
      <w:r w:rsidRPr="00E563A8">
        <w:rPr>
          <w:rFonts w:eastAsia="Calibri"/>
        </w:rPr>
        <w:t xml:space="preserve">A project </w:t>
      </w:r>
      <w:proofErr w:type="gramStart"/>
      <w:r w:rsidRPr="00E563A8">
        <w:rPr>
          <w:rFonts w:eastAsia="Calibri"/>
        </w:rPr>
        <w:t>is being currently led</w:t>
      </w:r>
      <w:proofErr w:type="gramEnd"/>
      <w:r w:rsidRPr="00E563A8">
        <w:rPr>
          <w:rFonts w:eastAsia="Calibri"/>
        </w:rPr>
        <w:t xml:space="preserve"> on Oilseed rape.</w:t>
      </w:r>
    </w:p>
    <w:p w:rsidR="00E563A8" w:rsidRPr="00E563A8" w:rsidRDefault="00E563A8" w:rsidP="007F54C4">
      <w:pPr>
        <w:rPr>
          <w:rFonts w:eastAsia="Calibri"/>
        </w:rPr>
      </w:pPr>
      <w:r w:rsidRPr="00E563A8">
        <w:rPr>
          <w:rFonts w:eastAsia="Calibri"/>
        </w:rPr>
        <w:t xml:space="preserve">GEVES is working on the revision of UPOV document INF17 and TGP/15. </w:t>
      </w:r>
    </w:p>
    <w:p w:rsidR="00E563A8" w:rsidRPr="00E563A8" w:rsidRDefault="00E563A8" w:rsidP="007F54C4">
      <w:pPr>
        <w:rPr>
          <w:rFonts w:eastAsia="Calibri"/>
        </w:rPr>
      </w:pPr>
      <w:r w:rsidRPr="00E563A8">
        <w:rPr>
          <w:rFonts w:eastAsia="Calibri"/>
        </w:rPr>
        <w:t xml:space="preserve">GEVES presented the revision of the example of parent lines in maize included in TGP/15. An additional threshold </w:t>
      </w:r>
      <w:proofErr w:type="gramStart"/>
      <w:r w:rsidRPr="00E563A8">
        <w:rPr>
          <w:rFonts w:eastAsia="Calibri"/>
        </w:rPr>
        <w:t>has now been implemented</w:t>
      </w:r>
      <w:proofErr w:type="gramEnd"/>
      <w:r w:rsidRPr="00E563A8">
        <w:rPr>
          <w:rFonts w:eastAsia="Calibri"/>
        </w:rPr>
        <w:t xml:space="preserve"> in France in the model used for parent lines in maize. The revision of the example included in document TGP/15 </w:t>
      </w:r>
      <w:proofErr w:type="gramStart"/>
      <w:r w:rsidRPr="00E563A8">
        <w:rPr>
          <w:rFonts w:eastAsia="Calibri"/>
        </w:rPr>
        <w:t>has been presented</w:t>
      </w:r>
      <w:proofErr w:type="gramEnd"/>
      <w:r w:rsidRPr="00E563A8">
        <w:rPr>
          <w:rFonts w:eastAsia="Calibri"/>
        </w:rPr>
        <w:t xml:space="preserve"> by GEVES during the 2019 BMT.</w:t>
      </w:r>
    </w:p>
    <w:p w:rsidR="00E563A8" w:rsidRPr="00E563A8" w:rsidRDefault="00E563A8" w:rsidP="007F54C4">
      <w:pPr>
        <w:rPr>
          <w:rFonts w:eastAsia="Calibri" w:cs="Calibri"/>
        </w:rPr>
      </w:pPr>
      <w:r w:rsidRPr="00E563A8">
        <w:rPr>
          <w:rFonts w:eastAsia="Calibri"/>
        </w:rPr>
        <w:t xml:space="preserve">For more information, please contact: GEVES BIOGEVES </w:t>
      </w:r>
      <w:hyperlink r:id="rId15" w:history="1">
        <w:r w:rsidRPr="00E563A8">
          <w:rPr>
            <w:rFonts w:eastAsia="Calibri" w:cs="Calibri"/>
            <w:color w:val="0000FF"/>
            <w:u w:val="single"/>
          </w:rPr>
          <w:t>rene.mathis@geves.fr</w:t>
        </w:r>
      </w:hyperlink>
      <w:r w:rsidRPr="00E563A8">
        <w:rPr>
          <w:rFonts w:eastAsia="Calibri" w:cs="Calibri"/>
        </w:rPr>
        <w:t>.</w:t>
      </w:r>
    </w:p>
    <w:p w:rsidR="00E563A8" w:rsidRPr="00E563A8" w:rsidRDefault="00E563A8" w:rsidP="007F54C4">
      <w:pPr>
        <w:rPr>
          <w:rFonts w:eastAsia="Calibri"/>
        </w:rPr>
      </w:pPr>
      <w:r w:rsidRPr="00E563A8">
        <w:rPr>
          <w:rFonts w:eastAsia="Calibri"/>
        </w:rPr>
        <w:t xml:space="preserve">Regarding the use of disease resistance characteristics, GEVES has been involved in the CPVO project </w:t>
      </w:r>
      <w:proofErr w:type="spellStart"/>
      <w:r w:rsidRPr="00E563A8">
        <w:rPr>
          <w:rFonts w:eastAsia="Calibri"/>
        </w:rPr>
        <w:t>Harmores</w:t>
      </w:r>
      <w:proofErr w:type="spellEnd"/>
      <w:r w:rsidRPr="00E563A8">
        <w:rPr>
          <w:rFonts w:eastAsia="Calibri"/>
        </w:rPr>
        <w:t xml:space="preserve"> 3 with 7 other EO and breeders. It produced </w:t>
      </w:r>
      <w:proofErr w:type="gramStart"/>
      <w:r w:rsidRPr="00E563A8">
        <w:rPr>
          <w:rFonts w:eastAsia="Calibri"/>
        </w:rPr>
        <w:t>6</w:t>
      </w:r>
      <w:proofErr w:type="gramEnd"/>
      <w:r w:rsidRPr="00E563A8">
        <w:rPr>
          <w:rFonts w:eastAsia="Calibri"/>
        </w:rPr>
        <w:t xml:space="preserve"> new harmonized protocols.</w:t>
      </w:r>
    </w:p>
    <w:p w:rsidR="00E563A8" w:rsidRPr="00E563A8" w:rsidRDefault="00E563A8" w:rsidP="007F54C4">
      <w:pPr>
        <w:rPr>
          <w:rFonts w:eastAsia="Calibri" w:cs="Calibri"/>
          <w:szCs w:val="24"/>
          <w:lang w:eastAsia="fr-FR"/>
        </w:rPr>
      </w:pPr>
      <w:r w:rsidRPr="00E563A8">
        <w:rPr>
          <w:rFonts w:eastAsia="Calibri"/>
        </w:rPr>
        <w:t xml:space="preserve">GEVES uses in routine genetic disease resistance characteristics, processed in bio tests, for DUS results. It provides also services, facilities, protocols, identified standards and strains for such activities to Examination Offices and seed companies, all over the world. For more information, please contact: GEVES SNES </w:t>
      </w:r>
      <w:hyperlink r:id="rId16" w:history="1">
        <w:r w:rsidRPr="00E563A8">
          <w:rPr>
            <w:rFonts w:eastAsia="Calibri" w:cs="Calibri"/>
            <w:color w:val="0000FF"/>
            <w:szCs w:val="24"/>
            <w:u w:val="single"/>
            <w:lang w:eastAsia="fr-FR"/>
          </w:rPr>
          <w:t>valerie.grimault@geves.fr</w:t>
        </w:r>
      </w:hyperlink>
      <w:r w:rsidRPr="00E563A8">
        <w:rPr>
          <w:rFonts w:eastAsia="Calibri" w:cs="Calibri"/>
          <w:szCs w:val="24"/>
          <w:lang w:eastAsia="fr-FR"/>
        </w:rPr>
        <w:t>.</w:t>
      </w:r>
    </w:p>
    <w:p w:rsidR="00E563A8" w:rsidRPr="00EA452B" w:rsidRDefault="00E563A8" w:rsidP="007F54C4">
      <w:pPr>
        <w:rPr>
          <w:rFonts w:eastAsia="Calibri" w:cs="Calibri"/>
          <w:szCs w:val="24"/>
          <w:lang w:eastAsia="fr-FR"/>
        </w:rPr>
      </w:pPr>
      <w:r w:rsidRPr="00E563A8">
        <w:rPr>
          <w:rFonts w:eastAsia="Calibri" w:cs="Calibri"/>
          <w:szCs w:val="24"/>
          <w:lang w:eastAsia="fr-FR"/>
        </w:rPr>
        <w:t xml:space="preserve">GEVES led with </w:t>
      </w:r>
      <w:proofErr w:type="spellStart"/>
      <w:r w:rsidRPr="00E563A8">
        <w:rPr>
          <w:rFonts w:eastAsia="Calibri" w:cs="Calibri"/>
          <w:szCs w:val="24"/>
          <w:lang w:eastAsia="fr-FR"/>
        </w:rPr>
        <w:t>Naktuinbouw</w:t>
      </w:r>
      <w:proofErr w:type="spellEnd"/>
      <w:r w:rsidRPr="00E563A8">
        <w:rPr>
          <w:rFonts w:eastAsia="Calibri" w:cs="Calibri"/>
          <w:szCs w:val="24"/>
          <w:lang w:eastAsia="fr-FR"/>
        </w:rPr>
        <w:t xml:space="preserve"> (NL) the project HARMORESCOLL, founded by CPVO. This project aims for a </w:t>
      </w:r>
      <w:proofErr w:type="spellStart"/>
      <w:r w:rsidRPr="00E563A8">
        <w:rPr>
          <w:rFonts w:eastAsia="Calibri" w:cs="Calibri"/>
          <w:szCs w:val="24"/>
          <w:lang w:eastAsia="fr-FR"/>
        </w:rPr>
        <w:t>harmonised</w:t>
      </w:r>
      <w:proofErr w:type="spellEnd"/>
      <w:r w:rsidRPr="00E563A8">
        <w:rPr>
          <w:rFonts w:eastAsia="Calibri" w:cs="Calibri"/>
          <w:szCs w:val="24"/>
          <w:lang w:eastAsia="fr-FR"/>
        </w:rPr>
        <w:t xml:space="preserve"> collection of reference materials (varieties, isolates, differentials) used in disease resistance tests for vegetable variety testing. </w:t>
      </w:r>
      <w:hyperlink r:id="rId17" w:history="1">
        <w:r w:rsidRPr="00EA452B">
          <w:rPr>
            <w:rFonts w:eastAsia="Calibri" w:cs="Calibri"/>
            <w:color w:val="0000FF"/>
            <w:szCs w:val="24"/>
            <w:u w:val="single"/>
            <w:lang w:eastAsia="fr-FR"/>
          </w:rPr>
          <w:t>https://www.researchgate.net/project/Harmorescoll-Setting-up-an-EU-system-for-harmonized-collections-of-reference-isolates-controls-and-differentials-to-facilitate-disease-resistance-testing</w:t>
        </w:r>
      </w:hyperlink>
    </w:p>
    <w:p w:rsidR="00E563A8" w:rsidRPr="00EA452B" w:rsidRDefault="00E563A8" w:rsidP="007F54C4">
      <w:pPr>
        <w:rPr>
          <w:rFonts w:eastAsia="Calibri"/>
          <w:lang w:eastAsia="fr-FR"/>
        </w:rPr>
      </w:pPr>
    </w:p>
    <w:p w:rsidR="00E563A8" w:rsidRPr="00E563A8" w:rsidRDefault="00E563A8" w:rsidP="007F54C4">
      <w:pPr>
        <w:rPr>
          <w:rFonts w:eastAsia="Calibri"/>
          <w:lang w:eastAsia="fr-FR"/>
        </w:rPr>
      </w:pPr>
      <w:proofErr w:type="gramStart"/>
      <w:r w:rsidRPr="00E563A8">
        <w:rPr>
          <w:rFonts w:eastAsia="Calibri"/>
          <w:lang w:eastAsia="fr-FR"/>
        </w:rPr>
        <w:t>On 8</w:t>
      </w:r>
      <w:r w:rsidRPr="00E563A8">
        <w:rPr>
          <w:rFonts w:eastAsia="Calibri"/>
          <w:vertAlign w:val="superscript"/>
          <w:lang w:eastAsia="fr-FR"/>
        </w:rPr>
        <w:t>th</w:t>
      </w:r>
      <w:r w:rsidRPr="00E563A8">
        <w:rPr>
          <w:rFonts w:eastAsia="Calibri"/>
          <w:lang w:eastAsia="fr-FR"/>
        </w:rPr>
        <w:t xml:space="preserve"> July 2019, GEVES hosted the kick off meeting of the EU H2020 “INVITE “ Project for "</w:t>
      </w:r>
      <w:proofErr w:type="spellStart"/>
      <w:r w:rsidRPr="00E563A8">
        <w:rPr>
          <w:rFonts w:eastAsia="Calibri"/>
          <w:b/>
          <w:bCs/>
          <w:lang w:eastAsia="fr-FR"/>
        </w:rPr>
        <w:t>IN</w:t>
      </w:r>
      <w:r w:rsidRPr="00E563A8">
        <w:rPr>
          <w:rFonts w:eastAsia="Calibri"/>
          <w:lang w:eastAsia="fr-FR"/>
        </w:rPr>
        <w:t>novations</w:t>
      </w:r>
      <w:proofErr w:type="spellEnd"/>
      <w:r w:rsidRPr="00E563A8">
        <w:rPr>
          <w:rFonts w:eastAsia="Calibri"/>
          <w:lang w:eastAsia="fr-FR"/>
        </w:rPr>
        <w:t xml:space="preserve"> in plant </w:t>
      </w:r>
      <w:proofErr w:type="spellStart"/>
      <w:r w:rsidRPr="00E563A8">
        <w:rPr>
          <w:rFonts w:eastAsia="Calibri"/>
          <w:b/>
          <w:bCs/>
          <w:lang w:eastAsia="fr-FR"/>
        </w:rPr>
        <w:t>V</w:t>
      </w:r>
      <w:r w:rsidRPr="00E563A8">
        <w:rPr>
          <w:rFonts w:eastAsia="Calibri"/>
          <w:lang w:eastAsia="fr-FR"/>
        </w:rPr>
        <w:t>ar</w:t>
      </w:r>
      <w:r w:rsidRPr="00E563A8">
        <w:rPr>
          <w:rFonts w:eastAsia="Calibri"/>
          <w:b/>
          <w:bCs/>
          <w:lang w:eastAsia="fr-FR"/>
        </w:rPr>
        <w:t>I</w:t>
      </w:r>
      <w:r w:rsidRPr="00E563A8">
        <w:rPr>
          <w:rFonts w:eastAsia="Calibri"/>
          <w:lang w:eastAsia="fr-FR"/>
        </w:rPr>
        <w:t>ety</w:t>
      </w:r>
      <w:proofErr w:type="spellEnd"/>
      <w:r w:rsidRPr="00E563A8">
        <w:rPr>
          <w:rFonts w:eastAsia="Calibri"/>
          <w:b/>
          <w:bCs/>
          <w:lang w:eastAsia="fr-FR"/>
        </w:rPr>
        <w:t xml:space="preserve"> T</w:t>
      </w:r>
      <w:r w:rsidRPr="00E563A8">
        <w:rPr>
          <w:rFonts w:eastAsia="Calibri"/>
          <w:lang w:eastAsia="fr-FR"/>
        </w:rPr>
        <w:t xml:space="preserve">esting in </w:t>
      </w:r>
      <w:r w:rsidRPr="00E563A8">
        <w:rPr>
          <w:rFonts w:eastAsia="Calibri"/>
          <w:b/>
          <w:bCs/>
          <w:lang w:eastAsia="fr-FR"/>
        </w:rPr>
        <w:t>E</w:t>
      </w:r>
      <w:r w:rsidRPr="00E563A8">
        <w:rPr>
          <w:rFonts w:eastAsia="Calibri"/>
          <w:lang w:eastAsia="fr-FR"/>
        </w:rPr>
        <w:t xml:space="preserve">urope", in which it is </w:t>
      </w:r>
      <w:proofErr w:type="spellStart"/>
      <w:r w:rsidRPr="00E563A8">
        <w:rPr>
          <w:rFonts w:eastAsia="Calibri"/>
          <w:lang w:eastAsia="fr-FR"/>
        </w:rPr>
        <w:t>involved.This</w:t>
      </w:r>
      <w:proofErr w:type="spellEnd"/>
      <w:r w:rsidRPr="00E563A8">
        <w:rPr>
          <w:rFonts w:eastAsia="Calibri"/>
          <w:lang w:eastAsia="fr-FR"/>
        </w:rPr>
        <w:t xml:space="preserve"> 5-year project, with 29 partners throughout Europe (research institutes, examination offices, post-registration </w:t>
      </w:r>
      <w:proofErr w:type="spellStart"/>
      <w:r w:rsidRPr="00E563A8">
        <w:rPr>
          <w:rFonts w:eastAsia="Calibri"/>
          <w:lang w:eastAsia="fr-FR"/>
        </w:rPr>
        <w:t>organisations</w:t>
      </w:r>
      <w:proofErr w:type="spellEnd"/>
      <w:r w:rsidRPr="00E563A8">
        <w:rPr>
          <w:rFonts w:eastAsia="Calibri"/>
          <w:lang w:eastAsia="fr-FR"/>
        </w:rPr>
        <w:t>, seed companies), aims to improve both methods in the evaluation of varieties and information available to decision makers on varietal performance, under a wide variety of biotic and abiotic conditions.</w:t>
      </w:r>
      <w:proofErr w:type="gramEnd"/>
      <w:r w:rsidRPr="00E563A8">
        <w:rPr>
          <w:rFonts w:eastAsia="Calibri"/>
          <w:lang w:eastAsia="fr-FR"/>
        </w:rPr>
        <w:t xml:space="preserve"> Several species were targeted, primarily wheat and maize, but also sunflower, </w:t>
      </w:r>
      <w:proofErr w:type="spellStart"/>
      <w:r w:rsidRPr="00E563A8">
        <w:rPr>
          <w:rFonts w:eastAsia="Calibri"/>
          <w:lang w:eastAsia="fr-FR"/>
        </w:rPr>
        <w:t>raygrass</w:t>
      </w:r>
      <w:proofErr w:type="spellEnd"/>
      <w:r w:rsidRPr="00E563A8">
        <w:rPr>
          <w:rFonts w:eastAsia="Calibri"/>
          <w:lang w:eastAsia="fr-FR"/>
        </w:rPr>
        <w:t>, potato, apple and tomato. </w:t>
      </w:r>
      <w:hyperlink r:id="rId18" w:history="1">
        <w:r w:rsidRPr="00E563A8">
          <w:rPr>
            <w:rFonts w:eastAsia="Calibri"/>
            <w:color w:val="0000FF"/>
            <w:u w:val="single"/>
            <w:lang w:eastAsia="fr-FR"/>
          </w:rPr>
          <w:t>https://www.h2020-invite.eu/</w:t>
        </w:r>
      </w:hyperlink>
    </w:p>
    <w:p w:rsidR="00E563A8" w:rsidRPr="00E563A8" w:rsidRDefault="00E563A8" w:rsidP="007F54C4">
      <w:pPr>
        <w:rPr>
          <w:rFonts w:eastAsia="Calibri"/>
          <w:lang w:eastAsia="fr-FR"/>
        </w:rPr>
      </w:pPr>
    </w:p>
    <w:p w:rsidR="00E563A8" w:rsidRPr="00E563A8" w:rsidRDefault="00E563A8" w:rsidP="007F54C4">
      <w:pPr>
        <w:rPr>
          <w:rFonts w:eastAsia="Calibri"/>
          <w:lang w:eastAsia="fr-FR"/>
        </w:rPr>
      </w:pPr>
      <w:r w:rsidRPr="00E563A8">
        <w:rPr>
          <w:rFonts w:eastAsia="Calibri"/>
          <w:lang w:eastAsia="fr-FR"/>
        </w:rPr>
        <w:t xml:space="preserve">For more information on GEVES activities, the 2019 Activity Report is available (currently only in French) here: </w:t>
      </w:r>
      <w:hyperlink r:id="rId19" w:history="1">
        <w:r w:rsidRPr="00E563A8">
          <w:rPr>
            <w:rFonts w:eastAsia="Calibri"/>
            <w:color w:val="0000FF"/>
            <w:u w:val="single"/>
            <w:lang w:eastAsia="fr-FR"/>
          </w:rPr>
          <w:t>https://www.geves.fr/actualites/rapport-dactivite-2019/?param=notranslate</w:t>
        </w:r>
      </w:hyperlink>
    </w:p>
    <w:p w:rsidR="00E563A8" w:rsidRPr="00E563A8" w:rsidRDefault="00E563A8" w:rsidP="007F54C4">
      <w:pPr>
        <w:rPr>
          <w:rFonts w:eastAsia="Calibri"/>
          <w:lang w:eastAsia="fr-FR"/>
        </w:rPr>
      </w:pPr>
    </w:p>
    <w:p w:rsidR="00E563A8" w:rsidRDefault="00E563A8" w:rsidP="00050E16"/>
    <w:p w:rsidR="00E563A8" w:rsidRDefault="00E563A8" w:rsidP="00050E16"/>
    <w:p w:rsidR="00E563A8" w:rsidRDefault="00E563A8" w:rsidP="00E563A8">
      <w:pPr>
        <w:jc w:val="right"/>
      </w:pPr>
      <w:r w:rsidRPr="00C5280D">
        <w:t>[</w:t>
      </w:r>
      <w:r>
        <w:t>Annex III follows</w:t>
      </w:r>
      <w:r w:rsidRPr="00C5280D">
        <w:t>]</w:t>
      </w:r>
    </w:p>
    <w:p w:rsidR="00E563A8" w:rsidRDefault="00E563A8" w:rsidP="00050E16">
      <w:pPr>
        <w:sectPr w:rsidR="00E563A8" w:rsidSect="00DD60F9">
          <w:headerReference w:type="default" r:id="rId20"/>
          <w:headerReference w:type="first" r:id="rId21"/>
          <w:pgSz w:w="11907" w:h="16840" w:code="9"/>
          <w:pgMar w:top="510" w:right="1134" w:bottom="1134" w:left="1134" w:header="510" w:footer="680" w:gutter="0"/>
          <w:pgNumType w:start="1"/>
          <w:cols w:space="720"/>
          <w:titlePg/>
        </w:sectPr>
      </w:pPr>
    </w:p>
    <w:p w:rsidR="00E563A8" w:rsidRDefault="00E563A8" w:rsidP="00050E16"/>
    <w:p w:rsidR="00EE5E04" w:rsidRDefault="00EE5E04" w:rsidP="00EE5E04">
      <w:pPr>
        <w:jc w:val="center"/>
      </w:pPr>
      <w:r>
        <w:t>HUNGARY</w:t>
      </w:r>
    </w:p>
    <w:p w:rsidR="00EE5E04" w:rsidRDefault="00EE5E04" w:rsidP="00050E16"/>
    <w:p w:rsidR="00EE5E04" w:rsidRDefault="00EE5E04" w:rsidP="00050E16"/>
    <w:p w:rsidR="00726071" w:rsidRPr="00726071" w:rsidRDefault="00726071" w:rsidP="00726071">
      <w:r w:rsidRPr="00726071">
        <w:t xml:space="preserve">Hungary has ornamental plant breeding from some species, such as </w:t>
      </w:r>
      <w:proofErr w:type="spellStart"/>
      <w:r w:rsidRPr="00726071">
        <w:t>Hemerocallis</w:t>
      </w:r>
      <w:proofErr w:type="spellEnd"/>
      <w:r w:rsidRPr="00726071">
        <w:t xml:space="preserve">, Laburnum, </w:t>
      </w:r>
      <w:proofErr w:type="spellStart"/>
      <w:r w:rsidRPr="00726071">
        <w:t>Sorbus</w:t>
      </w:r>
      <w:proofErr w:type="spellEnd"/>
      <w:r w:rsidRPr="00726071">
        <w:t xml:space="preserve">, </w:t>
      </w:r>
      <w:proofErr w:type="spellStart"/>
      <w:r w:rsidRPr="00726071">
        <w:t>Juniperus</w:t>
      </w:r>
      <w:proofErr w:type="spellEnd"/>
      <w:r w:rsidRPr="00726071">
        <w:t xml:space="preserve">, </w:t>
      </w:r>
      <w:proofErr w:type="spellStart"/>
      <w:r w:rsidRPr="00726071">
        <w:t>Tilia</w:t>
      </w:r>
      <w:proofErr w:type="spellEnd"/>
      <w:r w:rsidRPr="00726071">
        <w:t xml:space="preserve">, Ginkgo, </w:t>
      </w:r>
      <w:proofErr w:type="spellStart"/>
      <w:r w:rsidRPr="00726071">
        <w:t>Hedera</w:t>
      </w:r>
      <w:proofErr w:type="spellEnd"/>
      <w:r w:rsidRPr="00726071">
        <w:t xml:space="preserve">, </w:t>
      </w:r>
      <w:proofErr w:type="spellStart"/>
      <w:r w:rsidRPr="00726071">
        <w:t>Ulmus</w:t>
      </w:r>
      <w:proofErr w:type="spellEnd"/>
      <w:r w:rsidRPr="00726071">
        <w:t xml:space="preserve">, </w:t>
      </w:r>
      <w:proofErr w:type="spellStart"/>
      <w:r w:rsidRPr="00726071">
        <w:t>Prunus</w:t>
      </w:r>
      <w:proofErr w:type="spellEnd"/>
      <w:r w:rsidRPr="00726071">
        <w:t xml:space="preserve"> </w:t>
      </w:r>
      <w:proofErr w:type="spellStart"/>
      <w:r w:rsidRPr="00726071">
        <w:t>laurocerasus</w:t>
      </w:r>
      <w:proofErr w:type="spellEnd"/>
      <w:r w:rsidRPr="00726071">
        <w:t xml:space="preserve">, etc. Most of the Hungarian applications aim is the European PBR. There are some large nursery, who has breeding group, and some breeders, who work alone. </w:t>
      </w:r>
    </w:p>
    <w:p w:rsidR="00726071" w:rsidRPr="00726071" w:rsidRDefault="00726071" w:rsidP="00726071"/>
    <w:p w:rsidR="00726071" w:rsidRPr="00726071" w:rsidRDefault="00726071" w:rsidP="00726071">
      <w:r w:rsidRPr="00726071">
        <w:t>The aim of the breeding is the heat and dry condition tolerance in the case of street trees. The compact growing habit and tolerance of city condition are the other important aim. Spectacular flower form, long flowering period in case of perennials.</w:t>
      </w:r>
    </w:p>
    <w:p w:rsidR="00726071" w:rsidRPr="00726071" w:rsidRDefault="00726071" w:rsidP="00726071"/>
    <w:p w:rsidR="00726071" w:rsidRPr="00726071" w:rsidRDefault="00726071" w:rsidP="00726071">
      <w:r w:rsidRPr="00726071">
        <w:t xml:space="preserve">National Listing. Our office prepares the National Listing. </w:t>
      </w:r>
    </w:p>
    <w:p w:rsidR="00726071" w:rsidRPr="00726071" w:rsidRDefault="00726071" w:rsidP="00726071"/>
    <w:p w:rsidR="00726071" w:rsidRPr="00726071" w:rsidRDefault="00726071" w:rsidP="00726071">
      <w:r w:rsidRPr="00726071">
        <w:t xml:space="preserve">We are CPVO accredited office from many species (actually 86 ornamental species). </w:t>
      </w:r>
      <w:proofErr w:type="gramStart"/>
      <w:r w:rsidRPr="00726071">
        <w:t>Generally</w:t>
      </w:r>
      <w:proofErr w:type="gramEnd"/>
      <w:r w:rsidRPr="00726071">
        <w:t xml:space="preserve"> we participate on the CPVO new species procedure, and some newly wined species make grow the number of accredited species. </w:t>
      </w:r>
    </w:p>
    <w:p w:rsidR="00726071" w:rsidRPr="00726071" w:rsidRDefault="00726071" w:rsidP="00726071">
      <w:r w:rsidRPr="00726071">
        <w:t>Last year we had a successful CPVO audit.</w:t>
      </w:r>
    </w:p>
    <w:p w:rsidR="00726071" w:rsidRPr="00726071" w:rsidRDefault="00726071" w:rsidP="00726071"/>
    <w:p w:rsidR="00726071" w:rsidRPr="00726071" w:rsidRDefault="00726071" w:rsidP="00726071">
      <w:r w:rsidRPr="00726071">
        <w:t>The number of new applications for DUS examination is changing year by year.</w:t>
      </w:r>
    </w:p>
    <w:p w:rsidR="00EE5E04" w:rsidRDefault="00EE5E04" w:rsidP="00050E16"/>
    <w:p w:rsidR="00726071" w:rsidRDefault="00726071" w:rsidP="00050E16"/>
    <w:p w:rsidR="00726071" w:rsidRDefault="00726071" w:rsidP="00050E16"/>
    <w:p w:rsidR="00726071" w:rsidRDefault="00726071" w:rsidP="00050E16"/>
    <w:p w:rsidR="00EE5E04" w:rsidRDefault="00EE5E04" w:rsidP="00050E16"/>
    <w:p w:rsidR="00EE5E04" w:rsidRDefault="00EE5E04" w:rsidP="00EE5E04">
      <w:pPr>
        <w:jc w:val="right"/>
      </w:pPr>
      <w:r w:rsidRPr="00C5280D">
        <w:t>[</w:t>
      </w:r>
      <w:r>
        <w:t>Annex IV follows</w:t>
      </w:r>
      <w:r w:rsidRPr="00C5280D">
        <w:t>]</w:t>
      </w:r>
    </w:p>
    <w:p w:rsidR="00EE5E04" w:rsidRDefault="00EE5E04" w:rsidP="00050E16"/>
    <w:p w:rsidR="00EE5E04" w:rsidRDefault="00EE5E04" w:rsidP="00050E16">
      <w:pPr>
        <w:sectPr w:rsidR="00EE5E04" w:rsidSect="00DD60F9">
          <w:headerReference w:type="default" r:id="rId22"/>
          <w:headerReference w:type="first" r:id="rId23"/>
          <w:pgSz w:w="11907" w:h="16840" w:code="9"/>
          <w:pgMar w:top="510" w:right="1134" w:bottom="1134" w:left="1134" w:header="510" w:footer="680" w:gutter="0"/>
          <w:pgNumType w:start="1"/>
          <w:cols w:space="720"/>
          <w:titlePg/>
        </w:sectPr>
      </w:pPr>
    </w:p>
    <w:p w:rsidR="00EE5E04" w:rsidRDefault="00EE5E04" w:rsidP="00050E16"/>
    <w:p w:rsidR="001061E9" w:rsidRDefault="00E47B01" w:rsidP="00E47B01">
      <w:pPr>
        <w:jc w:val="center"/>
      </w:pPr>
      <w:r>
        <w:t>JAPAN</w:t>
      </w:r>
    </w:p>
    <w:p w:rsidR="00E47B01" w:rsidRDefault="00E47B01" w:rsidP="00050E16"/>
    <w:p w:rsidR="00025912" w:rsidRDefault="00025912" w:rsidP="00050E16"/>
    <w:p w:rsidR="00025912" w:rsidRDefault="00025912" w:rsidP="00025912">
      <w:pPr>
        <w:rPr>
          <w:lang w:eastAsia="ja-JP"/>
        </w:rPr>
      </w:pPr>
      <w:r w:rsidRPr="00025912">
        <w:rPr>
          <w:rFonts w:hint="eastAsia"/>
          <w:lang w:eastAsia="ja-JP"/>
        </w:rPr>
        <w:t>1.</w:t>
      </w:r>
      <w:r w:rsidRPr="00025912">
        <w:rPr>
          <w:lang w:eastAsia="ja-JP"/>
        </w:rPr>
        <w:t xml:space="preserve"> Number of applications in 2019</w:t>
      </w:r>
    </w:p>
    <w:p w:rsidR="00025912" w:rsidRPr="00025912" w:rsidRDefault="00025912" w:rsidP="00025912">
      <w:pPr>
        <w:rPr>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025912" w:rsidRPr="00025912" w:rsidTr="00EA6E90">
        <w:trPr>
          <w:trHeight w:val="285"/>
        </w:trPr>
        <w:tc>
          <w:tcPr>
            <w:tcW w:w="1560" w:type="dxa"/>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hint="eastAsia"/>
                <w:lang w:eastAsia="ja-JP"/>
              </w:rPr>
              <w:t>Y</w:t>
            </w:r>
            <w:r w:rsidRPr="00025912">
              <w:rPr>
                <w:rFonts w:cs="Arial"/>
                <w:lang w:eastAsia="ja-JP"/>
              </w:rPr>
              <w:t>ear</w:t>
            </w:r>
          </w:p>
        </w:tc>
        <w:tc>
          <w:tcPr>
            <w:tcW w:w="1417" w:type="dxa"/>
            <w:tcBorders>
              <w:right w:val="dashed" w:sz="4" w:space="0" w:color="auto"/>
            </w:tcBorders>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hint="eastAsia"/>
                <w:lang w:eastAsia="ja-JP"/>
              </w:rPr>
              <w:t>N</w:t>
            </w:r>
            <w:r w:rsidRPr="00025912">
              <w:rPr>
                <w:rFonts w:cs="Arial"/>
                <w:lang w:eastAsia="ja-JP"/>
              </w:rPr>
              <w:t>umber</w:t>
            </w:r>
          </w:p>
        </w:tc>
        <w:tc>
          <w:tcPr>
            <w:tcW w:w="1559" w:type="dxa"/>
            <w:tcBorders>
              <w:left w:val="dashed" w:sz="4" w:space="0" w:color="auto"/>
              <w:right w:val="single" w:sz="4" w:space="0" w:color="auto"/>
            </w:tcBorders>
          </w:tcPr>
          <w:p w:rsidR="00025912" w:rsidRPr="00025912" w:rsidRDefault="00025912" w:rsidP="00025912">
            <w:pPr>
              <w:widowControl w:val="0"/>
              <w:autoSpaceDE w:val="0"/>
              <w:autoSpaceDN w:val="0"/>
              <w:adjustRightInd w:val="0"/>
              <w:jc w:val="center"/>
              <w:rPr>
                <w:rFonts w:cs="Arial"/>
                <w:lang w:eastAsia="ja-JP"/>
              </w:rPr>
            </w:pPr>
            <w:r w:rsidRPr="00025912">
              <w:rPr>
                <w:rFonts w:cs="Arial"/>
                <w:lang w:eastAsia="ja-JP"/>
              </w:rPr>
              <w:t>(2019/2018)</w:t>
            </w:r>
          </w:p>
        </w:tc>
        <w:tc>
          <w:tcPr>
            <w:tcW w:w="2552" w:type="dxa"/>
            <w:tcBorders>
              <w:left w:val="single" w:sz="4" w:space="0" w:color="auto"/>
              <w:right w:val="dashed" w:sz="4" w:space="0" w:color="auto"/>
            </w:tcBorders>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lang w:eastAsia="ja-JP"/>
              </w:rPr>
              <w:t>Ornamentals</w:t>
            </w:r>
          </w:p>
        </w:tc>
        <w:tc>
          <w:tcPr>
            <w:tcW w:w="1417" w:type="dxa"/>
            <w:tcBorders>
              <w:left w:val="dashed" w:sz="4" w:space="0" w:color="auto"/>
            </w:tcBorders>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lang w:eastAsia="ja-JP"/>
              </w:rPr>
              <w:t xml:space="preserve">(2019/2018) </w:t>
            </w:r>
          </w:p>
        </w:tc>
      </w:tr>
      <w:tr w:rsidR="00025912" w:rsidRPr="00025912" w:rsidTr="00EA6E90">
        <w:trPr>
          <w:trHeight w:val="70"/>
        </w:trPr>
        <w:tc>
          <w:tcPr>
            <w:tcW w:w="1560" w:type="dxa"/>
            <w:tcBorders>
              <w:top w:val="single" w:sz="4" w:space="0" w:color="auto"/>
              <w:left w:val="single" w:sz="4" w:space="0" w:color="auto"/>
              <w:bottom w:val="single" w:sz="4" w:space="0" w:color="auto"/>
              <w:right w:val="single" w:sz="4" w:space="0" w:color="auto"/>
            </w:tcBorders>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lang w:eastAsia="ja-JP"/>
              </w:rPr>
              <w:t>1978 to 2019</w:t>
            </w:r>
          </w:p>
        </w:tc>
        <w:tc>
          <w:tcPr>
            <w:tcW w:w="1417" w:type="dxa"/>
            <w:tcBorders>
              <w:top w:val="single" w:sz="4" w:space="0" w:color="auto"/>
              <w:left w:val="single" w:sz="4" w:space="0" w:color="auto"/>
              <w:bottom w:val="single" w:sz="4" w:space="0" w:color="auto"/>
              <w:right w:val="dashed" w:sz="4" w:space="0" w:color="auto"/>
            </w:tcBorders>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hint="eastAsia"/>
                <w:lang w:eastAsia="ja-JP"/>
              </w:rPr>
              <w:t>34,443</w:t>
            </w:r>
          </w:p>
        </w:tc>
        <w:tc>
          <w:tcPr>
            <w:tcW w:w="1559" w:type="dxa"/>
            <w:tcBorders>
              <w:top w:val="single" w:sz="4" w:space="0" w:color="auto"/>
              <w:left w:val="dashed" w:sz="4" w:space="0" w:color="auto"/>
              <w:bottom w:val="single" w:sz="4" w:space="0" w:color="auto"/>
              <w:right w:val="single" w:sz="4" w:space="0" w:color="auto"/>
            </w:tcBorders>
          </w:tcPr>
          <w:p w:rsidR="00025912" w:rsidRPr="00025912" w:rsidRDefault="00025912" w:rsidP="00025912">
            <w:pPr>
              <w:widowControl w:val="0"/>
              <w:autoSpaceDE w:val="0"/>
              <w:autoSpaceDN w:val="0"/>
              <w:adjustRightInd w:val="0"/>
              <w:jc w:val="center"/>
              <w:rPr>
                <w:rFonts w:cs="Arial"/>
                <w:lang w:eastAsia="ja-JP"/>
              </w:rPr>
            </w:pPr>
            <w:r w:rsidRPr="00025912">
              <w:rPr>
                <w:rFonts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hint="eastAsia"/>
                <w:lang w:eastAsia="ja-JP"/>
              </w:rPr>
              <w:t>27,</w:t>
            </w:r>
            <w:r w:rsidRPr="00025912">
              <w:rPr>
                <w:rFonts w:cs="Arial"/>
                <w:lang w:eastAsia="ja-JP"/>
              </w:rPr>
              <w:t>346</w:t>
            </w:r>
          </w:p>
        </w:tc>
        <w:tc>
          <w:tcPr>
            <w:tcW w:w="1417" w:type="dxa"/>
            <w:tcBorders>
              <w:top w:val="single" w:sz="4" w:space="0" w:color="auto"/>
              <w:left w:val="dashed" w:sz="4" w:space="0" w:color="auto"/>
              <w:bottom w:val="single" w:sz="4" w:space="0" w:color="auto"/>
              <w:right w:val="single" w:sz="4" w:space="0" w:color="auto"/>
            </w:tcBorders>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lang w:eastAsia="ja-JP"/>
              </w:rPr>
              <w:t>-</w:t>
            </w:r>
          </w:p>
        </w:tc>
      </w:tr>
      <w:tr w:rsidR="00025912" w:rsidRPr="00025912" w:rsidTr="00EA6E90">
        <w:trPr>
          <w:trHeight w:val="368"/>
        </w:trPr>
        <w:tc>
          <w:tcPr>
            <w:tcW w:w="1560" w:type="dxa"/>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lang w:eastAsia="ja-JP"/>
              </w:rPr>
              <w:t>2018</w:t>
            </w:r>
          </w:p>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hint="eastAsia"/>
                <w:lang w:eastAsia="ja-JP"/>
              </w:rPr>
              <w:t>201</w:t>
            </w:r>
            <w:r w:rsidRPr="00025912">
              <w:rPr>
                <w:rFonts w:cs="Arial"/>
                <w:lang w:eastAsia="ja-JP"/>
              </w:rPr>
              <w:t>9</w:t>
            </w:r>
          </w:p>
        </w:tc>
        <w:tc>
          <w:tcPr>
            <w:tcW w:w="1417" w:type="dxa"/>
            <w:tcBorders>
              <w:right w:val="dashed" w:sz="4" w:space="0" w:color="auto"/>
            </w:tcBorders>
          </w:tcPr>
          <w:p w:rsidR="00025912" w:rsidRPr="00025912" w:rsidRDefault="00025912" w:rsidP="00025912">
            <w:pPr>
              <w:widowControl w:val="0"/>
              <w:autoSpaceDE w:val="0"/>
              <w:autoSpaceDN w:val="0"/>
              <w:adjustRightInd w:val="0"/>
              <w:ind w:left="-31"/>
              <w:jc w:val="center"/>
              <w:rPr>
                <w:lang w:eastAsia="ja-JP"/>
              </w:rPr>
            </w:pPr>
            <w:r w:rsidRPr="00025912">
              <w:rPr>
                <w:lang w:eastAsia="ja-JP"/>
              </w:rPr>
              <w:t>883</w:t>
            </w:r>
          </w:p>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lang w:eastAsia="ja-JP"/>
              </w:rPr>
              <w:t>822</w:t>
            </w:r>
          </w:p>
        </w:tc>
        <w:tc>
          <w:tcPr>
            <w:tcW w:w="1559" w:type="dxa"/>
            <w:tcBorders>
              <w:left w:val="dashed" w:sz="4" w:space="0" w:color="auto"/>
              <w:right w:val="single" w:sz="4" w:space="0" w:color="auto"/>
            </w:tcBorders>
          </w:tcPr>
          <w:p w:rsidR="00025912" w:rsidRPr="00025912" w:rsidRDefault="00025912" w:rsidP="00025912">
            <w:pPr>
              <w:widowControl w:val="0"/>
              <w:autoSpaceDE w:val="0"/>
              <w:autoSpaceDN w:val="0"/>
              <w:adjustRightInd w:val="0"/>
              <w:jc w:val="center"/>
              <w:rPr>
                <w:rFonts w:cs="Arial"/>
                <w:lang w:eastAsia="ja-JP"/>
              </w:rPr>
            </w:pPr>
          </w:p>
          <w:p w:rsidR="00025912" w:rsidRPr="00025912" w:rsidRDefault="00025912" w:rsidP="00025912">
            <w:pPr>
              <w:widowControl w:val="0"/>
              <w:autoSpaceDE w:val="0"/>
              <w:autoSpaceDN w:val="0"/>
              <w:adjustRightInd w:val="0"/>
              <w:jc w:val="center"/>
              <w:rPr>
                <w:rFonts w:cs="Arial"/>
                <w:lang w:eastAsia="ja-JP"/>
              </w:rPr>
            </w:pPr>
            <w:r w:rsidRPr="00025912">
              <w:rPr>
                <w:rFonts w:cs="Arial"/>
                <w:lang w:eastAsia="ja-JP"/>
              </w:rPr>
              <w:t>(93.1%)</w:t>
            </w:r>
          </w:p>
        </w:tc>
        <w:tc>
          <w:tcPr>
            <w:tcW w:w="2552" w:type="dxa"/>
            <w:tcBorders>
              <w:left w:val="single" w:sz="4" w:space="0" w:color="auto"/>
              <w:right w:val="dashed" w:sz="4" w:space="0" w:color="auto"/>
            </w:tcBorders>
          </w:tcPr>
          <w:p w:rsidR="00025912" w:rsidRPr="00025912" w:rsidRDefault="00025912" w:rsidP="00025912">
            <w:pPr>
              <w:widowControl w:val="0"/>
              <w:autoSpaceDE w:val="0"/>
              <w:autoSpaceDN w:val="0"/>
              <w:adjustRightInd w:val="0"/>
              <w:jc w:val="center"/>
              <w:rPr>
                <w:rFonts w:cs="Arial"/>
                <w:lang w:eastAsia="ja-JP"/>
              </w:rPr>
            </w:pPr>
            <w:r w:rsidRPr="00025912">
              <w:rPr>
                <w:rFonts w:cs="Arial" w:hint="eastAsia"/>
                <w:lang w:eastAsia="ja-JP"/>
              </w:rPr>
              <w:t>6</w:t>
            </w:r>
            <w:r w:rsidRPr="00025912">
              <w:rPr>
                <w:rFonts w:cs="Arial"/>
                <w:lang w:eastAsia="ja-JP"/>
              </w:rPr>
              <w:t>82</w:t>
            </w:r>
          </w:p>
          <w:p w:rsidR="00025912" w:rsidRPr="00025912" w:rsidRDefault="00025912" w:rsidP="00025912">
            <w:pPr>
              <w:widowControl w:val="0"/>
              <w:autoSpaceDE w:val="0"/>
              <w:autoSpaceDN w:val="0"/>
              <w:adjustRightInd w:val="0"/>
              <w:jc w:val="center"/>
              <w:rPr>
                <w:rFonts w:cs="Arial"/>
                <w:lang w:eastAsia="ja-JP"/>
              </w:rPr>
            </w:pPr>
            <w:r w:rsidRPr="00025912">
              <w:rPr>
                <w:rFonts w:cs="Arial" w:hint="eastAsia"/>
                <w:lang w:eastAsia="ja-JP"/>
              </w:rPr>
              <w:t>6</w:t>
            </w:r>
            <w:r w:rsidRPr="00025912">
              <w:rPr>
                <w:rFonts w:cs="Arial"/>
                <w:lang w:eastAsia="ja-JP"/>
              </w:rPr>
              <w:t>49</w:t>
            </w:r>
          </w:p>
        </w:tc>
        <w:tc>
          <w:tcPr>
            <w:tcW w:w="1417" w:type="dxa"/>
            <w:tcBorders>
              <w:left w:val="dashed" w:sz="4" w:space="0" w:color="auto"/>
            </w:tcBorders>
          </w:tcPr>
          <w:p w:rsidR="00025912" w:rsidRPr="00025912" w:rsidRDefault="00025912" w:rsidP="00025912">
            <w:pPr>
              <w:widowControl w:val="0"/>
              <w:autoSpaceDE w:val="0"/>
              <w:autoSpaceDN w:val="0"/>
              <w:adjustRightInd w:val="0"/>
              <w:ind w:left="-31"/>
              <w:jc w:val="center"/>
              <w:rPr>
                <w:rFonts w:cs="Arial"/>
                <w:lang w:eastAsia="ja-JP"/>
              </w:rPr>
            </w:pPr>
          </w:p>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hint="eastAsia"/>
                <w:lang w:eastAsia="ja-JP"/>
              </w:rPr>
              <w:t>(95</w:t>
            </w:r>
            <w:r w:rsidRPr="00025912">
              <w:rPr>
                <w:rFonts w:cs="Arial"/>
                <w:lang w:eastAsia="ja-JP"/>
              </w:rPr>
              <w:t>.2%</w:t>
            </w:r>
            <w:r w:rsidRPr="00025912">
              <w:rPr>
                <w:rFonts w:cs="Arial" w:hint="eastAsia"/>
                <w:lang w:eastAsia="ja-JP"/>
              </w:rPr>
              <w:t>)</w:t>
            </w:r>
          </w:p>
        </w:tc>
      </w:tr>
    </w:tbl>
    <w:p w:rsidR="00025912" w:rsidRDefault="00025912" w:rsidP="00025912">
      <w:pPr>
        <w:rPr>
          <w:u w:val="single"/>
          <w:lang w:eastAsia="ja-JP"/>
        </w:rPr>
      </w:pPr>
    </w:p>
    <w:p w:rsidR="00025912" w:rsidRPr="00025912" w:rsidRDefault="00025912" w:rsidP="00025912">
      <w:pPr>
        <w:rPr>
          <w:u w:val="single"/>
          <w:lang w:eastAsia="ja-JP"/>
        </w:rPr>
      </w:pPr>
      <w:r w:rsidRPr="00025912">
        <w:rPr>
          <w:rFonts w:hint="eastAsia"/>
          <w:u w:val="single"/>
          <w:lang w:eastAsia="ja-JP"/>
        </w:rPr>
        <w:t xml:space="preserve">Top </w:t>
      </w:r>
      <w:proofErr w:type="gramStart"/>
      <w:r w:rsidRPr="00025912">
        <w:rPr>
          <w:rFonts w:hint="eastAsia"/>
          <w:u w:val="single"/>
          <w:lang w:eastAsia="ja-JP"/>
        </w:rPr>
        <w:t>5</w:t>
      </w:r>
      <w:proofErr w:type="gramEnd"/>
      <w:r w:rsidRPr="00025912">
        <w:rPr>
          <w:rFonts w:hint="eastAsia"/>
          <w:u w:val="single"/>
          <w:lang w:eastAsia="ja-JP"/>
        </w:rPr>
        <w:t xml:space="preserve"> of application for </w:t>
      </w:r>
      <w:r w:rsidRPr="00025912">
        <w:rPr>
          <w:u w:val="single"/>
          <w:lang w:eastAsia="ja-JP"/>
        </w:rPr>
        <w:t>Ornamentals in 2019</w:t>
      </w:r>
    </w:p>
    <w:p w:rsidR="00025912" w:rsidRDefault="00025912" w:rsidP="00025912">
      <w:pPr>
        <w:rPr>
          <w:lang w:eastAsia="ja-JP"/>
        </w:rPr>
      </w:pPr>
      <w:r w:rsidRPr="00025912">
        <w:rPr>
          <w:lang w:eastAsia="ja-JP"/>
        </w:rPr>
        <w:t xml:space="preserve">Chrysanthemum 111, Rosa 77, Petunia and </w:t>
      </w:r>
      <w:proofErr w:type="spellStart"/>
      <w:r w:rsidRPr="00025912">
        <w:rPr>
          <w:lang w:eastAsia="ja-JP"/>
        </w:rPr>
        <w:t>Calibracoa</w:t>
      </w:r>
      <w:proofErr w:type="spellEnd"/>
      <w:r w:rsidRPr="00025912">
        <w:rPr>
          <w:lang w:eastAsia="ja-JP"/>
        </w:rPr>
        <w:t xml:space="preserve"> 66 (44; 22), Hydrangea 41, Dianthus 40</w:t>
      </w:r>
    </w:p>
    <w:p w:rsidR="00025912" w:rsidRDefault="00025912" w:rsidP="00025912">
      <w:pPr>
        <w:rPr>
          <w:lang w:eastAsia="ja-JP"/>
        </w:rPr>
      </w:pPr>
    </w:p>
    <w:p w:rsidR="00025912" w:rsidRPr="00025912" w:rsidRDefault="00025912" w:rsidP="00025912">
      <w:pPr>
        <w:rPr>
          <w:lang w:eastAsia="ja-JP"/>
        </w:rPr>
      </w:pPr>
    </w:p>
    <w:p w:rsidR="00025912" w:rsidRDefault="00025912" w:rsidP="00025912">
      <w:pPr>
        <w:rPr>
          <w:lang w:eastAsia="ja-JP"/>
        </w:rPr>
      </w:pPr>
      <w:r w:rsidRPr="00025912">
        <w:rPr>
          <w:lang w:eastAsia="ja-JP"/>
        </w:rPr>
        <w:t>2. Number of granted in 2019</w:t>
      </w:r>
    </w:p>
    <w:p w:rsidR="00025912" w:rsidRPr="00025912" w:rsidRDefault="00025912" w:rsidP="00025912">
      <w:pPr>
        <w:rPr>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025912" w:rsidRPr="00025912" w:rsidTr="00EA6E90">
        <w:trPr>
          <w:trHeight w:val="375"/>
        </w:trPr>
        <w:tc>
          <w:tcPr>
            <w:tcW w:w="1560" w:type="dxa"/>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lang w:eastAsia="ja-JP"/>
              </w:rPr>
              <w:t>Year</w:t>
            </w:r>
          </w:p>
        </w:tc>
        <w:tc>
          <w:tcPr>
            <w:tcW w:w="1559" w:type="dxa"/>
            <w:tcBorders>
              <w:right w:val="dashed" w:sz="4" w:space="0" w:color="auto"/>
            </w:tcBorders>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lang w:eastAsia="ja-JP"/>
              </w:rPr>
              <w:t>Number</w:t>
            </w:r>
          </w:p>
        </w:tc>
        <w:tc>
          <w:tcPr>
            <w:tcW w:w="1417" w:type="dxa"/>
            <w:tcBorders>
              <w:left w:val="dashed" w:sz="4" w:space="0" w:color="auto"/>
              <w:right w:val="single" w:sz="4" w:space="0" w:color="auto"/>
            </w:tcBorders>
          </w:tcPr>
          <w:p w:rsidR="00025912" w:rsidRPr="00025912" w:rsidRDefault="00025912" w:rsidP="00025912">
            <w:pPr>
              <w:widowControl w:val="0"/>
              <w:autoSpaceDE w:val="0"/>
              <w:autoSpaceDN w:val="0"/>
              <w:adjustRightInd w:val="0"/>
              <w:jc w:val="center"/>
              <w:rPr>
                <w:rFonts w:cs="Arial"/>
                <w:lang w:eastAsia="ja-JP"/>
              </w:rPr>
            </w:pPr>
            <w:r w:rsidRPr="00025912">
              <w:rPr>
                <w:rFonts w:cs="Arial"/>
                <w:lang w:eastAsia="ja-JP"/>
              </w:rPr>
              <w:t>(2019/2018)</w:t>
            </w:r>
          </w:p>
        </w:tc>
        <w:tc>
          <w:tcPr>
            <w:tcW w:w="2552" w:type="dxa"/>
            <w:tcBorders>
              <w:left w:val="single" w:sz="4" w:space="0" w:color="auto"/>
              <w:right w:val="dashed" w:sz="4" w:space="0" w:color="auto"/>
            </w:tcBorders>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lang w:eastAsia="ja-JP"/>
              </w:rPr>
              <w:t>Ornamentals</w:t>
            </w:r>
          </w:p>
        </w:tc>
        <w:tc>
          <w:tcPr>
            <w:tcW w:w="1417" w:type="dxa"/>
            <w:tcBorders>
              <w:left w:val="dashed" w:sz="4" w:space="0" w:color="auto"/>
            </w:tcBorders>
          </w:tcPr>
          <w:p w:rsidR="00025912" w:rsidRPr="00025912" w:rsidRDefault="00025912" w:rsidP="00025912">
            <w:pPr>
              <w:widowControl w:val="0"/>
              <w:autoSpaceDE w:val="0"/>
              <w:autoSpaceDN w:val="0"/>
              <w:adjustRightInd w:val="0"/>
              <w:ind w:left="-1"/>
              <w:jc w:val="center"/>
              <w:rPr>
                <w:rFonts w:cs="Arial"/>
                <w:lang w:eastAsia="ja-JP"/>
              </w:rPr>
            </w:pPr>
            <w:r w:rsidRPr="00025912">
              <w:rPr>
                <w:rFonts w:cs="Arial"/>
                <w:lang w:eastAsia="ja-JP"/>
              </w:rPr>
              <w:t>(2019/2018</w:t>
            </w:r>
            <w:r w:rsidRPr="00025912">
              <w:rPr>
                <w:rFonts w:cs="Arial" w:hint="eastAsia"/>
                <w:lang w:eastAsia="ja-JP"/>
              </w:rPr>
              <w:t>)</w:t>
            </w:r>
          </w:p>
        </w:tc>
      </w:tr>
      <w:tr w:rsidR="00025912" w:rsidRPr="00025912" w:rsidTr="00EA6E90">
        <w:trPr>
          <w:trHeight w:val="371"/>
        </w:trPr>
        <w:tc>
          <w:tcPr>
            <w:tcW w:w="1560" w:type="dxa"/>
            <w:tcBorders>
              <w:top w:val="single" w:sz="4" w:space="0" w:color="auto"/>
              <w:left w:val="single" w:sz="4" w:space="0" w:color="auto"/>
              <w:bottom w:val="single" w:sz="4" w:space="0" w:color="auto"/>
              <w:right w:val="single" w:sz="4" w:space="0" w:color="auto"/>
            </w:tcBorders>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lang w:eastAsia="ja-JP"/>
              </w:rPr>
              <w:t>1978 to 2019</w:t>
            </w:r>
          </w:p>
        </w:tc>
        <w:tc>
          <w:tcPr>
            <w:tcW w:w="1559" w:type="dxa"/>
            <w:tcBorders>
              <w:top w:val="single" w:sz="4" w:space="0" w:color="auto"/>
              <w:left w:val="single" w:sz="4" w:space="0" w:color="auto"/>
              <w:bottom w:val="single" w:sz="4" w:space="0" w:color="auto"/>
              <w:right w:val="dashed" w:sz="4" w:space="0" w:color="auto"/>
            </w:tcBorders>
          </w:tcPr>
          <w:p w:rsidR="00025912" w:rsidRPr="00025912" w:rsidRDefault="00025912" w:rsidP="00025912">
            <w:pPr>
              <w:widowControl w:val="0"/>
              <w:autoSpaceDE w:val="0"/>
              <w:autoSpaceDN w:val="0"/>
              <w:adjustRightInd w:val="0"/>
              <w:ind w:left="-1"/>
              <w:jc w:val="center"/>
              <w:rPr>
                <w:rFonts w:cs="Arial"/>
                <w:lang w:eastAsia="ja-JP"/>
              </w:rPr>
            </w:pPr>
            <w:r w:rsidRPr="00025912">
              <w:rPr>
                <w:rFonts w:cs="Arial" w:hint="eastAsia"/>
                <w:lang w:eastAsia="ja-JP"/>
              </w:rPr>
              <w:t>27,</w:t>
            </w:r>
            <w:r w:rsidRPr="00025912">
              <w:rPr>
                <w:rFonts w:cs="Arial"/>
                <w:lang w:eastAsia="ja-JP"/>
              </w:rPr>
              <w:t>731</w:t>
            </w:r>
          </w:p>
        </w:tc>
        <w:tc>
          <w:tcPr>
            <w:tcW w:w="1417" w:type="dxa"/>
            <w:tcBorders>
              <w:top w:val="single" w:sz="4" w:space="0" w:color="auto"/>
              <w:left w:val="dashed" w:sz="4" w:space="0" w:color="auto"/>
              <w:bottom w:val="single" w:sz="4" w:space="0" w:color="auto"/>
              <w:right w:val="single" w:sz="4" w:space="0" w:color="auto"/>
            </w:tcBorders>
          </w:tcPr>
          <w:p w:rsidR="00025912" w:rsidRPr="00025912" w:rsidRDefault="00025912" w:rsidP="00025912">
            <w:pPr>
              <w:widowControl w:val="0"/>
              <w:autoSpaceDE w:val="0"/>
              <w:autoSpaceDN w:val="0"/>
              <w:adjustRightInd w:val="0"/>
              <w:jc w:val="center"/>
              <w:rPr>
                <w:rFonts w:cs="Arial"/>
                <w:lang w:eastAsia="ja-JP"/>
              </w:rPr>
            </w:pPr>
            <w:r w:rsidRPr="00025912">
              <w:rPr>
                <w:rFonts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025912" w:rsidRPr="00025912" w:rsidRDefault="00025912" w:rsidP="00025912">
            <w:pPr>
              <w:widowControl w:val="0"/>
              <w:autoSpaceDE w:val="0"/>
              <w:autoSpaceDN w:val="0"/>
              <w:adjustRightInd w:val="0"/>
              <w:ind w:left="-1"/>
              <w:jc w:val="center"/>
              <w:rPr>
                <w:rFonts w:cs="Arial"/>
                <w:lang w:eastAsia="ja-JP"/>
              </w:rPr>
            </w:pPr>
            <w:r w:rsidRPr="00025912">
              <w:rPr>
                <w:rFonts w:cs="Arial" w:hint="eastAsia"/>
                <w:lang w:eastAsia="ja-JP"/>
              </w:rPr>
              <w:t>21,</w:t>
            </w:r>
            <w:r w:rsidRPr="00025912">
              <w:rPr>
                <w:rFonts w:cs="Arial"/>
                <w:lang w:eastAsia="ja-JP"/>
              </w:rPr>
              <w:t>750</w:t>
            </w:r>
          </w:p>
        </w:tc>
        <w:tc>
          <w:tcPr>
            <w:tcW w:w="1417" w:type="dxa"/>
            <w:tcBorders>
              <w:top w:val="single" w:sz="4" w:space="0" w:color="auto"/>
              <w:left w:val="dashed" w:sz="4" w:space="0" w:color="auto"/>
              <w:bottom w:val="single" w:sz="4" w:space="0" w:color="auto"/>
              <w:right w:val="single" w:sz="4" w:space="0" w:color="auto"/>
            </w:tcBorders>
          </w:tcPr>
          <w:p w:rsidR="00025912" w:rsidRPr="00025912" w:rsidRDefault="00025912" w:rsidP="00025912">
            <w:pPr>
              <w:widowControl w:val="0"/>
              <w:autoSpaceDE w:val="0"/>
              <w:autoSpaceDN w:val="0"/>
              <w:adjustRightInd w:val="0"/>
              <w:ind w:left="-1"/>
              <w:jc w:val="center"/>
              <w:rPr>
                <w:rFonts w:cs="Arial"/>
                <w:lang w:eastAsia="ja-JP"/>
              </w:rPr>
            </w:pPr>
            <w:r w:rsidRPr="00025912">
              <w:rPr>
                <w:rFonts w:cs="Arial"/>
                <w:lang w:eastAsia="ja-JP"/>
              </w:rPr>
              <w:t>-</w:t>
            </w:r>
          </w:p>
        </w:tc>
      </w:tr>
      <w:tr w:rsidR="00025912" w:rsidRPr="00025912" w:rsidTr="00EA6E90">
        <w:trPr>
          <w:trHeight w:val="615"/>
        </w:trPr>
        <w:tc>
          <w:tcPr>
            <w:tcW w:w="1560" w:type="dxa"/>
          </w:tcPr>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lang w:eastAsia="ja-JP"/>
              </w:rPr>
              <w:t>2018</w:t>
            </w:r>
          </w:p>
          <w:p w:rsidR="00025912" w:rsidRPr="00025912" w:rsidRDefault="00025912" w:rsidP="00025912">
            <w:pPr>
              <w:widowControl w:val="0"/>
              <w:autoSpaceDE w:val="0"/>
              <w:autoSpaceDN w:val="0"/>
              <w:adjustRightInd w:val="0"/>
              <w:ind w:left="-31"/>
              <w:jc w:val="center"/>
              <w:rPr>
                <w:rFonts w:cs="Arial"/>
                <w:lang w:eastAsia="ja-JP"/>
              </w:rPr>
            </w:pPr>
            <w:r w:rsidRPr="00025912">
              <w:rPr>
                <w:rFonts w:cs="Arial" w:hint="eastAsia"/>
                <w:lang w:eastAsia="ja-JP"/>
              </w:rPr>
              <w:t>201</w:t>
            </w:r>
            <w:r w:rsidRPr="00025912">
              <w:rPr>
                <w:rFonts w:cs="Arial"/>
                <w:lang w:eastAsia="ja-JP"/>
              </w:rPr>
              <w:t>9</w:t>
            </w:r>
          </w:p>
        </w:tc>
        <w:tc>
          <w:tcPr>
            <w:tcW w:w="1559" w:type="dxa"/>
            <w:tcBorders>
              <w:right w:val="dashed" w:sz="4" w:space="0" w:color="auto"/>
            </w:tcBorders>
          </w:tcPr>
          <w:p w:rsidR="00025912" w:rsidRPr="00025912" w:rsidRDefault="00025912" w:rsidP="00025912">
            <w:pPr>
              <w:widowControl w:val="0"/>
              <w:tabs>
                <w:tab w:val="left" w:pos="435"/>
                <w:tab w:val="center" w:pos="680"/>
              </w:tabs>
              <w:autoSpaceDE w:val="0"/>
              <w:autoSpaceDN w:val="0"/>
              <w:adjustRightInd w:val="0"/>
              <w:ind w:left="-1"/>
              <w:jc w:val="center"/>
              <w:rPr>
                <w:rFonts w:cs="Arial"/>
                <w:lang w:eastAsia="ja-JP"/>
              </w:rPr>
            </w:pPr>
            <w:r w:rsidRPr="00025912">
              <w:rPr>
                <w:rFonts w:cs="Arial"/>
                <w:lang w:eastAsia="ja-JP"/>
              </w:rPr>
              <w:t>758</w:t>
            </w:r>
          </w:p>
          <w:p w:rsidR="00025912" w:rsidRPr="00025912" w:rsidRDefault="00025912" w:rsidP="00025912">
            <w:pPr>
              <w:widowControl w:val="0"/>
              <w:tabs>
                <w:tab w:val="left" w:pos="435"/>
                <w:tab w:val="center" w:pos="680"/>
              </w:tabs>
              <w:autoSpaceDE w:val="0"/>
              <w:autoSpaceDN w:val="0"/>
              <w:adjustRightInd w:val="0"/>
              <w:ind w:left="-1"/>
              <w:jc w:val="center"/>
              <w:rPr>
                <w:rFonts w:cs="Arial"/>
                <w:lang w:eastAsia="ja-JP"/>
              </w:rPr>
            </w:pPr>
            <w:r w:rsidRPr="00025912">
              <w:rPr>
                <w:rFonts w:cs="Arial"/>
                <w:lang w:eastAsia="ja-JP"/>
              </w:rPr>
              <w:t>591</w:t>
            </w:r>
          </w:p>
        </w:tc>
        <w:tc>
          <w:tcPr>
            <w:tcW w:w="1417" w:type="dxa"/>
            <w:tcBorders>
              <w:left w:val="dashed" w:sz="4" w:space="0" w:color="auto"/>
              <w:right w:val="single" w:sz="4" w:space="0" w:color="auto"/>
            </w:tcBorders>
          </w:tcPr>
          <w:p w:rsidR="00025912" w:rsidRPr="00025912" w:rsidRDefault="00025912" w:rsidP="00025912">
            <w:pPr>
              <w:widowControl w:val="0"/>
              <w:autoSpaceDE w:val="0"/>
              <w:autoSpaceDN w:val="0"/>
              <w:adjustRightInd w:val="0"/>
              <w:jc w:val="center"/>
              <w:rPr>
                <w:rFonts w:cs="Arial"/>
                <w:lang w:eastAsia="ja-JP"/>
              </w:rPr>
            </w:pPr>
          </w:p>
          <w:p w:rsidR="00025912" w:rsidRPr="00025912" w:rsidRDefault="00025912" w:rsidP="00025912">
            <w:pPr>
              <w:widowControl w:val="0"/>
              <w:autoSpaceDE w:val="0"/>
              <w:autoSpaceDN w:val="0"/>
              <w:adjustRightInd w:val="0"/>
              <w:jc w:val="center"/>
              <w:rPr>
                <w:rFonts w:cs="Arial"/>
                <w:lang w:eastAsia="ja-JP"/>
              </w:rPr>
            </w:pPr>
            <w:r w:rsidRPr="00025912">
              <w:rPr>
                <w:rFonts w:cs="Arial" w:hint="eastAsia"/>
                <w:lang w:eastAsia="ja-JP"/>
              </w:rPr>
              <w:t>(</w:t>
            </w:r>
            <w:r w:rsidRPr="00025912">
              <w:rPr>
                <w:rFonts w:cs="Arial"/>
                <w:lang w:eastAsia="ja-JP"/>
              </w:rPr>
              <w:t>78.0%</w:t>
            </w:r>
            <w:r w:rsidRPr="00025912">
              <w:rPr>
                <w:rFonts w:cs="Arial" w:hint="eastAsia"/>
                <w:lang w:eastAsia="ja-JP"/>
              </w:rPr>
              <w:t>)</w:t>
            </w:r>
          </w:p>
        </w:tc>
        <w:tc>
          <w:tcPr>
            <w:tcW w:w="2552" w:type="dxa"/>
            <w:tcBorders>
              <w:left w:val="single" w:sz="4" w:space="0" w:color="auto"/>
              <w:right w:val="dashed" w:sz="4" w:space="0" w:color="auto"/>
            </w:tcBorders>
          </w:tcPr>
          <w:p w:rsidR="00025912" w:rsidRPr="00025912" w:rsidRDefault="00025912" w:rsidP="00025912">
            <w:pPr>
              <w:widowControl w:val="0"/>
              <w:autoSpaceDE w:val="0"/>
              <w:autoSpaceDN w:val="0"/>
              <w:adjustRightInd w:val="0"/>
              <w:ind w:left="-1"/>
              <w:jc w:val="center"/>
              <w:rPr>
                <w:rFonts w:cs="Arial"/>
                <w:lang w:eastAsia="ja-JP"/>
              </w:rPr>
            </w:pPr>
            <w:r w:rsidRPr="00025912">
              <w:rPr>
                <w:rFonts w:cs="Arial" w:hint="eastAsia"/>
                <w:lang w:eastAsia="ja-JP"/>
              </w:rPr>
              <w:t>5</w:t>
            </w:r>
            <w:r w:rsidRPr="00025912">
              <w:rPr>
                <w:rFonts w:cs="Arial"/>
                <w:lang w:eastAsia="ja-JP"/>
              </w:rPr>
              <w:t>88</w:t>
            </w:r>
          </w:p>
          <w:p w:rsidR="00025912" w:rsidRPr="00025912" w:rsidRDefault="00025912" w:rsidP="00025912">
            <w:pPr>
              <w:widowControl w:val="0"/>
              <w:autoSpaceDE w:val="0"/>
              <w:autoSpaceDN w:val="0"/>
              <w:adjustRightInd w:val="0"/>
              <w:ind w:left="-1"/>
              <w:jc w:val="center"/>
              <w:rPr>
                <w:rFonts w:cs="Arial"/>
                <w:lang w:eastAsia="ja-JP"/>
              </w:rPr>
            </w:pPr>
            <w:r w:rsidRPr="00025912">
              <w:rPr>
                <w:rFonts w:cs="Arial" w:hint="eastAsia"/>
                <w:lang w:eastAsia="ja-JP"/>
              </w:rPr>
              <w:t>491</w:t>
            </w:r>
          </w:p>
        </w:tc>
        <w:tc>
          <w:tcPr>
            <w:tcW w:w="1417" w:type="dxa"/>
            <w:tcBorders>
              <w:left w:val="dashed" w:sz="4" w:space="0" w:color="auto"/>
            </w:tcBorders>
          </w:tcPr>
          <w:p w:rsidR="00025912" w:rsidRPr="00025912" w:rsidRDefault="00025912" w:rsidP="00025912">
            <w:pPr>
              <w:widowControl w:val="0"/>
              <w:autoSpaceDE w:val="0"/>
              <w:autoSpaceDN w:val="0"/>
              <w:adjustRightInd w:val="0"/>
              <w:ind w:left="-1"/>
              <w:jc w:val="center"/>
              <w:rPr>
                <w:rFonts w:cs="Arial"/>
                <w:lang w:eastAsia="ja-JP"/>
              </w:rPr>
            </w:pPr>
          </w:p>
          <w:p w:rsidR="00025912" w:rsidRPr="00025912" w:rsidRDefault="00025912" w:rsidP="00025912">
            <w:pPr>
              <w:widowControl w:val="0"/>
              <w:autoSpaceDE w:val="0"/>
              <w:autoSpaceDN w:val="0"/>
              <w:adjustRightInd w:val="0"/>
              <w:ind w:left="-1"/>
              <w:jc w:val="center"/>
              <w:rPr>
                <w:rFonts w:cs="Arial"/>
                <w:lang w:eastAsia="ja-JP"/>
              </w:rPr>
            </w:pPr>
            <w:r w:rsidRPr="00025912">
              <w:rPr>
                <w:rFonts w:cs="Arial" w:hint="eastAsia"/>
                <w:lang w:eastAsia="ja-JP"/>
              </w:rPr>
              <w:t>(</w:t>
            </w:r>
            <w:r w:rsidRPr="00025912">
              <w:rPr>
                <w:rFonts w:cs="Arial"/>
                <w:lang w:eastAsia="ja-JP"/>
              </w:rPr>
              <w:t>83.5%</w:t>
            </w:r>
            <w:r w:rsidRPr="00025912">
              <w:rPr>
                <w:rFonts w:cs="Arial" w:hint="eastAsia"/>
                <w:lang w:eastAsia="ja-JP"/>
              </w:rPr>
              <w:t>)</w:t>
            </w:r>
          </w:p>
        </w:tc>
      </w:tr>
    </w:tbl>
    <w:p w:rsidR="00025912" w:rsidRDefault="00025912" w:rsidP="00025912">
      <w:pPr>
        <w:rPr>
          <w:u w:val="single"/>
          <w:lang w:eastAsia="ja-JP"/>
        </w:rPr>
      </w:pPr>
    </w:p>
    <w:p w:rsidR="00025912" w:rsidRPr="00025912" w:rsidRDefault="00025912" w:rsidP="00025912">
      <w:pPr>
        <w:rPr>
          <w:u w:val="single"/>
          <w:lang w:eastAsia="ja-JP"/>
        </w:rPr>
      </w:pPr>
      <w:r w:rsidRPr="00025912">
        <w:rPr>
          <w:rFonts w:hint="eastAsia"/>
          <w:u w:val="single"/>
          <w:lang w:eastAsia="ja-JP"/>
        </w:rPr>
        <w:t xml:space="preserve">Top 5 of granted for </w:t>
      </w:r>
      <w:r w:rsidRPr="00025912">
        <w:rPr>
          <w:u w:val="single"/>
          <w:lang w:eastAsia="ja-JP"/>
        </w:rPr>
        <w:t>Ornamentals in 2019</w:t>
      </w:r>
    </w:p>
    <w:p w:rsidR="00025912" w:rsidRPr="00025912" w:rsidRDefault="00025912" w:rsidP="00025912">
      <w:pPr>
        <w:rPr>
          <w:lang w:eastAsia="ja-JP"/>
        </w:rPr>
      </w:pPr>
      <w:r w:rsidRPr="00025912">
        <w:rPr>
          <w:lang w:eastAsia="ja-JP"/>
        </w:rPr>
        <w:t xml:space="preserve">Chrysanthemum 127, Hydrangea 35, Dianthus 34, Petunia and </w:t>
      </w:r>
      <w:proofErr w:type="spellStart"/>
      <w:r w:rsidRPr="00025912">
        <w:rPr>
          <w:lang w:eastAsia="ja-JP"/>
        </w:rPr>
        <w:t>Calibracoa</w:t>
      </w:r>
      <w:proofErr w:type="spellEnd"/>
      <w:r w:rsidRPr="00025912">
        <w:rPr>
          <w:lang w:eastAsia="ja-JP"/>
        </w:rPr>
        <w:t xml:space="preserve"> 46 (26; 20), Rosa 33</w:t>
      </w:r>
    </w:p>
    <w:p w:rsidR="00025912" w:rsidRDefault="00025912" w:rsidP="00025912">
      <w:pPr>
        <w:rPr>
          <w:lang w:eastAsia="ja-JP"/>
        </w:rPr>
      </w:pPr>
    </w:p>
    <w:p w:rsidR="00025912" w:rsidRPr="00025912" w:rsidRDefault="00025912" w:rsidP="00025912">
      <w:pPr>
        <w:rPr>
          <w:lang w:eastAsia="ja-JP"/>
        </w:rPr>
      </w:pPr>
    </w:p>
    <w:p w:rsidR="00025912" w:rsidRDefault="00025912" w:rsidP="00025912">
      <w:pPr>
        <w:rPr>
          <w:lang w:eastAsia="ja-JP"/>
        </w:rPr>
      </w:pPr>
      <w:r w:rsidRPr="00025912">
        <w:rPr>
          <w:lang w:eastAsia="ja-JP"/>
        </w:rPr>
        <w:t xml:space="preserve">3. National test guidelines </w:t>
      </w:r>
      <w:r w:rsidRPr="00025912">
        <w:rPr>
          <w:rFonts w:hint="eastAsia"/>
          <w:lang w:eastAsia="ja-JP"/>
        </w:rPr>
        <w:t xml:space="preserve">harmonized with UPOV TGs </w:t>
      </w:r>
      <w:r>
        <w:rPr>
          <w:lang w:eastAsia="ja-JP"/>
        </w:rPr>
        <w:t>in 2019</w:t>
      </w:r>
    </w:p>
    <w:p w:rsidR="00025912" w:rsidRPr="00025912" w:rsidRDefault="00025912" w:rsidP="00025912">
      <w:pPr>
        <w:rPr>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025912" w:rsidRPr="00025912" w:rsidTr="00EA6E90">
        <w:trPr>
          <w:trHeight w:val="160"/>
        </w:trPr>
        <w:tc>
          <w:tcPr>
            <w:tcW w:w="8830" w:type="dxa"/>
          </w:tcPr>
          <w:p w:rsidR="00025912" w:rsidRPr="00025912" w:rsidRDefault="00025912" w:rsidP="00025912">
            <w:pPr>
              <w:widowControl w:val="0"/>
              <w:autoSpaceDE w:val="0"/>
              <w:autoSpaceDN w:val="0"/>
              <w:adjustRightInd w:val="0"/>
              <w:jc w:val="center"/>
              <w:rPr>
                <w:rFonts w:cs="Arial"/>
                <w:lang w:eastAsia="ja-JP"/>
              </w:rPr>
            </w:pPr>
            <w:r w:rsidRPr="00025912">
              <w:rPr>
                <w:rFonts w:cs="Arial" w:hint="eastAsia"/>
                <w:lang w:eastAsia="ja-JP"/>
              </w:rPr>
              <w:t>G</w:t>
            </w:r>
            <w:r w:rsidRPr="00025912">
              <w:rPr>
                <w:rFonts w:cs="Arial"/>
                <w:lang w:eastAsia="ja-JP"/>
              </w:rPr>
              <w:t xml:space="preserve">enera and </w:t>
            </w:r>
            <w:r w:rsidRPr="00025912">
              <w:rPr>
                <w:rFonts w:cs="Arial" w:hint="eastAsia"/>
                <w:lang w:eastAsia="ja-JP"/>
              </w:rPr>
              <w:t>S</w:t>
            </w:r>
            <w:r w:rsidRPr="00025912">
              <w:rPr>
                <w:rFonts w:cs="Arial"/>
                <w:lang w:eastAsia="ja-JP"/>
              </w:rPr>
              <w:t>pecies</w:t>
            </w:r>
            <w:r w:rsidRPr="00025912">
              <w:rPr>
                <w:rFonts w:cs="Arial" w:hint="eastAsia"/>
                <w:lang w:eastAsia="ja-JP"/>
              </w:rPr>
              <w:t xml:space="preserve"> (</w:t>
            </w:r>
            <w:r w:rsidRPr="00025912">
              <w:rPr>
                <w:rFonts w:cs="Arial"/>
                <w:lang w:eastAsia="ja-JP"/>
              </w:rPr>
              <w:t>2</w:t>
            </w:r>
            <w:r w:rsidRPr="00025912">
              <w:rPr>
                <w:rFonts w:cs="Arial" w:hint="eastAsia"/>
                <w:lang w:eastAsia="ja-JP"/>
              </w:rPr>
              <w:t>)</w:t>
            </w:r>
          </w:p>
        </w:tc>
      </w:tr>
      <w:tr w:rsidR="00025912" w:rsidRPr="00025912" w:rsidTr="00EA6E90">
        <w:trPr>
          <w:trHeight w:val="80"/>
        </w:trPr>
        <w:tc>
          <w:tcPr>
            <w:tcW w:w="8830" w:type="dxa"/>
          </w:tcPr>
          <w:p w:rsidR="00025912" w:rsidRPr="00025912" w:rsidRDefault="00025912" w:rsidP="00025912">
            <w:pPr>
              <w:widowControl w:val="0"/>
              <w:autoSpaceDE w:val="0"/>
              <w:autoSpaceDN w:val="0"/>
              <w:adjustRightInd w:val="0"/>
              <w:jc w:val="left"/>
              <w:rPr>
                <w:rFonts w:cs="Arial"/>
                <w:lang w:eastAsia="ja-JP"/>
              </w:rPr>
            </w:pPr>
            <w:r w:rsidRPr="00025912">
              <w:rPr>
                <w:rFonts w:cs="Arial"/>
                <w:kern w:val="2"/>
                <w:lang w:eastAsia="ja-JP"/>
              </w:rPr>
              <w:t>Olive,</w:t>
            </w:r>
            <w:r w:rsidRPr="00025912">
              <w:rPr>
                <w:rFonts w:ascii="Century" w:hAnsi="Century"/>
                <w:kern w:val="2"/>
                <w:lang w:eastAsia="ja-JP"/>
              </w:rPr>
              <w:t xml:space="preserve"> </w:t>
            </w:r>
            <w:proofErr w:type="spellStart"/>
            <w:r w:rsidRPr="00025912">
              <w:rPr>
                <w:rFonts w:cs="Arial"/>
                <w:kern w:val="2"/>
                <w:lang w:eastAsia="ja-JP"/>
              </w:rPr>
              <w:t>Urochloa</w:t>
            </w:r>
            <w:proofErr w:type="spellEnd"/>
          </w:p>
        </w:tc>
      </w:tr>
    </w:tbl>
    <w:p w:rsidR="00025912" w:rsidRDefault="00025912" w:rsidP="00025912">
      <w:pPr>
        <w:rPr>
          <w:lang w:eastAsia="ja-JP"/>
        </w:rPr>
      </w:pPr>
    </w:p>
    <w:p w:rsidR="00025912" w:rsidRPr="00025912" w:rsidRDefault="00025912" w:rsidP="00025912">
      <w:pPr>
        <w:rPr>
          <w:lang w:eastAsia="ja-JP"/>
        </w:rPr>
      </w:pPr>
    </w:p>
    <w:p w:rsidR="00025912" w:rsidRDefault="00025912" w:rsidP="00025912">
      <w:pPr>
        <w:rPr>
          <w:lang w:eastAsia="ja-JP"/>
        </w:rPr>
      </w:pPr>
      <w:r w:rsidRPr="00025912">
        <w:rPr>
          <w:lang w:eastAsia="ja-JP"/>
        </w:rPr>
        <w:t xml:space="preserve">4. National test guidelines </w:t>
      </w:r>
      <w:r w:rsidRPr="00025912">
        <w:rPr>
          <w:rFonts w:hint="eastAsia"/>
          <w:lang w:eastAsia="ja-JP"/>
        </w:rPr>
        <w:t xml:space="preserve">developed for new type of species </w:t>
      </w:r>
      <w:r>
        <w:rPr>
          <w:lang w:eastAsia="ja-JP"/>
        </w:rPr>
        <w:t>in 2019</w:t>
      </w:r>
    </w:p>
    <w:p w:rsidR="00025912" w:rsidRPr="00025912" w:rsidRDefault="00025912" w:rsidP="00025912">
      <w:pPr>
        <w:rPr>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025912" w:rsidRPr="00025912" w:rsidTr="00EA6E90">
        <w:trPr>
          <w:trHeight w:val="70"/>
        </w:trPr>
        <w:tc>
          <w:tcPr>
            <w:tcW w:w="8826" w:type="dxa"/>
          </w:tcPr>
          <w:p w:rsidR="00025912" w:rsidRPr="00025912" w:rsidRDefault="00025912" w:rsidP="00025912">
            <w:pPr>
              <w:widowControl w:val="0"/>
              <w:autoSpaceDE w:val="0"/>
              <w:autoSpaceDN w:val="0"/>
              <w:adjustRightInd w:val="0"/>
              <w:jc w:val="center"/>
              <w:rPr>
                <w:rFonts w:cs="Arial"/>
                <w:lang w:eastAsia="ja-JP"/>
              </w:rPr>
            </w:pPr>
            <w:r w:rsidRPr="00025912">
              <w:rPr>
                <w:rFonts w:cs="Arial" w:hint="eastAsia"/>
                <w:lang w:eastAsia="ja-JP"/>
              </w:rPr>
              <w:t>G</w:t>
            </w:r>
            <w:r w:rsidRPr="00025912">
              <w:rPr>
                <w:rFonts w:cs="Arial"/>
                <w:lang w:eastAsia="ja-JP"/>
              </w:rPr>
              <w:t xml:space="preserve">enera and </w:t>
            </w:r>
            <w:r w:rsidRPr="00025912">
              <w:rPr>
                <w:rFonts w:cs="Arial" w:hint="eastAsia"/>
                <w:lang w:eastAsia="ja-JP"/>
              </w:rPr>
              <w:t>S</w:t>
            </w:r>
            <w:r w:rsidRPr="00025912">
              <w:rPr>
                <w:rFonts w:cs="Arial"/>
                <w:lang w:eastAsia="ja-JP"/>
              </w:rPr>
              <w:t>pecies</w:t>
            </w:r>
            <w:r w:rsidRPr="00025912">
              <w:rPr>
                <w:rFonts w:cs="Arial" w:hint="eastAsia"/>
                <w:lang w:eastAsia="ja-JP"/>
              </w:rPr>
              <w:t xml:space="preserve"> (</w:t>
            </w:r>
            <w:r w:rsidRPr="00025912">
              <w:rPr>
                <w:rFonts w:cs="Arial"/>
                <w:lang w:eastAsia="ja-JP"/>
              </w:rPr>
              <w:t>8</w:t>
            </w:r>
            <w:r w:rsidRPr="00025912">
              <w:rPr>
                <w:rFonts w:cs="Arial" w:hint="eastAsia"/>
                <w:lang w:eastAsia="ja-JP"/>
              </w:rPr>
              <w:t>)</w:t>
            </w:r>
          </w:p>
        </w:tc>
      </w:tr>
      <w:tr w:rsidR="00025912" w:rsidRPr="00025912" w:rsidTr="00EA6E90">
        <w:trPr>
          <w:trHeight w:val="547"/>
        </w:trPr>
        <w:tc>
          <w:tcPr>
            <w:tcW w:w="8826" w:type="dxa"/>
            <w:tcBorders>
              <w:bottom w:val="single" w:sz="4" w:space="0" w:color="auto"/>
            </w:tcBorders>
          </w:tcPr>
          <w:p w:rsidR="00025912" w:rsidRPr="00025912" w:rsidRDefault="00025912" w:rsidP="00025912">
            <w:pPr>
              <w:widowControl w:val="0"/>
              <w:autoSpaceDE w:val="0"/>
              <w:autoSpaceDN w:val="0"/>
              <w:adjustRightInd w:val="0"/>
              <w:jc w:val="left"/>
              <w:rPr>
                <w:rFonts w:cs="Arial"/>
                <w:kern w:val="2"/>
                <w:lang w:eastAsia="ja-JP"/>
              </w:rPr>
            </w:pPr>
            <w:r w:rsidRPr="001603ED">
              <w:rPr>
                <w:rFonts w:cs="Arial"/>
                <w:i/>
                <w:kern w:val="2"/>
                <w:lang w:eastAsia="ja-JP"/>
              </w:rPr>
              <w:t xml:space="preserve">Ampelopsis </w:t>
            </w:r>
            <w:proofErr w:type="spellStart"/>
            <w:r w:rsidRPr="001603ED">
              <w:rPr>
                <w:rFonts w:cs="Arial"/>
                <w:i/>
                <w:kern w:val="2"/>
                <w:lang w:eastAsia="ja-JP"/>
              </w:rPr>
              <w:t>glandulosa</w:t>
            </w:r>
            <w:proofErr w:type="spellEnd"/>
            <w:r w:rsidRPr="00025912">
              <w:rPr>
                <w:rFonts w:cs="Arial"/>
                <w:kern w:val="2"/>
                <w:lang w:eastAsia="ja-JP"/>
              </w:rPr>
              <w:t xml:space="preserve"> (Wall.) </w:t>
            </w:r>
            <w:proofErr w:type="spellStart"/>
            <w:proofErr w:type="gramStart"/>
            <w:r w:rsidRPr="00025912">
              <w:rPr>
                <w:rFonts w:cs="Arial"/>
                <w:kern w:val="2"/>
                <w:lang w:eastAsia="ja-JP"/>
              </w:rPr>
              <w:t>Momiy</w:t>
            </w:r>
            <w:proofErr w:type="spellEnd"/>
            <w:r w:rsidRPr="00025912">
              <w:rPr>
                <w:rFonts w:cs="Arial"/>
                <w:kern w:val="2"/>
                <w:lang w:eastAsia="ja-JP"/>
              </w:rPr>
              <w:t>.,</w:t>
            </w:r>
            <w:proofErr w:type="gramEnd"/>
            <w:r w:rsidRPr="00025912">
              <w:rPr>
                <w:rFonts w:cs="Arial"/>
                <w:kern w:val="2"/>
                <w:lang w:eastAsia="ja-JP"/>
              </w:rPr>
              <w:t xml:space="preserve"> </w:t>
            </w:r>
            <w:proofErr w:type="spellStart"/>
            <w:r w:rsidRPr="001603ED">
              <w:rPr>
                <w:rFonts w:cs="Arial"/>
                <w:i/>
                <w:kern w:val="2"/>
                <w:lang w:eastAsia="ja-JP"/>
              </w:rPr>
              <w:t>Dischidia</w:t>
            </w:r>
            <w:proofErr w:type="spellEnd"/>
            <w:r w:rsidRPr="001603ED">
              <w:rPr>
                <w:rFonts w:cs="Arial"/>
                <w:i/>
                <w:kern w:val="2"/>
                <w:lang w:eastAsia="ja-JP"/>
              </w:rPr>
              <w:t xml:space="preserve"> </w:t>
            </w:r>
            <w:proofErr w:type="spellStart"/>
            <w:r w:rsidRPr="001603ED">
              <w:rPr>
                <w:rFonts w:cs="Arial"/>
                <w:i/>
                <w:kern w:val="2"/>
                <w:lang w:eastAsia="ja-JP"/>
              </w:rPr>
              <w:t>ruscifolia</w:t>
            </w:r>
            <w:proofErr w:type="spellEnd"/>
            <w:r w:rsidRPr="00025912">
              <w:rPr>
                <w:rFonts w:cs="Arial"/>
                <w:kern w:val="2"/>
                <w:lang w:eastAsia="ja-JP"/>
              </w:rPr>
              <w:t xml:space="preserve"> </w:t>
            </w:r>
            <w:proofErr w:type="spellStart"/>
            <w:r w:rsidRPr="00025912">
              <w:rPr>
                <w:rFonts w:cs="Arial"/>
                <w:kern w:val="2"/>
                <w:lang w:eastAsia="ja-JP"/>
              </w:rPr>
              <w:t>War</w:t>
            </w:r>
            <w:r>
              <w:rPr>
                <w:rFonts w:cs="Arial"/>
                <w:kern w:val="2"/>
                <w:lang w:eastAsia="ja-JP"/>
              </w:rPr>
              <w:t>b</w:t>
            </w:r>
            <w:proofErr w:type="spellEnd"/>
            <w:r>
              <w:rPr>
                <w:rFonts w:cs="Arial"/>
                <w:kern w:val="2"/>
                <w:lang w:eastAsia="ja-JP"/>
              </w:rPr>
              <w:t xml:space="preserve"> ex </w:t>
            </w:r>
            <w:proofErr w:type="spellStart"/>
            <w:r>
              <w:rPr>
                <w:rFonts w:cs="Arial"/>
                <w:kern w:val="2"/>
                <w:lang w:eastAsia="ja-JP"/>
              </w:rPr>
              <w:t>K.Schum</w:t>
            </w:r>
            <w:proofErr w:type="spellEnd"/>
            <w:r>
              <w:rPr>
                <w:rFonts w:cs="Arial"/>
                <w:kern w:val="2"/>
                <w:lang w:eastAsia="ja-JP"/>
              </w:rPr>
              <w:t xml:space="preserve">. &amp; </w:t>
            </w:r>
            <w:proofErr w:type="spellStart"/>
            <w:proofErr w:type="gramStart"/>
            <w:r>
              <w:rPr>
                <w:rFonts w:cs="Arial"/>
                <w:kern w:val="2"/>
                <w:lang w:eastAsia="ja-JP"/>
              </w:rPr>
              <w:t>Lauterb</w:t>
            </w:r>
            <w:proofErr w:type="spellEnd"/>
            <w:r>
              <w:rPr>
                <w:rFonts w:cs="Arial"/>
                <w:kern w:val="2"/>
                <w:lang w:eastAsia="ja-JP"/>
              </w:rPr>
              <w:t>.,</w:t>
            </w:r>
            <w:proofErr w:type="gramEnd"/>
            <w:r>
              <w:rPr>
                <w:rFonts w:cs="Arial"/>
                <w:kern w:val="2"/>
                <w:lang w:eastAsia="ja-JP"/>
              </w:rPr>
              <w:t xml:space="preserve"> </w:t>
            </w:r>
            <w:proofErr w:type="spellStart"/>
            <w:r w:rsidRPr="001603ED">
              <w:rPr>
                <w:rFonts w:cs="Arial"/>
                <w:i/>
                <w:kern w:val="2"/>
                <w:lang w:eastAsia="ja-JP"/>
              </w:rPr>
              <w:t>Ficus</w:t>
            </w:r>
            <w:proofErr w:type="spellEnd"/>
            <w:r w:rsidRPr="001603ED">
              <w:rPr>
                <w:rFonts w:cs="Arial"/>
                <w:i/>
                <w:kern w:val="2"/>
                <w:lang w:eastAsia="ja-JP"/>
              </w:rPr>
              <w:t> </w:t>
            </w:r>
            <w:proofErr w:type="spellStart"/>
            <w:r w:rsidRPr="001603ED">
              <w:rPr>
                <w:rFonts w:cs="Arial"/>
                <w:i/>
                <w:kern w:val="2"/>
                <w:lang w:eastAsia="ja-JP"/>
              </w:rPr>
              <w:t>natalensis</w:t>
            </w:r>
            <w:proofErr w:type="spellEnd"/>
            <w:r w:rsidRPr="00025912">
              <w:rPr>
                <w:rFonts w:cs="Arial"/>
                <w:kern w:val="2"/>
                <w:lang w:eastAsia="ja-JP"/>
              </w:rPr>
              <w:t xml:space="preserve"> </w:t>
            </w:r>
            <w:proofErr w:type="spellStart"/>
            <w:r w:rsidRPr="00025912">
              <w:rPr>
                <w:rFonts w:cs="Arial"/>
                <w:kern w:val="2"/>
                <w:lang w:eastAsia="ja-JP"/>
              </w:rPr>
              <w:t>Hochst</w:t>
            </w:r>
            <w:proofErr w:type="spellEnd"/>
            <w:r w:rsidRPr="00025912">
              <w:rPr>
                <w:rFonts w:cs="Arial"/>
                <w:kern w:val="2"/>
                <w:lang w:eastAsia="ja-JP"/>
              </w:rPr>
              <w:t xml:space="preserve">., </w:t>
            </w:r>
            <w:proofErr w:type="spellStart"/>
            <w:r w:rsidRPr="001603ED">
              <w:rPr>
                <w:rFonts w:cs="Arial"/>
                <w:i/>
                <w:kern w:val="2"/>
                <w:lang w:eastAsia="ja-JP"/>
              </w:rPr>
              <w:t>Ficus</w:t>
            </w:r>
            <w:proofErr w:type="spellEnd"/>
            <w:r w:rsidRPr="001603ED">
              <w:rPr>
                <w:rFonts w:cs="Arial"/>
                <w:i/>
                <w:kern w:val="2"/>
                <w:lang w:eastAsia="ja-JP"/>
              </w:rPr>
              <w:t xml:space="preserve"> </w:t>
            </w:r>
            <w:proofErr w:type="spellStart"/>
            <w:r w:rsidRPr="001603ED">
              <w:rPr>
                <w:rFonts w:cs="Arial"/>
                <w:i/>
                <w:kern w:val="2"/>
                <w:lang w:eastAsia="ja-JP"/>
              </w:rPr>
              <w:t>pumila</w:t>
            </w:r>
            <w:proofErr w:type="spellEnd"/>
            <w:r w:rsidRPr="00025912">
              <w:rPr>
                <w:rFonts w:cs="Arial"/>
                <w:kern w:val="2"/>
                <w:lang w:eastAsia="ja-JP"/>
              </w:rPr>
              <w:t xml:space="preserve"> L., </w:t>
            </w:r>
            <w:proofErr w:type="spellStart"/>
            <w:r w:rsidRPr="001603ED">
              <w:rPr>
                <w:rFonts w:cs="Arial"/>
                <w:i/>
                <w:kern w:val="2"/>
                <w:lang w:eastAsia="ja-JP"/>
              </w:rPr>
              <w:t>Olea</w:t>
            </w:r>
            <w:proofErr w:type="spellEnd"/>
            <w:r w:rsidRPr="001603ED">
              <w:rPr>
                <w:rFonts w:cs="Arial"/>
                <w:i/>
                <w:kern w:val="2"/>
                <w:lang w:eastAsia="ja-JP"/>
              </w:rPr>
              <w:t xml:space="preserve"> </w:t>
            </w:r>
            <w:proofErr w:type="spellStart"/>
            <w:r w:rsidRPr="001603ED">
              <w:rPr>
                <w:rFonts w:cs="Arial"/>
                <w:i/>
                <w:kern w:val="2"/>
                <w:lang w:eastAsia="ja-JP"/>
              </w:rPr>
              <w:t>europaea</w:t>
            </w:r>
            <w:proofErr w:type="spellEnd"/>
            <w:r w:rsidRPr="00025912">
              <w:rPr>
                <w:rFonts w:cs="Arial"/>
                <w:kern w:val="2"/>
                <w:lang w:eastAsia="ja-JP"/>
              </w:rPr>
              <w:t xml:space="preserve"> L.,</w:t>
            </w:r>
            <w:r w:rsidRPr="00025912">
              <w:rPr>
                <w:rFonts w:cs="Arial" w:hint="eastAsia"/>
                <w:kern w:val="2"/>
                <w:lang w:eastAsia="ja-JP"/>
              </w:rPr>
              <w:t xml:space="preserve"> </w:t>
            </w:r>
            <w:r w:rsidRPr="001603ED">
              <w:rPr>
                <w:rFonts w:cs="Arial"/>
                <w:i/>
                <w:kern w:val="2"/>
                <w:lang w:eastAsia="ja-JP"/>
              </w:rPr>
              <w:t xml:space="preserve">Sedum </w:t>
            </w:r>
            <w:proofErr w:type="spellStart"/>
            <w:r w:rsidRPr="001603ED">
              <w:rPr>
                <w:rFonts w:cs="Arial"/>
                <w:i/>
                <w:kern w:val="2"/>
                <w:lang w:eastAsia="ja-JP"/>
              </w:rPr>
              <w:t>japonicum</w:t>
            </w:r>
            <w:proofErr w:type="spellEnd"/>
            <w:r w:rsidRPr="00025912">
              <w:rPr>
                <w:rFonts w:cs="Arial"/>
                <w:kern w:val="2"/>
                <w:lang w:eastAsia="ja-JP"/>
              </w:rPr>
              <w:t xml:space="preserve"> </w:t>
            </w:r>
            <w:proofErr w:type="spellStart"/>
            <w:r w:rsidRPr="00025912">
              <w:rPr>
                <w:rFonts w:cs="Arial"/>
                <w:kern w:val="2"/>
                <w:lang w:eastAsia="ja-JP"/>
              </w:rPr>
              <w:t>Sieb</w:t>
            </w:r>
            <w:proofErr w:type="spellEnd"/>
            <w:r w:rsidRPr="00025912">
              <w:rPr>
                <w:rFonts w:cs="Arial"/>
                <w:kern w:val="2"/>
                <w:lang w:eastAsia="ja-JP"/>
              </w:rPr>
              <w:t xml:space="preserve">. Ex </w:t>
            </w:r>
            <w:proofErr w:type="spellStart"/>
            <w:proofErr w:type="gramStart"/>
            <w:r w:rsidRPr="00025912">
              <w:rPr>
                <w:rFonts w:cs="Arial"/>
                <w:kern w:val="2"/>
                <w:lang w:eastAsia="ja-JP"/>
              </w:rPr>
              <w:t>Miq</w:t>
            </w:r>
            <w:proofErr w:type="spellEnd"/>
            <w:r w:rsidRPr="00025912">
              <w:rPr>
                <w:rFonts w:cs="Arial"/>
                <w:kern w:val="2"/>
                <w:lang w:eastAsia="ja-JP"/>
              </w:rPr>
              <w:t>.,</w:t>
            </w:r>
            <w:proofErr w:type="gramEnd"/>
            <w:r w:rsidRPr="00025912">
              <w:rPr>
                <w:rFonts w:cs="Arial"/>
                <w:kern w:val="2"/>
                <w:lang w:eastAsia="ja-JP"/>
              </w:rPr>
              <w:t xml:space="preserve"> </w:t>
            </w:r>
            <w:r w:rsidRPr="001603ED">
              <w:rPr>
                <w:rFonts w:cs="Arial"/>
                <w:i/>
                <w:kern w:val="2"/>
                <w:lang w:eastAsia="ja-JP"/>
              </w:rPr>
              <w:t xml:space="preserve">Senna </w:t>
            </w:r>
            <w:proofErr w:type="spellStart"/>
            <w:r w:rsidRPr="001603ED">
              <w:rPr>
                <w:rFonts w:cs="Arial"/>
                <w:i/>
                <w:kern w:val="2"/>
                <w:lang w:eastAsia="ja-JP"/>
              </w:rPr>
              <w:t>corymbosa</w:t>
            </w:r>
            <w:proofErr w:type="spellEnd"/>
            <w:r w:rsidRPr="00025912">
              <w:rPr>
                <w:rFonts w:cs="Arial"/>
                <w:kern w:val="2"/>
                <w:lang w:eastAsia="ja-JP"/>
              </w:rPr>
              <w:t xml:space="preserve"> (Lam.) H. S. Irwin &amp; </w:t>
            </w:r>
            <w:proofErr w:type="spellStart"/>
            <w:r w:rsidRPr="00025912">
              <w:rPr>
                <w:rFonts w:cs="Arial"/>
                <w:kern w:val="2"/>
                <w:lang w:eastAsia="ja-JP"/>
              </w:rPr>
              <w:t>Barneby</w:t>
            </w:r>
            <w:proofErr w:type="spellEnd"/>
            <w:r w:rsidRPr="00025912">
              <w:rPr>
                <w:rFonts w:cs="Arial"/>
                <w:kern w:val="2"/>
                <w:lang w:eastAsia="ja-JP"/>
              </w:rPr>
              <w:t>,</w:t>
            </w:r>
            <w:r w:rsidRPr="00025912">
              <w:rPr>
                <w:rFonts w:cs="Arial" w:hint="eastAsia"/>
                <w:kern w:val="2"/>
                <w:lang w:eastAsia="ja-JP"/>
              </w:rPr>
              <w:t xml:space="preserve"> </w:t>
            </w:r>
            <w:proofErr w:type="spellStart"/>
            <w:r w:rsidRPr="001603ED">
              <w:rPr>
                <w:rFonts w:cs="Arial" w:hint="eastAsia"/>
                <w:i/>
                <w:kern w:val="2"/>
                <w:lang w:eastAsia="ja-JP"/>
              </w:rPr>
              <w:t>Uroch</w:t>
            </w:r>
            <w:r w:rsidRPr="001603ED">
              <w:rPr>
                <w:rFonts w:cs="Arial"/>
                <w:i/>
                <w:kern w:val="2"/>
                <w:lang w:eastAsia="ja-JP"/>
              </w:rPr>
              <w:t>l</w:t>
            </w:r>
            <w:r w:rsidRPr="001603ED">
              <w:rPr>
                <w:rFonts w:cs="Arial" w:hint="eastAsia"/>
                <w:i/>
                <w:kern w:val="2"/>
                <w:lang w:eastAsia="ja-JP"/>
              </w:rPr>
              <w:t>oa</w:t>
            </w:r>
            <w:proofErr w:type="spellEnd"/>
            <w:r w:rsidRPr="00025912">
              <w:rPr>
                <w:rFonts w:cs="Arial" w:hint="eastAsia"/>
                <w:kern w:val="2"/>
                <w:lang w:eastAsia="ja-JP"/>
              </w:rPr>
              <w:t xml:space="preserve"> P </w:t>
            </w:r>
            <w:proofErr w:type="spellStart"/>
            <w:r w:rsidRPr="00025912">
              <w:rPr>
                <w:rFonts w:cs="Arial" w:hint="eastAsia"/>
                <w:kern w:val="2"/>
                <w:lang w:eastAsia="ja-JP"/>
              </w:rPr>
              <w:t>Beauv</w:t>
            </w:r>
            <w:proofErr w:type="spellEnd"/>
            <w:r w:rsidRPr="00025912">
              <w:rPr>
                <w:rFonts w:cs="Arial" w:hint="eastAsia"/>
                <w:kern w:val="2"/>
                <w:lang w:eastAsia="ja-JP"/>
              </w:rPr>
              <w:t>.</w:t>
            </w:r>
          </w:p>
        </w:tc>
      </w:tr>
    </w:tbl>
    <w:p w:rsidR="00025912" w:rsidRDefault="00025912" w:rsidP="00025912">
      <w:pPr>
        <w:rPr>
          <w:bCs/>
          <w:lang w:eastAsia="ja-JP"/>
        </w:rPr>
      </w:pPr>
    </w:p>
    <w:p w:rsidR="00025912" w:rsidRPr="00025912" w:rsidRDefault="00025912" w:rsidP="00025912">
      <w:pPr>
        <w:rPr>
          <w:lang w:eastAsia="ja-JP"/>
        </w:rPr>
      </w:pPr>
      <w:proofErr w:type="gramStart"/>
      <w:r w:rsidRPr="00025912">
        <w:rPr>
          <w:bCs/>
          <w:lang w:eastAsia="ja-JP"/>
        </w:rPr>
        <w:t>Web-site</w:t>
      </w:r>
      <w:proofErr w:type="gramEnd"/>
      <w:r w:rsidRPr="00025912">
        <w:rPr>
          <w:bCs/>
          <w:lang w:eastAsia="ja-JP"/>
        </w:rPr>
        <w:t xml:space="preserve">: </w:t>
      </w:r>
      <w:r w:rsidRPr="00025912">
        <w:rPr>
          <w:lang w:eastAsia="ja-JP"/>
        </w:rPr>
        <w:t>http://www.hinshu2.maff.go.jp/info/sinsakijun/botanical_taxon_e.html</w:t>
      </w:r>
    </w:p>
    <w:p w:rsidR="00025912" w:rsidRDefault="00025912" w:rsidP="00025912">
      <w:pPr>
        <w:rPr>
          <w:lang w:eastAsia="ja-JP"/>
        </w:rPr>
      </w:pPr>
    </w:p>
    <w:p w:rsidR="00025912" w:rsidRPr="00025912" w:rsidRDefault="00025912" w:rsidP="00025912">
      <w:pPr>
        <w:rPr>
          <w:lang w:eastAsia="ja-JP"/>
        </w:rPr>
      </w:pPr>
    </w:p>
    <w:p w:rsidR="00025912" w:rsidRDefault="00025912" w:rsidP="00025912">
      <w:pPr>
        <w:rPr>
          <w:lang w:eastAsia="ja-JP"/>
        </w:rPr>
      </w:pPr>
      <w:r>
        <w:rPr>
          <w:rFonts w:hint="eastAsia"/>
          <w:lang w:eastAsia="ja-JP"/>
        </w:rPr>
        <w:t>5. Other</w:t>
      </w:r>
    </w:p>
    <w:p w:rsidR="00025912" w:rsidRPr="00025912" w:rsidRDefault="00025912" w:rsidP="00025912">
      <w:pPr>
        <w:rPr>
          <w:lang w:eastAsia="ja-JP"/>
        </w:rPr>
      </w:pPr>
    </w:p>
    <w:p w:rsidR="00025912" w:rsidRPr="00025912" w:rsidRDefault="00025912" w:rsidP="00EA6E90">
      <w:pPr>
        <w:widowControl w:val="0"/>
        <w:numPr>
          <w:ilvl w:val="0"/>
          <w:numId w:val="4"/>
        </w:numPr>
        <w:autoSpaceDE w:val="0"/>
        <w:autoSpaceDN w:val="0"/>
        <w:adjustRightInd w:val="0"/>
        <w:rPr>
          <w:rFonts w:cs="Arial"/>
          <w:szCs w:val="24"/>
          <w:lang w:eastAsia="ja-JP"/>
        </w:rPr>
      </w:pPr>
      <w:r w:rsidRPr="00025912">
        <w:rPr>
          <w:rFonts w:cs="Arial"/>
          <w:szCs w:val="24"/>
          <w:lang w:eastAsia="ja-JP"/>
        </w:rPr>
        <w:t>Japan continuously provides other UPOV members with examination reports at no charge under the Memorandum of Cooperation (MOC).</w:t>
      </w:r>
      <w:r w:rsidRPr="00025912">
        <w:rPr>
          <w:rFonts w:cs="Arial" w:hint="eastAsia"/>
          <w:kern w:val="2"/>
          <w:szCs w:val="24"/>
          <w:lang w:eastAsia="ja-JP"/>
        </w:rPr>
        <w:t xml:space="preserve"> We have</w:t>
      </w:r>
      <w:r w:rsidRPr="00025912">
        <w:rPr>
          <w:rFonts w:cs="Arial"/>
          <w:kern w:val="2"/>
          <w:szCs w:val="24"/>
          <w:lang w:eastAsia="ja-JP"/>
        </w:rPr>
        <w:t xml:space="preserve"> </w:t>
      </w:r>
      <w:r w:rsidRPr="00025912">
        <w:rPr>
          <w:rFonts w:cs="Arial" w:hint="eastAsia"/>
          <w:kern w:val="2"/>
          <w:szCs w:val="24"/>
          <w:lang w:eastAsia="ja-JP"/>
        </w:rPr>
        <w:t>ag</w:t>
      </w:r>
      <w:r w:rsidRPr="00025912">
        <w:rPr>
          <w:rFonts w:cs="Arial"/>
          <w:kern w:val="2"/>
          <w:szCs w:val="24"/>
          <w:lang w:eastAsia="ja-JP"/>
        </w:rPr>
        <w:t>re</w:t>
      </w:r>
      <w:r w:rsidRPr="00025912">
        <w:rPr>
          <w:rFonts w:cs="Arial" w:hint="eastAsia"/>
          <w:kern w:val="2"/>
          <w:szCs w:val="24"/>
          <w:lang w:eastAsia="ja-JP"/>
        </w:rPr>
        <w:t xml:space="preserve">ed the </w:t>
      </w:r>
      <w:r w:rsidRPr="00025912">
        <w:rPr>
          <w:rFonts w:cs="Arial"/>
          <w:kern w:val="2"/>
          <w:szCs w:val="24"/>
          <w:lang w:eastAsia="ja-JP"/>
        </w:rPr>
        <w:t>MOC with 15 members at April 20</w:t>
      </w:r>
      <w:r w:rsidRPr="00025912">
        <w:rPr>
          <w:rFonts w:cs="Arial" w:hint="eastAsia"/>
          <w:kern w:val="2"/>
          <w:szCs w:val="24"/>
          <w:lang w:eastAsia="ja-JP"/>
        </w:rPr>
        <w:t>20</w:t>
      </w:r>
      <w:r w:rsidRPr="00025912">
        <w:rPr>
          <w:rFonts w:cs="Arial"/>
          <w:kern w:val="2"/>
          <w:szCs w:val="24"/>
          <w:lang w:eastAsia="ja-JP"/>
        </w:rPr>
        <w:t>.</w:t>
      </w:r>
    </w:p>
    <w:p w:rsidR="00025912" w:rsidRPr="00025912" w:rsidRDefault="00025912" w:rsidP="00025912">
      <w:pPr>
        <w:widowControl w:val="0"/>
        <w:autoSpaceDE w:val="0"/>
        <w:autoSpaceDN w:val="0"/>
        <w:adjustRightInd w:val="0"/>
        <w:ind w:left="420"/>
        <w:rPr>
          <w:rFonts w:cs="Arial"/>
          <w:szCs w:val="24"/>
          <w:lang w:eastAsia="ja-JP"/>
        </w:rPr>
      </w:pPr>
    </w:p>
    <w:p w:rsidR="00025912" w:rsidRPr="00025912" w:rsidRDefault="00025912" w:rsidP="00025912">
      <w:pPr>
        <w:widowControl w:val="0"/>
        <w:numPr>
          <w:ilvl w:val="0"/>
          <w:numId w:val="4"/>
        </w:numPr>
        <w:autoSpaceDE w:val="0"/>
        <w:autoSpaceDN w:val="0"/>
        <w:adjustRightInd w:val="0"/>
        <w:rPr>
          <w:rFonts w:cs="Arial"/>
          <w:szCs w:val="24"/>
          <w:lang w:eastAsia="ja-JP"/>
        </w:rPr>
      </w:pPr>
      <w:r w:rsidRPr="00025912">
        <w:rPr>
          <w:rFonts w:cs="Arial"/>
          <w:szCs w:val="24"/>
          <w:lang w:eastAsia="ja-JP"/>
        </w:rPr>
        <w:t xml:space="preserve">Japan launched MAFF electric application system (national electric application system) in March </w:t>
      </w:r>
      <w:proofErr w:type="gramStart"/>
      <w:r w:rsidRPr="00025912">
        <w:rPr>
          <w:rFonts w:cs="Arial"/>
          <w:szCs w:val="24"/>
          <w:lang w:eastAsia="ja-JP"/>
        </w:rPr>
        <w:t>26th</w:t>
      </w:r>
      <w:proofErr w:type="gramEnd"/>
      <w:r w:rsidRPr="00025912">
        <w:rPr>
          <w:rFonts w:cs="Arial"/>
          <w:szCs w:val="24"/>
          <w:lang w:eastAsia="ja-JP"/>
        </w:rPr>
        <w:t xml:space="preserve">, 2018 for convenience of applicants and for improving effective PVP proceedings in Japan. </w:t>
      </w:r>
      <w:r w:rsidRPr="00025912">
        <w:rPr>
          <w:rFonts w:cs="Arial" w:hint="eastAsia"/>
          <w:szCs w:val="24"/>
          <w:lang w:eastAsia="ja-JP"/>
        </w:rPr>
        <w:t>T</w:t>
      </w:r>
      <w:r w:rsidRPr="00025912">
        <w:rPr>
          <w:rFonts w:cs="Arial"/>
          <w:szCs w:val="24"/>
          <w:lang w:eastAsia="ja-JP"/>
        </w:rPr>
        <w:t xml:space="preserve">otal number of electric applications, by the end of 2019, is 459 (30.0 percent share of total applications). This system allows users to send application form by electric system. Users </w:t>
      </w:r>
      <w:proofErr w:type="gramStart"/>
      <w:r w:rsidRPr="00025912">
        <w:rPr>
          <w:rFonts w:cs="Arial"/>
          <w:szCs w:val="24"/>
          <w:lang w:eastAsia="ja-JP"/>
        </w:rPr>
        <w:t>are requested</w:t>
      </w:r>
      <w:proofErr w:type="gramEnd"/>
      <w:r w:rsidRPr="00025912">
        <w:rPr>
          <w:rFonts w:cs="Arial"/>
          <w:szCs w:val="24"/>
          <w:lang w:eastAsia="ja-JP"/>
        </w:rPr>
        <w:t xml:space="preserve"> to send a Request Form by postal mail to PVPO for obtaining user ID and password in advance. The system accepts Japanese language only. The PVPO accepts paper application. More information is available at MAFF’s website. http://www.hinshu2.maff.go.jp/”</w:t>
      </w:r>
    </w:p>
    <w:p w:rsidR="00025912" w:rsidRPr="00025912" w:rsidRDefault="00025912" w:rsidP="00025912">
      <w:pPr>
        <w:widowControl w:val="0"/>
        <w:autoSpaceDE w:val="0"/>
        <w:autoSpaceDN w:val="0"/>
        <w:adjustRightInd w:val="0"/>
        <w:rPr>
          <w:rFonts w:cs="Arial"/>
          <w:szCs w:val="24"/>
          <w:lang w:eastAsia="ja-JP"/>
        </w:rPr>
      </w:pPr>
    </w:p>
    <w:p w:rsidR="00025912" w:rsidRPr="00025912" w:rsidRDefault="00025912" w:rsidP="00025912">
      <w:pPr>
        <w:widowControl w:val="0"/>
        <w:numPr>
          <w:ilvl w:val="0"/>
          <w:numId w:val="4"/>
        </w:numPr>
        <w:autoSpaceDE w:val="0"/>
        <w:autoSpaceDN w:val="0"/>
        <w:adjustRightInd w:val="0"/>
        <w:rPr>
          <w:rFonts w:cs="Arial"/>
          <w:szCs w:val="24"/>
          <w:lang w:eastAsia="ja-JP"/>
        </w:rPr>
      </w:pPr>
      <w:r w:rsidRPr="00025912">
        <w:rPr>
          <w:rFonts w:cs="Arial"/>
          <w:szCs w:val="24"/>
          <w:lang w:eastAsia="ja-JP"/>
        </w:rPr>
        <w:t>Currently, the Diet is deliberating on amendments to the law to strengthen the Plant Variety Protection.</w:t>
      </w:r>
    </w:p>
    <w:p w:rsidR="00025912" w:rsidRPr="00025912" w:rsidRDefault="00025912" w:rsidP="00025912">
      <w:pPr>
        <w:widowControl w:val="0"/>
        <w:autoSpaceDE w:val="0"/>
        <w:autoSpaceDN w:val="0"/>
        <w:adjustRightInd w:val="0"/>
        <w:ind w:left="300" w:hangingChars="150" w:hanging="300"/>
        <w:rPr>
          <w:rFonts w:cs="Arial"/>
          <w:szCs w:val="24"/>
          <w:lang w:eastAsia="ja-JP"/>
        </w:rPr>
      </w:pPr>
    </w:p>
    <w:p w:rsidR="00025912" w:rsidRPr="00025912" w:rsidRDefault="00025912" w:rsidP="00025912">
      <w:pPr>
        <w:widowControl w:val="0"/>
        <w:numPr>
          <w:ilvl w:val="0"/>
          <w:numId w:val="4"/>
        </w:numPr>
        <w:autoSpaceDE w:val="0"/>
        <w:autoSpaceDN w:val="0"/>
        <w:adjustRightInd w:val="0"/>
        <w:rPr>
          <w:rFonts w:cs="Arial"/>
          <w:szCs w:val="24"/>
          <w:lang w:eastAsia="ja-JP"/>
        </w:rPr>
      </w:pPr>
      <w:proofErr w:type="gramStart"/>
      <w:r w:rsidRPr="00025912">
        <w:rPr>
          <w:rFonts w:cs="Arial"/>
          <w:szCs w:val="24"/>
          <w:lang w:eastAsia="ja-JP"/>
        </w:rPr>
        <w:t>Since establishment of the East Asia Plant Variety Protection Forum in 2008, Japan continuously support Forum member’s activities and will enhance support to establish effective PVP system consistent with the UPOV Convention by strengthening national PVP system and by contributing to facilitate harmonization of application and examination procedures and to enhance efficient PVP cooperation under the 10-Year Strategic Plan of the Forum.</w:t>
      </w:r>
      <w:proofErr w:type="gramEnd"/>
      <w:r w:rsidRPr="00025912">
        <w:rPr>
          <w:rFonts w:cs="Arial"/>
          <w:szCs w:val="24"/>
          <w:lang w:eastAsia="ja-JP"/>
        </w:rPr>
        <w:t xml:space="preserve"> Especially, Japan, Vietnam and other partners are working together on the pilot project to develop “PVP Platform under the EAPVP Forum” which would provide applicants with a single online platform for submitting application data to PVP Offices of participating countries</w:t>
      </w:r>
      <w:r w:rsidRPr="00025912">
        <w:rPr>
          <w:rFonts w:cs="Arial" w:hint="eastAsia"/>
          <w:szCs w:val="24"/>
          <w:lang w:eastAsia="ja-JP"/>
        </w:rPr>
        <w:t>,</w:t>
      </w:r>
      <w:r w:rsidRPr="00025912">
        <w:rPr>
          <w:rFonts w:cs="Arial"/>
          <w:szCs w:val="24"/>
          <w:lang w:eastAsia="ja-JP"/>
        </w:rPr>
        <w:t xml:space="preserve"> and would enhance DUS cooperation among participating countries.</w:t>
      </w:r>
    </w:p>
    <w:p w:rsidR="00E47B01" w:rsidRDefault="00E47B01" w:rsidP="008C0A02">
      <w:pPr>
        <w:rPr>
          <w:lang w:eastAsia="ja-JP"/>
        </w:rPr>
      </w:pPr>
    </w:p>
    <w:p w:rsidR="008C0A02" w:rsidRDefault="008C0A02" w:rsidP="008C0A02">
      <w:pPr>
        <w:rPr>
          <w:lang w:eastAsia="ja-JP"/>
        </w:rPr>
      </w:pPr>
    </w:p>
    <w:p w:rsidR="008C0A02" w:rsidRDefault="008C0A02" w:rsidP="008C0A02">
      <w:pPr>
        <w:rPr>
          <w:lang w:eastAsia="ja-JP"/>
        </w:rPr>
      </w:pPr>
    </w:p>
    <w:p w:rsidR="008C0A02" w:rsidRDefault="008C0A02" w:rsidP="008C0A02">
      <w:pPr>
        <w:jc w:val="right"/>
      </w:pPr>
      <w:r w:rsidRPr="00C5280D">
        <w:t>[</w:t>
      </w:r>
      <w:r>
        <w:t xml:space="preserve">Annex </w:t>
      </w:r>
      <w:r w:rsidR="00E563A8">
        <w:t>V</w:t>
      </w:r>
      <w:r>
        <w:t xml:space="preserve"> follows</w:t>
      </w:r>
      <w:r w:rsidRPr="00C5280D">
        <w:t>]</w:t>
      </w:r>
    </w:p>
    <w:p w:rsidR="008C0A02" w:rsidRPr="00E47B01" w:rsidRDefault="008C0A02" w:rsidP="008C0A02">
      <w:pPr>
        <w:rPr>
          <w:lang w:eastAsia="ja-JP"/>
        </w:rPr>
      </w:pPr>
    </w:p>
    <w:p w:rsidR="000D388C" w:rsidRDefault="000D388C" w:rsidP="00050E16">
      <w:pPr>
        <w:sectPr w:rsidR="000D388C" w:rsidSect="00DD60F9">
          <w:headerReference w:type="default" r:id="rId24"/>
          <w:headerReference w:type="first" r:id="rId25"/>
          <w:pgSz w:w="11907" w:h="16840" w:code="9"/>
          <w:pgMar w:top="510" w:right="1134" w:bottom="1134" w:left="1134" w:header="510" w:footer="680" w:gutter="0"/>
          <w:pgNumType w:start="1"/>
          <w:cols w:space="720"/>
          <w:titlePg/>
        </w:sectPr>
      </w:pPr>
    </w:p>
    <w:p w:rsidR="005B5FAB" w:rsidRDefault="005B5FAB" w:rsidP="005B5FAB"/>
    <w:p w:rsidR="00726071" w:rsidRDefault="00726071" w:rsidP="00726071">
      <w:pPr>
        <w:jc w:val="center"/>
      </w:pPr>
      <w:r>
        <w:t>MEXICO</w:t>
      </w:r>
    </w:p>
    <w:p w:rsidR="00726071" w:rsidRDefault="00726071" w:rsidP="005B5FAB"/>
    <w:p w:rsidR="00726071" w:rsidRDefault="00726071" w:rsidP="005B5FAB"/>
    <w:p w:rsidR="00726071" w:rsidRDefault="00726071" w:rsidP="00726071">
      <w:pPr>
        <w:rPr>
          <w:lang w:eastAsia="es-MX"/>
        </w:rPr>
      </w:pPr>
      <w:r w:rsidRPr="00726071">
        <w:rPr>
          <w:lang w:eastAsia="es-MX"/>
        </w:rPr>
        <w:t>In Mexico plant varieties can be officially register by two modalities, one is through applying for National List (</w:t>
      </w:r>
      <w:proofErr w:type="spellStart"/>
      <w:r w:rsidRPr="00726071">
        <w:rPr>
          <w:lang w:eastAsia="es-MX"/>
        </w:rPr>
        <w:t>Catálogo</w:t>
      </w:r>
      <w:proofErr w:type="spellEnd"/>
      <w:r w:rsidRPr="00726071">
        <w:rPr>
          <w:lang w:eastAsia="es-MX"/>
        </w:rPr>
        <w:t xml:space="preserve"> Nacional de </w:t>
      </w:r>
      <w:proofErr w:type="spellStart"/>
      <w:r w:rsidRPr="00726071">
        <w:rPr>
          <w:lang w:eastAsia="es-MX"/>
        </w:rPr>
        <w:t>Variedades</w:t>
      </w:r>
      <w:proofErr w:type="spellEnd"/>
      <w:r w:rsidRPr="00726071">
        <w:rPr>
          <w:lang w:eastAsia="es-MX"/>
        </w:rPr>
        <w:t xml:space="preserve"> Vegetales), which does not confer exclusivity. The other is by the application of breeders rights.</w:t>
      </w:r>
    </w:p>
    <w:p w:rsidR="00726071" w:rsidRPr="00726071" w:rsidRDefault="00726071" w:rsidP="00726071">
      <w:pPr>
        <w:rPr>
          <w:lang w:eastAsia="es-MX"/>
        </w:rPr>
      </w:pPr>
    </w:p>
    <w:p w:rsidR="00726071" w:rsidRDefault="00726071" w:rsidP="00726071">
      <w:pPr>
        <w:rPr>
          <w:lang w:eastAsia="es-MX"/>
        </w:rPr>
      </w:pPr>
      <w:r w:rsidRPr="00726071">
        <w:rPr>
          <w:lang w:eastAsia="es-MX"/>
        </w:rPr>
        <w:t xml:space="preserve">From 2002 to march, 2020, 3.139 applications to breeders rights, </w:t>
      </w:r>
      <w:proofErr w:type="gramStart"/>
      <w:r w:rsidRPr="00726071">
        <w:rPr>
          <w:lang w:eastAsia="es-MX"/>
        </w:rPr>
        <w:t>have been submitted</w:t>
      </w:r>
      <w:proofErr w:type="gramEnd"/>
      <w:r w:rsidRPr="00726071">
        <w:rPr>
          <w:lang w:eastAsia="es-MX"/>
        </w:rPr>
        <w:t xml:space="preserve">. </w:t>
      </w:r>
      <w:proofErr w:type="gramStart"/>
      <w:r w:rsidRPr="00726071">
        <w:rPr>
          <w:lang w:eastAsia="es-MX"/>
        </w:rPr>
        <w:t>2.437</w:t>
      </w:r>
      <w:proofErr w:type="gramEnd"/>
      <w:r w:rsidRPr="00726071">
        <w:rPr>
          <w:lang w:eastAsia="es-MX"/>
        </w:rPr>
        <w:t xml:space="preserve"> have been granted of which, 2.062 remain in force</w:t>
      </w:r>
    </w:p>
    <w:p w:rsidR="00726071" w:rsidRPr="00726071" w:rsidRDefault="00726071" w:rsidP="00726071">
      <w:pPr>
        <w:rPr>
          <w:lang w:eastAsia="es-MX"/>
        </w:rPr>
      </w:pPr>
    </w:p>
    <w:p w:rsidR="00726071" w:rsidRPr="00726071" w:rsidRDefault="00726071" w:rsidP="00726071">
      <w:pPr>
        <w:rPr>
          <w:lang w:eastAsia="es-MX"/>
        </w:rPr>
      </w:pPr>
      <w:r w:rsidRPr="00726071">
        <w:rPr>
          <w:lang w:eastAsia="es-MX"/>
        </w:rPr>
        <w:t xml:space="preserve">By nationality, 251 applicants from 31 nationalities have submitted at least one </w:t>
      </w:r>
      <w:proofErr w:type="gramStart"/>
      <w:r w:rsidRPr="00726071">
        <w:rPr>
          <w:lang w:eastAsia="es-MX"/>
        </w:rPr>
        <w:t>application,</w:t>
      </w:r>
      <w:proofErr w:type="gramEnd"/>
      <w:r w:rsidRPr="00726071">
        <w:rPr>
          <w:lang w:eastAsia="es-MX"/>
        </w:rPr>
        <w:t xml:space="preserve"> stand out the U</w:t>
      </w:r>
      <w:r>
        <w:rPr>
          <w:lang w:eastAsia="es-MX"/>
        </w:rPr>
        <w:t>nited </w:t>
      </w:r>
      <w:r w:rsidRPr="00726071">
        <w:rPr>
          <w:lang w:eastAsia="es-MX"/>
        </w:rPr>
        <w:t>S</w:t>
      </w:r>
      <w:r>
        <w:rPr>
          <w:lang w:eastAsia="es-MX"/>
        </w:rPr>
        <w:t xml:space="preserve">tates of </w:t>
      </w:r>
      <w:r w:rsidRPr="00726071">
        <w:rPr>
          <w:lang w:eastAsia="es-MX"/>
        </w:rPr>
        <w:t>A</w:t>
      </w:r>
      <w:r>
        <w:rPr>
          <w:lang w:eastAsia="es-MX"/>
        </w:rPr>
        <w:t>merica</w:t>
      </w:r>
      <w:r w:rsidRPr="00726071">
        <w:rPr>
          <w:lang w:eastAsia="es-MX"/>
        </w:rPr>
        <w:t xml:space="preserve">, Mexico and </w:t>
      </w:r>
      <w:r>
        <w:rPr>
          <w:lang w:eastAsia="es-MX"/>
        </w:rPr>
        <w:t xml:space="preserve">the </w:t>
      </w:r>
      <w:r w:rsidRPr="00726071">
        <w:rPr>
          <w:lang w:eastAsia="es-MX"/>
        </w:rPr>
        <w:t xml:space="preserve">Netherlands. </w:t>
      </w:r>
      <w:proofErr w:type="gramStart"/>
      <w:r w:rsidRPr="00726071">
        <w:rPr>
          <w:lang w:eastAsia="es-MX"/>
        </w:rPr>
        <w:t>It is important to point out, that in Mexico, the public investigation is one of the most important innovation creator, The “</w:t>
      </w:r>
      <w:proofErr w:type="spellStart"/>
      <w:r w:rsidRPr="00726071">
        <w:rPr>
          <w:lang w:eastAsia="es-MX"/>
        </w:rPr>
        <w:t>Instituto</w:t>
      </w:r>
      <w:proofErr w:type="spellEnd"/>
      <w:r w:rsidRPr="00726071">
        <w:rPr>
          <w:lang w:eastAsia="es-MX"/>
        </w:rPr>
        <w:t xml:space="preserve"> Nacional de </w:t>
      </w:r>
      <w:proofErr w:type="spellStart"/>
      <w:r w:rsidRPr="00726071">
        <w:rPr>
          <w:lang w:eastAsia="es-MX"/>
        </w:rPr>
        <w:t>Investigaciones</w:t>
      </w:r>
      <w:proofErr w:type="spellEnd"/>
      <w:r w:rsidRPr="00726071">
        <w:rPr>
          <w:lang w:eastAsia="es-MX"/>
        </w:rPr>
        <w:t xml:space="preserve">, </w:t>
      </w:r>
      <w:proofErr w:type="spellStart"/>
      <w:r w:rsidRPr="00726071">
        <w:rPr>
          <w:lang w:eastAsia="es-MX"/>
        </w:rPr>
        <w:t>Forestales</w:t>
      </w:r>
      <w:proofErr w:type="spellEnd"/>
      <w:r w:rsidRPr="00726071">
        <w:rPr>
          <w:lang w:eastAsia="es-MX"/>
        </w:rPr>
        <w:t xml:space="preserve">, </w:t>
      </w:r>
      <w:proofErr w:type="spellStart"/>
      <w:r w:rsidRPr="00726071">
        <w:rPr>
          <w:lang w:eastAsia="es-MX"/>
        </w:rPr>
        <w:t>Agrícolas</w:t>
      </w:r>
      <w:proofErr w:type="spellEnd"/>
      <w:r w:rsidRPr="00726071">
        <w:rPr>
          <w:lang w:eastAsia="es-MX"/>
        </w:rPr>
        <w:t xml:space="preserve"> y </w:t>
      </w:r>
      <w:proofErr w:type="spellStart"/>
      <w:r w:rsidRPr="00726071">
        <w:rPr>
          <w:lang w:eastAsia="es-MX"/>
        </w:rPr>
        <w:t>Pecuarias</w:t>
      </w:r>
      <w:proofErr w:type="spellEnd"/>
      <w:r w:rsidRPr="00726071">
        <w:rPr>
          <w:lang w:eastAsia="es-MX"/>
        </w:rPr>
        <w:t xml:space="preserve"> (INIFAP)”, is the most important </w:t>
      </w:r>
      <w:proofErr w:type="spellStart"/>
      <w:r w:rsidRPr="00726071">
        <w:rPr>
          <w:lang w:eastAsia="es-MX"/>
        </w:rPr>
        <w:t>bredeer</w:t>
      </w:r>
      <w:proofErr w:type="spellEnd"/>
      <w:r w:rsidRPr="00726071">
        <w:rPr>
          <w:lang w:eastAsia="es-MX"/>
        </w:rPr>
        <w:t>, is title holder of 324 varieties from 46 crops, followed by Pioneer Hi-Bred International, Inc. with 270 varieties</w:t>
      </w:r>
      <w:r>
        <w:rPr>
          <w:lang w:eastAsia="es-MX"/>
        </w:rPr>
        <w:t xml:space="preserve"> of corn plant and sorghum and</w:t>
      </w:r>
      <w:r w:rsidRPr="00726071">
        <w:rPr>
          <w:lang w:eastAsia="es-MX"/>
        </w:rPr>
        <w:t xml:space="preserve"> </w:t>
      </w:r>
      <w:proofErr w:type="spellStart"/>
      <w:r w:rsidRPr="00726071">
        <w:rPr>
          <w:lang w:eastAsia="es-MX"/>
        </w:rPr>
        <w:t>Seminis</w:t>
      </w:r>
      <w:proofErr w:type="spellEnd"/>
      <w:r w:rsidRPr="00726071">
        <w:rPr>
          <w:lang w:eastAsia="es-MX"/>
        </w:rPr>
        <w:t xml:space="preserve"> Vegetable Seeds, Inc. with 42 varieties of eight species.</w:t>
      </w:r>
      <w:proofErr w:type="gramEnd"/>
    </w:p>
    <w:p w:rsidR="00726071" w:rsidRPr="00726071" w:rsidRDefault="00726071" w:rsidP="00726071">
      <w:pPr>
        <w:spacing w:after="200"/>
        <w:jc w:val="center"/>
        <w:rPr>
          <w:rFonts w:ascii="Montserrat" w:eastAsia="Montserrat" w:hAnsi="Montserrat" w:cs="Montserrat"/>
          <w:lang w:eastAsia="es-MX"/>
        </w:rPr>
      </w:pPr>
    </w:p>
    <w:p w:rsidR="00726071" w:rsidRPr="00726071" w:rsidRDefault="00726071" w:rsidP="00726071">
      <w:pPr>
        <w:spacing w:after="200"/>
        <w:jc w:val="center"/>
        <w:rPr>
          <w:rFonts w:ascii="Montserrat" w:eastAsia="Montserrat" w:hAnsi="Montserrat" w:cs="Montserrat"/>
          <w:lang w:val="es-ES" w:eastAsia="es-MX"/>
        </w:rPr>
      </w:pPr>
      <w:r w:rsidRPr="00726071">
        <w:rPr>
          <w:rFonts w:ascii="Montserrat" w:eastAsia="Montserrat" w:hAnsi="Montserrat" w:cs="Montserrat"/>
          <w:noProof/>
        </w:rPr>
        <w:drawing>
          <wp:inline distT="114300" distB="114300" distL="114300" distR="114300" wp14:anchorId="3B4D9CAC" wp14:editId="2B80419C">
            <wp:extent cx="5402580" cy="3302000"/>
            <wp:effectExtent l="0" t="0" r="0" b="0"/>
            <wp:docPr id="1"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26"/>
                    <a:srcRect/>
                    <a:stretch>
                      <a:fillRect/>
                    </a:stretch>
                  </pic:blipFill>
                  <pic:spPr>
                    <a:xfrm>
                      <a:off x="0" y="0"/>
                      <a:ext cx="5402580" cy="3302000"/>
                    </a:xfrm>
                    <a:prstGeom prst="rect">
                      <a:avLst/>
                    </a:prstGeom>
                    <a:ln/>
                  </pic:spPr>
                </pic:pic>
              </a:graphicData>
            </a:graphic>
          </wp:inline>
        </w:drawing>
      </w:r>
    </w:p>
    <w:p w:rsidR="00726071" w:rsidRDefault="00726071" w:rsidP="00726071">
      <w:pPr>
        <w:jc w:val="center"/>
        <w:rPr>
          <w:lang w:eastAsia="es-MX"/>
        </w:rPr>
      </w:pPr>
      <w:r w:rsidRPr="00726071">
        <w:rPr>
          <w:lang w:eastAsia="es-MX"/>
        </w:rPr>
        <w:t>Fig.1. Mexico, titles granted by crop types</w:t>
      </w:r>
    </w:p>
    <w:p w:rsidR="00726071" w:rsidRPr="00726071" w:rsidRDefault="00726071" w:rsidP="00726071">
      <w:pPr>
        <w:rPr>
          <w:lang w:eastAsia="es-MX"/>
        </w:rPr>
      </w:pPr>
    </w:p>
    <w:p w:rsidR="00726071" w:rsidRPr="00726071" w:rsidRDefault="00726071" w:rsidP="00726071">
      <w:pPr>
        <w:rPr>
          <w:lang w:eastAsia="es-MX"/>
        </w:rPr>
      </w:pPr>
      <w:r>
        <w:rPr>
          <w:lang w:eastAsia="es-MX"/>
        </w:rPr>
        <w:t>As we can see in fig.</w:t>
      </w:r>
      <w:r w:rsidRPr="00726071">
        <w:rPr>
          <w:lang w:eastAsia="es-MX"/>
        </w:rPr>
        <w:t>1. the Agricultural Crops, are the most important in Mexico, 41% of the titles have been granted for that type of crops and the ornamental plants and forest trees are located in the thi</w:t>
      </w:r>
      <w:r>
        <w:rPr>
          <w:lang w:eastAsia="es-MX"/>
        </w:rPr>
        <w:t>rd place with 463 </w:t>
      </w:r>
      <w:r w:rsidRPr="00726071">
        <w:rPr>
          <w:lang w:eastAsia="es-MX"/>
        </w:rPr>
        <w:t>title granted.</w:t>
      </w:r>
    </w:p>
    <w:p w:rsidR="00726071" w:rsidRDefault="00726071" w:rsidP="00726071">
      <w:pPr>
        <w:rPr>
          <w:lang w:eastAsia="es-MX"/>
        </w:rPr>
      </w:pPr>
    </w:p>
    <w:p w:rsidR="00726071" w:rsidRPr="00726071" w:rsidRDefault="00726071" w:rsidP="00726071">
      <w:pPr>
        <w:rPr>
          <w:lang w:eastAsia="es-MX"/>
        </w:rPr>
      </w:pPr>
    </w:p>
    <w:p w:rsidR="00726071" w:rsidRDefault="00726071" w:rsidP="00726071">
      <w:pPr>
        <w:pStyle w:val="Heading2"/>
        <w:rPr>
          <w:lang w:eastAsia="es-MX"/>
        </w:rPr>
      </w:pPr>
      <w:r w:rsidRPr="00726071">
        <w:rPr>
          <w:lang w:eastAsia="es-MX"/>
        </w:rPr>
        <w:t>Ornamental Plants and Forest Trees</w:t>
      </w:r>
    </w:p>
    <w:p w:rsidR="00726071" w:rsidRPr="00726071" w:rsidRDefault="00726071" w:rsidP="00726071">
      <w:pPr>
        <w:rPr>
          <w:lang w:eastAsia="es-MX"/>
        </w:rPr>
      </w:pPr>
    </w:p>
    <w:p w:rsidR="00726071" w:rsidRPr="00726071" w:rsidRDefault="00726071" w:rsidP="00726071">
      <w:pPr>
        <w:rPr>
          <w:lang w:eastAsia="es-MX"/>
        </w:rPr>
      </w:pPr>
      <w:bookmarkStart w:id="5" w:name="_v8p2e99jr0ff" w:colFirst="0" w:colLast="0"/>
      <w:bookmarkEnd w:id="5"/>
      <w:r w:rsidRPr="00726071">
        <w:rPr>
          <w:lang w:eastAsia="es-MX"/>
        </w:rPr>
        <w:t>Ornamental species are important for the value that their production repr</w:t>
      </w:r>
      <w:r>
        <w:rPr>
          <w:lang w:eastAsia="es-MX"/>
        </w:rPr>
        <w:t>esents for Mexico. There are 30 </w:t>
      </w:r>
      <w:r w:rsidRPr="00726071">
        <w:rPr>
          <w:lang w:eastAsia="es-MX"/>
        </w:rPr>
        <w:t xml:space="preserve">species with at least one title granted, rose has 183, </w:t>
      </w:r>
      <w:proofErr w:type="spellStart"/>
      <w:r w:rsidRPr="00726071">
        <w:rPr>
          <w:lang w:eastAsia="es-MX"/>
        </w:rPr>
        <w:t>anthurium</w:t>
      </w:r>
      <w:proofErr w:type="spellEnd"/>
      <w:r w:rsidRPr="00726071">
        <w:rPr>
          <w:lang w:eastAsia="es-MX"/>
        </w:rPr>
        <w:t xml:space="preserve"> 61, chrysanthemum 43, gerbera 42, and 134 for other 26 species.</w:t>
      </w:r>
    </w:p>
    <w:p w:rsidR="00726071" w:rsidRDefault="00726071" w:rsidP="005B5FAB"/>
    <w:p w:rsidR="00726071" w:rsidRDefault="00726071" w:rsidP="005B5FAB"/>
    <w:p w:rsidR="00170AD5" w:rsidRDefault="00170AD5" w:rsidP="005B5FAB"/>
    <w:p w:rsidR="00170AD5" w:rsidRDefault="00170AD5" w:rsidP="00170AD5">
      <w:pPr>
        <w:jc w:val="right"/>
      </w:pPr>
      <w:r w:rsidRPr="00C5280D">
        <w:t>[</w:t>
      </w:r>
      <w:r>
        <w:t>Annex VI follows</w:t>
      </w:r>
      <w:r w:rsidRPr="00C5280D">
        <w:t>]</w:t>
      </w:r>
    </w:p>
    <w:p w:rsidR="00170AD5" w:rsidRDefault="00170AD5" w:rsidP="005B5FAB">
      <w:pPr>
        <w:sectPr w:rsidR="00170AD5" w:rsidSect="00DD60F9">
          <w:headerReference w:type="default" r:id="rId27"/>
          <w:headerReference w:type="first" r:id="rId28"/>
          <w:pgSz w:w="11907" w:h="16840" w:code="9"/>
          <w:pgMar w:top="510" w:right="1134" w:bottom="1134" w:left="1134" w:header="510" w:footer="680" w:gutter="0"/>
          <w:pgNumType w:start="1"/>
          <w:cols w:space="720"/>
          <w:titlePg/>
        </w:sectPr>
      </w:pPr>
    </w:p>
    <w:p w:rsidR="00726071" w:rsidRDefault="00726071" w:rsidP="005B5FAB"/>
    <w:p w:rsidR="005B5FAB" w:rsidRPr="00C651CE" w:rsidRDefault="005B5FAB" w:rsidP="005B5FAB">
      <w:pPr>
        <w:jc w:val="center"/>
      </w:pPr>
      <w:r>
        <w:t>NETHERLANDS</w:t>
      </w:r>
    </w:p>
    <w:p w:rsidR="005B5FAB" w:rsidRPr="00746D50" w:rsidRDefault="005B5FAB" w:rsidP="005B5FAB">
      <w:pPr>
        <w:rPr>
          <w:rFonts w:eastAsia="Calibri"/>
        </w:rPr>
      </w:pPr>
    </w:p>
    <w:p w:rsidR="005B5FAB" w:rsidRDefault="005B5FAB" w:rsidP="005B5FAB">
      <w:pPr>
        <w:jc w:val="left"/>
      </w:pPr>
    </w:p>
    <w:p w:rsidR="005B5FAB" w:rsidRPr="00780F43" w:rsidRDefault="005B5FAB" w:rsidP="005B5FAB">
      <w:pPr>
        <w:pStyle w:val="Heading2"/>
        <w:rPr>
          <w:lang w:val="en-GB" w:eastAsia="nl-NL"/>
        </w:rPr>
      </w:pPr>
      <w:proofErr w:type="spellStart"/>
      <w:r w:rsidRPr="00780F43">
        <w:rPr>
          <w:lang w:val="en-GB" w:eastAsia="nl-NL"/>
        </w:rPr>
        <w:t>Naktuinbouw</w:t>
      </w:r>
      <w:proofErr w:type="spellEnd"/>
      <w:r w:rsidRPr="00780F43">
        <w:rPr>
          <w:lang w:val="en-GB" w:eastAsia="nl-NL"/>
        </w:rPr>
        <w:t xml:space="preserve"> Variety Testing developments</w:t>
      </w:r>
    </w:p>
    <w:p w:rsidR="005B5FAB" w:rsidRPr="00780F43" w:rsidRDefault="005B5FAB" w:rsidP="005B5FAB">
      <w:pPr>
        <w:spacing w:line="240" w:lineRule="atLeast"/>
        <w:jc w:val="left"/>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In 2019 and the beginning of 2020 the DUS team was enlarged with </w:t>
      </w:r>
      <w:proofErr w:type="gramStart"/>
      <w:r w:rsidRPr="00780F43">
        <w:rPr>
          <w:rFonts w:cs="Maiandra GD"/>
          <w:color w:val="000000"/>
          <w:szCs w:val="18"/>
          <w:lang w:val="en-GB" w:eastAsia="nl-NL"/>
        </w:rPr>
        <w:t>7</w:t>
      </w:r>
      <w:proofErr w:type="gramEnd"/>
      <w:r w:rsidRPr="00780F43">
        <w:rPr>
          <w:rFonts w:cs="Maiandra GD"/>
          <w:color w:val="000000"/>
          <w:szCs w:val="18"/>
          <w:lang w:val="en-GB" w:eastAsia="nl-NL"/>
        </w:rPr>
        <w:t xml:space="preserve"> more DUS colleagues. One colleague retired. The team now consists of 39 employees, </w:t>
      </w:r>
      <w:proofErr w:type="gramStart"/>
      <w:r w:rsidRPr="00780F43">
        <w:rPr>
          <w:rFonts w:cs="Maiandra GD"/>
          <w:color w:val="000000"/>
          <w:szCs w:val="18"/>
          <w:lang w:val="en-GB" w:eastAsia="nl-NL"/>
        </w:rPr>
        <w:t>2</w:t>
      </w:r>
      <w:proofErr w:type="gramEnd"/>
      <w:r w:rsidRPr="00780F43">
        <w:rPr>
          <w:rFonts w:cs="Maiandra GD"/>
          <w:color w:val="000000"/>
          <w:szCs w:val="18"/>
          <w:lang w:val="en-GB" w:eastAsia="nl-NL"/>
        </w:rPr>
        <w:t xml:space="preserve"> of them are managers. The department Variety Testing includes also a support team, a trial management team and a project team. In </w:t>
      </w:r>
      <w:proofErr w:type="gramStart"/>
      <w:r w:rsidRPr="00780F43">
        <w:rPr>
          <w:rFonts w:cs="Maiandra GD"/>
          <w:color w:val="000000"/>
          <w:szCs w:val="18"/>
          <w:lang w:val="en-GB" w:eastAsia="nl-NL"/>
        </w:rPr>
        <w:t>total</w:t>
      </w:r>
      <w:proofErr w:type="gramEnd"/>
      <w:r w:rsidRPr="00780F43">
        <w:rPr>
          <w:rFonts w:cs="Maiandra GD"/>
          <w:color w:val="000000"/>
          <w:szCs w:val="18"/>
          <w:lang w:val="en-GB" w:eastAsia="nl-NL"/>
        </w:rPr>
        <w:t xml:space="preserve"> there are 67 employees.</w:t>
      </w:r>
    </w:p>
    <w:p w:rsidR="005B5FAB" w:rsidRPr="00780F43" w:rsidRDefault="005B5FAB" w:rsidP="005B5FAB">
      <w:pPr>
        <w:spacing w:line="240" w:lineRule="atLeast"/>
        <w:ind w:left="284"/>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proofErr w:type="gramStart"/>
      <w:r w:rsidRPr="00780F43">
        <w:rPr>
          <w:rFonts w:cs="Maiandra GD"/>
          <w:color w:val="000000"/>
          <w:szCs w:val="18"/>
          <w:lang w:val="en-GB" w:eastAsia="nl-NL"/>
        </w:rPr>
        <w:t>An</w:t>
      </w:r>
      <w:proofErr w:type="gramEnd"/>
      <w:r w:rsidRPr="00780F43">
        <w:rPr>
          <w:rFonts w:cs="Maiandra GD"/>
          <w:color w:val="000000"/>
          <w:szCs w:val="18"/>
          <w:lang w:val="en-GB" w:eastAsia="nl-NL"/>
        </w:rPr>
        <w:t xml:space="preserve"> renewed agreement between The Dutch ministry, The Dutch Board for Plant Varieties and </w:t>
      </w:r>
      <w:proofErr w:type="spellStart"/>
      <w:r w:rsidRPr="00780F43">
        <w:rPr>
          <w:rFonts w:cs="Maiandra GD"/>
          <w:color w:val="000000"/>
          <w:szCs w:val="18"/>
          <w:lang w:val="en-GB" w:eastAsia="nl-NL"/>
        </w:rPr>
        <w:t>Naktuinbouw</w:t>
      </w:r>
      <w:proofErr w:type="spellEnd"/>
      <w:r w:rsidRPr="00780F43">
        <w:rPr>
          <w:rFonts w:cs="Maiandra GD"/>
          <w:color w:val="000000"/>
          <w:szCs w:val="18"/>
          <w:lang w:val="en-GB" w:eastAsia="nl-NL"/>
        </w:rPr>
        <w:t xml:space="preserve"> has been signed; the so called Tripartite-agreement. </w:t>
      </w:r>
      <w:proofErr w:type="spellStart"/>
      <w:r w:rsidRPr="00780F43">
        <w:rPr>
          <w:rFonts w:cs="Maiandra GD"/>
          <w:color w:val="000000"/>
          <w:szCs w:val="18"/>
          <w:lang w:val="en-GB" w:eastAsia="nl-NL"/>
        </w:rPr>
        <w:t>Naktuinbouw</w:t>
      </w:r>
      <w:proofErr w:type="spellEnd"/>
      <w:r w:rsidRPr="00780F43">
        <w:rPr>
          <w:rFonts w:cs="Maiandra GD"/>
          <w:color w:val="000000"/>
          <w:szCs w:val="18"/>
          <w:lang w:val="en-GB" w:eastAsia="nl-NL"/>
        </w:rPr>
        <w:t xml:space="preserve"> will do the DUS research for Listing and Plant Breeders’ Rights for the Board for plant Varieties for another ten years.</w:t>
      </w:r>
    </w:p>
    <w:p w:rsidR="005B5FAB" w:rsidRPr="00780F43" w:rsidRDefault="005B5FAB" w:rsidP="005B5FAB">
      <w:pPr>
        <w:spacing w:line="240" w:lineRule="atLeast"/>
        <w:ind w:left="284"/>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The responsibility for the external crop experts in relation to ornamental species </w:t>
      </w:r>
      <w:proofErr w:type="gramStart"/>
      <w:r w:rsidRPr="00780F43">
        <w:rPr>
          <w:rFonts w:cs="Maiandra GD"/>
          <w:color w:val="000000"/>
          <w:szCs w:val="18"/>
          <w:lang w:val="en-GB" w:eastAsia="nl-NL"/>
        </w:rPr>
        <w:t>has been changed</w:t>
      </w:r>
      <w:proofErr w:type="gramEnd"/>
      <w:r w:rsidRPr="00780F43">
        <w:rPr>
          <w:rFonts w:cs="Maiandra GD"/>
          <w:color w:val="000000"/>
          <w:szCs w:val="18"/>
          <w:lang w:val="en-GB" w:eastAsia="nl-NL"/>
        </w:rPr>
        <w:t xml:space="preserve"> from the Board for Plant varieties to </w:t>
      </w:r>
      <w:proofErr w:type="spellStart"/>
      <w:r w:rsidRPr="00780F43">
        <w:rPr>
          <w:rFonts w:cs="Maiandra GD"/>
          <w:color w:val="000000"/>
          <w:szCs w:val="18"/>
          <w:lang w:val="en-GB" w:eastAsia="nl-NL"/>
        </w:rPr>
        <w:t>Naktuinbouw</w:t>
      </w:r>
      <w:proofErr w:type="spellEnd"/>
      <w:r w:rsidRPr="00780F43">
        <w:rPr>
          <w:rFonts w:cs="Maiandra GD"/>
          <w:color w:val="000000"/>
          <w:szCs w:val="18"/>
          <w:lang w:val="en-GB" w:eastAsia="nl-NL"/>
        </w:rPr>
        <w:t>.</w:t>
      </w:r>
    </w:p>
    <w:p w:rsidR="005B5FAB" w:rsidRPr="00780F43" w:rsidRDefault="005B5FAB" w:rsidP="005B5FAB">
      <w:pPr>
        <w:spacing w:line="240" w:lineRule="atLeast"/>
        <w:ind w:left="284"/>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The new EU Plant Health regulations </w:t>
      </w:r>
      <w:proofErr w:type="gramStart"/>
      <w:r w:rsidRPr="00780F43">
        <w:rPr>
          <w:rFonts w:cs="Maiandra GD"/>
          <w:color w:val="000000"/>
          <w:szCs w:val="18"/>
          <w:lang w:val="en-GB" w:eastAsia="nl-NL"/>
        </w:rPr>
        <w:t>have been implemented</w:t>
      </w:r>
      <w:proofErr w:type="gramEnd"/>
      <w:r w:rsidRPr="00780F43">
        <w:rPr>
          <w:rFonts w:cs="Maiandra GD"/>
          <w:color w:val="000000"/>
          <w:szCs w:val="18"/>
          <w:lang w:val="en-GB" w:eastAsia="nl-NL"/>
        </w:rPr>
        <w:t xml:space="preserve"> at </w:t>
      </w:r>
      <w:proofErr w:type="spellStart"/>
      <w:r w:rsidRPr="00780F43">
        <w:rPr>
          <w:rFonts w:cs="Maiandra GD"/>
          <w:color w:val="000000"/>
          <w:szCs w:val="18"/>
          <w:lang w:val="en-GB" w:eastAsia="nl-NL"/>
        </w:rPr>
        <w:t>Naktuinbouw</w:t>
      </w:r>
      <w:proofErr w:type="spellEnd"/>
      <w:r w:rsidRPr="00780F43">
        <w:rPr>
          <w:rFonts w:cs="Maiandra GD"/>
          <w:color w:val="000000"/>
          <w:szCs w:val="18"/>
          <w:lang w:val="en-GB" w:eastAsia="nl-NL"/>
        </w:rPr>
        <w:t>; plant material for DUS trials needs to be accompanied by a plant passport.</w:t>
      </w:r>
    </w:p>
    <w:p w:rsidR="005B5FAB" w:rsidRPr="00780F43" w:rsidRDefault="005B5FAB" w:rsidP="005B5FAB">
      <w:pPr>
        <w:spacing w:line="240" w:lineRule="atLeast"/>
        <w:ind w:left="284"/>
        <w:rPr>
          <w:rFonts w:cs="Maiandra GD"/>
          <w:color w:val="000000"/>
          <w:szCs w:val="18"/>
          <w:lang w:val="en-GB" w:eastAsia="nl-NL"/>
        </w:rPr>
      </w:pPr>
    </w:p>
    <w:p w:rsidR="005B5FAB" w:rsidRPr="00780F43"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lang w:eastAsia="nl-NL"/>
        </w:rPr>
        <w:t xml:space="preserve">European regulations for environment and hygiene demand action for </w:t>
      </w:r>
      <w:proofErr w:type="spellStart"/>
      <w:r w:rsidRPr="00780F43">
        <w:rPr>
          <w:rFonts w:cs="Maiandra GD"/>
          <w:color w:val="000000"/>
          <w:lang w:eastAsia="nl-NL"/>
        </w:rPr>
        <w:t>Naktuinbouw</w:t>
      </w:r>
      <w:proofErr w:type="spellEnd"/>
      <w:r w:rsidRPr="00780F43">
        <w:rPr>
          <w:rFonts w:cs="Maiandra GD"/>
          <w:color w:val="000000"/>
          <w:lang w:eastAsia="nl-NL"/>
        </w:rPr>
        <w:t xml:space="preserve"> as well as for the applicants. From </w:t>
      </w:r>
      <w:proofErr w:type="gramStart"/>
      <w:r w:rsidRPr="00780F43">
        <w:rPr>
          <w:rFonts w:cs="Maiandra GD"/>
          <w:color w:val="000000"/>
          <w:lang w:eastAsia="nl-NL"/>
        </w:rPr>
        <w:t>2020</w:t>
      </w:r>
      <w:proofErr w:type="gramEnd"/>
      <w:r w:rsidRPr="00780F43">
        <w:rPr>
          <w:rFonts w:cs="Maiandra GD"/>
          <w:color w:val="000000"/>
          <w:lang w:eastAsia="nl-NL"/>
        </w:rPr>
        <w:t xml:space="preserve"> it is forbidden to use </w:t>
      </w:r>
      <w:proofErr w:type="spellStart"/>
      <w:r w:rsidR="001603ED">
        <w:rPr>
          <w:rFonts w:cs="Maiandra GD"/>
          <w:color w:val="000000"/>
          <w:lang w:eastAsia="nl-NL"/>
        </w:rPr>
        <w:t>T</w:t>
      </w:r>
      <w:r w:rsidRPr="00780F43">
        <w:rPr>
          <w:rFonts w:cs="Maiandra GD"/>
          <w:color w:val="000000"/>
          <w:lang w:eastAsia="nl-NL"/>
        </w:rPr>
        <w:t>hiram</w:t>
      </w:r>
      <w:proofErr w:type="spellEnd"/>
      <w:r w:rsidRPr="00780F43">
        <w:rPr>
          <w:rFonts w:cs="Maiandra GD"/>
          <w:color w:val="000000"/>
          <w:lang w:eastAsia="nl-NL"/>
        </w:rPr>
        <w:t xml:space="preserve"> treated seeds. </w:t>
      </w:r>
      <w:proofErr w:type="spellStart"/>
      <w:r w:rsidRPr="00780F43">
        <w:rPr>
          <w:rFonts w:cs="Maiandra GD"/>
          <w:color w:val="000000"/>
          <w:lang w:eastAsia="nl-NL"/>
        </w:rPr>
        <w:t>Thiram</w:t>
      </w:r>
      <w:proofErr w:type="spellEnd"/>
      <w:r w:rsidRPr="00780F43">
        <w:rPr>
          <w:rFonts w:cs="Maiandra GD"/>
          <w:color w:val="000000"/>
          <w:lang w:eastAsia="nl-NL"/>
        </w:rPr>
        <w:t xml:space="preserve"> is a fungicide.</w:t>
      </w:r>
    </w:p>
    <w:p w:rsidR="005B5FAB" w:rsidRPr="00780F43" w:rsidRDefault="005B5FAB" w:rsidP="005B5FAB">
      <w:pPr>
        <w:spacing w:line="240" w:lineRule="atLeast"/>
        <w:ind w:left="284"/>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The entrustment of </w:t>
      </w:r>
      <w:proofErr w:type="spellStart"/>
      <w:r w:rsidRPr="00780F43">
        <w:rPr>
          <w:rFonts w:cs="Maiandra GD"/>
          <w:color w:val="000000"/>
          <w:szCs w:val="18"/>
          <w:lang w:val="en-GB" w:eastAsia="nl-NL"/>
        </w:rPr>
        <w:t>Naktuinbouw</w:t>
      </w:r>
      <w:proofErr w:type="spellEnd"/>
      <w:r w:rsidRPr="00780F43">
        <w:rPr>
          <w:rFonts w:cs="Maiandra GD"/>
          <w:color w:val="000000"/>
          <w:szCs w:val="18"/>
          <w:lang w:val="en-GB" w:eastAsia="nl-NL"/>
        </w:rPr>
        <w:t xml:space="preserve"> by CPVO </w:t>
      </w:r>
      <w:proofErr w:type="gramStart"/>
      <w:r w:rsidRPr="00780F43">
        <w:rPr>
          <w:rFonts w:cs="Maiandra GD"/>
          <w:color w:val="000000"/>
          <w:szCs w:val="18"/>
          <w:lang w:val="en-GB" w:eastAsia="nl-NL"/>
        </w:rPr>
        <w:t>has been renewed</w:t>
      </w:r>
      <w:proofErr w:type="gramEnd"/>
      <w:r w:rsidRPr="00780F43">
        <w:rPr>
          <w:rFonts w:cs="Maiandra GD"/>
          <w:color w:val="000000"/>
          <w:szCs w:val="18"/>
          <w:lang w:val="en-GB" w:eastAsia="nl-NL"/>
        </w:rPr>
        <w:t xml:space="preserve"> in 2020 after an audit in 2019.</w:t>
      </w:r>
    </w:p>
    <w:p w:rsidR="005B5FAB" w:rsidRPr="00780F43" w:rsidRDefault="005B5FAB" w:rsidP="005B5FAB">
      <w:pPr>
        <w:spacing w:line="240" w:lineRule="atLeast"/>
        <w:ind w:left="284"/>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The Variety Testing Department yearly offers a number of courses around Plant Breeders’ Rights and/or Listing.</w:t>
      </w:r>
    </w:p>
    <w:p w:rsidR="005B5FAB" w:rsidRPr="00780F43" w:rsidRDefault="005B5FAB" w:rsidP="005B5FAB">
      <w:pPr>
        <w:spacing w:line="240" w:lineRule="atLeast"/>
        <w:ind w:left="284"/>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Despite the COVID-19 crises, the employees of the Variety Testing department try to do their very best to do the DUS work as good and as much as possible </w:t>
      </w:r>
      <w:proofErr w:type="gramStart"/>
      <w:r w:rsidRPr="00780F43">
        <w:rPr>
          <w:rFonts w:cs="Maiandra GD"/>
          <w:color w:val="000000"/>
          <w:szCs w:val="18"/>
          <w:lang w:val="en-GB" w:eastAsia="nl-NL"/>
        </w:rPr>
        <w:t>and also</w:t>
      </w:r>
      <w:proofErr w:type="gramEnd"/>
      <w:r w:rsidRPr="00780F43">
        <w:rPr>
          <w:rFonts w:cs="Maiandra GD"/>
          <w:color w:val="000000"/>
          <w:szCs w:val="18"/>
          <w:lang w:val="en-GB" w:eastAsia="nl-NL"/>
        </w:rPr>
        <w:t xml:space="preserve"> be flexible to the applicants.</w:t>
      </w:r>
      <w:bookmarkStart w:id="6" w:name="_Hlk39065189"/>
    </w:p>
    <w:p w:rsidR="005B5FAB" w:rsidRPr="00780F43" w:rsidRDefault="005B5FAB" w:rsidP="005B5FAB">
      <w:pPr>
        <w:spacing w:line="240" w:lineRule="atLeast"/>
        <w:ind w:left="284"/>
        <w:rPr>
          <w:rFonts w:cs="Maiandra GD"/>
          <w:color w:val="000000"/>
          <w:szCs w:val="18"/>
          <w:lang w:val="en-GB" w:eastAsia="nl-NL"/>
        </w:rPr>
      </w:pPr>
    </w:p>
    <w:p w:rsidR="005B5FAB" w:rsidRPr="00780F43" w:rsidRDefault="005B5FAB" w:rsidP="005B5FAB">
      <w:pPr>
        <w:numPr>
          <w:ilvl w:val="0"/>
          <w:numId w:val="6"/>
        </w:numPr>
        <w:spacing w:line="240" w:lineRule="atLeast"/>
        <w:ind w:left="284" w:hanging="284"/>
        <w:rPr>
          <w:rFonts w:cs="Maiandra GD"/>
          <w:szCs w:val="18"/>
          <w:lang w:val="en-GB" w:eastAsia="nl-NL"/>
        </w:rPr>
      </w:pPr>
      <w:r w:rsidRPr="00780F43">
        <w:rPr>
          <w:rFonts w:cs="Maiandra GD"/>
          <w:szCs w:val="18"/>
          <w:lang w:eastAsia="nl-NL"/>
        </w:rPr>
        <w:t xml:space="preserve">Applicants more and more use the online systems of UPOV and CPVO for filing their applications for listing and/or plant </w:t>
      </w:r>
      <w:proofErr w:type="gramStart"/>
      <w:r w:rsidRPr="00780F43">
        <w:rPr>
          <w:rFonts w:cs="Maiandra GD"/>
          <w:szCs w:val="18"/>
          <w:lang w:eastAsia="nl-NL"/>
        </w:rPr>
        <w:t>breeders</w:t>
      </w:r>
      <w:proofErr w:type="gramEnd"/>
      <w:r w:rsidRPr="00780F43">
        <w:rPr>
          <w:rFonts w:cs="Maiandra GD"/>
          <w:szCs w:val="18"/>
          <w:lang w:eastAsia="nl-NL"/>
        </w:rPr>
        <w:t xml:space="preserve"> rights. Nowadays it is possible to apply for all species through </w:t>
      </w:r>
      <w:r>
        <w:rPr>
          <w:rFonts w:cs="Maiandra GD"/>
          <w:szCs w:val="18"/>
          <w:lang w:eastAsia="nl-NL"/>
        </w:rPr>
        <w:t xml:space="preserve">UPOV </w:t>
      </w:r>
      <w:r w:rsidRPr="00780F43">
        <w:rPr>
          <w:rFonts w:cs="Maiandra GD"/>
          <w:szCs w:val="18"/>
          <w:lang w:eastAsia="nl-NL"/>
        </w:rPr>
        <w:t xml:space="preserve">PRISMA. </w:t>
      </w:r>
      <w:proofErr w:type="gramStart"/>
      <w:r w:rsidRPr="00780F43">
        <w:rPr>
          <w:rFonts w:cs="Maiandra GD"/>
          <w:szCs w:val="18"/>
          <w:lang w:eastAsia="nl-NL"/>
        </w:rPr>
        <w:t>Also</w:t>
      </w:r>
      <w:proofErr w:type="gramEnd"/>
      <w:r w:rsidRPr="00780F43">
        <w:rPr>
          <w:rFonts w:cs="Maiandra GD"/>
          <w:szCs w:val="18"/>
          <w:lang w:eastAsia="nl-NL"/>
        </w:rPr>
        <w:t xml:space="preserve"> it is possible now to apply for listing in the Netherlands through </w:t>
      </w:r>
      <w:r>
        <w:rPr>
          <w:rFonts w:cs="Maiandra GD"/>
          <w:szCs w:val="18"/>
          <w:lang w:eastAsia="nl-NL"/>
        </w:rPr>
        <w:t xml:space="preserve">UPOV </w:t>
      </w:r>
      <w:r w:rsidRPr="00780F43">
        <w:rPr>
          <w:rFonts w:cs="Maiandra GD"/>
          <w:szCs w:val="18"/>
          <w:lang w:eastAsia="nl-NL"/>
        </w:rPr>
        <w:t xml:space="preserve">PRISMA. Up </w:t>
      </w:r>
      <w:proofErr w:type="gramStart"/>
      <w:r w:rsidRPr="00780F43">
        <w:rPr>
          <w:rFonts w:cs="Maiandra GD"/>
          <w:szCs w:val="18"/>
          <w:lang w:eastAsia="nl-NL"/>
        </w:rPr>
        <w:t>till</w:t>
      </w:r>
      <w:proofErr w:type="gramEnd"/>
      <w:r w:rsidRPr="00780F43">
        <w:rPr>
          <w:rFonts w:cs="Maiandra GD"/>
          <w:szCs w:val="18"/>
          <w:lang w:eastAsia="nl-NL"/>
        </w:rPr>
        <w:t xml:space="preserve"> now we received a limited amount of online applications for the Netherlands through </w:t>
      </w:r>
      <w:r>
        <w:rPr>
          <w:rFonts w:cs="Maiandra GD"/>
          <w:szCs w:val="18"/>
          <w:lang w:eastAsia="nl-NL"/>
        </w:rPr>
        <w:t xml:space="preserve">UPOV </w:t>
      </w:r>
      <w:r w:rsidRPr="00780F43">
        <w:rPr>
          <w:rFonts w:cs="Maiandra GD"/>
          <w:szCs w:val="18"/>
          <w:lang w:eastAsia="nl-NL"/>
        </w:rPr>
        <w:t xml:space="preserve">PRISMA. At this </w:t>
      </w:r>
      <w:proofErr w:type="gramStart"/>
      <w:r w:rsidRPr="00780F43">
        <w:rPr>
          <w:rFonts w:cs="Maiandra GD"/>
          <w:szCs w:val="18"/>
          <w:lang w:eastAsia="nl-NL"/>
        </w:rPr>
        <w:t>moment</w:t>
      </w:r>
      <w:proofErr w:type="gramEnd"/>
      <w:r w:rsidRPr="00780F43">
        <w:rPr>
          <w:rFonts w:cs="Maiandra GD"/>
          <w:szCs w:val="18"/>
          <w:lang w:eastAsia="nl-NL"/>
        </w:rPr>
        <w:t xml:space="preserve"> it is possible to apply for listing/plant breeders rights in the Netherlands for 50 species through the CPVO online system. In </w:t>
      </w:r>
      <w:proofErr w:type="gramStart"/>
      <w:r w:rsidRPr="00780F43">
        <w:rPr>
          <w:rFonts w:cs="Maiandra GD"/>
          <w:szCs w:val="18"/>
          <w:lang w:eastAsia="nl-NL"/>
        </w:rPr>
        <w:t>2019</w:t>
      </w:r>
      <w:proofErr w:type="gramEnd"/>
      <w:r w:rsidRPr="00780F43">
        <w:rPr>
          <w:rFonts w:cs="Maiandra GD"/>
          <w:szCs w:val="18"/>
          <w:lang w:eastAsia="nl-NL"/>
        </w:rPr>
        <w:t xml:space="preserve"> we received 395 applications for listing/plant breeders rights in the Netherlands through the CPVO online system. </w:t>
      </w:r>
    </w:p>
    <w:p w:rsidR="005B5FAB" w:rsidRPr="00780F43" w:rsidRDefault="005B5FAB" w:rsidP="005B5FAB">
      <w:pPr>
        <w:spacing w:line="240" w:lineRule="atLeast"/>
        <w:ind w:left="284"/>
        <w:rPr>
          <w:rFonts w:cs="Maiandra GD"/>
          <w:color w:val="000000"/>
          <w:szCs w:val="18"/>
          <w:lang w:val="en-GB" w:eastAsia="nl-NL"/>
        </w:rPr>
      </w:pPr>
      <w:r w:rsidRPr="00780F43">
        <w:rPr>
          <w:rFonts w:cs="Maiandra GD"/>
          <w:color w:val="000000"/>
          <w:lang w:eastAsia="nl-NL"/>
        </w:rPr>
        <w:t xml:space="preserve">In </w:t>
      </w:r>
      <w:proofErr w:type="gramStart"/>
      <w:r w:rsidRPr="00780F43">
        <w:rPr>
          <w:rFonts w:cs="Maiandra GD"/>
          <w:color w:val="000000"/>
          <w:lang w:eastAsia="nl-NL"/>
        </w:rPr>
        <w:t>2019</w:t>
      </w:r>
      <w:proofErr w:type="gramEnd"/>
      <w:r w:rsidRPr="00780F43">
        <w:rPr>
          <w:rFonts w:cs="Maiandra GD"/>
          <w:color w:val="000000"/>
          <w:lang w:eastAsia="nl-NL"/>
        </w:rPr>
        <w:t xml:space="preserve"> 25% of the National applications were filed by electronic means mainly due to a reduced application fee. For </w:t>
      </w:r>
      <w:proofErr w:type="gramStart"/>
      <w:r w:rsidRPr="00780F43">
        <w:rPr>
          <w:rFonts w:cs="Maiandra GD"/>
          <w:color w:val="000000"/>
          <w:lang w:eastAsia="nl-NL"/>
        </w:rPr>
        <w:t>2020</w:t>
      </w:r>
      <w:proofErr w:type="gramEnd"/>
      <w:r w:rsidRPr="00780F43">
        <w:rPr>
          <w:rFonts w:cs="Maiandra GD"/>
          <w:color w:val="000000"/>
          <w:lang w:eastAsia="nl-NL"/>
        </w:rPr>
        <w:t xml:space="preserve"> the planning is to increase this number to 50%.</w:t>
      </w:r>
    </w:p>
    <w:bookmarkEnd w:id="6"/>
    <w:p w:rsidR="005B5FAB" w:rsidRPr="00780F43" w:rsidRDefault="005B5FAB" w:rsidP="005B5FAB">
      <w:pPr>
        <w:rPr>
          <w:lang w:eastAsia="nl-NL"/>
        </w:rPr>
      </w:pPr>
    </w:p>
    <w:p w:rsidR="005B5FAB" w:rsidRPr="00780F43" w:rsidRDefault="005B5FAB" w:rsidP="005B5FAB">
      <w:pPr>
        <w:rPr>
          <w:lang w:eastAsia="nl-NL"/>
        </w:rPr>
      </w:pPr>
    </w:p>
    <w:p w:rsidR="005B5FAB" w:rsidRDefault="005B5FAB" w:rsidP="005B5FAB">
      <w:pPr>
        <w:pStyle w:val="Heading2"/>
        <w:rPr>
          <w:lang w:val="en-GB" w:eastAsia="nl-NL"/>
        </w:rPr>
      </w:pPr>
      <w:r w:rsidRPr="00780F43">
        <w:rPr>
          <w:lang w:val="en-GB" w:eastAsia="nl-NL"/>
        </w:rPr>
        <w:t xml:space="preserve">Number of applications received </w:t>
      </w:r>
    </w:p>
    <w:p w:rsidR="005B5FAB" w:rsidRPr="00780F43" w:rsidRDefault="005B5FAB" w:rsidP="005B5FAB">
      <w:pPr>
        <w:rPr>
          <w:lang w:val="en-GB" w:eastAsia="nl-NL"/>
        </w:rPr>
      </w:pPr>
    </w:p>
    <w:p w:rsidR="005B5FAB" w:rsidRPr="00780F43" w:rsidRDefault="005B5FAB" w:rsidP="005B5FAB">
      <w:pPr>
        <w:rPr>
          <w:lang w:val="en-GB" w:eastAsia="nl-NL"/>
        </w:rPr>
      </w:pPr>
      <w:r w:rsidRPr="00780F43">
        <w:rPr>
          <w:lang w:val="en-GB" w:eastAsia="nl-NL"/>
        </w:rPr>
        <w:t xml:space="preserve">In 2019, 2794 applications </w:t>
      </w:r>
      <w:proofErr w:type="gramStart"/>
      <w:r w:rsidRPr="00780F43">
        <w:rPr>
          <w:lang w:val="en-GB" w:eastAsia="nl-NL"/>
        </w:rPr>
        <w:t>were received</w:t>
      </w:r>
      <w:proofErr w:type="gramEnd"/>
      <w:r w:rsidRPr="00780F43">
        <w:rPr>
          <w:lang w:val="en-GB" w:eastAsia="nl-NL"/>
        </w:rPr>
        <w:t xml:space="preserve"> for testing for the first year for National listing, and for National or European Plant Breeders’ Rights. Applications of the same variety for </w:t>
      </w:r>
      <w:proofErr w:type="gramStart"/>
      <w:r w:rsidRPr="00780F43">
        <w:rPr>
          <w:lang w:val="en-GB" w:eastAsia="nl-NL"/>
        </w:rPr>
        <w:t>Listing</w:t>
      </w:r>
      <w:proofErr w:type="gramEnd"/>
      <w:r w:rsidRPr="00780F43">
        <w:rPr>
          <w:lang w:val="en-GB" w:eastAsia="nl-NL"/>
        </w:rPr>
        <w:t xml:space="preserve"> as well PBR, in vegetables and in agricultural crops are split in this table.</w:t>
      </w:r>
    </w:p>
    <w:p w:rsidR="005B5FAB" w:rsidRPr="00780F43" w:rsidRDefault="005B5FAB" w:rsidP="005B5FAB">
      <w:pPr>
        <w:rPr>
          <w:lang w:val="en-GB" w:eastAsia="nl-NL"/>
        </w:rPr>
      </w:pPr>
    </w:p>
    <w:p w:rsidR="005B5FAB" w:rsidRPr="00780F43" w:rsidRDefault="005B5FAB" w:rsidP="005B5FAB">
      <w:pPr>
        <w:rPr>
          <w:lang w:val="en-GB" w:eastAsia="nl-NL"/>
        </w:rPr>
      </w:pPr>
    </w:p>
    <w:tbl>
      <w:tblPr>
        <w:tblW w:w="5522" w:type="dxa"/>
        <w:tblInd w:w="-3" w:type="dxa"/>
        <w:tblCellMar>
          <w:left w:w="0" w:type="dxa"/>
          <w:right w:w="0" w:type="dxa"/>
        </w:tblCellMar>
        <w:tblLook w:val="04A0" w:firstRow="1" w:lastRow="0" w:firstColumn="1" w:lastColumn="0" w:noHBand="0" w:noVBand="1"/>
      </w:tblPr>
      <w:tblGrid>
        <w:gridCol w:w="1185"/>
        <w:gridCol w:w="1218"/>
        <w:gridCol w:w="1134"/>
        <w:gridCol w:w="992"/>
        <w:gridCol w:w="993"/>
      </w:tblGrid>
      <w:tr w:rsidR="005B5FAB" w:rsidRPr="001603ED" w:rsidTr="00EA6E90">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5B5FAB" w:rsidRPr="001603ED" w:rsidRDefault="005B5FAB" w:rsidP="00EA6E90">
            <w:pPr>
              <w:spacing w:line="240" w:lineRule="atLeast"/>
              <w:jc w:val="right"/>
              <w:rPr>
                <w:rFonts w:ascii="Calibri" w:hAnsi="Calibri" w:cs="Calibri"/>
                <w:bCs/>
                <w:color w:val="000000"/>
                <w:szCs w:val="22"/>
                <w:lang w:val="nl-NL" w:eastAsia="nl-NL"/>
              </w:rPr>
            </w:pPr>
            <w:r w:rsidRPr="001603ED">
              <w:rPr>
                <w:rFonts w:cs="Maiandra GD"/>
                <w:bCs/>
                <w:color w:val="000000"/>
                <w:szCs w:val="18"/>
                <w:lang w:val="nl-NL" w:eastAsia="nl-NL"/>
              </w:rPr>
              <w:t>2019</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5B5FAB" w:rsidRPr="001603ED" w:rsidRDefault="005B5FAB" w:rsidP="00EA6E90">
            <w:pPr>
              <w:spacing w:line="240" w:lineRule="atLeast"/>
              <w:jc w:val="left"/>
              <w:rPr>
                <w:rFonts w:cs="Maiandra GD"/>
                <w:bCs/>
                <w:color w:val="000000"/>
                <w:szCs w:val="18"/>
                <w:lang w:val="nl-NL" w:eastAsia="nl-NL"/>
              </w:rPr>
            </w:pPr>
            <w:r w:rsidRPr="001603ED">
              <w:rPr>
                <w:rFonts w:cs="Maiandra GD"/>
                <w:bCs/>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5B5FAB" w:rsidRPr="001603ED" w:rsidRDefault="005B5FAB" w:rsidP="00EA6E90">
            <w:pPr>
              <w:spacing w:line="240" w:lineRule="atLeast"/>
              <w:jc w:val="left"/>
              <w:rPr>
                <w:rFonts w:cs="Maiandra GD"/>
                <w:bCs/>
                <w:color w:val="000000"/>
                <w:szCs w:val="18"/>
                <w:lang w:val="nl-NL" w:eastAsia="nl-NL"/>
              </w:rPr>
            </w:pPr>
            <w:r w:rsidRPr="001603ED">
              <w:rPr>
                <w:rFonts w:cs="Maiandra GD"/>
                <w:bCs/>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5B5FAB" w:rsidRPr="001603ED" w:rsidRDefault="005B5FAB" w:rsidP="00EA6E90">
            <w:pPr>
              <w:spacing w:line="240" w:lineRule="atLeast"/>
              <w:jc w:val="left"/>
              <w:rPr>
                <w:rFonts w:cs="Maiandra GD"/>
                <w:bCs/>
                <w:color w:val="000000"/>
                <w:szCs w:val="18"/>
                <w:lang w:val="nl-NL" w:eastAsia="nl-NL"/>
              </w:rPr>
            </w:pPr>
            <w:r w:rsidRPr="001603ED">
              <w:rPr>
                <w:rFonts w:cs="Maiandra GD"/>
                <w:bCs/>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5B5FAB" w:rsidRPr="001603ED" w:rsidRDefault="005B5FAB" w:rsidP="00EA6E90">
            <w:pPr>
              <w:spacing w:line="240" w:lineRule="atLeast"/>
              <w:jc w:val="left"/>
              <w:rPr>
                <w:rFonts w:cs="Maiandra GD"/>
                <w:bCs/>
                <w:color w:val="000000"/>
                <w:szCs w:val="18"/>
                <w:lang w:val="nl-NL" w:eastAsia="nl-NL"/>
              </w:rPr>
            </w:pPr>
            <w:r w:rsidRPr="001603ED">
              <w:rPr>
                <w:rFonts w:cs="Maiandra GD"/>
                <w:bCs/>
                <w:color w:val="000000"/>
                <w:szCs w:val="18"/>
                <w:lang w:val="nl-NL" w:eastAsia="nl-NL"/>
              </w:rPr>
              <w:t>TOTAL</w:t>
            </w:r>
          </w:p>
        </w:tc>
      </w:tr>
      <w:tr w:rsidR="005B5FAB" w:rsidRPr="001603ED" w:rsidTr="00EA6E90">
        <w:trPr>
          <w:trHeight w:val="292"/>
        </w:trPr>
        <w:tc>
          <w:tcPr>
            <w:tcW w:w="1185" w:type="dxa"/>
            <w:tcBorders>
              <w:top w:val="nil"/>
              <w:left w:val="single" w:sz="8" w:space="0" w:color="auto"/>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EA6E90">
            <w:pPr>
              <w:spacing w:line="240" w:lineRule="atLeast"/>
              <w:jc w:val="left"/>
              <w:rPr>
                <w:rFonts w:cs="Maiandra GD"/>
                <w:bCs/>
                <w:i/>
                <w:iCs/>
                <w:color w:val="000000"/>
                <w:szCs w:val="18"/>
                <w:lang w:val="nl-NL" w:eastAsia="nl-NL"/>
              </w:rPr>
            </w:pPr>
            <w:r w:rsidRPr="001603ED">
              <w:rPr>
                <w:rFonts w:cs="Maiandra GD"/>
                <w:bCs/>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r w:rsidRPr="001603ED">
              <w:rPr>
                <w:rFonts w:cs="Maiandra GD"/>
                <w:color w:val="000000"/>
                <w:szCs w:val="18"/>
                <w:lang w:val="nl-NL" w:eastAsia="nl-NL"/>
              </w:rPr>
              <w:t>332</w:t>
            </w:r>
          </w:p>
        </w:tc>
        <w:tc>
          <w:tcPr>
            <w:tcW w:w="1134"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r w:rsidRPr="001603ED">
              <w:rPr>
                <w:rFonts w:cs="Maiandra GD"/>
                <w:color w:val="000000"/>
                <w:szCs w:val="18"/>
                <w:lang w:val="nl-NL" w:eastAsia="nl-NL"/>
              </w:rPr>
              <w:t>84</w:t>
            </w:r>
          </w:p>
        </w:tc>
        <w:tc>
          <w:tcPr>
            <w:tcW w:w="992"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r w:rsidRPr="001603ED">
              <w:rPr>
                <w:rFonts w:cs="Maiandra GD"/>
                <w:color w:val="000000"/>
                <w:szCs w:val="18"/>
                <w:lang w:val="nl-NL" w:eastAsia="nl-NL"/>
              </w:rPr>
              <w:t>57</w:t>
            </w:r>
          </w:p>
        </w:tc>
        <w:tc>
          <w:tcPr>
            <w:tcW w:w="993"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p>
        </w:tc>
      </w:tr>
      <w:tr w:rsidR="005B5FAB" w:rsidRPr="001603ED" w:rsidTr="00EA6E90">
        <w:trPr>
          <w:trHeight w:val="292"/>
        </w:trPr>
        <w:tc>
          <w:tcPr>
            <w:tcW w:w="1185" w:type="dxa"/>
            <w:tcBorders>
              <w:top w:val="nil"/>
              <w:left w:val="single" w:sz="8" w:space="0" w:color="auto"/>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EA6E90">
            <w:pPr>
              <w:spacing w:line="240" w:lineRule="atLeast"/>
              <w:jc w:val="left"/>
              <w:rPr>
                <w:rFonts w:cs="Maiandra GD"/>
                <w:bCs/>
                <w:i/>
                <w:iCs/>
                <w:color w:val="000000"/>
                <w:szCs w:val="18"/>
                <w:lang w:val="nl-NL" w:eastAsia="nl-NL"/>
              </w:rPr>
            </w:pPr>
            <w:r w:rsidRPr="001603ED">
              <w:rPr>
                <w:rFonts w:cs="Maiandra GD"/>
                <w:bCs/>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r w:rsidRPr="001603ED">
              <w:rPr>
                <w:rFonts w:cs="Maiandra GD"/>
                <w:color w:val="000000"/>
                <w:szCs w:val="18"/>
                <w:lang w:val="nl-NL" w:eastAsia="nl-NL"/>
              </w:rPr>
              <w:t>801</w:t>
            </w:r>
          </w:p>
        </w:tc>
        <w:tc>
          <w:tcPr>
            <w:tcW w:w="1134"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r w:rsidRPr="001603ED">
              <w:rPr>
                <w:rFonts w:cs="Maiandra GD"/>
                <w:color w:val="000000"/>
                <w:szCs w:val="18"/>
                <w:lang w:val="nl-NL" w:eastAsia="nl-NL"/>
              </w:rPr>
              <w:t>510</w:t>
            </w:r>
          </w:p>
        </w:tc>
        <w:tc>
          <w:tcPr>
            <w:tcW w:w="992"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r w:rsidRPr="001603ED">
              <w:rPr>
                <w:rFonts w:cs="Maiandra GD"/>
                <w:color w:val="000000"/>
                <w:szCs w:val="18"/>
                <w:lang w:val="nl-NL" w:eastAsia="nl-NL"/>
              </w:rPr>
              <w:t>94</w:t>
            </w:r>
          </w:p>
        </w:tc>
        <w:tc>
          <w:tcPr>
            <w:tcW w:w="993"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p>
        </w:tc>
      </w:tr>
      <w:tr w:rsidR="005B5FAB" w:rsidRPr="001603ED" w:rsidTr="00EA6E90">
        <w:trPr>
          <w:trHeight w:val="292"/>
        </w:trPr>
        <w:tc>
          <w:tcPr>
            <w:tcW w:w="1185" w:type="dxa"/>
            <w:tcBorders>
              <w:top w:val="nil"/>
              <w:left w:val="single" w:sz="8" w:space="0" w:color="auto"/>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EA6E90">
            <w:pPr>
              <w:spacing w:line="240" w:lineRule="atLeast"/>
              <w:jc w:val="left"/>
              <w:rPr>
                <w:rFonts w:cs="Maiandra GD"/>
                <w:bCs/>
                <w:i/>
                <w:iCs/>
                <w:color w:val="000000"/>
                <w:szCs w:val="18"/>
                <w:lang w:val="nl-NL" w:eastAsia="nl-NL"/>
              </w:rPr>
            </w:pPr>
            <w:r w:rsidRPr="001603ED">
              <w:rPr>
                <w:rFonts w:cs="Maiandra GD"/>
                <w:bCs/>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p>
        </w:tc>
        <w:tc>
          <w:tcPr>
            <w:tcW w:w="1134"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r w:rsidRPr="001603ED">
              <w:rPr>
                <w:rFonts w:cs="Maiandra GD"/>
                <w:color w:val="000000"/>
                <w:szCs w:val="18"/>
                <w:lang w:val="nl-NL" w:eastAsia="nl-NL"/>
              </w:rPr>
              <w:t>175</w:t>
            </w:r>
          </w:p>
        </w:tc>
        <w:tc>
          <w:tcPr>
            <w:tcW w:w="992"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r w:rsidRPr="001603ED">
              <w:rPr>
                <w:rFonts w:cs="Maiandra GD"/>
                <w:color w:val="000000"/>
                <w:szCs w:val="18"/>
                <w:lang w:val="nl-NL" w:eastAsia="nl-NL"/>
              </w:rPr>
              <w:t>765</w:t>
            </w:r>
          </w:p>
        </w:tc>
        <w:tc>
          <w:tcPr>
            <w:tcW w:w="993"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color w:val="000000"/>
                <w:szCs w:val="18"/>
                <w:lang w:val="nl-NL" w:eastAsia="nl-NL"/>
              </w:rPr>
            </w:pPr>
          </w:p>
        </w:tc>
      </w:tr>
      <w:tr w:rsidR="005B5FAB" w:rsidRPr="001603ED" w:rsidTr="00EA6E90">
        <w:trPr>
          <w:trHeight w:val="292"/>
        </w:trPr>
        <w:tc>
          <w:tcPr>
            <w:tcW w:w="1185" w:type="dxa"/>
            <w:tcBorders>
              <w:top w:val="nil"/>
              <w:left w:val="single" w:sz="8" w:space="0" w:color="auto"/>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EA6E90">
            <w:pPr>
              <w:spacing w:line="240" w:lineRule="atLeast"/>
              <w:jc w:val="left"/>
              <w:rPr>
                <w:rFonts w:cs="Maiandra GD"/>
                <w:bCs/>
                <w:color w:val="000000"/>
                <w:szCs w:val="18"/>
                <w:lang w:val="nl-NL" w:eastAsia="nl-NL"/>
              </w:rPr>
            </w:pPr>
            <w:r w:rsidRPr="001603ED">
              <w:rPr>
                <w:rFonts w:cs="Maiandra GD"/>
                <w:bCs/>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bCs/>
                <w:color w:val="000000"/>
                <w:szCs w:val="18"/>
                <w:lang w:val="nl-NL" w:eastAsia="nl-NL"/>
              </w:rPr>
            </w:pPr>
            <w:r w:rsidRPr="001603ED">
              <w:rPr>
                <w:rFonts w:cs="Maiandra GD"/>
                <w:bCs/>
                <w:color w:val="000000"/>
                <w:szCs w:val="18"/>
                <w:lang w:val="nl-NL" w:eastAsia="nl-NL"/>
              </w:rPr>
              <w:t>1133</w:t>
            </w:r>
          </w:p>
        </w:tc>
        <w:tc>
          <w:tcPr>
            <w:tcW w:w="1134"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bCs/>
                <w:color w:val="000000"/>
                <w:szCs w:val="18"/>
                <w:lang w:val="nl-NL" w:eastAsia="nl-NL"/>
              </w:rPr>
            </w:pPr>
            <w:r w:rsidRPr="001603ED">
              <w:rPr>
                <w:rFonts w:cs="Maiandra GD"/>
                <w:bCs/>
                <w:color w:val="000000"/>
                <w:szCs w:val="18"/>
                <w:lang w:val="nl-NL" w:eastAsia="nl-NL"/>
              </w:rPr>
              <w:t>767</w:t>
            </w:r>
          </w:p>
        </w:tc>
        <w:tc>
          <w:tcPr>
            <w:tcW w:w="992"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bCs/>
                <w:color w:val="000000"/>
                <w:szCs w:val="18"/>
                <w:lang w:val="nl-NL" w:eastAsia="nl-NL"/>
              </w:rPr>
            </w:pPr>
            <w:r w:rsidRPr="001603ED">
              <w:rPr>
                <w:rFonts w:cs="Maiandra GD"/>
                <w:bCs/>
                <w:color w:val="000000"/>
                <w:szCs w:val="18"/>
                <w:lang w:val="nl-NL" w:eastAsia="nl-NL"/>
              </w:rPr>
              <w:t>916</w:t>
            </w:r>
          </w:p>
        </w:tc>
        <w:tc>
          <w:tcPr>
            <w:tcW w:w="993"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5B5FAB" w:rsidRPr="001603ED" w:rsidRDefault="005B5FAB" w:rsidP="001603ED">
            <w:pPr>
              <w:spacing w:line="240" w:lineRule="atLeast"/>
              <w:jc w:val="center"/>
              <w:rPr>
                <w:rFonts w:cs="Maiandra GD"/>
                <w:bCs/>
                <w:color w:val="000000"/>
                <w:szCs w:val="18"/>
                <w:lang w:val="nl-NL" w:eastAsia="nl-NL"/>
              </w:rPr>
            </w:pPr>
            <w:r w:rsidRPr="001603ED">
              <w:rPr>
                <w:rFonts w:cs="Maiandra GD"/>
                <w:bCs/>
                <w:color w:val="000000"/>
                <w:szCs w:val="18"/>
                <w:lang w:val="nl-NL" w:eastAsia="nl-NL"/>
              </w:rPr>
              <w:t>2816</w:t>
            </w:r>
          </w:p>
        </w:tc>
      </w:tr>
    </w:tbl>
    <w:p w:rsidR="005B5FAB" w:rsidRPr="00780F43" w:rsidRDefault="005B5FAB" w:rsidP="005B5FAB">
      <w:pPr>
        <w:rPr>
          <w:lang w:val="en-GB" w:eastAsia="nl-NL"/>
        </w:rPr>
      </w:pPr>
    </w:p>
    <w:p w:rsidR="005B5FAB" w:rsidRDefault="005B5FAB" w:rsidP="005B5FAB">
      <w:pPr>
        <w:rPr>
          <w:lang w:val="en-GB" w:eastAsia="nl-NL"/>
        </w:rPr>
      </w:pPr>
    </w:p>
    <w:p w:rsidR="005B5FAB" w:rsidRPr="00780F43" w:rsidRDefault="005B5FAB" w:rsidP="005B5FAB">
      <w:pPr>
        <w:rPr>
          <w:lang w:val="en-GB" w:eastAsia="nl-NL"/>
        </w:rPr>
      </w:pPr>
    </w:p>
    <w:p w:rsidR="005B5FAB" w:rsidRPr="00780F43" w:rsidRDefault="005B5FAB" w:rsidP="005B5FAB">
      <w:pPr>
        <w:pStyle w:val="Heading2"/>
        <w:rPr>
          <w:lang w:val="en-GB" w:eastAsia="nl-NL"/>
        </w:rPr>
      </w:pPr>
      <w:r w:rsidRPr="00780F43">
        <w:rPr>
          <w:lang w:val="en-GB" w:eastAsia="nl-NL"/>
        </w:rPr>
        <w:t>DUS projects</w:t>
      </w:r>
    </w:p>
    <w:p w:rsidR="005B5FAB" w:rsidRPr="00780F43" w:rsidRDefault="005B5FAB" w:rsidP="005B5FAB">
      <w:pPr>
        <w:rPr>
          <w:lang w:val="en-GB" w:eastAsia="nl-NL"/>
        </w:rPr>
      </w:pPr>
    </w:p>
    <w:p w:rsidR="005B5FAB" w:rsidRPr="00780F43" w:rsidRDefault="005B5FAB" w:rsidP="005B5FAB">
      <w:pPr>
        <w:rPr>
          <w:lang w:val="en-GB" w:eastAsia="nl-NL"/>
        </w:rPr>
      </w:pPr>
      <w:r w:rsidRPr="00780F43">
        <w:rPr>
          <w:lang w:val="en-GB" w:eastAsia="nl-NL"/>
        </w:rPr>
        <w:t xml:space="preserve">Below a selection of the DUS projects at </w:t>
      </w:r>
      <w:proofErr w:type="spellStart"/>
      <w:r w:rsidRPr="00780F43">
        <w:rPr>
          <w:lang w:val="en-GB" w:eastAsia="nl-NL"/>
        </w:rPr>
        <w:t>Naktuinbouw</w:t>
      </w:r>
      <w:proofErr w:type="spellEnd"/>
      <w:r w:rsidRPr="00780F43">
        <w:rPr>
          <w:lang w:val="en-GB" w:eastAsia="nl-NL"/>
        </w:rPr>
        <w:t>.</w:t>
      </w:r>
    </w:p>
    <w:p w:rsidR="005B5FAB" w:rsidRPr="00780F43" w:rsidRDefault="005B5FAB" w:rsidP="005B5FAB">
      <w:pPr>
        <w:rPr>
          <w:lang w:val="en-GB" w:eastAsia="nl-NL"/>
        </w:rPr>
      </w:pPr>
    </w:p>
    <w:p w:rsidR="005B5FAB" w:rsidRPr="006F5AB4" w:rsidRDefault="005B5FAB" w:rsidP="005B5FAB">
      <w:pPr>
        <w:numPr>
          <w:ilvl w:val="0"/>
          <w:numId w:val="5"/>
        </w:numPr>
        <w:spacing w:line="240" w:lineRule="atLeast"/>
        <w:ind w:left="284" w:hanging="284"/>
        <w:rPr>
          <w:rFonts w:cs="Maiandra GD"/>
          <w:color w:val="000000"/>
          <w:lang w:eastAsia="nl-NL"/>
        </w:rPr>
      </w:pPr>
      <w:r w:rsidRPr="006F5AB4">
        <w:rPr>
          <w:rFonts w:cs="Maiandra GD"/>
          <w:color w:val="000000"/>
          <w:lang w:eastAsia="nl-NL"/>
        </w:rPr>
        <w:t xml:space="preserve">EU cooperation: Database Melon, </w:t>
      </w:r>
      <w:proofErr w:type="spellStart"/>
      <w:r w:rsidRPr="006F5AB4">
        <w:rPr>
          <w:rFonts w:cs="Maiandra GD"/>
          <w:color w:val="000000"/>
          <w:lang w:eastAsia="nl-NL"/>
        </w:rPr>
        <w:t>Harmorescoll</w:t>
      </w:r>
      <w:proofErr w:type="spellEnd"/>
      <w:r w:rsidRPr="006F5AB4">
        <w:rPr>
          <w:rFonts w:cs="Maiandra GD"/>
          <w:color w:val="000000"/>
          <w:lang w:eastAsia="nl-NL"/>
        </w:rPr>
        <w:t xml:space="preserve"> and INVITE</w:t>
      </w:r>
    </w:p>
    <w:p w:rsidR="005B5FAB" w:rsidRPr="00780F43" w:rsidRDefault="005B5FAB" w:rsidP="005B5FAB">
      <w:pPr>
        <w:spacing w:line="240" w:lineRule="atLeast"/>
        <w:ind w:left="284"/>
        <w:rPr>
          <w:rFonts w:cs="Maiandra GD"/>
          <w:color w:val="000000"/>
          <w:lang w:eastAsia="nl-NL"/>
        </w:rPr>
      </w:pPr>
      <w:r w:rsidRPr="00780F43">
        <w:rPr>
          <w:rFonts w:cs="Maiandra GD"/>
          <w:color w:val="000000"/>
          <w:lang w:eastAsia="nl-NL"/>
        </w:rPr>
        <w:t xml:space="preserve">An EU database for melon varieties </w:t>
      </w:r>
      <w:proofErr w:type="gramStart"/>
      <w:r w:rsidRPr="00780F43">
        <w:rPr>
          <w:rFonts w:cs="Maiandra GD"/>
          <w:color w:val="000000"/>
          <w:lang w:eastAsia="nl-NL"/>
        </w:rPr>
        <w:t>is developed</w:t>
      </w:r>
      <w:proofErr w:type="gramEnd"/>
      <w:r w:rsidRPr="00780F43">
        <w:rPr>
          <w:rFonts w:cs="Maiandra GD"/>
          <w:color w:val="000000"/>
          <w:lang w:eastAsia="nl-NL"/>
        </w:rPr>
        <w:t xml:space="preserve"> by cooperation between France, Spain, Portugal, Slovakia and the Netherlands. The development </w:t>
      </w:r>
      <w:proofErr w:type="gramStart"/>
      <w:r w:rsidRPr="00780F43">
        <w:rPr>
          <w:rFonts w:cs="Maiandra GD"/>
          <w:color w:val="000000"/>
          <w:lang w:eastAsia="nl-NL"/>
        </w:rPr>
        <w:t>is funded</w:t>
      </w:r>
      <w:proofErr w:type="gramEnd"/>
      <w:r w:rsidRPr="00780F43">
        <w:rPr>
          <w:rFonts w:cs="Maiandra GD"/>
          <w:color w:val="000000"/>
          <w:lang w:eastAsia="nl-NL"/>
        </w:rPr>
        <w:t xml:space="preserve"> by CPVO. In </w:t>
      </w:r>
      <w:proofErr w:type="gramStart"/>
      <w:r w:rsidRPr="00780F43">
        <w:rPr>
          <w:rFonts w:cs="Maiandra GD"/>
          <w:color w:val="000000"/>
          <w:lang w:eastAsia="nl-NL"/>
        </w:rPr>
        <w:t>2021</w:t>
      </w:r>
      <w:proofErr w:type="gramEnd"/>
      <w:r w:rsidRPr="00780F43">
        <w:rPr>
          <w:rFonts w:cs="Maiandra GD"/>
          <w:color w:val="000000"/>
          <w:lang w:eastAsia="nl-NL"/>
        </w:rPr>
        <w:t xml:space="preserve"> the project will be finished. </w:t>
      </w:r>
    </w:p>
    <w:p w:rsidR="005B5FAB" w:rsidRPr="00780F43" w:rsidRDefault="005B5FAB" w:rsidP="005B5FAB">
      <w:pPr>
        <w:spacing w:line="240" w:lineRule="atLeast"/>
        <w:ind w:left="284"/>
        <w:rPr>
          <w:rFonts w:cs="Maiandra GD"/>
          <w:color w:val="000000"/>
          <w:lang w:eastAsia="nl-NL"/>
        </w:rPr>
      </w:pPr>
      <w:r w:rsidRPr="00780F43">
        <w:rPr>
          <w:rFonts w:cs="Maiandra GD"/>
          <w:color w:val="000000"/>
          <w:lang w:eastAsia="nl-NL"/>
        </w:rPr>
        <w:t xml:space="preserve">The </w:t>
      </w:r>
      <w:proofErr w:type="spellStart"/>
      <w:r w:rsidRPr="00780F43">
        <w:rPr>
          <w:rFonts w:cs="Maiandra GD"/>
          <w:color w:val="000000"/>
          <w:lang w:eastAsia="nl-NL"/>
        </w:rPr>
        <w:t>harmorescoll</w:t>
      </w:r>
      <w:proofErr w:type="spellEnd"/>
      <w:r w:rsidRPr="00780F43">
        <w:rPr>
          <w:rFonts w:cs="Maiandra GD"/>
          <w:color w:val="000000"/>
          <w:lang w:eastAsia="nl-NL"/>
        </w:rPr>
        <w:t xml:space="preserve"> project has just started and will last for 3 years. In this </w:t>
      </w:r>
      <w:proofErr w:type="gramStart"/>
      <w:r w:rsidRPr="00780F43">
        <w:rPr>
          <w:rFonts w:cs="Maiandra GD"/>
          <w:color w:val="000000"/>
          <w:lang w:eastAsia="nl-NL"/>
        </w:rPr>
        <w:t>project</w:t>
      </w:r>
      <w:proofErr w:type="gramEnd"/>
      <w:r w:rsidRPr="00780F43">
        <w:rPr>
          <w:rFonts w:cs="Maiandra GD"/>
          <w:color w:val="000000"/>
          <w:lang w:eastAsia="nl-NL"/>
        </w:rPr>
        <w:t xml:space="preserve"> the reference material for obligatory disease resistance tests will be harmonized. </w:t>
      </w:r>
    </w:p>
    <w:p w:rsidR="005B5FAB" w:rsidRDefault="005B5FAB" w:rsidP="005B5FAB">
      <w:pPr>
        <w:spacing w:line="240" w:lineRule="atLeast"/>
        <w:ind w:left="284"/>
        <w:rPr>
          <w:rFonts w:cs="Maiandra GD"/>
          <w:color w:val="000000"/>
          <w:lang w:eastAsia="nl-NL"/>
        </w:rPr>
      </w:pPr>
      <w:r w:rsidRPr="00780F43">
        <w:rPr>
          <w:rFonts w:cs="Maiandra GD"/>
          <w:color w:val="000000"/>
          <w:lang w:eastAsia="nl-NL"/>
        </w:rPr>
        <w:t xml:space="preserve">The EU project on the improvement on DUS and VCU testing has started. </w:t>
      </w:r>
      <w:proofErr w:type="spellStart"/>
      <w:r w:rsidRPr="00780F43">
        <w:rPr>
          <w:rFonts w:cs="Maiandra GD"/>
          <w:color w:val="000000"/>
          <w:lang w:eastAsia="nl-NL"/>
        </w:rPr>
        <w:t>Naktuinbouw</w:t>
      </w:r>
      <w:proofErr w:type="spellEnd"/>
      <w:r w:rsidRPr="00780F43">
        <w:rPr>
          <w:rFonts w:cs="Maiandra GD"/>
          <w:color w:val="000000"/>
          <w:lang w:eastAsia="nl-NL"/>
        </w:rPr>
        <w:t xml:space="preserve"> is one of the partners in this program.</w:t>
      </w:r>
    </w:p>
    <w:p w:rsidR="005B5FAB" w:rsidRPr="00780F43" w:rsidRDefault="005B5FAB" w:rsidP="005B5FAB">
      <w:pPr>
        <w:spacing w:line="240" w:lineRule="atLeast"/>
        <w:ind w:left="284"/>
        <w:rPr>
          <w:rFonts w:cs="Maiandra GD"/>
          <w:color w:val="000000"/>
          <w:lang w:eastAsia="nl-NL"/>
        </w:rPr>
      </w:pPr>
    </w:p>
    <w:p w:rsidR="005B5FAB" w:rsidRDefault="005B5FAB" w:rsidP="005B5FAB">
      <w:pPr>
        <w:numPr>
          <w:ilvl w:val="0"/>
          <w:numId w:val="5"/>
        </w:numPr>
        <w:spacing w:line="240" w:lineRule="atLeast"/>
        <w:ind w:left="284" w:hanging="284"/>
        <w:rPr>
          <w:rFonts w:cs="Maiandra GD"/>
          <w:color w:val="000000"/>
          <w:lang w:eastAsia="nl-NL"/>
        </w:rPr>
      </w:pPr>
      <w:r w:rsidRPr="006F5AB4">
        <w:rPr>
          <w:rFonts w:cs="Maiandra GD"/>
          <w:color w:val="000000"/>
          <w:lang w:eastAsia="nl-NL"/>
        </w:rPr>
        <w:t xml:space="preserve">International </w:t>
      </w:r>
      <w:r w:rsidRPr="006F5AB4">
        <w:rPr>
          <w:rFonts w:cs="Maiandra GD"/>
          <w:bCs/>
          <w:color w:val="000000"/>
          <w:lang w:eastAsia="nl-NL"/>
        </w:rPr>
        <w:t>cooperation</w:t>
      </w:r>
      <w:r w:rsidRPr="006F5AB4">
        <w:rPr>
          <w:rFonts w:cs="Maiandra GD"/>
          <w:color w:val="000000"/>
          <w:lang w:eastAsia="nl-NL"/>
        </w:rPr>
        <w:t xml:space="preserve">. </w:t>
      </w:r>
      <w:r w:rsidRPr="006F5AB4">
        <w:rPr>
          <w:rFonts w:cs="Maiandra GD"/>
          <w:bCs/>
          <w:color w:val="000000"/>
          <w:lang w:eastAsia="nl-NL"/>
        </w:rPr>
        <w:t>Calibration manuals.</w:t>
      </w:r>
      <w:r w:rsidRPr="006F5AB4">
        <w:rPr>
          <w:rFonts w:cs="Maiandra GD"/>
          <w:color w:val="000000"/>
          <w:lang w:eastAsia="nl-NL"/>
        </w:rPr>
        <w:t xml:space="preserve"> </w:t>
      </w:r>
      <w:proofErr w:type="spellStart"/>
      <w:r w:rsidRPr="006F5AB4">
        <w:rPr>
          <w:rFonts w:cs="Maiandra GD"/>
          <w:color w:val="000000"/>
          <w:lang w:eastAsia="nl-NL"/>
        </w:rPr>
        <w:t>Naktuinbouw</w:t>
      </w:r>
      <w:proofErr w:type="spellEnd"/>
      <w:r w:rsidRPr="006F5AB4">
        <w:rPr>
          <w:rFonts w:cs="Maiandra GD"/>
          <w:color w:val="000000"/>
          <w:lang w:eastAsia="nl-NL"/>
        </w:rPr>
        <w:t xml:space="preserve"> cooperates since 2016 with NCSS Japan</w:t>
      </w:r>
      <w:r w:rsidRPr="00780F43">
        <w:rPr>
          <w:rFonts w:cs="Maiandra GD"/>
          <w:color w:val="000000"/>
          <w:lang w:eastAsia="nl-NL"/>
        </w:rPr>
        <w:t xml:space="preserve"> on the </w:t>
      </w:r>
      <w:proofErr w:type="spellStart"/>
      <w:r w:rsidRPr="00780F43">
        <w:rPr>
          <w:rFonts w:cs="Maiandra GD"/>
          <w:color w:val="000000"/>
          <w:lang w:eastAsia="nl-NL"/>
        </w:rPr>
        <w:t>harmonisation</w:t>
      </w:r>
      <w:proofErr w:type="spellEnd"/>
      <w:r w:rsidRPr="00780F43">
        <w:rPr>
          <w:rFonts w:cs="Maiandra GD"/>
          <w:color w:val="000000"/>
          <w:lang w:eastAsia="nl-NL"/>
        </w:rPr>
        <w:t xml:space="preserve"> of Dutch Calibration Books and Japanese Testing Manuals in a 5 years working plan. In 2019, Tomato and Gerbera </w:t>
      </w:r>
      <w:proofErr w:type="gramStart"/>
      <w:r w:rsidRPr="00780F43">
        <w:rPr>
          <w:rFonts w:cs="Maiandra GD"/>
          <w:color w:val="000000"/>
          <w:lang w:eastAsia="nl-NL"/>
        </w:rPr>
        <w:t>were discussed</w:t>
      </w:r>
      <w:proofErr w:type="gramEnd"/>
      <w:r w:rsidRPr="00780F43">
        <w:rPr>
          <w:rFonts w:cs="Maiandra GD"/>
          <w:color w:val="000000"/>
          <w:lang w:eastAsia="nl-NL"/>
        </w:rPr>
        <w:t xml:space="preserve">. This year 2020 tulip and chrysanthemum </w:t>
      </w:r>
      <w:proofErr w:type="gramStart"/>
      <w:r w:rsidRPr="00780F43">
        <w:rPr>
          <w:rFonts w:cs="Maiandra GD"/>
          <w:color w:val="000000"/>
          <w:lang w:eastAsia="nl-NL"/>
        </w:rPr>
        <w:t>are being discussed</w:t>
      </w:r>
      <w:proofErr w:type="gramEnd"/>
      <w:r w:rsidRPr="00780F43">
        <w:rPr>
          <w:rFonts w:cs="Maiandra GD"/>
          <w:color w:val="000000"/>
          <w:lang w:eastAsia="nl-NL"/>
        </w:rPr>
        <w:t xml:space="preserve">. </w:t>
      </w:r>
    </w:p>
    <w:p w:rsidR="005B5FAB" w:rsidRDefault="005B5FAB" w:rsidP="005B5FAB">
      <w:pPr>
        <w:rPr>
          <w:lang w:eastAsia="nl-NL"/>
        </w:rPr>
      </w:pPr>
    </w:p>
    <w:p w:rsidR="005B5FAB" w:rsidRDefault="005B5FAB" w:rsidP="005B5FAB">
      <w:pPr>
        <w:pStyle w:val="Heading2"/>
        <w:rPr>
          <w:lang w:val="en-GB" w:eastAsia="nl-NL"/>
        </w:rPr>
      </w:pPr>
      <w:r w:rsidRPr="00780F43">
        <w:rPr>
          <w:lang w:val="en-GB" w:eastAsia="nl-NL"/>
        </w:rPr>
        <w:t>Development of DNA databases</w:t>
      </w:r>
    </w:p>
    <w:p w:rsidR="005B5FAB" w:rsidRPr="00D56FCF" w:rsidRDefault="005B5FAB" w:rsidP="005B5FAB">
      <w:pPr>
        <w:rPr>
          <w:lang w:val="en-GB" w:eastAsia="nl-NL"/>
        </w:rPr>
      </w:pPr>
    </w:p>
    <w:p w:rsidR="005B5FAB" w:rsidRPr="006F5AB4" w:rsidRDefault="005B5FAB" w:rsidP="005B5FAB">
      <w:pPr>
        <w:numPr>
          <w:ilvl w:val="0"/>
          <w:numId w:val="5"/>
        </w:numPr>
        <w:spacing w:line="240" w:lineRule="atLeast"/>
        <w:ind w:left="284" w:hanging="284"/>
        <w:rPr>
          <w:rFonts w:cs="Maiandra GD"/>
          <w:color w:val="000000"/>
          <w:lang w:eastAsia="nl-NL"/>
        </w:rPr>
      </w:pPr>
      <w:r w:rsidRPr="006F5AB4">
        <w:rPr>
          <w:rFonts w:cs="Maiandra GD"/>
          <w:color w:val="000000"/>
          <w:lang w:eastAsia="nl-NL"/>
        </w:rPr>
        <w:t>Database Lettuce and marker for LMV resistance</w:t>
      </w:r>
    </w:p>
    <w:p w:rsidR="005B5FAB" w:rsidRDefault="005B5FAB" w:rsidP="005B5FAB">
      <w:pPr>
        <w:spacing w:line="240" w:lineRule="atLeast"/>
        <w:ind w:left="284"/>
        <w:rPr>
          <w:rFonts w:cs="Maiandra GD"/>
          <w:color w:val="000000"/>
          <w:lang w:eastAsia="nl-NL"/>
        </w:rPr>
      </w:pPr>
      <w:r w:rsidRPr="00780F43">
        <w:rPr>
          <w:rFonts w:cs="Maiandra GD"/>
          <w:color w:val="000000"/>
          <w:lang w:eastAsia="nl-NL"/>
        </w:rPr>
        <w:t xml:space="preserve">All new applications in lettuce </w:t>
      </w:r>
      <w:proofErr w:type="gramStart"/>
      <w:r w:rsidRPr="00780F43">
        <w:rPr>
          <w:rFonts w:cs="Maiandra GD"/>
          <w:color w:val="000000"/>
          <w:lang w:eastAsia="nl-NL"/>
        </w:rPr>
        <w:t>are being tested</w:t>
      </w:r>
      <w:proofErr w:type="gramEnd"/>
      <w:r w:rsidRPr="00780F43">
        <w:rPr>
          <w:rFonts w:cs="Maiandra GD"/>
          <w:color w:val="000000"/>
          <w:lang w:eastAsia="nl-NL"/>
        </w:rPr>
        <w:t xml:space="preserve">, besides the bio-tests, with a DNA marker for LMV resistance. We now have sufficient experience with this marker and propose to use it as an additional method in the near future (TGP/15). IBEB (a group of Dutch and French lettuce breeders) supports the use of the DNA marker. With the collected DNA also the development of a new DNA-database for lettuce </w:t>
      </w:r>
      <w:proofErr w:type="gramStart"/>
      <w:r w:rsidRPr="00780F43">
        <w:rPr>
          <w:rFonts w:cs="Maiandra GD"/>
          <w:color w:val="000000"/>
          <w:lang w:eastAsia="nl-NL"/>
        </w:rPr>
        <w:t>is started</w:t>
      </w:r>
      <w:proofErr w:type="gramEnd"/>
      <w:r w:rsidRPr="00780F43">
        <w:rPr>
          <w:rFonts w:cs="Maiandra GD"/>
          <w:color w:val="000000"/>
          <w:lang w:eastAsia="nl-NL"/>
        </w:rPr>
        <w:t>. The DNA of varieties of common knowledge (included in the DUS-trials) will also be included in this database. First, a useful set of SNP markers has to be developed. We are looking for cooperation partners.</w:t>
      </w:r>
    </w:p>
    <w:p w:rsidR="005B5FAB" w:rsidRPr="00780F43" w:rsidRDefault="005B5FAB" w:rsidP="005B5FAB">
      <w:pPr>
        <w:spacing w:line="240" w:lineRule="atLeast"/>
        <w:ind w:left="284"/>
        <w:rPr>
          <w:rFonts w:cs="Maiandra GD"/>
          <w:color w:val="000000"/>
          <w:lang w:eastAsia="nl-NL"/>
        </w:rPr>
      </w:pPr>
    </w:p>
    <w:p w:rsidR="005B5FAB" w:rsidRPr="006F5AB4" w:rsidRDefault="005B5FAB" w:rsidP="005B5FAB">
      <w:pPr>
        <w:numPr>
          <w:ilvl w:val="0"/>
          <w:numId w:val="5"/>
        </w:numPr>
        <w:spacing w:line="240" w:lineRule="atLeast"/>
        <w:ind w:left="284" w:hanging="284"/>
        <w:rPr>
          <w:rFonts w:cs="Maiandra GD"/>
          <w:color w:val="000000"/>
          <w:lang w:eastAsia="nl-NL"/>
        </w:rPr>
      </w:pPr>
      <w:r w:rsidRPr="006F5AB4">
        <w:rPr>
          <w:rFonts w:cs="Maiandra GD"/>
          <w:color w:val="000000"/>
          <w:lang w:eastAsia="nl-NL"/>
        </w:rPr>
        <w:t>SNP database Onion</w:t>
      </w:r>
    </w:p>
    <w:p w:rsidR="005B5FAB" w:rsidRDefault="005B5FAB" w:rsidP="005B5FAB">
      <w:pPr>
        <w:spacing w:line="240" w:lineRule="atLeast"/>
        <w:ind w:left="284"/>
        <w:rPr>
          <w:rFonts w:cs="Maiandra GD"/>
          <w:color w:val="000000"/>
          <w:lang w:eastAsia="nl-NL"/>
        </w:rPr>
      </w:pPr>
      <w:r w:rsidRPr="00780F43">
        <w:rPr>
          <w:rFonts w:cs="Maiandra GD"/>
          <w:color w:val="000000"/>
          <w:lang w:eastAsia="nl-NL"/>
        </w:rPr>
        <w:t>In 2014 a project started in which a number of onion and shallot varieties where analyzed using 93 SNP markers in order to confirm the morphological types used to group the variety collection. The markers confirmed the distinct morphological types. However, this analysis was quite general and the wish was to be able to analyze within the groups the distinctness between varieties. This will be subject in a follow up, while the search for the best distinctive SNP’s continues.</w:t>
      </w:r>
    </w:p>
    <w:p w:rsidR="005B5FAB" w:rsidRPr="00780F43" w:rsidRDefault="005B5FAB" w:rsidP="005B5FAB">
      <w:pPr>
        <w:spacing w:line="240" w:lineRule="atLeast"/>
        <w:ind w:left="284"/>
        <w:rPr>
          <w:rFonts w:cs="Maiandra GD"/>
          <w:color w:val="000000"/>
          <w:lang w:eastAsia="nl-NL"/>
        </w:rPr>
      </w:pPr>
    </w:p>
    <w:p w:rsidR="005B5FAB" w:rsidRPr="006F5AB4" w:rsidRDefault="005B5FAB" w:rsidP="005B5FAB">
      <w:pPr>
        <w:numPr>
          <w:ilvl w:val="0"/>
          <w:numId w:val="5"/>
        </w:numPr>
        <w:spacing w:line="240" w:lineRule="atLeast"/>
        <w:ind w:left="284" w:hanging="284"/>
        <w:rPr>
          <w:rFonts w:cs="Maiandra GD"/>
          <w:color w:val="000000"/>
          <w:lang w:eastAsia="nl-NL"/>
        </w:rPr>
      </w:pPr>
      <w:r w:rsidRPr="006F5AB4">
        <w:rPr>
          <w:rFonts w:cs="Maiandra GD"/>
          <w:color w:val="000000"/>
          <w:lang w:eastAsia="nl-NL"/>
        </w:rPr>
        <w:t>DNA database Tomato</w:t>
      </w:r>
    </w:p>
    <w:p w:rsidR="005B5FAB" w:rsidRDefault="005B5FAB" w:rsidP="005B5FAB">
      <w:pPr>
        <w:spacing w:line="240" w:lineRule="atLeast"/>
        <w:ind w:left="284"/>
        <w:rPr>
          <w:rFonts w:cs="Maiandra GD"/>
          <w:color w:val="000000"/>
          <w:lang w:eastAsia="nl-NL"/>
        </w:rPr>
      </w:pPr>
      <w:r w:rsidRPr="00780F43">
        <w:rPr>
          <w:rFonts w:cs="Maiandra GD"/>
          <w:color w:val="000000"/>
          <w:lang w:eastAsia="nl-NL"/>
        </w:rPr>
        <w:t xml:space="preserve">In 2019 </w:t>
      </w:r>
      <w:proofErr w:type="gramStart"/>
      <w:r w:rsidRPr="00780F43">
        <w:rPr>
          <w:rFonts w:cs="Maiandra GD"/>
          <w:color w:val="000000"/>
          <w:lang w:eastAsia="nl-NL"/>
        </w:rPr>
        <w:t>this IMODDUS-project has been started in by a kick-off meeting</w:t>
      </w:r>
      <w:proofErr w:type="gramEnd"/>
      <w:r w:rsidRPr="00780F43">
        <w:rPr>
          <w:rFonts w:cs="Maiandra GD"/>
          <w:color w:val="000000"/>
          <w:lang w:eastAsia="nl-NL"/>
        </w:rPr>
        <w:t xml:space="preserve">. The main goal is to find and select and international accepted SNP. The project </w:t>
      </w:r>
      <w:proofErr w:type="gramStart"/>
      <w:r w:rsidRPr="00780F43">
        <w:rPr>
          <w:rFonts w:cs="Maiandra GD"/>
          <w:color w:val="000000"/>
          <w:lang w:eastAsia="nl-NL"/>
        </w:rPr>
        <w:t>will be followed</w:t>
      </w:r>
      <w:proofErr w:type="gramEnd"/>
      <w:r w:rsidRPr="00780F43">
        <w:rPr>
          <w:rFonts w:cs="Maiandra GD"/>
          <w:color w:val="000000"/>
          <w:lang w:eastAsia="nl-NL"/>
        </w:rPr>
        <w:t xml:space="preserve"> by testing varieties in common knowledge with this set of DNA markers and storing the data in a database. After </w:t>
      </w:r>
      <w:proofErr w:type="gramStart"/>
      <w:r w:rsidRPr="00780F43">
        <w:rPr>
          <w:rFonts w:cs="Maiandra GD"/>
          <w:color w:val="000000"/>
          <w:lang w:eastAsia="nl-NL"/>
        </w:rPr>
        <w:t>that</w:t>
      </w:r>
      <w:proofErr w:type="gramEnd"/>
      <w:r w:rsidRPr="00780F43">
        <w:rPr>
          <w:rFonts w:cs="Maiandra GD"/>
          <w:color w:val="000000"/>
          <w:lang w:eastAsia="nl-NL"/>
        </w:rPr>
        <w:t xml:space="preserve"> it can be used for management of the reference collection.</w:t>
      </w:r>
    </w:p>
    <w:p w:rsidR="005B5FAB" w:rsidRPr="00780F43" w:rsidRDefault="005B5FAB" w:rsidP="005B5FAB">
      <w:pPr>
        <w:spacing w:line="240" w:lineRule="atLeast"/>
        <w:ind w:left="284"/>
        <w:rPr>
          <w:rFonts w:cs="Maiandra GD"/>
          <w:color w:val="000000"/>
          <w:lang w:eastAsia="nl-NL"/>
        </w:rPr>
      </w:pPr>
    </w:p>
    <w:p w:rsidR="005B5FAB" w:rsidRPr="006F5AB4" w:rsidRDefault="005B5FAB" w:rsidP="005B5FAB">
      <w:pPr>
        <w:numPr>
          <w:ilvl w:val="0"/>
          <w:numId w:val="5"/>
        </w:numPr>
        <w:spacing w:line="240" w:lineRule="atLeast"/>
        <w:ind w:left="284" w:hanging="284"/>
        <w:rPr>
          <w:rFonts w:cs="Maiandra GD"/>
          <w:bCs/>
          <w:color w:val="000000"/>
          <w:lang w:eastAsia="nl-NL"/>
        </w:rPr>
      </w:pPr>
      <w:r w:rsidRPr="006F5AB4">
        <w:rPr>
          <w:rFonts w:cs="Maiandra GD"/>
          <w:bCs/>
          <w:color w:val="000000"/>
          <w:lang w:eastAsia="nl-NL"/>
        </w:rPr>
        <w:t>DNA database Cannabis</w:t>
      </w:r>
    </w:p>
    <w:p w:rsidR="005B5FAB" w:rsidRDefault="005B5FAB" w:rsidP="005B5FAB">
      <w:pPr>
        <w:spacing w:line="240" w:lineRule="atLeast"/>
        <w:ind w:left="284"/>
        <w:rPr>
          <w:rFonts w:cs="Maiandra GD"/>
          <w:color w:val="000000"/>
          <w:lang w:eastAsia="nl-NL"/>
        </w:rPr>
      </w:pPr>
      <w:r w:rsidRPr="00780F43">
        <w:rPr>
          <w:rFonts w:cs="Maiandra GD"/>
          <w:color w:val="000000"/>
          <w:lang w:eastAsia="nl-NL"/>
        </w:rPr>
        <w:t xml:space="preserve">In </w:t>
      </w:r>
      <w:proofErr w:type="gramStart"/>
      <w:r w:rsidRPr="00780F43">
        <w:rPr>
          <w:rFonts w:cs="Maiandra GD"/>
          <w:color w:val="000000"/>
          <w:lang w:eastAsia="nl-NL"/>
        </w:rPr>
        <w:t>2019</w:t>
      </w:r>
      <w:proofErr w:type="gramEnd"/>
      <w:r w:rsidRPr="00780F43">
        <w:rPr>
          <w:rFonts w:cs="Maiandra GD"/>
          <w:color w:val="000000"/>
          <w:lang w:eastAsia="nl-NL"/>
        </w:rPr>
        <w:t xml:space="preserve"> a project started to develop a SNP marker set and a suitable genotyping method. It will give the possibility to manage the reference collection efficiently and minimizes the risk of wrong Distinctness decisions. The number of Cannabis applications for medical use is high and transport of seeds or </w:t>
      </w:r>
      <w:proofErr w:type="gramStart"/>
      <w:r w:rsidRPr="00780F43">
        <w:rPr>
          <w:rFonts w:cs="Maiandra GD"/>
          <w:color w:val="000000"/>
          <w:lang w:eastAsia="nl-NL"/>
        </w:rPr>
        <w:t>plants of applications and reference varieties is</w:t>
      </w:r>
      <w:proofErr w:type="gramEnd"/>
      <w:r w:rsidRPr="00780F43">
        <w:rPr>
          <w:rFonts w:cs="Maiandra GD"/>
          <w:color w:val="000000"/>
          <w:lang w:eastAsia="nl-NL"/>
        </w:rPr>
        <w:t xml:space="preserve"> a burden due to </w:t>
      </w:r>
      <w:proofErr w:type="spellStart"/>
      <w:r w:rsidRPr="00780F43">
        <w:rPr>
          <w:rFonts w:cs="Maiandra GD"/>
          <w:color w:val="000000"/>
          <w:lang w:eastAsia="nl-NL"/>
        </w:rPr>
        <w:t>phytosanitary</w:t>
      </w:r>
      <w:proofErr w:type="spellEnd"/>
      <w:r w:rsidRPr="00780F43">
        <w:rPr>
          <w:rFonts w:cs="Maiandra GD"/>
          <w:color w:val="000000"/>
          <w:lang w:eastAsia="nl-NL"/>
        </w:rPr>
        <w:t xml:space="preserve"> and opium regulations.</w:t>
      </w:r>
    </w:p>
    <w:p w:rsidR="005B5FAB" w:rsidRPr="00780F43" w:rsidRDefault="005B5FAB" w:rsidP="005B5FAB">
      <w:pPr>
        <w:spacing w:line="240" w:lineRule="atLeast"/>
        <w:ind w:left="284"/>
        <w:rPr>
          <w:rFonts w:cs="Maiandra GD"/>
          <w:color w:val="000000"/>
          <w:lang w:eastAsia="nl-NL"/>
        </w:rPr>
      </w:pPr>
    </w:p>
    <w:p w:rsidR="005B5FAB" w:rsidRPr="006F5AB4" w:rsidRDefault="005B5FAB" w:rsidP="005B5FAB">
      <w:pPr>
        <w:numPr>
          <w:ilvl w:val="0"/>
          <w:numId w:val="5"/>
        </w:numPr>
        <w:spacing w:line="240" w:lineRule="atLeast"/>
        <w:ind w:left="284" w:hanging="284"/>
        <w:rPr>
          <w:rFonts w:cs="Maiandra GD"/>
          <w:color w:val="000000"/>
          <w:lang w:eastAsia="nl-NL"/>
        </w:rPr>
      </w:pPr>
      <w:r w:rsidRPr="006F5AB4">
        <w:rPr>
          <w:rFonts w:cs="Maiandra GD"/>
          <w:bCs/>
          <w:color w:val="000000"/>
          <w:lang w:eastAsia="nl-NL"/>
        </w:rPr>
        <w:t>SNP-markers in Perennial Ryegrass</w:t>
      </w:r>
      <w:r w:rsidRPr="006F5AB4">
        <w:rPr>
          <w:rFonts w:cs="Maiandra GD"/>
          <w:color w:val="000000"/>
          <w:lang w:eastAsia="nl-NL"/>
        </w:rPr>
        <w:t xml:space="preserve"> (PRG)</w:t>
      </w:r>
    </w:p>
    <w:p w:rsidR="005B5FAB" w:rsidRPr="006F5AB4" w:rsidRDefault="005B5FAB" w:rsidP="005B5FAB">
      <w:pPr>
        <w:spacing w:line="240" w:lineRule="atLeast"/>
        <w:ind w:left="284"/>
        <w:rPr>
          <w:rFonts w:cs="Maiandra GD"/>
          <w:color w:val="000000"/>
          <w:lang w:eastAsia="nl-NL"/>
        </w:rPr>
      </w:pPr>
      <w:proofErr w:type="spellStart"/>
      <w:r w:rsidRPr="006F5AB4">
        <w:rPr>
          <w:rFonts w:cs="Maiandra GD"/>
          <w:color w:val="000000"/>
          <w:lang w:eastAsia="nl-NL"/>
        </w:rPr>
        <w:t>Naktuinbouw</w:t>
      </w:r>
      <w:proofErr w:type="spellEnd"/>
      <w:r w:rsidRPr="006F5AB4">
        <w:rPr>
          <w:rFonts w:cs="Maiandra GD"/>
          <w:color w:val="000000"/>
          <w:lang w:eastAsia="nl-NL"/>
        </w:rPr>
        <w:t xml:space="preserve"> started a special project on the use of SNP markers in PRG based on a previous pilot project. PRG is a </w:t>
      </w:r>
      <w:proofErr w:type="gramStart"/>
      <w:r w:rsidRPr="006F5AB4">
        <w:rPr>
          <w:rFonts w:cs="Maiandra GD"/>
          <w:color w:val="000000"/>
          <w:lang w:eastAsia="nl-NL"/>
        </w:rPr>
        <w:t>cross pollinating</w:t>
      </w:r>
      <w:proofErr w:type="gramEnd"/>
      <w:r w:rsidRPr="006F5AB4">
        <w:rPr>
          <w:rFonts w:cs="Maiandra GD"/>
          <w:color w:val="000000"/>
          <w:lang w:eastAsia="nl-NL"/>
        </w:rPr>
        <w:t xml:space="preserve"> crop causing additional complexity. The results of the project are promising. SNP markers </w:t>
      </w:r>
      <w:proofErr w:type="gramStart"/>
      <w:r w:rsidRPr="006F5AB4">
        <w:rPr>
          <w:rFonts w:cs="Maiandra GD"/>
          <w:color w:val="000000"/>
          <w:lang w:eastAsia="nl-NL"/>
        </w:rPr>
        <w:t>could be used</w:t>
      </w:r>
      <w:proofErr w:type="gramEnd"/>
      <w:r w:rsidRPr="006F5AB4">
        <w:rPr>
          <w:rFonts w:cs="Maiandra GD"/>
          <w:color w:val="000000"/>
          <w:lang w:eastAsia="nl-NL"/>
        </w:rPr>
        <w:t xml:space="preserve"> to replace electrophoresis as additional characteristic in DUS testing. A presentation </w:t>
      </w:r>
      <w:proofErr w:type="gramStart"/>
      <w:r w:rsidRPr="006F5AB4">
        <w:rPr>
          <w:rFonts w:cs="Maiandra GD"/>
          <w:color w:val="000000"/>
          <w:lang w:eastAsia="nl-NL"/>
        </w:rPr>
        <w:t>is foreseen</w:t>
      </w:r>
      <w:proofErr w:type="gramEnd"/>
      <w:r w:rsidRPr="006F5AB4">
        <w:rPr>
          <w:rFonts w:cs="Maiandra GD"/>
          <w:color w:val="000000"/>
          <w:lang w:eastAsia="nl-NL"/>
        </w:rPr>
        <w:t xml:space="preserve"> this year in the framework of the CPVO Agricultural Expert Meeting </w:t>
      </w:r>
    </w:p>
    <w:p w:rsidR="005B5FAB" w:rsidRPr="006F5AB4" w:rsidRDefault="005B5FAB" w:rsidP="005B5FAB">
      <w:pPr>
        <w:spacing w:line="240" w:lineRule="atLeast"/>
        <w:ind w:left="284"/>
        <w:rPr>
          <w:rFonts w:cs="Maiandra GD"/>
          <w:color w:val="000000"/>
          <w:lang w:eastAsia="nl-NL"/>
        </w:rPr>
      </w:pPr>
    </w:p>
    <w:p w:rsidR="005B5FAB" w:rsidRPr="006F5AB4" w:rsidRDefault="005B5FAB" w:rsidP="005B5FAB">
      <w:pPr>
        <w:numPr>
          <w:ilvl w:val="0"/>
          <w:numId w:val="5"/>
        </w:numPr>
        <w:spacing w:line="240" w:lineRule="atLeast"/>
        <w:ind w:left="284" w:hanging="284"/>
        <w:rPr>
          <w:rFonts w:cs="Maiandra GD"/>
          <w:i/>
          <w:iCs/>
          <w:color w:val="000000"/>
          <w:lang w:eastAsia="nl-NL"/>
        </w:rPr>
      </w:pPr>
      <w:r w:rsidRPr="006F5AB4">
        <w:rPr>
          <w:rFonts w:cs="Maiandra GD"/>
          <w:bCs/>
          <w:color w:val="000000"/>
          <w:lang w:eastAsia="nl-NL"/>
        </w:rPr>
        <w:t>Disease</w:t>
      </w:r>
      <w:r w:rsidRPr="006F5AB4">
        <w:rPr>
          <w:rFonts w:cs="Maiandra GD"/>
          <w:color w:val="000000"/>
          <w:lang w:eastAsia="nl-NL"/>
        </w:rPr>
        <w:t xml:space="preserve"> </w:t>
      </w:r>
      <w:r w:rsidRPr="006F5AB4">
        <w:rPr>
          <w:rFonts w:cs="Maiandra GD"/>
          <w:bCs/>
          <w:color w:val="000000"/>
          <w:lang w:eastAsia="nl-NL"/>
        </w:rPr>
        <w:t xml:space="preserve">resistance testing </w:t>
      </w:r>
      <w:r w:rsidRPr="006F5AB4">
        <w:rPr>
          <w:rFonts w:cs="Maiandra GD"/>
          <w:color w:val="000000"/>
          <w:lang w:eastAsia="nl-NL"/>
        </w:rPr>
        <w:t xml:space="preserve">Projects are carried out in </w:t>
      </w:r>
      <w:proofErr w:type="spellStart"/>
      <w:r w:rsidRPr="006F5AB4">
        <w:rPr>
          <w:rFonts w:cs="Maiandra GD"/>
          <w:color w:val="000000"/>
          <w:lang w:eastAsia="nl-NL"/>
        </w:rPr>
        <w:t>biotesting</w:t>
      </w:r>
      <w:proofErr w:type="spellEnd"/>
      <w:r w:rsidRPr="006F5AB4">
        <w:rPr>
          <w:rFonts w:cs="Maiandra GD"/>
          <w:color w:val="000000"/>
          <w:lang w:eastAsia="nl-NL"/>
        </w:rPr>
        <w:t xml:space="preserve"> of nematodes in pepper, </w:t>
      </w:r>
      <w:proofErr w:type="spellStart"/>
      <w:r w:rsidRPr="006F5AB4">
        <w:rPr>
          <w:rFonts w:cs="Maiandra GD"/>
          <w:color w:val="000000"/>
          <w:lang w:eastAsia="nl-NL"/>
        </w:rPr>
        <w:t>Fulvia</w:t>
      </w:r>
      <w:proofErr w:type="spellEnd"/>
      <w:r w:rsidRPr="006F5AB4">
        <w:rPr>
          <w:rFonts w:cs="Maiandra GD"/>
          <w:color w:val="000000"/>
          <w:lang w:eastAsia="nl-NL"/>
        </w:rPr>
        <w:t xml:space="preserve"> </w:t>
      </w:r>
      <w:proofErr w:type="spellStart"/>
      <w:r w:rsidRPr="006F5AB4">
        <w:rPr>
          <w:rFonts w:cs="Maiandra GD"/>
          <w:color w:val="000000"/>
          <w:lang w:eastAsia="nl-NL"/>
        </w:rPr>
        <w:t>fulva</w:t>
      </w:r>
      <w:proofErr w:type="spellEnd"/>
      <w:r w:rsidRPr="006F5AB4">
        <w:rPr>
          <w:rFonts w:cs="Maiandra GD"/>
          <w:color w:val="000000"/>
          <w:lang w:eastAsia="nl-NL"/>
        </w:rPr>
        <w:t xml:space="preserve"> in tomato (</w:t>
      </w:r>
      <w:proofErr w:type="spellStart"/>
      <w:r w:rsidRPr="006F5AB4">
        <w:rPr>
          <w:rFonts w:cs="Maiandra GD"/>
          <w:color w:val="000000"/>
          <w:lang w:eastAsia="nl-NL"/>
        </w:rPr>
        <w:t>biotests</w:t>
      </w:r>
      <w:proofErr w:type="spellEnd"/>
      <w:r w:rsidRPr="006F5AB4">
        <w:rPr>
          <w:rFonts w:cs="Maiandra GD"/>
          <w:color w:val="000000"/>
          <w:lang w:eastAsia="nl-NL"/>
        </w:rPr>
        <w:t xml:space="preserve"> &amp; DNA markers), </w:t>
      </w:r>
      <w:proofErr w:type="spellStart"/>
      <w:r w:rsidRPr="006F5AB4">
        <w:rPr>
          <w:rFonts w:cs="Maiandra GD"/>
          <w:color w:val="000000"/>
          <w:lang w:eastAsia="nl-NL"/>
        </w:rPr>
        <w:t>biotest</w:t>
      </w:r>
      <w:proofErr w:type="spellEnd"/>
      <w:r w:rsidRPr="006F5AB4">
        <w:rPr>
          <w:rFonts w:cs="Maiandra GD"/>
          <w:color w:val="000000"/>
          <w:lang w:eastAsia="nl-NL"/>
        </w:rPr>
        <w:t xml:space="preserve"> of </w:t>
      </w:r>
      <w:proofErr w:type="spellStart"/>
      <w:r w:rsidRPr="006F5AB4">
        <w:rPr>
          <w:rFonts w:cs="Maiandra GD"/>
          <w:i/>
          <w:iCs/>
          <w:color w:val="000000"/>
          <w:lang w:eastAsia="nl-NL"/>
        </w:rPr>
        <w:t>Fusarium</w:t>
      </w:r>
      <w:proofErr w:type="spellEnd"/>
      <w:r w:rsidRPr="006F5AB4">
        <w:rPr>
          <w:rFonts w:cs="Maiandra GD"/>
          <w:color w:val="000000"/>
          <w:lang w:eastAsia="nl-NL"/>
        </w:rPr>
        <w:t xml:space="preserve"> Lettuce, </w:t>
      </w:r>
      <w:proofErr w:type="gramStart"/>
      <w:r w:rsidRPr="006F5AB4">
        <w:rPr>
          <w:rFonts w:cs="Maiandra GD"/>
          <w:color w:val="000000"/>
          <w:lang w:eastAsia="nl-NL"/>
        </w:rPr>
        <w:t>virus</w:t>
      </w:r>
      <w:proofErr w:type="gramEnd"/>
      <w:r w:rsidRPr="006F5AB4">
        <w:rPr>
          <w:rFonts w:cs="Maiandra GD"/>
          <w:color w:val="000000"/>
          <w:lang w:eastAsia="nl-NL"/>
        </w:rPr>
        <w:t xml:space="preserve"> tests in vegetative propagated pepper.</w:t>
      </w:r>
    </w:p>
    <w:p w:rsidR="005B5FAB" w:rsidRPr="006F5AB4" w:rsidRDefault="005B5FAB" w:rsidP="005B5FAB">
      <w:pPr>
        <w:spacing w:line="240" w:lineRule="atLeast"/>
        <w:ind w:left="284"/>
        <w:rPr>
          <w:rFonts w:cs="Maiandra GD"/>
          <w:i/>
          <w:iCs/>
          <w:color w:val="000000"/>
          <w:lang w:eastAsia="nl-NL"/>
        </w:rPr>
      </w:pPr>
    </w:p>
    <w:p w:rsidR="005B5FAB" w:rsidRPr="006F5AB4" w:rsidRDefault="005B5FAB" w:rsidP="005B5FAB">
      <w:pPr>
        <w:numPr>
          <w:ilvl w:val="0"/>
          <w:numId w:val="5"/>
        </w:numPr>
        <w:spacing w:line="240" w:lineRule="atLeast"/>
        <w:ind w:left="284" w:hanging="284"/>
        <w:rPr>
          <w:rFonts w:cs="Maiandra GD"/>
          <w:color w:val="000000"/>
          <w:lang w:eastAsia="nl-NL"/>
        </w:rPr>
      </w:pPr>
      <w:r w:rsidRPr="006F5AB4">
        <w:rPr>
          <w:rFonts w:cs="Maiandra GD"/>
          <w:bCs/>
          <w:color w:val="000000"/>
          <w:lang w:eastAsia="nl-NL"/>
        </w:rPr>
        <w:t>Other projects: Resistance tests under LED light, Phenotyping, Hydroponics in lettuce</w:t>
      </w:r>
    </w:p>
    <w:p w:rsidR="005B5FAB" w:rsidRPr="00780F43" w:rsidRDefault="005B5FAB" w:rsidP="005B5FAB">
      <w:pPr>
        <w:spacing w:line="240" w:lineRule="atLeast"/>
        <w:ind w:left="284"/>
        <w:rPr>
          <w:rFonts w:cs="Maiandra GD"/>
          <w:color w:val="000000"/>
          <w:lang w:eastAsia="nl-NL"/>
        </w:rPr>
      </w:pPr>
      <w:r w:rsidRPr="00780F43">
        <w:rPr>
          <w:rFonts w:cs="Maiandra GD"/>
          <w:color w:val="000000"/>
          <w:lang w:eastAsia="nl-NL"/>
        </w:rPr>
        <w:t xml:space="preserve">A project to test the preferred type of LED light and to validate each resistance test which </w:t>
      </w:r>
      <w:proofErr w:type="gramStart"/>
      <w:r w:rsidRPr="00780F43">
        <w:rPr>
          <w:rFonts w:cs="Maiandra GD"/>
          <w:color w:val="000000"/>
          <w:lang w:eastAsia="nl-NL"/>
        </w:rPr>
        <w:t>is performed</w:t>
      </w:r>
      <w:proofErr w:type="gramEnd"/>
      <w:r w:rsidRPr="00780F43">
        <w:rPr>
          <w:rFonts w:cs="Maiandra GD"/>
          <w:color w:val="000000"/>
          <w:lang w:eastAsia="nl-NL"/>
        </w:rPr>
        <w:t xml:space="preserve"> in climate chambers. In order to obtain an idea about the possibilities of phenotyping in DUS testing </w:t>
      </w:r>
      <w:proofErr w:type="spellStart"/>
      <w:r w:rsidRPr="00780F43">
        <w:rPr>
          <w:rFonts w:cs="Maiandra GD"/>
          <w:color w:val="000000"/>
          <w:lang w:eastAsia="nl-NL"/>
        </w:rPr>
        <w:t>Naktuinbouw</w:t>
      </w:r>
      <w:proofErr w:type="spellEnd"/>
      <w:r w:rsidRPr="00780F43">
        <w:rPr>
          <w:rFonts w:cs="Maiandra GD"/>
          <w:color w:val="000000"/>
          <w:lang w:eastAsia="nl-NL"/>
        </w:rPr>
        <w:t xml:space="preserve"> performs a pilot this year in </w:t>
      </w:r>
      <w:proofErr w:type="spellStart"/>
      <w:r w:rsidRPr="00780F43">
        <w:rPr>
          <w:rFonts w:cs="Maiandra GD"/>
          <w:i/>
          <w:iCs/>
          <w:color w:val="000000"/>
          <w:lang w:eastAsia="nl-NL"/>
        </w:rPr>
        <w:t>Phalaenopsis</w:t>
      </w:r>
      <w:proofErr w:type="spellEnd"/>
      <w:r w:rsidRPr="00780F43">
        <w:rPr>
          <w:rFonts w:cs="Maiandra GD"/>
          <w:color w:val="000000"/>
          <w:lang w:eastAsia="nl-NL"/>
        </w:rPr>
        <w:t xml:space="preserve">. In </w:t>
      </w:r>
      <w:proofErr w:type="gramStart"/>
      <w:r w:rsidRPr="00780F43">
        <w:rPr>
          <w:rFonts w:cs="Maiandra GD"/>
          <w:color w:val="000000"/>
          <w:lang w:eastAsia="nl-NL"/>
        </w:rPr>
        <w:t>Lettuce</w:t>
      </w:r>
      <w:proofErr w:type="gramEnd"/>
      <w:r w:rsidRPr="00780F43">
        <w:rPr>
          <w:rFonts w:cs="Maiandra GD"/>
          <w:color w:val="000000"/>
          <w:lang w:eastAsia="nl-NL"/>
        </w:rPr>
        <w:t xml:space="preserve"> a student is testing at </w:t>
      </w:r>
      <w:proofErr w:type="spellStart"/>
      <w:r w:rsidRPr="00780F43">
        <w:rPr>
          <w:rFonts w:cs="Maiandra GD"/>
          <w:color w:val="000000"/>
          <w:lang w:eastAsia="nl-NL"/>
        </w:rPr>
        <w:t>Naktuinbouw</w:t>
      </w:r>
      <w:proofErr w:type="spellEnd"/>
      <w:r w:rsidRPr="00780F43">
        <w:rPr>
          <w:rFonts w:cs="Maiandra GD"/>
          <w:color w:val="000000"/>
          <w:lang w:eastAsia="nl-NL"/>
        </w:rPr>
        <w:t xml:space="preserve"> how to test for DUS with a hydroponic growing system.</w:t>
      </w:r>
    </w:p>
    <w:p w:rsidR="005B5FAB" w:rsidRPr="00780F43" w:rsidRDefault="005B5FAB" w:rsidP="005B5FAB">
      <w:pPr>
        <w:rPr>
          <w:lang w:eastAsia="nl-NL"/>
        </w:rPr>
      </w:pPr>
    </w:p>
    <w:p w:rsidR="005B5FAB" w:rsidRPr="00780F43" w:rsidRDefault="005B5FAB" w:rsidP="005B5FAB">
      <w:pPr>
        <w:rPr>
          <w:lang w:eastAsia="nl-NL"/>
        </w:rPr>
      </w:pPr>
    </w:p>
    <w:p w:rsidR="005B5FAB" w:rsidRPr="00780F43" w:rsidRDefault="005B5FAB" w:rsidP="005B5FAB">
      <w:pPr>
        <w:pStyle w:val="Heading2"/>
        <w:rPr>
          <w:lang w:val="en-GB" w:eastAsia="nl-NL"/>
        </w:rPr>
      </w:pPr>
      <w:bookmarkStart w:id="7" w:name="_Hlk39067174"/>
      <w:r w:rsidRPr="00780F43">
        <w:rPr>
          <w:lang w:val="en-GB" w:eastAsia="nl-NL"/>
        </w:rPr>
        <w:t>International cooperation</w:t>
      </w:r>
    </w:p>
    <w:p w:rsidR="005B5FAB" w:rsidRPr="00780F43" w:rsidRDefault="005B5FAB" w:rsidP="005B5FAB">
      <w:pPr>
        <w:rPr>
          <w:lang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proofErr w:type="gramStart"/>
      <w:r w:rsidRPr="00780F43">
        <w:rPr>
          <w:rFonts w:cs="Maiandra GD"/>
          <w:color w:val="000000"/>
          <w:szCs w:val="18"/>
          <w:lang w:val="en-GB" w:eastAsia="nl-NL"/>
        </w:rPr>
        <w:t>29</w:t>
      </w:r>
      <w:proofErr w:type="gramEnd"/>
      <w:r w:rsidRPr="00780F43">
        <w:rPr>
          <w:rFonts w:cs="Maiandra GD"/>
          <w:color w:val="000000"/>
          <w:szCs w:val="18"/>
          <w:lang w:val="en-GB" w:eastAsia="nl-NL"/>
        </w:rPr>
        <w:t xml:space="preserve"> projects were carried out with the focus on PVP. </w:t>
      </w:r>
      <w:proofErr w:type="gramStart"/>
      <w:r w:rsidRPr="00780F43">
        <w:rPr>
          <w:rFonts w:cs="Maiandra GD"/>
          <w:color w:val="000000"/>
          <w:szCs w:val="18"/>
          <w:lang w:val="en-GB" w:eastAsia="nl-NL"/>
        </w:rPr>
        <w:t>17 of these activities were financed by PVP Development Program (Toolbox) (1)</w:t>
      </w:r>
      <w:proofErr w:type="gramEnd"/>
      <w:r w:rsidRPr="00780F43">
        <w:rPr>
          <w:rFonts w:cs="Maiandra GD"/>
          <w:color w:val="000000"/>
          <w:szCs w:val="18"/>
          <w:lang w:val="en-GB" w:eastAsia="nl-NL"/>
        </w:rPr>
        <w:t xml:space="preserve">. In </w:t>
      </w:r>
      <w:proofErr w:type="gramStart"/>
      <w:r w:rsidRPr="00780F43">
        <w:rPr>
          <w:rFonts w:cs="Maiandra GD"/>
          <w:color w:val="000000"/>
          <w:szCs w:val="18"/>
          <w:lang w:val="en-GB" w:eastAsia="nl-NL"/>
        </w:rPr>
        <w:t>2019</w:t>
      </w:r>
      <w:proofErr w:type="gramEnd"/>
      <w:r w:rsidRPr="00780F43">
        <w:rPr>
          <w:rFonts w:cs="Maiandra GD"/>
          <w:color w:val="000000"/>
          <w:szCs w:val="18"/>
          <w:lang w:val="en-GB" w:eastAsia="nl-NL"/>
        </w:rPr>
        <w:t xml:space="preserve"> there was attention to countries in Latin America, middle East, Asia and Africa. </w:t>
      </w:r>
    </w:p>
    <w:p w:rsidR="005B5FAB" w:rsidRPr="00780F43" w:rsidRDefault="005B5FAB" w:rsidP="005B5FAB">
      <w:pPr>
        <w:spacing w:line="240" w:lineRule="atLeast"/>
        <w:ind w:left="284"/>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In cooperation with CPVO, </w:t>
      </w:r>
      <w:proofErr w:type="spellStart"/>
      <w:r w:rsidRPr="00780F43">
        <w:rPr>
          <w:rFonts w:cs="Maiandra GD"/>
          <w:color w:val="000000"/>
          <w:szCs w:val="18"/>
          <w:lang w:val="en-GB" w:eastAsia="nl-NL"/>
        </w:rPr>
        <w:t>Naktuinbouw</w:t>
      </w:r>
      <w:proofErr w:type="spellEnd"/>
      <w:r w:rsidRPr="00780F43">
        <w:rPr>
          <w:rFonts w:cs="Maiandra GD"/>
          <w:color w:val="000000"/>
          <w:szCs w:val="18"/>
          <w:lang w:val="en-GB" w:eastAsia="nl-NL"/>
        </w:rPr>
        <w:t xml:space="preserve"> also joined </w:t>
      </w:r>
      <w:proofErr w:type="spellStart"/>
      <w:r w:rsidRPr="00780F43">
        <w:rPr>
          <w:rFonts w:cs="Maiandra GD"/>
          <w:color w:val="000000"/>
          <w:szCs w:val="18"/>
          <w:lang w:val="en-GB" w:eastAsia="nl-NL"/>
        </w:rPr>
        <w:t>IPKey</w:t>
      </w:r>
      <w:proofErr w:type="spellEnd"/>
      <w:r w:rsidRPr="00780F43">
        <w:rPr>
          <w:rFonts w:cs="Maiandra GD"/>
          <w:color w:val="000000"/>
          <w:szCs w:val="18"/>
          <w:lang w:val="en-GB" w:eastAsia="nl-NL"/>
        </w:rPr>
        <w:t>-projects and contributed to the promotion of the PVP system in the OAPI countries.</w:t>
      </w:r>
    </w:p>
    <w:p w:rsidR="005B5FAB" w:rsidRPr="00780F43" w:rsidRDefault="005B5FAB" w:rsidP="005B5FAB">
      <w:pPr>
        <w:spacing w:line="240" w:lineRule="atLeast"/>
        <w:ind w:left="284"/>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Colleagues from Iran, Jordan, Ecuador and China did an internship at </w:t>
      </w:r>
      <w:proofErr w:type="spellStart"/>
      <w:r w:rsidRPr="00780F43">
        <w:rPr>
          <w:rFonts w:cs="Maiandra GD"/>
          <w:color w:val="000000"/>
          <w:szCs w:val="18"/>
          <w:lang w:val="en-GB" w:eastAsia="nl-NL"/>
        </w:rPr>
        <w:t>Naktuinbouw</w:t>
      </w:r>
      <w:proofErr w:type="spellEnd"/>
      <w:r w:rsidRPr="00780F43">
        <w:rPr>
          <w:rFonts w:cs="Maiandra GD"/>
          <w:color w:val="000000"/>
          <w:szCs w:val="18"/>
          <w:lang w:val="en-GB" w:eastAsia="nl-NL"/>
        </w:rPr>
        <w:t>.</w:t>
      </w:r>
    </w:p>
    <w:p w:rsidR="005B5FAB" w:rsidRPr="00780F43" w:rsidRDefault="005B5FAB" w:rsidP="005B5FAB">
      <w:pPr>
        <w:spacing w:line="240" w:lineRule="atLeast"/>
        <w:ind w:left="284"/>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Delegations from Kazakhstan and Nigeria visited the Netherlands to exchange knowledge and experiences.</w:t>
      </w:r>
    </w:p>
    <w:p w:rsidR="005B5FAB" w:rsidRPr="00780F43" w:rsidRDefault="005B5FAB" w:rsidP="005B5FAB">
      <w:pPr>
        <w:spacing w:line="240" w:lineRule="atLeast"/>
        <w:ind w:left="284"/>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Participation in seminars and training on DUS and administrative matters in the Dominican Republic, Mexico, Togo, Jordan, </w:t>
      </w:r>
      <w:r>
        <w:rPr>
          <w:rFonts w:cs="Maiandra GD"/>
          <w:color w:val="000000"/>
          <w:szCs w:val="18"/>
          <w:lang w:val="en-GB" w:eastAsia="nl-NL"/>
        </w:rPr>
        <w:t xml:space="preserve">United Republic of </w:t>
      </w:r>
      <w:r w:rsidRPr="00780F43">
        <w:rPr>
          <w:rFonts w:cs="Maiandra GD"/>
          <w:color w:val="000000"/>
          <w:szCs w:val="18"/>
          <w:lang w:val="en-GB" w:eastAsia="nl-NL"/>
        </w:rPr>
        <w:t>Tanzania and Benin.</w:t>
      </w:r>
    </w:p>
    <w:p w:rsidR="005B5FAB" w:rsidRPr="00780F43" w:rsidRDefault="005B5FAB" w:rsidP="005B5FAB">
      <w:pPr>
        <w:spacing w:line="240" w:lineRule="atLeast"/>
        <w:ind w:left="284"/>
        <w:rPr>
          <w:rFonts w:cs="Maiandra GD"/>
          <w:color w:val="000000"/>
          <w:szCs w:val="18"/>
          <w:lang w:val="en-GB" w:eastAsia="nl-NL"/>
        </w:rPr>
      </w:pP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Participation in an inception mission to Rwanda, Uganda, Burundi.</w:t>
      </w:r>
    </w:p>
    <w:p w:rsidR="005B5FAB" w:rsidRPr="00780F43" w:rsidRDefault="005B5FAB" w:rsidP="005B5FAB">
      <w:pPr>
        <w:spacing w:line="240" w:lineRule="atLeast"/>
        <w:ind w:left="284"/>
        <w:rPr>
          <w:rFonts w:cs="Maiandra GD"/>
          <w:color w:val="000000"/>
          <w:szCs w:val="18"/>
          <w:lang w:val="en-GB" w:eastAsia="nl-NL"/>
        </w:rPr>
      </w:pPr>
    </w:p>
    <w:p w:rsidR="005B5FAB" w:rsidRPr="00780F43"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In 2019, 37 participants coming from 19 different countries attended the Plant Breeders Rights for Food security and Economic Development training course (2).  </w:t>
      </w:r>
      <w:proofErr w:type="gramStart"/>
      <w:r w:rsidRPr="00780F43">
        <w:rPr>
          <w:rFonts w:cs="Maiandra GD"/>
          <w:color w:val="000000"/>
          <w:szCs w:val="18"/>
          <w:lang w:val="en-GB" w:eastAsia="nl-NL"/>
        </w:rPr>
        <w:t xml:space="preserve">This course is organized by </w:t>
      </w:r>
      <w:proofErr w:type="spellStart"/>
      <w:r w:rsidRPr="00780F43">
        <w:rPr>
          <w:rFonts w:cs="Maiandra GD"/>
          <w:color w:val="000000"/>
          <w:szCs w:val="18"/>
          <w:lang w:val="en-GB" w:eastAsia="nl-NL"/>
        </w:rPr>
        <w:t>Naktuinbouw</w:t>
      </w:r>
      <w:proofErr w:type="spellEnd"/>
      <w:proofErr w:type="gramEnd"/>
      <w:r w:rsidRPr="00780F43">
        <w:rPr>
          <w:rFonts w:cs="Maiandra GD"/>
          <w:color w:val="000000"/>
          <w:szCs w:val="18"/>
          <w:lang w:val="en-GB" w:eastAsia="nl-NL"/>
        </w:rPr>
        <w:t xml:space="preserve"> in collaboration with the University of </w:t>
      </w:r>
      <w:proofErr w:type="spellStart"/>
      <w:r w:rsidRPr="00780F43">
        <w:rPr>
          <w:rFonts w:cs="Maiandra GD"/>
          <w:color w:val="000000"/>
          <w:szCs w:val="18"/>
          <w:lang w:val="en-GB" w:eastAsia="nl-NL"/>
        </w:rPr>
        <w:t>Wageningen</w:t>
      </w:r>
      <w:proofErr w:type="spellEnd"/>
      <w:r w:rsidRPr="00780F43">
        <w:rPr>
          <w:rFonts w:cs="Maiandra GD"/>
          <w:color w:val="000000"/>
          <w:szCs w:val="18"/>
          <w:lang w:val="en-GB" w:eastAsia="nl-NL"/>
        </w:rPr>
        <w:t>. Most of participants were decision makers and Key staff for PBR in their countries.</w:t>
      </w:r>
    </w:p>
    <w:p w:rsidR="005B5FAB" w:rsidRPr="00780F43" w:rsidRDefault="005B5FAB" w:rsidP="005B5FAB">
      <w:pPr>
        <w:rPr>
          <w:lang w:val="en-GB" w:eastAsia="nl-NL"/>
        </w:rPr>
      </w:pPr>
    </w:p>
    <w:p w:rsidR="005B5FAB" w:rsidRPr="006F5AB4" w:rsidRDefault="005B5FAB" w:rsidP="005B5FAB">
      <w:pPr>
        <w:spacing w:line="240" w:lineRule="atLeast"/>
        <w:ind w:left="284"/>
        <w:rPr>
          <w:rFonts w:cs="Maiandra GD"/>
          <w:bCs/>
          <w:color w:val="000000"/>
          <w:szCs w:val="18"/>
          <w:lang w:val="en-GB" w:eastAsia="nl-NL"/>
        </w:rPr>
      </w:pPr>
      <w:r w:rsidRPr="006F5AB4">
        <w:rPr>
          <w:rFonts w:cs="Maiandra GD"/>
          <w:bCs/>
          <w:color w:val="000000"/>
          <w:szCs w:val="18"/>
          <w:lang w:val="en-GB" w:eastAsia="nl-NL"/>
        </w:rPr>
        <w:t>PVP Development Program (Toolbox)</w:t>
      </w: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This is a tool to help countries to develop their Plant Breeders’ Rights system. The Dutch Ministry makes funds available for the implementation of this program. </w:t>
      </w:r>
      <w:proofErr w:type="spellStart"/>
      <w:r w:rsidRPr="00780F43">
        <w:rPr>
          <w:rFonts w:cs="Maiandra GD"/>
          <w:color w:val="000000"/>
          <w:szCs w:val="18"/>
          <w:lang w:val="en-GB" w:eastAsia="nl-NL"/>
        </w:rPr>
        <w:t>Naktuinbouw</w:t>
      </w:r>
      <w:proofErr w:type="spellEnd"/>
      <w:r w:rsidRPr="00780F43">
        <w:rPr>
          <w:rFonts w:cs="Maiandra GD"/>
          <w:color w:val="000000"/>
          <w:szCs w:val="18"/>
          <w:lang w:val="en-GB" w:eastAsia="nl-NL"/>
        </w:rPr>
        <w:t xml:space="preserve"> </w:t>
      </w:r>
      <w:proofErr w:type="gramStart"/>
      <w:r w:rsidRPr="00780F43">
        <w:rPr>
          <w:rFonts w:cs="Maiandra GD"/>
          <w:color w:val="000000"/>
          <w:szCs w:val="18"/>
          <w:lang w:val="en-GB" w:eastAsia="nl-NL"/>
        </w:rPr>
        <w:t>is charged</w:t>
      </w:r>
      <w:proofErr w:type="gramEnd"/>
      <w:r w:rsidRPr="00780F43">
        <w:rPr>
          <w:rFonts w:cs="Maiandra GD"/>
          <w:color w:val="000000"/>
          <w:szCs w:val="18"/>
          <w:lang w:val="en-GB" w:eastAsia="nl-NL"/>
        </w:rPr>
        <w:t xml:space="preserve"> to manage the program where they cooperate with the Dutch Agricultural Counsellors and their staff. They can propose projects aimed at the creation or development of a Plant Breeders’ Right system in the territory they work </w:t>
      </w:r>
      <w:proofErr w:type="gramStart"/>
      <w:r w:rsidRPr="00780F43">
        <w:rPr>
          <w:rFonts w:cs="Maiandra GD"/>
          <w:color w:val="000000"/>
          <w:szCs w:val="18"/>
          <w:lang w:val="en-GB" w:eastAsia="nl-NL"/>
        </w:rPr>
        <w:t>for</w:t>
      </w:r>
      <w:proofErr w:type="gramEnd"/>
      <w:r w:rsidRPr="00780F43">
        <w:rPr>
          <w:rFonts w:cs="Maiandra GD"/>
          <w:color w:val="000000"/>
          <w:szCs w:val="18"/>
          <w:lang w:val="en-GB" w:eastAsia="nl-NL"/>
        </w:rPr>
        <w:t xml:space="preserve">. </w:t>
      </w:r>
    </w:p>
    <w:p w:rsidR="005B5FAB" w:rsidRPr="00780F43" w:rsidRDefault="005B5FAB" w:rsidP="005B5FAB">
      <w:pPr>
        <w:spacing w:line="240" w:lineRule="atLeast"/>
        <w:ind w:left="284"/>
        <w:rPr>
          <w:rFonts w:cs="Maiandra GD"/>
          <w:color w:val="000000"/>
          <w:szCs w:val="18"/>
          <w:lang w:val="en-GB" w:eastAsia="nl-NL"/>
        </w:rPr>
      </w:pPr>
    </w:p>
    <w:p w:rsidR="005B5FAB" w:rsidRPr="00780F43"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For more information about this program of possible cooperation please contact: </w:t>
      </w:r>
      <w:hyperlink r:id="rId29" w:history="1">
        <w:r w:rsidRPr="00780F43">
          <w:rPr>
            <w:rFonts w:cs="Maiandra GD"/>
            <w:color w:val="000000"/>
            <w:szCs w:val="18"/>
            <w:lang w:val="nl-NL" w:eastAsia="nl-NL"/>
          </w:rPr>
          <w:t>PVPToolbox@naktuinbouw.nl</w:t>
        </w:r>
      </w:hyperlink>
      <w:r>
        <w:rPr>
          <w:rFonts w:cs="Maiandra GD"/>
          <w:color w:val="000000"/>
          <w:szCs w:val="18"/>
          <w:lang w:val="nl-NL" w:eastAsia="nl-NL"/>
        </w:rPr>
        <w:t xml:space="preserve"> </w:t>
      </w:r>
      <w:r w:rsidRPr="00780F43">
        <w:rPr>
          <w:rFonts w:cs="Maiandra GD"/>
          <w:color w:val="000000"/>
          <w:szCs w:val="18"/>
          <w:lang w:val="en-GB" w:eastAsia="nl-NL"/>
        </w:rPr>
        <w:t xml:space="preserve"> </w:t>
      </w:r>
    </w:p>
    <w:p w:rsidR="005B5FAB" w:rsidRPr="00780F43" w:rsidRDefault="005B5FAB" w:rsidP="005B5FAB">
      <w:pPr>
        <w:spacing w:line="240" w:lineRule="atLeast"/>
        <w:ind w:left="284"/>
        <w:rPr>
          <w:rFonts w:cs="Maiandra GD"/>
          <w:color w:val="000000"/>
          <w:szCs w:val="18"/>
          <w:lang w:val="en-GB" w:eastAsia="nl-NL"/>
        </w:rPr>
      </w:pPr>
    </w:p>
    <w:p w:rsidR="005B5FAB" w:rsidRPr="006F5AB4" w:rsidRDefault="005B5FAB" w:rsidP="005B5FAB">
      <w:pPr>
        <w:spacing w:line="240" w:lineRule="atLeast"/>
        <w:ind w:left="284"/>
        <w:rPr>
          <w:rFonts w:cs="Maiandra GD"/>
          <w:bCs/>
          <w:color w:val="000000"/>
          <w:szCs w:val="18"/>
          <w:lang w:val="en-GB" w:eastAsia="nl-NL"/>
        </w:rPr>
      </w:pPr>
      <w:r w:rsidRPr="006F5AB4">
        <w:rPr>
          <w:rFonts w:cs="Maiandra GD"/>
          <w:bCs/>
          <w:color w:val="000000"/>
          <w:szCs w:val="18"/>
          <w:lang w:val="en-GB" w:eastAsia="nl-NL"/>
        </w:rPr>
        <w:t xml:space="preserve">Plant Breeders Rights for Food security and Economic Development training course. </w:t>
      </w:r>
    </w:p>
    <w:p w:rsidR="005B5FAB" w:rsidRDefault="005B5FAB" w:rsidP="005B5FAB">
      <w:pPr>
        <w:numPr>
          <w:ilvl w:val="0"/>
          <w:numId w:val="6"/>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More information </w:t>
      </w:r>
    </w:p>
    <w:p w:rsidR="005B5FAB" w:rsidRPr="006F5AB4" w:rsidRDefault="00395921" w:rsidP="005B5FAB">
      <w:pPr>
        <w:spacing w:line="240" w:lineRule="atLeast"/>
        <w:ind w:left="284"/>
        <w:rPr>
          <w:rFonts w:cs="Maiandra GD"/>
          <w:color w:val="000000"/>
          <w:szCs w:val="18"/>
          <w:lang w:val="en-GB" w:eastAsia="nl-NL"/>
        </w:rPr>
      </w:pPr>
      <w:hyperlink r:id="rId30" w:history="1">
        <w:r w:rsidR="005B5FAB" w:rsidRPr="006F5AB4">
          <w:rPr>
            <w:rFonts w:cs="Maiandra GD"/>
            <w:color w:val="000000"/>
            <w:szCs w:val="18"/>
            <w:lang w:val="nl-NL" w:eastAsia="nl-NL"/>
          </w:rPr>
          <w:t>https://www.wur.nl/en/show/Plant-Breeders-Rights-for-Food-Security-and-Economic-Development.htm</w:t>
        </w:r>
      </w:hyperlink>
      <w:r w:rsidR="005B5FAB">
        <w:rPr>
          <w:rFonts w:cs="Maiandra GD"/>
          <w:color w:val="000000"/>
          <w:szCs w:val="18"/>
          <w:lang w:val="nl-NL" w:eastAsia="nl-NL"/>
        </w:rPr>
        <w:t xml:space="preserve">   </w:t>
      </w:r>
      <w:r w:rsidR="005B5FAB" w:rsidRPr="006F5AB4">
        <w:rPr>
          <w:rFonts w:cs="Maiandra GD"/>
          <w:color w:val="000000"/>
          <w:szCs w:val="18"/>
          <w:lang w:val="nl-NL" w:eastAsia="nl-NL"/>
        </w:rPr>
        <w:t xml:space="preserve"> </w:t>
      </w:r>
      <w:r w:rsidR="005B5FAB" w:rsidRPr="006F5AB4">
        <w:rPr>
          <w:rFonts w:cs="Maiandra GD"/>
          <w:color w:val="000000"/>
          <w:szCs w:val="18"/>
          <w:lang w:val="en-GB" w:eastAsia="nl-NL"/>
        </w:rPr>
        <w:t xml:space="preserve">or contact: </w:t>
      </w:r>
      <w:hyperlink r:id="rId31" w:history="1">
        <w:r w:rsidR="005B5FAB" w:rsidRPr="006F5AB4">
          <w:rPr>
            <w:rFonts w:cs="Maiandra GD"/>
            <w:color w:val="000000"/>
            <w:szCs w:val="18"/>
            <w:lang w:val="nl-NL" w:eastAsia="nl-NL"/>
          </w:rPr>
          <w:t>l.pinan.gonzalez@naktuinbouw.nl</w:t>
        </w:r>
      </w:hyperlink>
      <w:r w:rsidR="005B5FAB">
        <w:rPr>
          <w:rFonts w:cs="Maiandra GD"/>
          <w:color w:val="000000"/>
          <w:szCs w:val="18"/>
          <w:lang w:val="nl-NL" w:eastAsia="nl-NL"/>
        </w:rPr>
        <w:t xml:space="preserve"> </w:t>
      </w:r>
    </w:p>
    <w:bookmarkEnd w:id="7"/>
    <w:p w:rsidR="005B5FAB" w:rsidRPr="00780F43" w:rsidRDefault="005B5FAB" w:rsidP="005B5FAB">
      <w:pPr>
        <w:rPr>
          <w:lang w:val="en-GB" w:eastAsia="nl-NL"/>
        </w:rPr>
      </w:pPr>
    </w:p>
    <w:p w:rsidR="005B5FAB" w:rsidRPr="00780F43" w:rsidRDefault="005B5FAB" w:rsidP="005B5FAB">
      <w:pPr>
        <w:rPr>
          <w:lang w:val="en-GB" w:eastAsia="nl-NL"/>
        </w:rPr>
      </w:pPr>
    </w:p>
    <w:p w:rsidR="005B5FAB" w:rsidRPr="00780F43" w:rsidRDefault="005B5FAB" w:rsidP="005B5FAB">
      <w:pPr>
        <w:jc w:val="left"/>
        <w:rPr>
          <w:lang w:val="en-GB"/>
        </w:rPr>
      </w:pPr>
    </w:p>
    <w:p w:rsidR="005B5FAB" w:rsidRPr="00C651CE" w:rsidRDefault="00E563A8" w:rsidP="005B5FAB">
      <w:pPr>
        <w:jc w:val="right"/>
      </w:pPr>
      <w:r>
        <w:t xml:space="preserve">[Annex </w:t>
      </w:r>
      <w:r w:rsidR="005B5FAB">
        <w:t>V</w:t>
      </w:r>
      <w:r w:rsidR="00170AD5">
        <w:t>II</w:t>
      </w:r>
      <w:r w:rsidR="005B5FAB">
        <w:t xml:space="preserve"> follows]</w:t>
      </w:r>
    </w:p>
    <w:p w:rsidR="00E47B01" w:rsidRDefault="00E47B01" w:rsidP="00050E16"/>
    <w:p w:rsidR="005B5FAB" w:rsidRDefault="005B5FAB" w:rsidP="00050E16">
      <w:pPr>
        <w:sectPr w:rsidR="005B5FAB" w:rsidSect="00DD60F9">
          <w:headerReference w:type="default" r:id="rId32"/>
          <w:headerReference w:type="first" r:id="rId33"/>
          <w:pgSz w:w="11907" w:h="16840" w:code="9"/>
          <w:pgMar w:top="510" w:right="1134" w:bottom="1134" w:left="1134" w:header="510" w:footer="680" w:gutter="0"/>
          <w:pgNumType w:start="1"/>
          <w:cols w:space="720"/>
          <w:titlePg/>
        </w:sectPr>
      </w:pPr>
    </w:p>
    <w:p w:rsidR="00E47B01" w:rsidRDefault="00E47B01" w:rsidP="00050E16"/>
    <w:p w:rsidR="005B5FAB" w:rsidRDefault="005B5FAB" w:rsidP="005B5FAB">
      <w:pPr>
        <w:jc w:val="center"/>
      </w:pPr>
      <w:r>
        <w:t>NEW ZEALAND</w:t>
      </w:r>
    </w:p>
    <w:p w:rsidR="005B5FAB" w:rsidRDefault="005B5FAB" w:rsidP="00050E16"/>
    <w:p w:rsidR="005B5FAB" w:rsidRDefault="005B5FAB" w:rsidP="00050E16"/>
    <w:p w:rsidR="00C156A5" w:rsidRDefault="00C156A5" w:rsidP="00C156A5">
      <w:pPr>
        <w:rPr>
          <w:rFonts w:eastAsiaTheme="minorHAnsi"/>
          <w:lang w:val="en-NZ"/>
        </w:rPr>
      </w:pPr>
      <w:r w:rsidRPr="00C156A5">
        <w:rPr>
          <w:rFonts w:eastAsiaTheme="minorHAnsi"/>
          <w:lang w:val="en-NZ"/>
        </w:rPr>
        <w:t>The number of applications for ornamental varieties (31) accepted in 2019 has slightly increased in comparison with 27 applications accepted in 2018. The pattern of slow decline in application numbers seen in recent years looks to have reached the low point in 2018, with 2019 indicating a potential recovery.  At the end of 2019, 77 varieties were under examination.</w:t>
      </w:r>
    </w:p>
    <w:p w:rsidR="00C156A5" w:rsidRPr="00C156A5" w:rsidRDefault="00C156A5" w:rsidP="00C156A5">
      <w:pPr>
        <w:rPr>
          <w:rFonts w:eastAsiaTheme="minorHAnsi"/>
          <w:lang w:val="en-NZ"/>
        </w:rPr>
      </w:pPr>
    </w:p>
    <w:p w:rsidR="00C156A5" w:rsidRDefault="00C156A5" w:rsidP="00C156A5">
      <w:pPr>
        <w:rPr>
          <w:rFonts w:eastAsiaTheme="minorHAnsi"/>
          <w:lang w:val="en-NZ"/>
        </w:rPr>
      </w:pPr>
      <w:r w:rsidRPr="00C156A5">
        <w:rPr>
          <w:rFonts w:eastAsiaTheme="minorHAnsi"/>
          <w:lang w:val="en-NZ"/>
        </w:rPr>
        <w:t xml:space="preserve">Roses remain the most important genus followed by </w:t>
      </w:r>
      <w:proofErr w:type="spellStart"/>
      <w:r w:rsidRPr="00C156A5">
        <w:rPr>
          <w:rFonts w:eastAsiaTheme="minorHAnsi"/>
          <w:i/>
          <w:lang w:val="en-NZ"/>
        </w:rPr>
        <w:t>Lavandula</w:t>
      </w:r>
      <w:proofErr w:type="spellEnd"/>
      <w:r w:rsidRPr="00C156A5">
        <w:rPr>
          <w:rFonts w:eastAsiaTheme="minorHAnsi"/>
          <w:lang w:val="en-NZ"/>
        </w:rPr>
        <w:t xml:space="preserve"> and other woody garden plants (such as </w:t>
      </w:r>
      <w:r w:rsidRPr="00C156A5">
        <w:rPr>
          <w:rFonts w:eastAsiaTheme="minorHAnsi"/>
          <w:i/>
          <w:lang w:val="en-NZ"/>
        </w:rPr>
        <w:t xml:space="preserve">Rhododendron, Hydrangea, Hebe, </w:t>
      </w:r>
      <w:proofErr w:type="spellStart"/>
      <w:r w:rsidRPr="00C156A5">
        <w:rPr>
          <w:rFonts w:eastAsiaTheme="minorHAnsi"/>
          <w:i/>
          <w:lang w:val="en-NZ"/>
        </w:rPr>
        <w:t>Coprosma</w:t>
      </w:r>
      <w:proofErr w:type="spellEnd"/>
      <w:r w:rsidRPr="00C156A5">
        <w:rPr>
          <w:rFonts w:eastAsiaTheme="minorHAnsi"/>
          <w:lang w:val="en-NZ"/>
        </w:rPr>
        <w:t xml:space="preserve">), which together make up almost 50% of applications. Bulb crops such as Lily and Tulip comprise 7% of applications with the remainder a wide range of herbaceous perennials. Testing and examination of varieties for a wide range of genera combined with a small overall number of applications provides particular difficulties. The opportunities for testing efficiencies and economies of scale are limited because many genera only have one or two varieties under examination. The viability of centralised variety collections under these conditions is doubtful and testing arrangements need to be versatile and adaptable.   </w:t>
      </w:r>
    </w:p>
    <w:p w:rsidR="00C156A5" w:rsidRPr="00C156A5" w:rsidRDefault="00C156A5" w:rsidP="00C156A5">
      <w:pPr>
        <w:rPr>
          <w:rFonts w:eastAsiaTheme="minorHAnsi"/>
          <w:lang w:val="en-NZ"/>
        </w:rPr>
      </w:pPr>
    </w:p>
    <w:p w:rsidR="00C156A5" w:rsidRDefault="00C156A5" w:rsidP="00C156A5">
      <w:pPr>
        <w:rPr>
          <w:rFonts w:eastAsiaTheme="minorHAnsi"/>
          <w:lang w:val="en-NZ"/>
        </w:rPr>
      </w:pPr>
      <w:r w:rsidRPr="00C156A5">
        <w:rPr>
          <w:rFonts w:eastAsiaTheme="minorHAnsi"/>
          <w:lang w:val="en-NZ"/>
        </w:rPr>
        <w:t xml:space="preserve">The first application </w:t>
      </w:r>
      <w:proofErr w:type="gramStart"/>
      <w:r w:rsidRPr="00C156A5">
        <w:rPr>
          <w:rFonts w:eastAsiaTheme="minorHAnsi"/>
          <w:lang w:val="en-NZ"/>
        </w:rPr>
        <w:t>has been received</w:t>
      </w:r>
      <w:proofErr w:type="gramEnd"/>
      <w:r w:rsidRPr="00C156A5">
        <w:rPr>
          <w:rFonts w:eastAsiaTheme="minorHAnsi"/>
          <w:lang w:val="en-NZ"/>
        </w:rPr>
        <w:t xml:space="preserve"> for a variety of </w:t>
      </w:r>
      <w:proofErr w:type="spellStart"/>
      <w:r w:rsidRPr="00C156A5">
        <w:rPr>
          <w:rFonts w:eastAsiaTheme="minorHAnsi"/>
          <w:i/>
          <w:lang w:val="en-NZ"/>
        </w:rPr>
        <w:t>Disporum</w:t>
      </w:r>
      <w:proofErr w:type="spellEnd"/>
      <w:r w:rsidRPr="00C156A5">
        <w:rPr>
          <w:rFonts w:eastAsiaTheme="minorHAnsi"/>
          <w:i/>
          <w:lang w:val="en-NZ"/>
        </w:rPr>
        <w:t xml:space="preserve"> </w:t>
      </w:r>
      <w:proofErr w:type="spellStart"/>
      <w:r w:rsidRPr="00C156A5">
        <w:rPr>
          <w:rFonts w:eastAsiaTheme="minorHAnsi"/>
          <w:i/>
          <w:lang w:val="en-NZ"/>
        </w:rPr>
        <w:t>cantoniense</w:t>
      </w:r>
      <w:proofErr w:type="spellEnd"/>
      <w:r w:rsidRPr="00C156A5">
        <w:rPr>
          <w:rFonts w:eastAsiaTheme="minorHAnsi"/>
          <w:lang w:val="en-NZ"/>
        </w:rPr>
        <w:t xml:space="preserve"> (Lour.) </w:t>
      </w:r>
      <w:proofErr w:type="spellStart"/>
      <w:r w:rsidRPr="00C156A5">
        <w:rPr>
          <w:rFonts w:eastAsiaTheme="minorHAnsi"/>
          <w:lang w:val="en-NZ"/>
        </w:rPr>
        <w:t>Merr</w:t>
      </w:r>
      <w:proofErr w:type="spellEnd"/>
      <w:r w:rsidRPr="00C156A5">
        <w:rPr>
          <w:rFonts w:eastAsiaTheme="minorHAnsi"/>
          <w:lang w:val="en-NZ"/>
        </w:rPr>
        <w:t xml:space="preserve">. This is a new genus and preparatory work on the testing and examination process had begun, however this did not progress very far due to the withdrawal of the application.  An enquiry </w:t>
      </w:r>
      <w:proofErr w:type="gramStart"/>
      <w:r w:rsidRPr="00C156A5">
        <w:rPr>
          <w:rFonts w:eastAsiaTheme="minorHAnsi"/>
          <w:lang w:val="en-NZ"/>
        </w:rPr>
        <w:t>was received</w:t>
      </w:r>
      <w:proofErr w:type="gramEnd"/>
      <w:r w:rsidRPr="00C156A5">
        <w:rPr>
          <w:rFonts w:eastAsiaTheme="minorHAnsi"/>
          <w:lang w:val="en-NZ"/>
        </w:rPr>
        <w:t xml:space="preserve"> from a breeder considering an application for a variety of </w:t>
      </w:r>
      <w:proofErr w:type="spellStart"/>
      <w:r w:rsidRPr="00C156A5">
        <w:rPr>
          <w:rFonts w:eastAsiaTheme="minorHAnsi"/>
          <w:i/>
          <w:lang w:val="en-NZ"/>
        </w:rPr>
        <w:t>Diervilla</w:t>
      </w:r>
      <w:proofErr w:type="spellEnd"/>
      <w:r w:rsidRPr="00C156A5">
        <w:rPr>
          <w:rFonts w:eastAsiaTheme="minorHAnsi"/>
          <w:lang w:val="en-NZ"/>
        </w:rPr>
        <w:t xml:space="preserve"> </w:t>
      </w:r>
      <w:proofErr w:type="spellStart"/>
      <w:r w:rsidRPr="00C156A5">
        <w:rPr>
          <w:rFonts w:eastAsiaTheme="minorHAnsi"/>
          <w:lang w:val="en-NZ"/>
        </w:rPr>
        <w:t>x</w:t>
      </w:r>
      <w:r w:rsidRPr="00C156A5">
        <w:rPr>
          <w:rFonts w:eastAsiaTheme="minorHAnsi"/>
          <w:i/>
          <w:lang w:val="en-NZ"/>
        </w:rPr>
        <w:t>splendens</w:t>
      </w:r>
      <w:proofErr w:type="spellEnd"/>
      <w:r w:rsidRPr="00C156A5">
        <w:rPr>
          <w:rFonts w:eastAsiaTheme="minorHAnsi"/>
          <w:lang w:val="en-NZ"/>
        </w:rPr>
        <w:t xml:space="preserve"> (</w:t>
      </w:r>
      <w:proofErr w:type="spellStart"/>
      <w:r w:rsidRPr="00C156A5">
        <w:rPr>
          <w:rFonts w:eastAsiaTheme="minorHAnsi"/>
          <w:lang w:val="en-NZ"/>
        </w:rPr>
        <w:t>Carriere</w:t>
      </w:r>
      <w:proofErr w:type="spellEnd"/>
      <w:r w:rsidRPr="00C156A5">
        <w:rPr>
          <w:rFonts w:eastAsiaTheme="minorHAnsi"/>
          <w:lang w:val="en-NZ"/>
        </w:rPr>
        <w:t xml:space="preserve">) G. </w:t>
      </w:r>
      <w:proofErr w:type="spellStart"/>
      <w:r w:rsidRPr="00C156A5">
        <w:rPr>
          <w:rFonts w:eastAsiaTheme="minorHAnsi"/>
          <w:lang w:val="en-NZ"/>
        </w:rPr>
        <w:t>Kirchn</w:t>
      </w:r>
      <w:proofErr w:type="spellEnd"/>
      <w:r w:rsidRPr="00C156A5">
        <w:rPr>
          <w:rFonts w:eastAsiaTheme="minorHAnsi"/>
          <w:lang w:val="en-NZ"/>
        </w:rPr>
        <w:t xml:space="preserve">. This is also a new genus and some preliminary research on the genus </w:t>
      </w:r>
      <w:proofErr w:type="gramStart"/>
      <w:r w:rsidRPr="00C156A5">
        <w:rPr>
          <w:rFonts w:eastAsiaTheme="minorHAnsi"/>
          <w:lang w:val="en-NZ"/>
        </w:rPr>
        <w:t>was carried out</w:t>
      </w:r>
      <w:proofErr w:type="gramEnd"/>
      <w:r w:rsidRPr="00C156A5">
        <w:rPr>
          <w:rFonts w:eastAsiaTheme="minorHAnsi"/>
          <w:lang w:val="en-NZ"/>
        </w:rPr>
        <w:t xml:space="preserve">. At this </w:t>
      </w:r>
      <w:proofErr w:type="gramStart"/>
      <w:r w:rsidRPr="00C156A5">
        <w:rPr>
          <w:rFonts w:eastAsiaTheme="minorHAnsi"/>
          <w:lang w:val="en-NZ"/>
        </w:rPr>
        <w:t>stage</w:t>
      </w:r>
      <w:proofErr w:type="gramEnd"/>
      <w:r w:rsidRPr="00C156A5">
        <w:rPr>
          <w:rFonts w:eastAsiaTheme="minorHAnsi"/>
          <w:lang w:val="en-NZ"/>
        </w:rPr>
        <w:t xml:space="preserve"> the application has not yet been made.</w:t>
      </w:r>
    </w:p>
    <w:p w:rsidR="00C156A5" w:rsidRPr="00C156A5" w:rsidRDefault="00C156A5" w:rsidP="00C156A5">
      <w:pPr>
        <w:rPr>
          <w:rFonts w:eastAsiaTheme="minorHAnsi"/>
          <w:lang w:val="en-NZ"/>
        </w:rPr>
      </w:pPr>
    </w:p>
    <w:p w:rsidR="00C156A5" w:rsidRDefault="00C156A5" w:rsidP="00C156A5">
      <w:pPr>
        <w:rPr>
          <w:rFonts w:eastAsiaTheme="minorHAnsi"/>
          <w:lang w:val="en-NZ"/>
        </w:rPr>
      </w:pPr>
      <w:r w:rsidRPr="00C156A5">
        <w:rPr>
          <w:rFonts w:eastAsiaTheme="minorHAnsi"/>
          <w:lang w:val="en-NZ"/>
        </w:rPr>
        <w:t xml:space="preserve">During the course of examination </w:t>
      </w:r>
      <w:proofErr w:type="gramStart"/>
      <w:r w:rsidRPr="00C156A5">
        <w:rPr>
          <w:rFonts w:eastAsiaTheme="minorHAnsi"/>
          <w:lang w:val="en-NZ"/>
        </w:rPr>
        <w:t>work</w:t>
      </w:r>
      <w:proofErr w:type="gramEnd"/>
      <w:r w:rsidRPr="00C156A5">
        <w:rPr>
          <w:rFonts w:eastAsiaTheme="minorHAnsi"/>
          <w:lang w:val="en-NZ"/>
        </w:rPr>
        <w:t xml:space="preserve"> it was recognised that the national PVP database was in need of updating with respect to several ornamental species nomenclature and UPOV codes.  The revision of botanical nomenclature and often the corresponding change in the UPOV codes is a particular on going exercise for ornamentals due to the very large number of genera and species covered.  A key </w:t>
      </w:r>
      <w:proofErr w:type="gramStart"/>
      <w:r w:rsidRPr="00C156A5">
        <w:rPr>
          <w:rFonts w:eastAsiaTheme="minorHAnsi"/>
          <w:lang w:val="en-NZ"/>
        </w:rPr>
        <w:t>consideration</w:t>
      </w:r>
      <w:proofErr w:type="gramEnd"/>
      <w:r w:rsidRPr="00C156A5">
        <w:rPr>
          <w:rFonts w:eastAsiaTheme="minorHAnsi"/>
          <w:lang w:val="en-NZ"/>
        </w:rPr>
        <w:t xml:space="preserve"> is </w:t>
      </w:r>
      <w:proofErr w:type="gramStart"/>
      <w:r w:rsidRPr="00C156A5">
        <w:rPr>
          <w:rFonts w:eastAsiaTheme="minorHAnsi"/>
          <w:lang w:val="en-NZ"/>
        </w:rPr>
        <w:t>when</w:t>
      </w:r>
      <w:proofErr w:type="gramEnd"/>
      <w:r w:rsidRPr="00C156A5">
        <w:rPr>
          <w:rFonts w:eastAsiaTheme="minorHAnsi"/>
          <w:lang w:val="en-NZ"/>
        </w:rPr>
        <w:t xml:space="preserve"> the authority should make changes or amendment to botanical names in the national records as the regulator and national record keeper. Botanical guidelines for nomenclature revisions rely on a process of publication, adoption and </w:t>
      </w:r>
      <w:proofErr w:type="gramStart"/>
      <w:r w:rsidRPr="00C156A5">
        <w:rPr>
          <w:rFonts w:eastAsiaTheme="minorHAnsi"/>
          <w:lang w:val="en-NZ"/>
        </w:rPr>
        <w:t>general consensus</w:t>
      </w:r>
      <w:proofErr w:type="gramEnd"/>
      <w:r w:rsidRPr="00C156A5">
        <w:rPr>
          <w:rFonts w:eastAsiaTheme="minorHAnsi"/>
          <w:lang w:val="en-NZ"/>
        </w:rPr>
        <w:t xml:space="preserve">.  The process is a gradual one and takes time, providing an </w:t>
      </w:r>
      <w:proofErr w:type="gramStart"/>
      <w:r w:rsidRPr="00C156A5">
        <w:rPr>
          <w:rFonts w:eastAsiaTheme="minorHAnsi"/>
          <w:lang w:val="en-NZ"/>
        </w:rPr>
        <w:t>often difficult</w:t>
      </w:r>
      <w:proofErr w:type="gramEnd"/>
      <w:r w:rsidRPr="00C156A5">
        <w:rPr>
          <w:rFonts w:eastAsiaTheme="minorHAnsi"/>
          <w:lang w:val="en-NZ"/>
        </w:rPr>
        <w:t xml:space="preserve"> decision for the PVP authority to make as to when the actual change has occurred and amendments can be made.</w:t>
      </w:r>
    </w:p>
    <w:p w:rsidR="00C156A5" w:rsidRPr="00C156A5" w:rsidRDefault="00C156A5" w:rsidP="00C156A5">
      <w:pPr>
        <w:rPr>
          <w:rFonts w:eastAsiaTheme="minorHAnsi"/>
          <w:lang w:val="en-NZ"/>
        </w:rPr>
      </w:pPr>
    </w:p>
    <w:p w:rsidR="00C156A5" w:rsidRPr="00C156A5" w:rsidRDefault="00C156A5" w:rsidP="00C156A5">
      <w:pPr>
        <w:rPr>
          <w:rFonts w:eastAsiaTheme="minorHAnsi"/>
          <w:lang w:val="en"/>
        </w:rPr>
      </w:pPr>
      <w:r w:rsidRPr="00C156A5">
        <w:rPr>
          <w:rFonts w:eastAsiaTheme="minorHAnsi"/>
          <w:lang w:val="en"/>
        </w:rPr>
        <w:t xml:space="preserve">The New Zealand government review of the Plant Variety Rights Act 1987 has progressed steadily in 2019 and policy changes </w:t>
      </w:r>
      <w:proofErr w:type="gramStart"/>
      <w:r w:rsidRPr="00C156A5">
        <w:rPr>
          <w:rFonts w:eastAsiaTheme="minorHAnsi"/>
          <w:lang w:val="en"/>
        </w:rPr>
        <w:t>were approved</w:t>
      </w:r>
      <w:proofErr w:type="gramEnd"/>
      <w:r w:rsidRPr="00C156A5">
        <w:rPr>
          <w:rFonts w:eastAsiaTheme="minorHAnsi"/>
          <w:lang w:val="en"/>
        </w:rPr>
        <w:t xml:space="preserve"> late in the year.  The objective of the review is to update the current law, in order to become compatible with the 1991 </w:t>
      </w:r>
      <w:r w:rsidR="000A1C43">
        <w:rPr>
          <w:rFonts w:eastAsiaTheme="minorHAnsi"/>
          <w:lang w:val="en"/>
        </w:rPr>
        <w:t xml:space="preserve">Act of the </w:t>
      </w:r>
      <w:r w:rsidRPr="00C156A5">
        <w:rPr>
          <w:rFonts w:eastAsiaTheme="minorHAnsi"/>
          <w:lang w:val="en"/>
        </w:rPr>
        <w:t xml:space="preserve">UPOV Convention. The aim is to submit a new law to Parliament by mid-2020 and come into force by the end of 2021. </w:t>
      </w:r>
    </w:p>
    <w:p w:rsidR="005B5FAB" w:rsidRPr="00C156A5" w:rsidRDefault="005B5FAB" w:rsidP="00050E16">
      <w:pPr>
        <w:rPr>
          <w:lang w:val="en"/>
        </w:rPr>
      </w:pPr>
    </w:p>
    <w:p w:rsidR="00E47B01" w:rsidRDefault="00E47B01" w:rsidP="00050E16"/>
    <w:p w:rsidR="00F328A9" w:rsidRDefault="00F328A9" w:rsidP="00050E16"/>
    <w:p w:rsidR="00F328A9" w:rsidRDefault="00F328A9" w:rsidP="00F328A9">
      <w:pPr>
        <w:jc w:val="right"/>
      </w:pPr>
      <w:r w:rsidRPr="00C5280D">
        <w:t>[</w:t>
      </w:r>
      <w:r>
        <w:t>Annex V</w:t>
      </w:r>
      <w:r w:rsidR="00170AD5">
        <w:t>II</w:t>
      </w:r>
      <w:r>
        <w:t>I follows</w:t>
      </w:r>
      <w:r w:rsidRPr="00C5280D">
        <w:t>]</w:t>
      </w:r>
    </w:p>
    <w:p w:rsidR="00F328A9" w:rsidRDefault="00F328A9" w:rsidP="00050E16">
      <w:pPr>
        <w:sectPr w:rsidR="00F328A9" w:rsidSect="00DD60F9">
          <w:headerReference w:type="first" r:id="rId34"/>
          <w:pgSz w:w="11907" w:h="16840" w:code="9"/>
          <w:pgMar w:top="510" w:right="1134" w:bottom="1134" w:left="1134" w:header="510" w:footer="680" w:gutter="0"/>
          <w:pgNumType w:start="1"/>
          <w:cols w:space="720"/>
          <w:titlePg/>
        </w:sectPr>
      </w:pPr>
    </w:p>
    <w:p w:rsidR="00F328A9" w:rsidRDefault="00F328A9" w:rsidP="00050E16"/>
    <w:p w:rsidR="001061E9" w:rsidRDefault="00F328A9" w:rsidP="00F328A9">
      <w:pPr>
        <w:jc w:val="center"/>
      </w:pPr>
      <w:r>
        <w:t>UNITED KINGDOM</w:t>
      </w:r>
    </w:p>
    <w:p w:rsidR="00F328A9" w:rsidRDefault="00F328A9" w:rsidP="00050E16"/>
    <w:p w:rsidR="00F328A9" w:rsidRDefault="00F328A9" w:rsidP="00050E16"/>
    <w:p w:rsidR="00F328A9" w:rsidRPr="00F328A9" w:rsidRDefault="00F328A9" w:rsidP="00F328A9">
      <w:pPr>
        <w:rPr>
          <w:rFonts w:eastAsia="Calibri"/>
          <w:lang w:val="en-GB"/>
        </w:rPr>
      </w:pPr>
      <w:r w:rsidRPr="00F328A9">
        <w:rPr>
          <w:rFonts w:eastAsia="Calibri"/>
          <w:lang w:val="en-GB"/>
        </w:rPr>
        <w:t xml:space="preserve">Report on the activity of the United Kingdom Plant Varieties and Seeds Office in Cambridge and the examination centres of NIAB, SASA and AFBI. The Plant Varieties and Seeds Office is part of the Service Delivery Directorate of the Animal and Plant Health Agency (APHA), an executive agency of the Department for Environment, Food and Rural Affairs (Defra). Contact details and phone numbers are available on Gov.UK website where all Government departments now have their website details. </w:t>
      </w:r>
      <w:hyperlink r:id="rId35" w:history="1">
        <w:r w:rsidRPr="00F328A9">
          <w:rPr>
            <w:rFonts w:eastAsia="Calibri"/>
            <w:color w:val="0563C1"/>
            <w:sz w:val="21"/>
            <w:szCs w:val="21"/>
            <w:u w:val="single"/>
            <w:lang w:val="en-GB"/>
          </w:rPr>
          <w:t>www.gov.uk</w:t>
        </w:r>
      </w:hyperlink>
    </w:p>
    <w:p w:rsidR="00F328A9" w:rsidRPr="00F328A9" w:rsidRDefault="00F328A9" w:rsidP="00F328A9">
      <w:pPr>
        <w:rPr>
          <w:rFonts w:eastAsia="Calibri"/>
          <w:lang w:val="en-GB"/>
        </w:rPr>
      </w:pPr>
    </w:p>
    <w:p w:rsidR="00F328A9" w:rsidRPr="00F328A9" w:rsidRDefault="00F328A9" w:rsidP="00F328A9">
      <w:pPr>
        <w:rPr>
          <w:rFonts w:eastAsia="Calibri"/>
          <w:lang w:val="en-GB"/>
        </w:rPr>
      </w:pPr>
      <w:r w:rsidRPr="00F328A9">
        <w:rPr>
          <w:rFonts w:eastAsia="Calibri"/>
          <w:lang w:val="en-GB"/>
        </w:rPr>
        <w:t xml:space="preserve">Across all the United Kingdom trial stations, approximately 1500 candidate varieties were under test for Listing and/or PVR in the past year, including </w:t>
      </w:r>
      <w:proofErr w:type="gramStart"/>
      <w:r w:rsidRPr="00F328A9">
        <w:rPr>
          <w:rFonts w:eastAsia="Calibri"/>
          <w:lang w:val="en-GB"/>
        </w:rPr>
        <w:t>320 winter</w:t>
      </w:r>
      <w:proofErr w:type="gramEnd"/>
      <w:r w:rsidRPr="00F328A9">
        <w:rPr>
          <w:rFonts w:eastAsia="Calibri"/>
          <w:lang w:val="en-GB"/>
        </w:rPr>
        <w:t xml:space="preserve"> oilseed rape, 291 cereals and the remainder herbage and fodder, ornamentals, vegetables, field peas, potatoes, field beans, sugar beet and fodder kale. Applications in the agricultural sector for the coming season remain stable.</w:t>
      </w:r>
    </w:p>
    <w:p w:rsidR="00F328A9" w:rsidRPr="00F328A9" w:rsidRDefault="00F328A9" w:rsidP="00F328A9">
      <w:pPr>
        <w:rPr>
          <w:rFonts w:eastAsia="Calibri"/>
          <w:lang w:val="en-GB"/>
        </w:rPr>
      </w:pPr>
    </w:p>
    <w:p w:rsidR="00F328A9" w:rsidRPr="00F328A9" w:rsidRDefault="00F328A9" w:rsidP="00F328A9">
      <w:pPr>
        <w:rPr>
          <w:rFonts w:eastAsia="Calibri"/>
          <w:lang w:val="en-GB"/>
        </w:rPr>
      </w:pPr>
      <w:r w:rsidRPr="00F328A9">
        <w:rPr>
          <w:rFonts w:eastAsia="Calibri"/>
          <w:lang w:val="en-GB"/>
        </w:rPr>
        <w:t xml:space="preserve">Ornamental DUS testing in the United Kingdom </w:t>
      </w:r>
      <w:proofErr w:type="gramStart"/>
      <w:r w:rsidRPr="00F328A9">
        <w:rPr>
          <w:rFonts w:eastAsia="Calibri"/>
          <w:lang w:val="en-GB"/>
        </w:rPr>
        <w:t>is conducted</w:t>
      </w:r>
      <w:proofErr w:type="gramEnd"/>
      <w:r w:rsidRPr="00F328A9">
        <w:rPr>
          <w:rFonts w:eastAsia="Calibri"/>
          <w:lang w:val="en-GB"/>
        </w:rPr>
        <w:t xml:space="preserve"> at NIAB in Cambridge, with specialisation in Chrysanthemum, Rose and many hardy ornamental species.  </w:t>
      </w:r>
    </w:p>
    <w:p w:rsidR="00F328A9" w:rsidRPr="00F328A9" w:rsidRDefault="00F328A9" w:rsidP="00F328A9">
      <w:pPr>
        <w:rPr>
          <w:rFonts w:eastAsia="Calibri"/>
          <w:lang w:val="en-GB"/>
        </w:rPr>
      </w:pPr>
    </w:p>
    <w:p w:rsidR="00F328A9" w:rsidRPr="00F328A9" w:rsidRDefault="00F328A9" w:rsidP="00F328A9">
      <w:pPr>
        <w:rPr>
          <w:rFonts w:eastAsia="Calibri"/>
          <w:lang w:val="en-GB"/>
        </w:rPr>
      </w:pPr>
      <w:r w:rsidRPr="00F328A9">
        <w:rPr>
          <w:rFonts w:eastAsia="Calibri"/>
          <w:lang w:val="en-GB"/>
        </w:rPr>
        <w:t xml:space="preserve">During the COVID–19 pandemic, DUS trials are being done under Government health and safety guidance in a </w:t>
      </w:r>
      <w:proofErr w:type="gramStart"/>
      <w:r w:rsidRPr="00F328A9">
        <w:rPr>
          <w:rFonts w:eastAsia="Calibri"/>
          <w:lang w:val="en-GB"/>
        </w:rPr>
        <w:t>step by step</w:t>
      </w:r>
      <w:proofErr w:type="gramEnd"/>
      <w:r w:rsidRPr="00F328A9">
        <w:rPr>
          <w:rFonts w:eastAsia="Calibri"/>
          <w:lang w:val="en-GB"/>
        </w:rPr>
        <w:t xml:space="preserve"> approach to ensure the safety and well-being of staff.  With suitable adaptation, it has so far been possible to continue almost all trials.</w:t>
      </w:r>
    </w:p>
    <w:p w:rsidR="00F328A9" w:rsidRPr="00F328A9" w:rsidRDefault="00F328A9" w:rsidP="00F328A9">
      <w:pPr>
        <w:rPr>
          <w:rFonts w:eastAsia="Calibri"/>
          <w:lang w:val="en-GB"/>
        </w:rPr>
      </w:pPr>
    </w:p>
    <w:p w:rsidR="00F328A9" w:rsidRPr="00F328A9" w:rsidRDefault="00F328A9" w:rsidP="00F328A9">
      <w:pPr>
        <w:rPr>
          <w:rFonts w:eastAsia="Calibri"/>
          <w:lang w:val="en-GB"/>
        </w:rPr>
      </w:pPr>
      <w:r w:rsidRPr="00F328A9">
        <w:rPr>
          <w:rFonts w:eastAsia="Calibri"/>
          <w:lang w:val="en-GB"/>
        </w:rPr>
        <w:t xml:space="preserve">On the international front, Variety Testing staff at the different examination centres continue to be fully committed to working with our colleagues in Europe and within UPOV. We continue to be involved in the CPVO projects for </w:t>
      </w:r>
      <w:r w:rsidRPr="00F328A9">
        <w:rPr>
          <w:rFonts w:eastAsia="Calibri"/>
        </w:rPr>
        <w:t>developing a strategy to apply SNP molecular markers in the framework of winter oilseed rape DUS testing,</w:t>
      </w:r>
      <w:r w:rsidRPr="00F328A9">
        <w:rPr>
          <w:rFonts w:eastAsia="Calibri"/>
          <w:lang w:val="en-GB"/>
        </w:rPr>
        <w:t xml:space="preserve"> which is now in its second phase and ‘</w:t>
      </w:r>
      <w:proofErr w:type="spellStart"/>
      <w:r w:rsidRPr="00F328A9">
        <w:rPr>
          <w:rFonts w:eastAsia="Calibri"/>
          <w:lang w:val="en-GB"/>
        </w:rPr>
        <w:t>Harmorescoll</w:t>
      </w:r>
      <w:proofErr w:type="spellEnd"/>
      <w:r w:rsidRPr="00F328A9">
        <w:rPr>
          <w:rFonts w:eastAsia="Calibri"/>
          <w:lang w:val="en-GB"/>
        </w:rPr>
        <w:t xml:space="preserve">’ which aims to facilitate access to reference material for performing disease resistance tests within DUS examinations for vegetable crops. There is also involvement in two EU Horizon 2020 funded projects with NIAB, SASA and </w:t>
      </w:r>
      <w:proofErr w:type="spellStart"/>
      <w:r w:rsidRPr="00F328A9">
        <w:rPr>
          <w:rFonts w:eastAsia="Calibri"/>
          <w:lang w:val="en-GB"/>
        </w:rPr>
        <w:t>BioSS</w:t>
      </w:r>
      <w:proofErr w:type="spellEnd"/>
      <w:r w:rsidRPr="00F328A9">
        <w:rPr>
          <w:rFonts w:eastAsia="Calibri"/>
          <w:lang w:val="en-GB"/>
        </w:rPr>
        <w:t xml:space="preserve"> contributing to the INVITE project, and APHA and AFBI to INNOVAR. </w:t>
      </w:r>
    </w:p>
    <w:p w:rsidR="00F328A9" w:rsidRPr="00F328A9" w:rsidRDefault="00F328A9" w:rsidP="00F328A9">
      <w:pPr>
        <w:rPr>
          <w:rFonts w:eastAsia="Calibri"/>
          <w:lang w:val="en-GB"/>
        </w:rPr>
      </w:pPr>
    </w:p>
    <w:p w:rsidR="00F328A9" w:rsidRPr="00F328A9" w:rsidRDefault="00F328A9" w:rsidP="00F328A9">
      <w:pPr>
        <w:rPr>
          <w:rFonts w:eastAsia="Calibri"/>
          <w:lang w:val="en-GB"/>
        </w:rPr>
      </w:pPr>
      <w:r w:rsidRPr="00F328A9">
        <w:rPr>
          <w:rFonts w:eastAsia="Calibri"/>
          <w:lang w:val="en-GB"/>
        </w:rPr>
        <w:t>The United Kingdom continues to support the UPOV online courses by providing tutors and with technical and administrative staff throughout the U</w:t>
      </w:r>
      <w:r>
        <w:rPr>
          <w:rFonts w:eastAsia="Calibri"/>
          <w:lang w:val="en-GB"/>
        </w:rPr>
        <w:t xml:space="preserve">nited </w:t>
      </w:r>
      <w:r w:rsidRPr="00F328A9">
        <w:rPr>
          <w:rFonts w:eastAsia="Calibri"/>
          <w:lang w:val="en-GB"/>
        </w:rPr>
        <w:t>K</w:t>
      </w:r>
      <w:r>
        <w:rPr>
          <w:rFonts w:eastAsia="Calibri"/>
          <w:lang w:val="en-GB"/>
        </w:rPr>
        <w:t>ingdom</w:t>
      </w:r>
      <w:r w:rsidRPr="00F328A9">
        <w:rPr>
          <w:rFonts w:eastAsia="Calibri"/>
          <w:lang w:val="en-GB"/>
        </w:rPr>
        <w:t xml:space="preserve"> taking the distance learning opportunities through DL205 and DL305. </w:t>
      </w:r>
    </w:p>
    <w:p w:rsidR="00F328A9" w:rsidRDefault="00F328A9" w:rsidP="00050E16"/>
    <w:p w:rsidR="00F328A9" w:rsidRDefault="00F328A9" w:rsidP="00050E16"/>
    <w:p w:rsidR="00F328A9" w:rsidRPr="00C651CE" w:rsidRDefault="00F328A9" w:rsidP="00050E16"/>
    <w:p w:rsidR="009B440E" w:rsidRDefault="00050E16" w:rsidP="00050E16">
      <w:pPr>
        <w:jc w:val="right"/>
      </w:pPr>
      <w:r w:rsidRPr="00C5280D">
        <w:t xml:space="preserve"> [End of </w:t>
      </w:r>
      <w:r w:rsidR="00E563A8">
        <w:t xml:space="preserve">Annex </w:t>
      </w:r>
      <w:r w:rsidR="00C156A5">
        <w:t>V</w:t>
      </w:r>
      <w:r w:rsidR="00170AD5">
        <w:t>II</w:t>
      </w:r>
      <w:r w:rsidR="00F328A9">
        <w:t>I</w:t>
      </w:r>
      <w:r w:rsidR="00C156A5">
        <w:t xml:space="preserve"> and of </w:t>
      </w:r>
      <w:r w:rsidRPr="00C5280D">
        <w:t>document]</w:t>
      </w:r>
    </w:p>
    <w:p w:rsidR="00E70039" w:rsidRDefault="00E70039">
      <w:pPr>
        <w:jc w:val="left"/>
      </w:pPr>
    </w:p>
    <w:p w:rsidR="00050E16" w:rsidRPr="00C5280D" w:rsidRDefault="00050E16" w:rsidP="009B440E">
      <w:pPr>
        <w:jc w:val="left"/>
      </w:pPr>
    </w:p>
    <w:sectPr w:rsidR="00050E16" w:rsidRPr="00C5280D" w:rsidSect="00DD60F9">
      <w:head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E90" w:rsidRDefault="00EA6E90" w:rsidP="006655D3">
      <w:r>
        <w:separator/>
      </w:r>
    </w:p>
    <w:p w:rsidR="00EA6E90" w:rsidRDefault="00EA6E90" w:rsidP="006655D3"/>
    <w:p w:rsidR="00EA6E90" w:rsidRDefault="00EA6E90" w:rsidP="006655D3"/>
  </w:endnote>
  <w:endnote w:type="continuationSeparator" w:id="0">
    <w:p w:rsidR="00EA6E90" w:rsidRDefault="00EA6E90" w:rsidP="006655D3">
      <w:r>
        <w:separator/>
      </w:r>
    </w:p>
    <w:p w:rsidR="00EA6E90" w:rsidRPr="00294751" w:rsidRDefault="00EA6E90">
      <w:pPr>
        <w:pStyle w:val="Footer"/>
        <w:spacing w:after="60"/>
        <w:rPr>
          <w:sz w:val="18"/>
          <w:lang w:val="fr-FR"/>
        </w:rPr>
      </w:pPr>
      <w:r w:rsidRPr="00294751">
        <w:rPr>
          <w:sz w:val="18"/>
          <w:lang w:val="fr-FR"/>
        </w:rPr>
        <w:t>[Suite de la note de la page précédente]</w:t>
      </w:r>
    </w:p>
    <w:p w:rsidR="00EA6E90" w:rsidRPr="00294751" w:rsidRDefault="00EA6E90" w:rsidP="006655D3">
      <w:pPr>
        <w:rPr>
          <w:lang w:val="fr-FR"/>
        </w:rPr>
      </w:pPr>
    </w:p>
    <w:p w:rsidR="00EA6E90" w:rsidRPr="00294751" w:rsidRDefault="00EA6E90" w:rsidP="006655D3">
      <w:pPr>
        <w:rPr>
          <w:lang w:val="fr-FR"/>
        </w:rPr>
      </w:pPr>
    </w:p>
  </w:endnote>
  <w:endnote w:type="continuationNotice" w:id="1">
    <w:p w:rsidR="00EA6E90" w:rsidRPr="00294751" w:rsidRDefault="00EA6E90" w:rsidP="006655D3">
      <w:pPr>
        <w:rPr>
          <w:lang w:val="fr-FR"/>
        </w:rPr>
      </w:pPr>
      <w:r w:rsidRPr="00294751">
        <w:rPr>
          <w:lang w:val="fr-FR"/>
        </w:rPr>
        <w:t>[Suite de la note page suivante]</w:t>
      </w:r>
    </w:p>
    <w:p w:rsidR="00EA6E90" w:rsidRPr="00294751" w:rsidRDefault="00EA6E90" w:rsidP="006655D3">
      <w:pPr>
        <w:rPr>
          <w:lang w:val="fr-FR"/>
        </w:rPr>
      </w:pPr>
    </w:p>
    <w:p w:rsidR="00EA6E90" w:rsidRPr="00294751" w:rsidRDefault="00EA6E9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ontserrat">
    <w:altName w:val="Courier New"/>
    <w:charset w:val="00"/>
    <w:family w:val="auto"/>
    <w:pitch w:val="variable"/>
    <w:sig w:usb0="00000001" w:usb1="00000003" w:usb2="00000000" w:usb3="00000000" w:csb0="00000197"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E90" w:rsidRDefault="00EA6E90" w:rsidP="006655D3">
      <w:r>
        <w:separator/>
      </w:r>
    </w:p>
  </w:footnote>
  <w:footnote w:type="continuationSeparator" w:id="0">
    <w:p w:rsidR="00EA6E90" w:rsidRDefault="00EA6E90" w:rsidP="006655D3">
      <w:r>
        <w:separator/>
      </w:r>
    </w:p>
  </w:footnote>
  <w:footnote w:type="continuationNotice" w:id="1">
    <w:p w:rsidR="00EA6E90" w:rsidRPr="00AB530F" w:rsidRDefault="00EA6E9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90" w:rsidRPr="00C5280D" w:rsidRDefault="00EE5E04" w:rsidP="00EB048E">
    <w:pPr>
      <w:pStyle w:val="Header"/>
      <w:rPr>
        <w:rStyle w:val="PageNumber"/>
        <w:lang w:val="en-US"/>
      </w:rPr>
    </w:pPr>
    <w:r>
      <w:rPr>
        <w:rStyle w:val="PageNumber"/>
        <w:lang w:val="en-US"/>
      </w:rPr>
      <w:t>TWO/52/3</w:t>
    </w:r>
  </w:p>
  <w:p w:rsidR="00EA6E90" w:rsidRDefault="00EA6E90" w:rsidP="004A0952">
    <w:pPr>
      <w:pStyle w:val="Header"/>
      <w:rPr>
        <w:lang w:val="en-US"/>
      </w:rPr>
    </w:pPr>
    <w:r>
      <w:rPr>
        <w:lang w:val="en-US"/>
      </w:rPr>
      <w:t xml:space="preserve">Annex I, page </w:t>
    </w:r>
    <w:r w:rsidRPr="001061E9">
      <w:rPr>
        <w:lang w:val="en-US"/>
      </w:rPr>
      <w:fldChar w:fldCharType="begin"/>
    </w:r>
    <w:r w:rsidRPr="001061E9">
      <w:rPr>
        <w:lang w:val="en-US"/>
      </w:rPr>
      <w:instrText xml:space="preserve"> PAGE   \* MERGEFORMAT </w:instrText>
    </w:r>
    <w:r w:rsidRPr="001061E9">
      <w:rPr>
        <w:lang w:val="en-US"/>
      </w:rPr>
      <w:fldChar w:fldCharType="separate"/>
    </w:r>
    <w:r w:rsidR="00395921">
      <w:rPr>
        <w:noProof/>
        <w:lang w:val="en-US"/>
      </w:rPr>
      <w:t>3</w:t>
    </w:r>
    <w:r w:rsidRPr="001061E9">
      <w:rPr>
        <w:noProof/>
        <w:lang w:val="en-US"/>
      </w:rPr>
      <w:fldChar w:fldCharType="end"/>
    </w:r>
  </w:p>
  <w:p w:rsidR="00EA6E90" w:rsidRPr="001061E9" w:rsidRDefault="00EA6E90" w:rsidP="004A0952">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90" w:rsidRPr="00C5280D" w:rsidRDefault="00EE5E04" w:rsidP="001061E9">
    <w:pPr>
      <w:pStyle w:val="Header"/>
      <w:rPr>
        <w:rStyle w:val="PageNumber"/>
        <w:lang w:val="en-US"/>
      </w:rPr>
    </w:pPr>
    <w:r>
      <w:rPr>
        <w:rStyle w:val="PageNumber"/>
        <w:lang w:val="en-US"/>
      </w:rPr>
      <w:t>TWO/52/3</w:t>
    </w:r>
  </w:p>
  <w:p w:rsidR="00EA6E90" w:rsidRDefault="00EA6E90" w:rsidP="001061E9">
    <w:pPr>
      <w:pStyle w:val="Header"/>
      <w:rPr>
        <w:lang w:val="en-US"/>
      </w:rPr>
    </w:pPr>
  </w:p>
  <w:p w:rsidR="00EA6E90" w:rsidRPr="00C5280D" w:rsidRDefault="00EA6E90" w:rsidP="001061E9">
    <w:pPr>
      <w:pStyle w:val="Header"/>
      <w:rPr>
        <w:lang w:val="en-US"/>
      </w:rPr>
    </w:pPr>
    <w:r>
      <w:rPr>
        <w:lang w:val="en-US"/>
      </w:rPr>
      <w:t>ANNEX V</w:t>
    </w:r>
  </w:p>
  <w:p w:rsidR="00EA6E90" w:rsidRDefault="00EA6E9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D5" w:rsidRPr="00C5280D" w:rsidRDefault="00170AD5" w:rsidP="00EB048E">
    <w:pPr>
      <w:pStyle w:val="Header"/>
      <w:rPr>
        <w:rStyle w:val="PageNumber"/>
        <w:lang w:val="en-US"/>
      </w:rPr>
    </w:pPr>
    <w:r>
      <w:rPr>
        <w:rStyle w:val="PageNumber"/>
        <w:lang w:val="en-US"/>
      </w:rPr>
      <w:t>TWO/52/3</w:t>
    </w:r>
  </w:p>
  <w:p w:rsidR="00170AD5" w:rsidRDefault="00170AD5" w:rsidP="004A0952">
    <w:pPr>
      <w:pStyle w:val="Header"/>
      <w:rPr>
        <w:lang w:val="en-US"/>
      </w:rPr>
    </w:pPr>
    <w:r>
      <w:rPr>
        <w:lang w:val="en-US"/>
      </w:rPr>
      <w:t xml:space="preserve">Annex VI, page </w:t>
    </w:r>
    <w:r w:rsidRPr="001061E9">
      <w:rPr>
        <w:lang w:val="en-US"/>
      </w:rPr>
      <w:fldChar w:fldCharType="begin"/>
    </w:r>
    <w:r w:rsidRPr="001061E9">
      <w:rPr>
        <w:lang w:val="en-US"/>
      </w:rPr>
      <w:instrText xml:space="preserve"> PAGE   \* MERGEFORMAT </w:instrText>
    </w:r>
    <w:r w:rsidRPr="001061E9">
      <w:rPr>
        <w:lang w:val="en-US"/>
      </w:rPr>
      <w:fldChar w:fldCharType="separate"/>
    </w:r>
    <w:r w:rsidR="00395921">
      <w:rPr>
        <w:noProof/>
        <w:lang w:val="en-US"/>
      </w:rPr>
      <w:t>3</w:t>
    </w:r>
    <w:r w:rsidRPr="001061E9">
      <w:rPr>
        <w:noProof/>
        <w:lang w:val="en-US"/>
      </w:rPr>
      <w:fldChar w:fldCharType="end"/>
    </w:r>
  </w:p>
  <w:p w:rsidR="00170AD5" w:rsidRPr="001061E9" w:rsidRDefault="00170AD5" w:rsidP="004A0952">
    <w:pPr>
      <w:pStyle w:val="Header"/>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AD5" w:rsidRPr="00C5280D" w:rsidRDefault="00170AD5" w:rsidP="001061E9">
    <w:pPr>
      <w:pStyle w:val="Header"/>
      <w:rPr>
        <w:rStyle w:val="PageNumber"/>
        <w:lang w:val="en-US"/>
      </w:rPr>
    </w:pPr>
    <w:r>
      <w:rPr>
        <w:rStyle w:val="PageNumber"/>
        <w:lang w:val="en-US"/>
      </w:rPr>
      <w:t>TWO/52/3</w:t>
    </w:r>
  </w:p>
  <w:p w:rsidR="00170AD5" w:rsidRDefault="00170AD5" w:rsidP="001061E9">
    <w:pPr>
      <w:pStyle w:val="Header"/>
      <w:rPr>
        <w:lang w:val="en-US"/>
      </w:rPr>
    </w:pPr>
  </w:p>
  <w:p w:rsidR="00170AD5" w:rsidRPr="00C5280D" w:rsidRDefault="00170AD5" w:rsidP="001061E9">
    <w:pPr>
      <w:pStyle w:val="Header"/>
      <w:rPr>
        <w:lang w:val="en-US"/>
      </w:rPr>
    </w:pPr>
    <w:r>
      <w:rPr>
        <w:lang w:val="en-US"/>
      </w:rPr>
      <w:t>ANNEX VI</w:t>
    </w:r>
  </w:p>
  <w:p w:rsidR="00170AD5" w:rsidRDefault="00170AD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90" w:rsidRPr="00C5280D" w:rsidRDefault="00EA6E90" w:rsidP="001061E9">
    <w:pPr>
      <w:pStyle w:val="Header"/>
      <w:rPr>
        <w:rStyle w:val="PageNumber"/>
        <w:lang w:val="en-US"/>
      </w:rPr>
    </w:pPr>
    <w:r>
      <w:rPr>
        <w:rStyle w:val="PageNumber"/>
        <w:lang w:val="en-US"/>
      </w:rPr>
      <w:t>TWO/52/3</w:t>
    </w:r>
  </w:p>
  <w:p w:rsidR="00EA6E90" w:rsidRDefault="00EA6E90" w:rsidP="001061E9">
    <w:pPr>
      <w:pStyle w:val="Header"/>
      <w:rPr>
        <w:lang w:val="en-US"/>
      </w:rPr>
    </w:pPr>
  </w:p>
  <w:p w:rsidR="00EA6E90" w:rsidRPr="00C5280D" w:rsidRDefault="00EA6E90" w:rsidP="001061E9">
    <w:pPr>
      <w:pStyle w:val="Header"/>
      <w:rPr>
        <w:lang w:val="en-US"/>
      </w:rPr>
    </w:pPr>
    <w:r>
      <w:rPr>
        <w:lang w:val="en-US"/>
      </w:rPr>
      <w:t>ANNEX V</w:t>
    </w:r>
    <w:r w:rsidR="00170AD5">
      <w:rPr>
        <w:lang w:val="en-US"/>
      </w:rPr>
      <w:t>II</w:t>
    </w:r>
  </w:p>
  <w:p w:rsidR="00EA6E90" w:rsidRDefault="00EA6E9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90" w:rsidRPr="00C5280D" w:rsidRDefault="00EA6E90" w:rsidP="001061E9">
    <w:pPr>
      <w:pStyle w:val="Header"/>
      <w:rPr>
        <w:rStyle w:val="PageNumber"/>
        <w:lang w:val="en-US"/>
      </w:rPr>
    </w:pPr>
    <w:r>
      <w:rPr>
        <w:rStyle w:val="PageNumber"/>
        <w:lang w:val="en-US"/>
      </w:rPr>
      <w:t>TWO/52/3</w:t>
    </w:r>
  </w:p>
  <w:p w:rsidR="00EA6E90" w:rsidRDefault="00EA6E90" w:rsidP="001061E9">
    <w:pPr>
      <w:pStyle w:val="Header"/>
      <w:rPr>
        <w:lang w:val="en-US"/>
      </w:rPr>
    </w:pPr>
  </w:p>
  <w:p w:rsidR="00EA6E90" w:rsidRPr="00C5280D" w:rsidRDefault="00EA6E90" w:rsidP="001061E9">
    <w:pPr>
      <w:pStyle w:val="Header"/>
      <w:rPr>
        <w:lang w:val="en-US"/>
      </w:rPr>
    </w:pPr>
    <w:r>
      <w:rPr>
        <w:lang w:val="en-US"/>
      </w:rPr>
      <w:t>ANNEX VI</w:t>
    </w:r>
    <w:r w:rsidR="00170AD5">
      <w:rPr>
        <w:lang w:val="en-US"/>
      </w:rPr>
      <w:t>II</w:t>
    </w:r>
  </w:p>
  <w:p w:rsidR="00EA6E90" w:rsidRDefault="00EA6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90" w:rsidRPr="00C5280D" w:rsidRDefault="00EE5E04" w:rsidP="001061E9">
    <w:pPr>
      <w:pStyle w:val="Header"/>
      <w:rPr>
        <w:rStyle w:val="PageNumber"/>
        <w:lang w:val="en-US"/>
      </w:rPr>
    </w:pPr>
    <w:r>
      <w:rPr>
        <w:rStyle w:val="PageNumber"/>
        <w:lang w:val="en-US"/>
      </w:rPr>
      <w:t>TWO/52/3</w:t>
    </w:r>
  </w:p>
  <w:p w:rsidR="00EA6E90" w:rsidRDefault="00EA6E90" w:rsidP="001061E9">
    <w:pPr>
      <w:pStyle w:val="Header"/>
      <w:rPr>
        <w:lang w:val="en-US"/>
      </w:rPr>
    </w:pPr>
  </w:p>
  <w:p w:rsidR="00EA6E90" w:rsidRPr="00C5280D" w:rsidRDefault="00EA6E90" w:rsidP="001061E9">
    <w:pPr>
      <w:pStyle w:val="Header"/>
      <w:rPr>
        <w:lang w:val="en-US"/>
      </w:rPr>
    </w:pPr>
    <w:r>
      <w:rPr>
        <w:lang w:val="en-US"/>
      </w:rPr>
      <w:t>ANNEX I</w:t>
    </w:r>
  </w:p>
  <w:p w:rsidR="00EA6E90" w:rsidRDefault="00EA6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90" w:rsidRPr="00C5280D" w:rsidRDefault="00EA6E90" w:rsidP="00EB048E">
    <w:pPr>
      <w:pStyle w:val="Header"/>
      <w:rPr>
        <w:rStyle w:val="PageNumber"/>
        <w:lang w:val="en-US"/>
      </w:rPr>
    </w:pPr>
    <w:r>
      <w:rPr>
        <w:rStyle w:val="PageNumber"/>
        <w:lang w:val="en-US"/>
      </w:rPr>
      <w:t>TWO/52/3</w:t>
    </w:r>
  </w:p>
  <w:p w:rsidR="00EA6E90" w:rsidRDefault="00EA6E90" w:rsidP="004A0952">
    <w:pPr>
      <w:pStyle w:val="Header"/>
      <w:rPr>
        <w:lang w:val="en-US"/>
      </w:rPr>
    </w:pPr>
    <w:r>
      <w:rPr>
        <w:lang w:val="en-US"/>
      </w:rPr>
      <w:t xml:space="preserve">Annex II, page </w:t>
    </w:r>
    <w:r w:rsidRPr="001061E9">
      <w:rPr>
        <w:lang w:val="en-US"/>
      </w:rPr>
      <w:fldChar w:fldCharType="begin"/>
    </w:r>
    <w:r w:rsidRPr="001061E9">
      <w:rPr>
        <w:lang w:val="en-US"/>
      </w:rPr>
      <w:instrText xml:space="preserve"> PAGE   \* MERGEFORMAT </w:instrText>
    </w:r>
    <w:r w:rsidRPr="001061E9">
      <w:rPr>
        <w:lang w:val="en-US"/>
      </w:rPr>
      <w:fldChar w:fldCharType="separate"/>
    </w:r>
    <w:r w:rsidR="004326A8">
      <w:rPr>
        <w:noProof/>
        <w:lang w:val="en-US"/>
      </w:rPr>
      <w:t>2</w:t>
    </w:r>
    <w:r w:rsidRPr="001061E9">
      <w:rPr>
        <w:noProof/>
        <w:lang w:val="en-US"/>
      </w:rPr>
      <w:fldChar w:fldCharType="end"/>
    </w:r>
  </w:p>
  <w:p w:rsidR="00EA6E90" w:rsidRPr="001061E9" w:rsidRDefault="00EA6E90" w:rsidP="004A0952">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90" w:rsidRPr="00C5280D" w:rsidRDefault="00EE5E04" w:rsidP="001061E9">
    <w:pPr>
      <w:pStyle w:val="Header"/>
      <w:rPr>
        <w:rStyle w:val="PageNumber"/>
        <w:lang w:val="en-US"/>
      </w:rPr>
    </w:pPr>
    <w:r>
      <w:rPr>
        <w:rStyle w:val="PageNumber"/>
        <w:lang w:val="en-US"/>
      </w:rPr>
      <w:t>TWO/52/3</w:t>
    </w:r>
  </w:p>
  <w:p w:rsidR="00EA6E90" w:rsidRDefault="00EA6E90" w:rsidP="001061E9">
    <w:pPr>
      <w:pStyle w:val="Header"/>
      <w:rPr>
        <w:lang w:val="en-US"/>
      </w:rPr>
    </w:pPr>
  </w:p>
  <w:p w:rsidR="00EA6E90" w:rsidRPr="00C5280D" w:rsidRDefault="00EA6E90" w:rsidP="001061E9">
    <w:pPr>
      <w:pStyle w:val="Header"/>
      <w:rPr>
        <w:lang w:val="en-US"/>
      </w:rPr>
    </w:pPr>
    <w:r>
      <w:rPr>
        <w:lang w:val="en-US"/>
      </w:rPr>
      <w:t>ANNEX II</w:t>
    </w:r>
  </w:p>
  <w:p w:rsidR="00EA6E90" w:rsidRDefault="00EA6E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90" w:rsidRPr="00C5280D" w:rsidRDefault="00EE5E04" w:rsidP="00EB048E">
    <w:pPr>
      <w:pStyle w:val="Header"/>
      <w:rPr>
        <w:rStyle w:val="PageNumber"/>
        <w:lang w:val="en-US"/>
      </w:rPr>
    </w:pPr>
    <w:r>
      <w:rPr>
        <w:rStyle w:val="PageNumber"/>
        <w:lang w:val="en-US"/>
      </w:rPr>
      <w:t>TWO/52/3</w:t>
    </w:r>
  </w:p>
  <w:p w:rsidR="00EA6E90" w:rsidRDefault="00EA6E90" w:rsidP="004A0952">
    <w:pPr>
      <w:pStyle w:val="Header"/>
      <w:rPr>
        <w:lang w:val="en-US"/>
      </w:rPr>
    </w:pPr>
    <w:r>
      <w:rPr>
        <w:lang w:val="en-US"/>
      </w:rPr>
      <w:t xml:space="preserve">Annex III, page </w:t>
    </w:r>
    <w:r w:rsidRPr="001061E9">
      <w:rPr>
        <w:lang w:val="en-US"/>
      </w:rPr>
      <w:fldChar w:fldCharType="begin"/>
    </w:r>
    <w:r w:rsidRPr="001061E9">
      <w:rPr>
        <w:lang w:val="en-US"/>
      </w:rPr>
      <w:instrText xml:space="preserve"> PAGE   \* MERGEFORMAT </w:instrText>
    </w:r>
    <w:r w:rsidRPr="001061E9">
      <w:rPr>
        <w:lang w:val="en-US"/>
      </w:rPr>
      <w:fldChar w:fldCharType="separate"/>
    </w:r>
    <w:r w:rsidR="00726071">
      <w:rPr>
        <w:noProof/>
        <w:lang w:val="en-US"/>
      </w:rPr>
      <w:t>2</w:t>
    </w:r>
    <w:r w:rsidRPr="001061E9">
      <w:rPr>
        <w:noProof/>
        <w:lang w:val="en-US"/>
      </w:rPr>
      <w:fldChar w:fldCharType="end"/>
    </w:r>
  </w:p>
  <w:p w:rsidR="00EA6E90" w:rsidRPr="001061E9" w:rsidRDefault="00EA6E90" w:rsidP="004A0952">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90" w:rsidRPr="00C5280D" w:rsidRDefault="00EE5E04" w:rsidP="001061E9">
    <w:pPr>
      <w:pStyle w:val="Header"/>
      <w:rPr>
        <w:rStyle w:val="PageNumber"/>
        <w:lang w:val="en-US"/>
      </w:rPr>
    </w:pPr>
    <w:r>
      <w:rPr>
        <w:rStyle w:val="PageNumber"/>
        <w:lang w:val="en-US"/>
      </w:rPr>
      <w:t>TWO/52/3</w:t>
    </w:r>
  </w:p>
  <w:p w:rsidR="00EA6E90" w:rsidRDefault="00EA6E90" w:rsidP="001061E9">
    <w:pPr>
      <w:pStyle w:val="Header"/>
      <w:rPr>
        <w:lang w:val="en-US"/>
      </w:rPr>
    </w:pPr>
  </w:p>
  <w:p w:rsidR="00EA6E90" w:rsidRPr="00C5280D" w:rsidRDefault="00EA6E90" w:rsidP="001061E9">
    <w:pPr>
      <w:pStyle w:val="Header"/>
      <w:rPr>
        <w:lang w:val="en-US"/>
      </w:rPr>
    </w:pPr>
    <w:r>
      <w:rPr>
        <w:lang w:val="en-US"/>
      </w:rPr>
      <w:t>ANNEX III</w:t>
    </w:r>
  </w:p>
  <w:p w:rsidR="00EA6E90" w:rsidRDefault="00EA6E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71" w:rsidRPr="00C5280D" w:rsidRDefault="00726071" w:rsidP="00EB048E">
    <w:pPr>
      <w:pStyle w:val="Header"/>
      <w:rPr>
        <w:rStyle w:val="PageNumber"/>
        <w:lang w:val="en-US"/>
      </w:rPr>
    </w:pPr>
    <w:r>
      <w:rPr>
        <w:rStyle w:val="PageNumber"/>
        <w:lang w:val="en-US"/>
      </w:rPr>
      <w:t>TWO/52/3</w:t>
    </w:r>
  </w:p>
  <w:p w:rsidR="00726071" w:rsidRDefault="00726071" w:rsidP="004A0952">
    <w:pPr>
      <w:pStyle w:val="Header"/>
      <w:rPr>
        <w:lang w:val="en-US"/>
      </w:rPr>
    </w:pPr>
    <w:r>
      <w:rPr>
        <w:lang w:val="en-US"/>
      </w:rPr>
      <w:t xml:space="preserve">Annex IV, page </w:t>
    </w:r>
    <w:r w:rsidRPr="001061E9">
      <w:rPr>
        <w:lang w:val="en-US"/>
      </w:rPr>
      <w:fldChar w:fldCharType="begin"/>
    </w:r>
    <w:r w:rsidRPr="001061E9">
      <w:rPr>
        <w:lang w:val="en-US"/>
      </w:rPr>
      <w:instrText xml:space="preserve"> PAGE   \* MERGEFORMAT </w:instrText>
    </w:r>
    <w:r w:rsidRPr="001061E9">
      <w:rPr>
        <w:lang w:val="en-US"/>
      </w:rPr>
      <w:fldChar w:fldCharType="separate"/>
    </w:r>
    <w:r w:rsidR="004326A8">
      <w:rPr>
        <w:noProof/>
        <w:lang w:val="en-US"/>
      </w:rPr>
      <w:t>2</w:t>
    </w:r>
    <w:r w:rsidRPr="001061E9">
      <w:rPr>
        <w:noProof/>
        <w:lang w:val="en-US"/>
      </w:rPr>
      <w:fldChar w:fldCharType="end"/>
    </w:r>
  </w:p>
  <w:p w:rsidR="00726071" w:rsidRPr="001061E9" w:rsidRDefault="00726071" w:rsidP="004A0952">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71" w:rsidRPr="00C5280D" w:rsidRDefault="00726071" w:rsidP="001061E9">
    <w:pPr>
      <w:pStyle w:val="Header"/>
      <w:rPr>
        <w:rStyle w:val="PageNumber"/>
        <w:lang w:val="en-US"/>
      </w:rPr>
    </w:pPr>
    <w:r>
      <w:rPr>
        <w:rStyle w:val="PageNumber"/>
        <w:lang w:val="en-US"/>
      </w:rPr>
      <w:t>TWO/52/3</w:t>
    </w:r>
  </w:p>
  <w:p w:rsidR="00726071" w:rsidRDefault="00726071" w:rsidP="001061E9">
    <w:pPr>
      <w:pStyle w:val="Header"/>
      <w:rPr>
        <w:lang w:val="en-US"/>
      </w:rPr>
    </w:pPr>
  </w:p>
  <w:p w:rsidR="00726071" w:rsidRPr="00C5280D" w:rsidRDefault="00726071" w:rsidP="001061E9">
    <w:pPr>
      <w:pStyle w:val="Header"/>
      <w:rPr>
        <w:lang w:val="en-US"/>
      </w:rPr>
    </w:pPr>
    <w:r>
      <w:rPr>
        <w:lang w:val="en-US"/>
      </w:rPr>
      <w:t>ANNEX IV</w:t>
    </w:r>
  </w:p>
  <w:p w:rsidR="00726071" w:rsidRDefault="007260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90" w:rsidRPr="00C5280D" w:rsidRDefault="00EE5E04" w:rsidP="00EB048E">
    <w:pPr>
      <w:pStyle w:val="Header"/>
      <w:rPr>
        <w:rStyle w:val="PageNumber"/>
        <w:lang w:val="en-US"/>
      </w:rPr>
    </w:pPr>
    <w:r>
      <w:rPr>
        <w:rStyle w:val="PageNumber"/>
        <w:lang w:val="en-US"/>
      </w:rPr>
      <w:t>TWO/52/3</w:t>
    </w:r>
  </w:p>
  <w:p w:rsidR="00EA6E90" w:rsidRDefault="00EA6E90" w:rsidP="004A0952">
    <w:pPr>
      <w:pStyle w:val="Header"/>
      <w:rPr>
        <w:lang w:val="en-US"/>
      </w:rPr>
    </w:pPr>
    <w:r>
      <w:rPr>
        <w:lang w:val="en-US"/>
      </w:rPr>
      <w:t xml:space="preserve">Annex IV, page </w:t>
    </w:r>
    <w:r w:rsidRPr="001061E9">
      <w:rPr>
        <w:lang w:val="en-US"/>
      </w:rPr>
      <w:fldChar w:fldCharType="begin"/>
    </w:r>
    <w:r w:rsidRPr="001061E9">
      <w:rPr>
        <w:lang w:val="en-US"/>
      </w:rPr>
      <w:instrText xml:space="preserve"> PAGE   \* MERGEFORMAT </w:instrText>
    </w:r>
    <w:r w:rsidRPr="001061E9">
      <w:rPr>
        <w:lang w:val="en-US"/>
      </w:rPr>
      <w:fldChar w:fldCharType="separate"/>
    </w:r>
    <w:r w:rsidR="00170AD5">
      <w:rPr>
        <w:noProof/>
        <w:lang w:val="en-US"/>
      </w:rPr>
      <w:t>2</w:t>
    </w:r>
    <w:r w:rsidRPr="001061E9">
      <w:rPr>
        <w:noProof/>
        <w:lang w:val="en-US"/>
      </w:rPr>
      <w:fldChar w:fldCharType="end"/>
    </w:r>
  </w:p>
  <w:p w:rsidR="00EA6E90" w:rsidRPr="001061E9" w:rsidRDefault="00EA6E90" w:rsidP="004A095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005694"/>
    <w:multiLevelType w:val="hybridMultilevel"/>
    <w:tmpl w:val="420EA1F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94572"/>
    <w:multiLevelType w:val="hybridMultilevel"/>
    <w:tmpl w:val="E6A602C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12"/>
    <w:rsid w:val="00010CF3"/>
    <w:rsid w:val="00011E27"/>
    <w:rsid w:val="000148BC"/>
    <w:rsid w:val="00024AB8"/>
    <w:rsid w:val="00025912"/>
    <w:rsid w:val="00030854"/>
    <w:rsid w:val="00036028"/>
    <w:rsid w:val="00044642"/>
    <w:rsid w:val="000446B9"/>
    <w:rsid w:val="00047E21"/>
    <w:rsid w:val="00050E16"/>
    <w:rsid w:val="00085505"/>
    <w:rsid w:val="000A1C43"/>
    <w:rsid w:val="000C4E25"/>
    <w:rsid w:val="000C7021"/>
    <w:rsid w:val="000D388C"/>
    <w:rsid w:val="000D6BBC"/>
    <w:rsid w:val="000D7780"/>
    <w:rsid w:val="000E636A"/>
    <w:rsid w:val="000F2F11"/>
    <w:rsid w:val="00105929"/>
    <w:rsid w:val="001061E9"/>
    <w:rsid w:val="00110C36"/>
    <w:rsid w:val="001131D5"/>
    <w:rsid w:val="001132F2"/>
    <w:rsid w:val="00130728"/>
    <w:rsid w:val="00141DB8"/>
    <w:rsid w:val="001603ED"/>
    <w:rsid w:val="00170AD5"/>
    <w:rsid w:val="00172084"/>
    <w:rsid w:val="0017474A"/>
    <w:rsid w:val="001758C6"/>
    <w:rsid w:val="00182B99"/>
    <w:rsid w:val="001D3231"/>
    <w:rsid w:val="001D6303"/>
    <w:rsid w:val="001F4FAA"/>
    <w:rsid w:val="0021332C"/>
    <w:rsid w:val="00213982"/>
    <w:rsid w:val="0024416D"/>
    <w:rsid w:val="00271911"/>
    <w:rsid w:val="002800A0"/>
    <w:rsid w:val="002801B3"/>
    <w:rsid w:val="00281060"/>
    <w:rsid w:val="0029386D"/>
    <w:rsid w:val="002940E8"/>
    <w:rsid w:val="00294751"/>
    <w:rsid w:val="002A6E50"/>
    <w:rsid w:val="002B4298"/>
    <w:rsid w:val="002C256A"/>
    <w:rsid w:val="00305A7F"/>
    <w:rsid w:val="003152FE"/>
    <w:rsid w:val="00327436"/>
    <w:rsid w:val="00335389"/>
    <w:rsid w:val="00344BD6"/>
    <w:rsid w:val="0035528D"/>
    <w:rsid w:val="00361821"/>
    <w:rsid w:val="00361E9E"/>
    <w:rsid w:val="00362626"/>
    <w:rsid w:val="00395921"/>
    <w:rsid w:val="003C7FBE"/>
    <w:rsid w:val="003D227C"/>
    <w:rsid w:val="003D2B4D"/>
    <w:rsid w:val="003F68D4"/>
    <w:rsid w:val="004326A8"/>
    <w:rsid w:val="00444A88"/>
    <w:rsid w:val="00474DA4"/>
    <w:rsid w:val="00476B4D"/>
    <w:rsid w:val="004805FA"/>
    <w:rsid w:val="004935D2"/>
    <w:rsid w:val="0049744F"/>
    <w:rsid w:val="004A0952"/>
    <w:rsid w:val="004B1215"/>
    <w:rsid w:val="004D047D"/>
    <w:rsid w:val="004E0415"/>
    <w:rsid w:val="004F1E9E"/>
    <w:rsid w:val="004F305A"/>
    <w:rsid w:val="00506F2A"/>
    <w:rsid w:val="00512164"/>
    <w:rsid w:val="00514A2A"/>
    <w:rsid w:val="00520297"/>
    <w:rsid w:val="005338F9"/>
    <w:rsid w:val="0054281C"/>
    <w:rsid w:val="00544581"/>
    <w:rsid w:val="0055268D"/>
    <w:rsid w:val="00576BE4"/>
    <w:rsid w:val="005A400A"/>
    <w:rsid w:val="005B5FAB"/>
    <w:rsid w:val="005F7B92"/>
    <w:rsid w:val="00612379"/>
    <w:rsid w:val="006153B6"/>
    <w:rsid w:val="0061555F"/>
    <w:rsid w:val="00621302"/>
    <w:rsid w:val="00636CA6"/>
    <w:rsid w:val="00641200"/>
    <w:rsid w:val="006455EC"/>
    <w:rsid w:val="006655D3"/>
    <w:rsid w:val="00667404"/>
    <w:rsid w:val="00687EB4"/>
    <w:rsid w:val="00695C56"/>
    <w:rsid w:val="006A5CDE"/>
    <w:rsid w:val="006A644A"/>
    <w:rsid w:val="006B17D2"/>
    <w:rsid w:val="006B4100"/>
    <w:rsid w:val="006C224E"/>
    <w:rsid w:val="006D780A"/>
    <w:rsid w:val="00702BDA"/>
    <w:rsid w:val="0071271E"/>
    <w:rsid w:val="00726071"/>
    <w:rsid w:val="00726ECC"/>
    <w:rsid w:val="00732A6C"/>
    <w:rsid w:val="00732DEC"/>
    <w:rsid w:val="00735BD5"/>
    <w:rsid w:val="00751613"/>
    <w:rsid w:val="007556F6"/>
    <w:rsid w:val="00760EEF"/>
    <w:rsid w:val="00777EE5"/>
    <w:rsid w:val="00784836"/>
    <w:rsid w:val="0079023E"/>
    <w:rsid w:val="00795692"/>
    <w:rsid w:val="007A2854"/>
    <w:rsid w:val="007C1D92"/>
    <w:rsid w:val="007C4CB9"/>
    <w:rsid w:val="007D0B9D"/>
    <w:rsid w:val="007D19B0"/>
    <w:rsid w:val="007F498F"/>
    <w:rsid w:val="007F54C4"/>
    <w:rsid w:val="00805E12"/>
    <w:rsid w:val="0080679D"/>
    <w:rsid w:val="008108B0"/>
    <w:rsid w:val="00811B20"/>
    <w:rsid w:val="008211B5"/>
    <w:rsid w:val="0082296E"/>
    <w:rsid w:val="00824099"/>
    <w:rsid w:val="00842F6D"/>
    <w:rsid w:val="00846D7C"/>
    <w:rsid w:val="00860A1D"/>
    <w:rsid w:val="00867AC1"/>
    <w:rsid w:val="00890DF8"/>
    <w:rsid w:val="008A743F"/>
    <w:rsid w:val="008C0970"/>
    <w:rsid w:val="008C0A02"/>
    <w:rsid w:val="008D0BC5"/>
    <w:rsid w:val="008D2CF7"/>
    <w:rsid w:val="00900C26"/>
    <w:rsid w:val="0090197F"/>
    <w:rsid w:val="00906DDC"/>
    <w:rsid w:val="009115C0"/>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6037B"/>
    <w:rsid w:val="00AB2B93"/>
    <w:rsid w:val="00AB530F"/>
    <w:rsid w:val="00AB7E5B"/>
    <w:rsid w:val="00AC1124"/>
    <w:rsid w:val="00AC2883"/>
    <w:rsid w:val="00AE0EF1"/>
    <w:rsid w:val="00AE2937"/>
    <w:rsid w:val="00AF6E12"/>
    <w:rsid w:val="00B07301"/>
    <w:rsid w:val="00B11F3E"/>
    <w:rsid w:val="00B224DE"/>
    <w:rsid w:val="00B324D4"/>
    <w:rsid w:val="00B46575"/>
    <w:rsid w:val="00B560B3"/>
    <w:rsid w:val="00B61777"/>
    <w:rsid w:val="00B84BBD"/>
    <w:rsid w:val="00BA43FB"/>
    <w:rsid w:val="00BC127D"/>
    <w:rsid w:val="00BC1FE6"/>
    <w:rsid w:val="00C061B6"/>
    <w:rsid w:val="00C12180"/>
    <w:rsid w:val="00C156A5"/>
    <w:rsid w:val="00C2446C"/>
    <w:rsid w:val="00C353D9"/>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07994"/>
    <w:rsid w:val="00D3603B"/>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D60F9"/>
    <w:rsid w:val="00E07D87"/>
    <w:rsid w:val="00E32F7E"/>
    <w:rsid w:val="00E47B01"/>
    <w:rsid w:val="00E5267B"/>
    <w:rsid w:val="00E563A8"/>
    <w:rsid w:val="00E70039"/>
    <w:rsid w:val="00E72D49"/>
    <w:rsid w:val="00E7593C"/>
    <w:rsid w:val="00E7678A"/>
    <w:rsid w:val="00E935F1"/>
    <w:rsid w:val="00E94A81"/>
    <w:rsid w:val="00EA1FFB"/>
    <w:rsid w:val="00EA452B"/>
    <w:rsid w:val="00EA6E90"/>
    <w:rsid w:val="00EB048E"/>
    <w:rsid w:val="00EB4E9C"/>
    <w:rsid w:val="00EC481C"/>
    <w:rsid w:val="00EE1AFA"/>
    <w:rsid w:val="00EE34DF"/>
    <w:rsid w:val="00EE41AF"/>
    <w:rsid w:val="00EE5E04"/>
    <w:rsid w:val="00EF2F89"/>
    <w:rsid w:val="00F03E98"/>
    <w:rsid w:val="00F1237A"/>
    <w:rsid w:val="00F22CBD"/>
    <w:rsid w:val="00F23C79"/>
    <w:rsid w:val="00F272F1"/>
    <w:rsid w:val="00F328A9"/>
    <w:rsid w:val="00F45372"/>
    <w:rsid w:val="00F560F7"/>
    <w:rsid w:val="00F6334D"/>
    <w:rsid w:val="00F91C00"/>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EB272B"/>
  <w15:docId w15:val="{A54E989E-8E5E-4BEA-9569-10EF26FC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HTML/?uri=CELEX:32016R2031&amp;from=FR" TargetMode="External"/><Relationship Id="rId18" Type="http://schemas.openxmlformats.org/officeDocument/2006/relationships/hyperlink" Target="https://www.h2020-invite.eu/" TargetMode="External"/><Relationship Id="rId26" Type="http://schemas.openxmlformats.org/officeDocument/2006/relationships/image" Target="media/image2.png"/><Relationship Id="rId21" Type="http://schemas.openxmlformats.org/officeDocument/2006/relationships/header" Target="header4.xml"/><Relationship Id="rId34" Type="http://schemas.openxmlformats.org/officeDocument/2006/relationships/header" Target="header13.xml"/><Relationship Id="rId7" Type="http://schemas.openxmlformats.org/officeDocument/2006/relationships/image" Target="media/image1.png"/><Relationship Id="rId12" Type="http://schemas.openxmlformats.org/officeDocument/2006/relationships/hyperlink" Target="mailto:camille.zitter@geves.fr" TargetMode="External"/><Relationship Id="rId17" Type="http://schemas.openxmlformats.org/officeDocument/2006/relationships/hyperlink" Target="https://www.researchgate.net/project/Harmorescoll-Setting-up-an-EU-system-for-harmonized-collections-of-reference-isolates-controls-and-differentials-to-facilitate-disease-resistance-testing"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alerie.grimault@geves.fr" TargetMode="External"/><Relationship Id="rId20" Type="http://schemas.openxmlformats.org/officeDocument/2006/relationships/header" Target="header3.xml"/><Relationship Id="rId29" Type="http://schemas.openxmlformats.org/officeDocument/2006/relationships/hyperlink" Target="mailto:PVPToolbox@naktuinbouw.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ves.fr/catalogue-france/"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ene.mathis@geves.fr" TargetMode="Externa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yperlink" Target="http://www.geves.fr" TargetMode="External"/><Relationship Id="rId19" Type="http://schemas.openxmlformats.org/officeDocument/2006/relationships/hyperlink" Target="https://www.geves.fr/actualites/rapport-dactivite-2019/?param=notranslate" TargetMode="External"/><Relationship Id="rId31" Type="http://schemas.openxmlformats.org/officeDocument/2006/relationships/hyperlink" Target="mailto:l.pinan.gonzalez@naktuinbouw.n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eur-lex.europa.eu/legal-content/EN/TXT/HTML/?uri=CELEX:32019R2072&amp;from=FR"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yperlink" Target="https://www.wur.nl/en/show/Plant-Breeders-Rights-for-Food-Security-and-Economic-Development.htm" TargetMode="External"/><Relationship Id="rId35" Type="http://schemas.openxmlformats.org/officeDocument/2006/relationships/hyperlink" Target="http://www.gov.uk" TargetMode="External"/><Relationship Id="rId8" Type="http://schemas.openxmlformats.org/officeDocument/2006/relationships/header" Target="header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2\template\two_5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two_52</Template>
  <TotalTime>0</TotalTime>
  <Pages>15</Pages>
  <Words>5499</Words>
  <Characters>31243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TWO/52</vt:lpstr>
    </vt:vector>
  </TitlesOfParts>
  <Company>UPOV</Company>
  <LinksUpToDate>false</LinksUpToDate>
  <CharactersWithSpaces>36669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TWO/52</dc:title>
  <dc:creator>MAY Jessica</dc:creator>
  <cp:lastModifiedBy>MAY Jessica</cp:lastModifiedBy>
  <cp:revision>8</cp:revision>
  <cp:lastPrinted>2016-11-22T16:03:00Z</cp:lastPrinted>
  <dcterms:created xsi:type="dcterms:W3CDTF">2020-06-12T10:23:00Z</dcterms:created>
  <dcterms:modified xsi:type="dcterms:W3CDTF">2020-07-29T12:53:00Z</dcterms:modified>
</cp:coreProperties>
</file>