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DA1D91">
        <w:tc>
          <w:tcPr>
            <w:tcW w:w="6512" w:type="dxa"/>
          </w:tcPr>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t>First</w:t>
            </w:r>
            <w:r w:rsidRPr="006756EA">
              <w:t xml:space="preserve"> Session</w:t>
            </w:r>
          </w:p>
          <w:p w:rsidR="0021576F" w:rsidRDefault="0021576F" w:rsidP="0021576F">
            <w:r w:rsidRPr="006756EA">
              <w:t>Christchurch, New Zealand, February 18 to 22, 2019</w:t>
            </w:r>
          </w:p>
          <w:p w:rsidR="0021576F" w:rsidRDefault="0021576F" w:rsidP="0021576F"/>
          <w:p w:rsidR="0021576F" w:rsidRDefault="0021576F" w:rsidP="0021576F">
            <w:pPr>
              <w:pStyle w:val="Sessiontwp"/>
            </w:pPr>
            <w:r>
              <w:t>Technical Working Party for Vegetables</w:t>
            </w:r>
          </w:p>
          <w:p w:rsidR="0021576F" w:rsidRPr="00F66083" w:rsidRDefault="0021576F" w:rsidP="0021576F">
            <w:pPr>
              <w:pStyle w:val="Sessiontwpplacedate"/>
            </w:pPr>
            <w:r w:rsidRPr="00F66083">
              <w:t>Fifty-</w:t>
            </w:r>
            <w:r>
              <w:t>Third</w:t>
            </w:r>
            <w:r w:rsidRPr="00F66083">
              <w:t xml:space="preserve"> Session</w:t>
            </w:r>
          </w:p>
          <w:p w:rsidR="0021576F" w:rsidRPr="00F66083" w:rsidRDefault="00BE384A" w:rsidP="0021576F">
            <w:pPr>
              <w:pStyle w:val="Sessiontwpplacedate"/>
            </w:pPr>
            <w:r>
              <w:t xml:space="preserve">Seoul, </w:t>
            </w:r>
            <w:r w:rsidR="0021576F">
              <w:t>Republic of Korea</w:t>
            </w:r>
            <w:r w:rsidR="0021576F" w:rsidRPr="00F66083">
              <w:t xml:space="preserve">, </w:t>
            </w:r>
            <w:r w:rsidR="0021576F">
              <w:t>May 20</w:t>
            </w:r>
            <w:r w:rsidR="0021576F" w:rsidRPr="00C22DEA">
              <w:t xml:space="preserve"> to 2</w:t>
            </w:r>
            <w:r w:rsidR="0021576F">
              <w:t>4, 2019</w:t>
            </w:r>
          </w:p>
          <w:p w:rsidR="00603DEB" w:rsidRPr="00DC6797" w:rsidRDefault="00603DEB" w:rsidP="00603DEB"/>
          <w:p w:rsidR="00603DEB" w:rsidRDefault="00603DEB" w:rsidP="00603DEB">
            <w:pPr>
              <w:pStyle w:val="Sessiontwp"/>
            </w:pPr>
            <w:r>
              <w:t>Technical Working Party for Fruit Crops</w:t>
            </w:r>
          </w:p>
          <w:p w:rsidR="00603DEB" w:rsidRPr="00F66083" w:rsidRDefault="00603DEB" w:rsidP="00603DEB">
            <w:pPr>
              <w:pStyle w:val="Sessiontwpplacedate"/>
            </w:pPr>
            <w:r>
              <w:t>Fiftieth</w:t>
            </w:r>
            <w:r w:rsidRPr="00F66083">
              <w:t xml:space="preserve"> Session</w:t>
            </w:r>
          </w:p>
          <w:p w:rsidR="0021576F" w:rsidRDefault="00603DEB" w:rsidP="00603DEB">
            <w:r>
              <w:t>Budapest, Hungary, June 24 to 28, 2019</w:t>
            </w:r>
          </w:p>
          <w:p w:rsidR="00603DEB" w:rsidRDefault="00603DEB" w:rsidP="00603DEB"/>
          <w:p w:rsidR="00524CC2" w:rsidRPr="00F875E6" w:rsidRDefault="00524CC2" w:rsidP="00DA1D91">
            <w:pPr>
              <w:pStyle w:val="Sessiontwp"/>
            </w:pPr>
            <w:r w:rsidRPr="00E70039">
              <w:t>Technical Working Party for Agricultural Crops</w:t>
            </w:r>
          </w:p>
          <w:p w:rsidR="00524CC2" w:rsidRPr="00F875E6" w:rsidRDefault="00524CC2" w:rsidP="00DA1D91">
            <w:pPr>
              <w:pStyle w:val="Sessiontwpplacedate"/>
            </w:pPr>
            <w:r w:rsidRPr="00F875E6">
              <w:t>Forty-</w:t>
            </w:r>
            <w:r w:rsidR="00152FD9">
              <w:t>Eighth</w:t>
            </w:r>
            <w:r w:rsidRPr="00F875E6">
              <w:t xml:space="preserve"> Session</w:t>
            </w:r>
          </w:p>
          <w:p w:rsidR="00524CC2" w:rsidRPr="00DC6797" w:rsidRDefault="00152FD9" w:rsidP="00DA1D91">
            <w:pPr>
              <w:pStyle w:val="Sessiontwpplacedate"/>
            </w:pPr>
            <w:r w:rsidRPr="00152FD9">
              <w:t>Montevideo, Uruguay</w:t>
            </w:r>
            <w:r w:rsidR="007472B2">
              <w:t xml:space="preserve">, </w:t>
            </w:r>
            <w:r>
              <w:t>September 16 to 20, 2019</w:t>
            </w:r>
          </w:p>
          <w:p w:rsidR="00524CC2" w:rsidRDefault="00524CC2" w:rsidP="00DA1D91"/>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F54CE9">
              <w:t>Sevent</w:t>
            </w:r>
            <w:r w:rsidR="00603DEB">
              <w:t>h</w:t>
            </w:r>
            <w:r w:rsidRPr="00F66083">
              <w:t xml:space="preserve"> Session</w:t>
            </w:r>
          </w:p>
          <w:p w:rsidR="00C22DEA" w:rsidRDefault="00F54CE9" w:rsidP="00C22DEA">
            <w:r w:rsidRPr="00F54CE9">
              <w:t>Hangzhou, China</w:t>
            </w:r>
            <w:r w:rsidR="00C22DEA" w:rsidRPr="00F66083">
              <w:t xml:space="preserve">, </w:t>
            </w:r>
            <w:r w:rsidRPr="00F54CE9">
              <w:t>October 14 to 16 (morning)</w:t>
            </w:r>
            <w:r>
              <w:t>, 2019</w:t>
            </w:r>
          </w:p>
          <w:p w:rsidR="00524CC2" w:rsidRPr="00F66083" w:rsidRDefault="00524CC2" w:rsidP="00222BDF"/>
        </w:tc>
        <w:tc>
          <w:tcPr>
            <w:tcW w:w="3127" w:type="dxa"/>
          </w:tcPr>
          <w:p w:rsidR="00524CC2" w:rsidRPr="00F875E6" w:rsidRDefault="0021576F" w:rsidP="00DA1D91">
            <w:pPr>
              <w:pStyle w:val="Doccode"/>
            </w:pPr>
            <w:r>
              <w:t>TWP/3</w:t>
            </w:r>
            <w:r w:rsidR="00524CC2" w:rsidRPr="00AC2883">
              <w:t>/</w:t>
            </w:r>
            <w:r w:rsidR="00C438E8">
              <w:t>13</w:t>
            </w:r>
          </w:p>
          <w:p w:rsidR="00524CC2" w:rsidRPr="003C7FBE" w:rsidRDefault="00524CC2" w:rsidP="00DA1D91">
            <w:pPr>
              <w:pStyle w:val="Docoriginal"/>
            </w:pPr>
            <w:r w:rsidRPr="00AC2883">
              <w:t>Original:</w:t>
            </w:r>
            <w:r w:rsidRPr="000E636A">
              <w:rPr>
                <w:b w:val="0"/>
                <w:spacing w:val="0"/>
              </w:rPr>
              <w:t xml:space="preserve">  English</w:t>
            </w:r>
          </w:p>
          <w:p w:rsidR="00524CC2" w:rsidRPr="007C1D92" w:rsidRDefault="00524CC2" w:rsidP="00D21A33">
            <w:pPr>
              <w:pStyle w:val="Docoriginal"/>
            </w:pPr>
            <w:r w:rsidRPr="00AC2883">
              <w:t>Date:</w:t>
            </w:r>
            <w:r w:rsidRPr="000E636A">
              <w:rPr>
                <w:b w:val="0"/>
                <w:spacing w:val="0"/>
              </w:rPr>
              <w:t xml:space="preserve">  </w:t>
            </w:r>
            <w:r w:rsidR="002A1FE8" w:rsidRPr="00D21A33">
              <w:rPr>
                <w:b w:val="0"/>
                <w:spacing w:val="0"/>
              </w:rPr>
              <w:t xml:space="preserve">February </w:t>
            </w:r>
            <w:r w:rsidR="00D21A33" w:rsidRPr="00D21A33">
              <w:rPr>
                <w:b w:val="0"/>
                <w:spacing w:val="0"/>
              </w:rPr>
              <w:t>8</w:t>
            </w:r>
            <w:r w:rsidR="007D7BA0" w:rsidRPr="00D21A33">
              <w:rPr>
                <w:b w:val="0"/>
                <w:spacing w:val="0"/>
              </w:rPr>
              <w:t>,</w:t>
            </w:r>
            <w:r w:rsidR="00300EAB" w:rsidRPr="00D21A33">
              <w:rPr>
                <w:b w:val="0"/>
                <w:spacing w:val="0"/>
              </w:rPr>
              <w:t xml:space="preserve"> 201</w:t>
            </w:r>
            <w:r w:rsidR="0021576F" w:rsidRPr="00D21A33">
              <w:rPr>
                <w:b w:val="0"/>
                <w:spacing w:val="0"/>
              </w:rPr>
              <w:t>9</w:t>
            </w:r>
          </w:p>
        </w:tc>
      </w:tr>
    </w:tbl>
    <w:p w:rsidR="00C438E8" w:rsidRPr="00C438E8" w:rsidRDefault="00EA75DB" w:rsidP="00C438E8">
      <w:pPr>
        <w:spacing w:before="600" w:after="240"/>
        <w:jc w:val="left"/>
        <w:rPr>
          <w:b/>
          <w:caps/>
        </w:rPr>
      </w:pPr>
      <w:r>
        <w:rPr>
          <w:b/>
          <w:caps/>
        </w:rPr>
        <w:t>Differences in note</w:t>
      </w:r>
      <w:r w:rsidR="00C438E8" w:rsidRPr="00C438E8">
        <w:rPr>
          <w:b/>
          <w:caps/>
        </w:rPr>
        <w:t>s</w:t>
      </w:r>
      <w:r>
        <w:rPr>
          <w:b/>
          <w:caps/>
        </w:rPr>
        <w:t xml:space="preserve"> for the assessment of distinctness</w:t>
      </w:r>
    </w:p>
    <w:p w:rsidR="00C438E8" w:rsidRPr="00C438E8" w:rsidRDefault="00C438E8" w:rsidP="00C438E8">
      <w:pPr>
        <w:spacing w:after="240"/>
        <w:jc w:val="left"/>
        <w:rPr>
          <w:i/>
          <w:iCs/>
        </w:rPr>
      </w:pPr>
      <w:r w:rsidRPr="00C438E8">
        <w:rPr>
          <w:i/>
          <w:iCs/>
        </w:rPr>
        <w:t>Document prepared by the Office of the Union</w:t>
      </w:r>
    </w:p>
    <w:p w:rsidR="00C438E8" w:rsidRPr="00C438E8" w:rsidRDefault="00C438E8" w:rsidP="00C438E8">
      <w:pPr>
        <w:spacing w:after="600"/>
        <w:jc w:val="left"/>
        <w:rPr>
          <w:i/>
          <w:iCs/>
          <w:color w:val="A6A6A6" w:themeColor="background1" w:themeShade="A6"/>
        </w:rPr>
      </w:pPr>
      <w:r w:rsidRPr="00C438E8">
        <w:rPr>
          <w:i/>
          <w:iCs/>
          <w:color w:val="A6A6A6" w:themeColor="background1" w:themeShade="A6"/>
        </w:rPr>
        <w:t>Disclaimer:  this document does not represent UPOV policies or guidance</w:t>
      </w:r>
    </w:p>
    <w:p w:rsidR="00C438E8" w:rsidRPr="00C438E8" w:rsidRDefault="00C438E8" w:rsidP="00C438E8">
      <w:pPr>
        <w:keepNext/>
        <w:outlineLvl w:val="0"/>
        <w:rPr>
          <w:caps/>
          <w:snapToGrid w:val="0"/>
        </w:rPr>
      </w:pPr>
      <w:bookmarkStart w:id="1" w:name="_Toc481744310"/>
      <w:bookmarkStart w:id="2" w:name="_Toc504565379"/>
      <w:bookmarkStart w:id="3" w:name="_Toc536109296"/>
      <w:r w:rsidRPr="00C438E8">
        <w:rPr>
          <w:caps/>
          <w:snapToGrid w:val="0"/>
        </w:rPr>
        <w:t>EXECUTIVE SUMMARY</w:t>
      </w:r>
      <w:bookmarkEnd w:id="1"/>
      <w:bookmarkEnd w:id="2"/>
      <w:bookmarkEnd w:id="3"/>
    </w:p>
    <w:p w:rsidR="00C438E8" w:rsidRPr="00C438E8" w:rsidRDefault="00C438E8" w:rsidP="00C438E8">
      <w:pPr>
        <w:rPr>
          <w:snapToGrid w:val="0"/>
        </w:rPr>
      </w:pPr>
    </w:p>
    <w:p w:rsidR="00C438E8" w:rsidRPr="00C438E8" w:rsidRDefault="00C438E8" w:rsidP="00C438E8">
      <w:r w:rsidRPr="00C438E8">
        <w:rPr>
          <w:snapToGrid w:val="0"/>
        </w:rPr>
        <w:fldChar w:fldCharType="begin"/>
      </w:r>
      <w:r w:rsidRPr="00C438E8">
        <w:rPr>
          <w:snapToGrid w:val="0"/>
        </w:rPr>
        <w:instrText xml:space="preserve"> AUTONUM  </w:instrText>
      </w:r>
      <w:r w:rsidRPr="00C438E8">
        <w:rPr>
          <w:snapToGrid w:val="0"/>
        </w:rPr>
        <w:fldChar w:fldCharType="end"/>
      </w:r>
      <w:r w:rsidRPr="00C438E8">
        <w:rPr>
          <w:snapToGrid w:val="0"/>
        </w:rPr>
        <w:tab/>
      </w:r>
      <w:r w:rsidRPr="00C438E8">
        <w:t xml:space="preserve">The purpose of this document is to </w:t>
      </w:r>
      <w:r w:rsidR="00EA75DB" w:rsidRPr="005B461E">
        <w:t xml:space="preserve">present guidance from TGP documents on how differences in notes </w:t>
      </w:r>
      <w:proofErr w:type="gramStart"/>
      <w:r w:rsidR="005B461E" w:rsidRPr="005B461E">
        <w:t>can</w:t>
      </w:r>
      <w:r w:rsidR="00EA75DB" w:rsidRPr="005B461E">
        <w:t xml:space="preserve"> be used</w:t>
      </w:r>
      <w:proofErr w:type="gramEnd"/>
      <w:r w:rsidR="00EA75DB" w:rsidRPr="005B461E">
        <w:t xml:space="preserve"> for the assessment of distinctness for PQ and QN characteristics</w:t>
      </w:r>
      <w:r w:rsidRPr="00C438E8">
        <w:t>.</w:t>
      </w:r>
    </w:p>
    <w:p w:rsidR="00C438E8" w:rsidRPr="00C438E8" w:rsidRDefault="00C438E8" w:rsidP="00C438E8"/>
    <w:bookmarkStart w:id="4" w:name="_Toc386185971"/>
    <w:bookmarkStart w:id="5" w:name="_Toc419124859"/>
    <w:p w:rsidR="00752674" w:rsidRDefault="005B461E" w:rsidP="00C438E8">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5B461E">
        <w:rPr>
          <w:snapToGrid w:val="0"/>
        </w:rPr>
        <w:t xml:space="preserve">The </w:t>
      </w:r>
      <w:r>
        <w:rPr>
          <w:snapToGrid w:val="0"/>
        </w:rPr>
        <w:t xml:space="preserve">TWPs </w:t>
      </w:r>
      <w:proofErr w:type="gramStart"/>
      <w:r>
        <w:rPr>
          <w:snapToGrid w:val="0"/>
        </w:rPr>
        <w:t>are</w:t>
      </w:r>
      <w:r w:rsidR="00752674">
        <w:rPr>
          <w:snapToGrid w:val="0"/>
        </w:rPr>
        <w:t xml:space="preserve"> invited</w:t>
      </w:r>
      <w:proofErr w:type="gramEnd"/>
      <w:r w:rsidR="00752674">
        <w:rPr>
          <w:snapToGrid w:val="0"/>
        </w:rPr>
        <w:t xml:space="preserve"> to:</w:t>
      </w:r>
    </w:p>
    <w:p w:rsidR="00752674" w:rsidRPr="00752674" w:rsidRDefault="00752674" w:rsidP="00C438E8">
      <w:pPr>
        <w:rPr>
          <w:snapToGrid w:val="0"/>
        </w:rPr>
      </w:pPr>
    </w:p>
    <w:p w:rsidR="00752674" w:rsidRPr="00752674" w:rsidRDefault="00752674" w:rsidP="00752674">
      <w:pPr>
        <w:pStyle w:val="ListParagraph"/>
        <w:keepLines/>
        <w:numPr>
          <w:ilvl w:val="0"/>
          <w:numId w:val="5"/>
        </w:numPr>
        <w:tabs>
          <w:tab w:val="left" w:pos="1134"/>
          <w:tab w:val="left" w:pos="5387"/>
          <w:tab w:val="left" w:pos="5954"/>
        </w:tabs>
        <w:ind w:left="0" w:firstLine="567"/>
      </w:pPr>
      <w:r w:rsidRPr="00752674">
        <w:t>note existing guidance in the General Introduction and documents TGP/8, TGP/9 and TGP/14 on differences in notes for the assessment of distinctness; and</w:t>
      </w:r>
    </w:p>
    <w:p w:rsidR="00752674" w:rsidRPr="00752674" w:rsidRDefault="00752674" w:rsidP="00752674">
      <w:pPr>
        <w:pStyle w:val="ListParagraph"/>
        <w:keepLines/>
        <w:tabs>
          <w:tab w:val="left" w:pos="1134"/>
          <w:tab w:val="left" w:pos="5387"/>
          <w:tab w:val="left" w:pos="5954"/>
        </w:tabs>
        <w:ind w:left="0" w:firstLine="567"/>
      </w:pPr>
    </w:p>
    <w:p w:rsidR="00752674" w:rsidRPr="00752674" w:rsidRDefault="00752674" w:rsidP="00752674">
      <w:pPr>
        <w:pStyle w:val="ListParagraph"/>
        <w:keepLines/>
        <w:numPr>
          <w:ilvl w:val="0"/>
          <w:numId w:val="5"/>
        </w:numPr>
        <w:tabs>
          <w:tab w:val="left" w:pos="1134"/>
          <w:tab w:val="left" w:pos="5387"/>
          <w:tab w:val="left" w:pos="5954"/>
        </w:tabs>
        <w:ind w:left="0" w:firstLine="567"/>
      </w:pPr>
      <w:proofErr w:type="gramStart"/>
      <w:r w:rsidRPr="00752674">
        <w:t>consider</w:t>
      </w:r>
      <w:proofErr w:type="gramEnd"/>
      <w:r w:rsidRPr="00752674">
        <w:t xml:space="preserve"> the clarification provided </w:t>
      </w:r>
      <w:r w:rsidRPr="00D21A33">
        <w:t>in paragraph</w:t>
      </w:r>
      <w:r w:rsidR="002C4DBB" w:rsidRPr="00D21A33">
        <w:t>s 10 to 13</w:t>
      </w:r>
      <w:r w:rsidRPr="00D21A33">
        <w:t xml:space="preserve"> of this</w:t>
      </w:r>
      <w:r w:rsidRPr="00752674">
        <w:t xml:space="preserve"> document. </w:t>
      </w:r>
    </w:p>
    <w:p w:rsidR="005B461E" w:rsidRPr="00C438E8" w:rsidRDefault="005B461E" w:rsidP="00C438E8"/>
    <w:p w:rsidR="00C438E8" w:rsidRPr="00C438E8" w:rsidRDefault="00C438E8" w:rsidP="00C438E8">
      <w:r w:rsidRPr="00C438E8">
        <w:fldChar w:fldCharType="begin"/>
      </w:r>
      <w:r w:rsidRPr="00C438E8">
        <w:instrText xml:space="preserve"> AUTONUM  </w:instrText>
      </w:r>
      <w:r w:rsidRPr="00C438E8">
        <w:fldChar w:fldCharType="end"/>
      </w:r>
      <w:r w:rsidRPr="00C438E8">
        <w:tab/>
        <w:t xml:space="preserve">The following abbreviations </w:t>
      </w:r>
      <w:proofErr w:type="gramStart"/>
      <w:r w:rsidRPr="00C438E8">
        <w:t>are used</w:t>
      </w:r>
      <w:proofErr w:type="gramEnd"/>
      <w:r w:rsidRPr="00C438E8">
        <w:t xml:space="preserve"> in this document:</w:t>
      </w:r>
    </w:p>
    <w:p w:rsidR="00C438E8" w:rsidRPr="00C438E8" w:rsidRDefault="00C438E8" w:rsidP="00C438E8"/>
    <w:p w:rsidR="00C438E8" w:rsidRPr="00C438E8" w:rsidRDefault="00C438E8" w:rsidP="00C438E8">
      <w:r w:rsidRPr="00C438E8">
        <w:t xml:space="preserve">TC:  </w:t>
      </w:r>
      <w:r w:rsidRPr="00C438E8">
        <w:tab/>
      </w:r>
      <w:r w:rsidRPr="00C438E8">
        <w:tab/>
        <w:t>Technical Committee</w:t>
      </w:r>
    </w:p>
    <w:p w:rsidR="00C438E8" w:rsidRPr="00C438E8" w:rsidRDefault="00C438E8" w:rsidP="00C438E8">
      <w:r w:rsidRPr="00C438E8">
        <w:t>TWPs:</w:t>
      </w:r>
      <w:r w:rsidRPr="00C438E8">
        <w:tab/>
        <w:t>Technical Working Parties</w:t>
      </w:r>
    </w:p>
    <w:p w:rsidR="00C438E8" w:rsidRPr="00C438E8" w:rsidRDefault="00C438E8" w:rsidP="00C438E8"/>
    <w:bookmarkStart w:id="6" w:name="_Toc352678045"/>
    <w:bookmarkStart w:id="7" w:name="_Toc353797725"/>
    <w:bookmarkStart w:id="8" w:name="_Toc386185970"/>
    <w:bookmarkStart w:id="9" w:name="_Toc419124858"/>
    <w:bookmarkStart w:id="10" w:name="_Toc504565380"/>
    <w:p w:rsidR="00C438E8" w:rsidRPr="00C438E8" w:rsidRDefault="00C438E8" w:rsidP="00C438E8">
      <w:pPr>
        <w:rPr>
          <w:rFonts w:cs="Arial"/>
        </w:rPr>
      </w:pPr>
      <w:r w:rsidRPr="00C438E8">
        <w:rPr>
          <w:rFonts w:cs="Arial"/>
        </w:rPr>
        <w:fldChar w:fldCharType="begin"/>
      </w:r>
      <w:r w:rsidRPr="00C438E8">
        <w:rPr>
          <w:rFonts w:cs="Arial"/>
        </w:rPr>
        <w:instrText xml:space="preserve"> AUTONUM  </w:instrText>
      </w:r>
      <w:r w:rsidRPr="00C438E8">
        <w:rPr>
          <w:rFonts w:cs="Arial"/>
        </w:rPr>
        <w:fldChar w:fldCharType="end"/>
      </w:r>
      <w:r w:rsidRPr="00C438E8">
        <w:rPr>
          <w:rFonts w:cs="Arial"/>
        </w:rPr>
        <w:tab/>
        <w:t>The structure of this document is as follows:</w:t>
      </w:r>
    </w:p>
    <w:p w:rsidR="00251F43" w:rsidRDefault="00C438E8">
      <w:pPr>
        <w:pStyle w:val="TOC1"/>
        <w:rPr>
          <w:rFonts w:asciiTheme="minorHAnsi" w:eastAsiaTheme="minorEastAsia" w:hAnsiTheme="minorHAnsi" w:cstheme="minorBidi"/>
          <w:bCs w:val="0"/>
          <w:caps w:val="0"/>
          <w:sz w:val="22"/>
          <w:szCs w:val="22"/>
        </w:rPr>
      </w:pPr>
      <w:r w:rsidRPr="00C438E8">
        <w:rPr>
          <w:highlight w:val="yellow"/>
        </w:rPr>
        <w:fldChar w:fldCharType="begin"/>
      </w:r>
      <w:r w:rsidRPr="00C438E8">
        <w:rPr>
          <w:highlight w:val="yellow"/>
        </w:rPr>
        <w:instrText xml:space="preserve"> TOC \o "1-3" \h \z \u </w:instrText>
      </w:r>
      <w:r w:rsidRPr="00C438E8">
        <w:rPr>
          <w:highlight w:val="yellow"/>
        </w:rPr>
        <w:fldChar w:fldCharType="separate"/>
      </w:r>
      <w:hyperlink w:anchor="_Toc536109296" w:history="1">
        <w:r w:rsidR="00251F43" w:rsidRPr="008D560E">
          <w:rPr>
            <w:rStyle w:val="Hyperlink"/>
            <w:snapToGrid w:val="0"/>
          </w:rPr>
          <w:t>EXECUTIVE SUMMARY</w:t>
        </w:r>
        <w:r w:rsidR="00251F43">
          <w:rPr>
            <w:webHidden/>
          </w:rPr>
          <w:tab/>
        </w:r>
        <w:r w:rsidR="00251F43">
          <w:rPr>
            <w:webHidden/>
          </w:rPr>
          <w:fldChar w:fldCharType="begin"/>
        </w:r>
        <w:r w:rsidR="00251F43">
          <w:rPr>
            <w:webHidden/>
          </w:rPr>
          <w:instrText xml:space="preserve"> PAGEREF _Toc536109296 \h </w:instrText>
        </w:r>
        <w:r w:rsidR="00251F43">
          <w:rPr>
            <w:webHidden/>
          </w:rPr>
        </w:r>
        <w:r w:rsidR="00251F43">
          <w:rPr>
            <w:webHidden/>
          </w:rPr>
          <w:fldChar w:fldCharType="separate"/>
        </w:r>
        <w:r w:rsidR="00AF43D0">
          <w:rPr>
            <w:webHidden/>
          </w:rPr>
          <w:t>1</w:t>
        </w:r>
        <w:r w:rsidR="00251F43">
          <w:rPr>
            <w:webHidden/>
          </w:rPr>
          <w:fldChar w:fldCharType="end"/>
        </w:r>
      </w:hyperlink>
    </w:p>
    <w:p w:rsidR="00251F43" w:rsidRDefault="00AF43D0">
      <w:pPr>
        <w:pStyle w:val="TOC1"/>
        <w:rPr>
          <w:rFonts w:asciiTheme="minorHAnsi" w:eastAsiaTheme="minorEastAsia" w:hAnsiTheme="minorHAnsi" w:cstheme="minorBidi"/>
          <w:bCs w:val="0"/>
          <w:caps w:val="0"/>
          <w:sz w:val="22"/>
          <w:szCs w:val="22"/>
        </w:rPr>
      </w:pPr>
      <w:hyperlink w:anchor="_Toc536109297" w:history="1">
        <w:r w:rsidR="00251F43" w:rsidRPr="008D560E">
          <w:rPr>
            <w:rStyle w:val="Hyperlink"/>
          </w:rPr>
          <w:t>BACKGROUND</w:t>
        </w:r>
        <w:r w:rsidR="00251F43">
          <w:rPr>
            <w:webHidden/>
          </w:rPr>
          <w:tab/>
        </w:r>
        <w:r w:rsidR="00251F43">
          <w:rPr>
            <w:webHidden/>
          </w:rPr>
          <w:fldChar w:fldCharType="begin"/>
        </w:r>
        <w:r w:rsidR="00251F43">
          <w:rPr>
            <w:webHidden/>
          </w:rPr>
          <w:instrText xml:space="preserve"> PAGEREF _Toc536109297 \h </w:instrText>
        </w:r>
        <w:r w:rsidR="00251F43">
          <w:rPr>
            <w:webHidden/>
          </w:rPr>
        </w:r>
        <w:r w:rsidR="00251F43">
          <w:rPr>
            <w:webHidden/>
          </w:rPr>
          <w:fldChar w:fldCharType="separate"/>
        </w:r>
        <w:r>
          <w:rPr>
            <w:webHidden/>
          </w:rPr>
          <w:t>2</w:t>
        </w:r>
        <w:r w:rsidR="00251F43">
          <w:rPr>
            <w:webHidden/>
          </w:rPr>
          <w:fldChar w:fldCharType="end"/>
        </w:r>
      </w:hyperlink>
    </w:p>
    <w:p w:rsidR="00251F43" w:rsidRDefault="00AF43D0">
      <w:pPr>
        <w:pStyle w:val="TOC1"/>
        <w:rPr>
          <w:rFonts w:asciiTheme="minorHAnsi" w:eastAsiaTheme="minorEastAsia" w:hAnsiTheme="minorHAnsi" w:cstheme="minorBidi"/>
          <w:bCs w:val="0"/>
          <w:caps w:val="0"/>
          <w:sz w:val="22"/>
          <w:szCs w:val="22"/>
        </w:rPr>
      </w:pPr>
      <w:hyperlink w:anchor="_Toc536109298" w:history="1">
        <w:r w:rsidR="00251F43" w:rsidRPr="008D560E">
          <w:rPr>
            <w:rStyle w:val="Hyperlink"/>
          </w:rPr>
          <w:t>Existing guidance on differences in notes for the assessment of distinctness</w:t>
        </w:r>
        <w:r w:rsidR="00251F43">
          <w:rPr>
            <w:webHidden/>
          </w:rPr>
          <w:tab/>
        </w:r>
        <w:r w:rsidR="00251F43">
          <w:rPr>
            <w:webHidden/>
          </w:rPr>
          <w:fldChar w:fldCharType="begin"/>
        </w:r>
        <w:r w:rsidR="00251F43">
          <w:rPr>
            <w:webHidden/>
          </w:rPr>
          <w:instrText xml:space="preserve"> PAGEREF _Toc536109298 \h </w:instrText>
        </w:r>
        <w:r w:rsidR="00251F43">
          <w:rPr>
            <w:webHidden/>
          </w:rPr>
        </w:r>
        <w:r w:rsidR="00251F43">
          <w:rPr>
            <w:webHidden/>
          </w:rPr>
          <w:fldChar w:fldCharType="separate"/>
        </w:r>
        <w:r>
          <w:rPr>
            <w:webHidden/>
          </w:rPr>
          <w:t>2</w:t>
        </w:r>
        <w:r w:rsidR="00251F43">
          <w:rPr>
            <w:webHidden/>
          </w:rPr>
          <w:fldChar w:fldCharType="end"/>
        </w:r>
      </w:hyperlink>
    </w:p>
    <w:p w:rsidR="00C438E8" w:rsidRPr="00C438E8" w:rsidRDefault="00C438E8" w:rsidP="00B05AFE">
      <w:pPr>
        <w:ind w:left="1134" w:hanging="1134"/>
      </w:pPr>
      <w:r w:rsidRPr="00C438E8">
        <w:rPr>
          <w:rFonts w:cs="Arial"/>
          <w:highlight w:val="yellow"/>
        </w:rPr>
        <w:fldChar w:fldCharType="end"/>
      </w:r>
      <w:r w:rsidR="00396351">
        <w:rPr>
          <w:noProof/>
          <w:snapToGrid w:val="0"/>
        </w:rPr>
        <w:t>ANNEX</w:t>
      </w:r>
      <w:r w:rsidR="00B05AFE">
        <w:rPr>
          <w:noProof/>
          <w:snapToGrid w:val="0"/>
        </w:rPr>
        <w:t xml:space="preserve"> I</w:t>
      </w:r>
      <w:r w:rsidR="00396351">
        <w:rPr>
          <w:noProof/>
          <w:snapToGrid w:val="0"/>
        </w:rPr>
        <w:tab/>
        <w:t>Extracts from document</w:t>
      </w:r>
      <w:r w:rsidR="00B05AFE">
        <w:rPr>
          <w:noProof/>
          <w:snapToGrid w:val="0"/>
        </w:rPr>
        <w:t xml:space="preserve"> TG/1 </w:t>
      </w:r>
      <w:r w:rsidR="00B05AFE" w:rsidRPr="00916BB5">
        <w:t>“</w:t>
      </w:r>
      <w:r w:rsidR="00B05AFE" w:rsidRPr="00916BB5">
        <w:rPr>
          <w:lang w:val="en"/>
        </w:rPr>
        <w:t>General Introduction to the Examination of Distinctness, Uniformity and Stability and the Development of Harmonized Descriptions of new Varieties of Plants</w:t>
      </w:r>
      <w:r w:rsidR="00B05AFE">
        <w:rPr>
          <w:lang w:val="en"/>
        </w:rPr>
        <w:t>”</w:t>
      </w:r>
    </w:p>
    <w:p w:rsidR="005A4183" w:rsidRDefault="005A4183" w:rsidP="005A4183">
      <w:pPr>
        <w:ind w:left="1134" w:hanging="1134"/>
        <w:rPr>
          <w:lang w:val="en"/>
        </w:rPr>
      </w:pPr>
      <w:r>
        <w:rPr>
          <w:noProof/>
          <w:snapToGrid w:val="0"/>
        </w:rPr>
        <w:t>ANNEX II</w:t>
      </w:r>
      <w:r>
        <w:rPr>
          <w:noProof/>
          <w:snapToGrid w:val="0"/>
        </w:rPr>
        <w:tab/>
        <w:t xml:space="preserve">Extracts from document TGP/8 </w:t>
      </w:r>
      <w:r>
        <w:rPr>
          <w:lang w:val="en"/>
        </w:rPr>
        <w:t>“Trial design and techniques used in the examination of Distinctness, Uniformity and Stability.”</w:t>
      </w:r>
    </w:p>
    <w:p w:rsidR="00B05AFE" w:rsidRPr="00C438E8" w:rsidRDefault="00B05AFE" w:rsidP="00B05AFE">
      <w:pPr>
        <w:ind w:left="1134" w:hanging="1134"/>
      </w:pPr>
      <w:r>
        <w:rPr>
          <w:noProof/>
          <w:snapToGrid w:val="0"/>
        </w:rPr>
        <w:t>ANNEX II</w:t>
      </w:r>
      <w:r w:rsidR="005A4183">
        <w:rPr>
          <w:noProof/>
          <w:snapToGrid w:val="0"/>
        </w:rPr>
        <w:t>I</w:t>
      </w:r>
      <w:r>
        <w:rPr>
          <w:noProof/>
          <w:snapToGrid w:val="0"/>
        </w:rPr>
        <w:tab/>
        <w:t xml:space="preserve">Extracts from document TGP/9 </w:t>
      </w:r>
      <w:r>
        <w:rPr>
          <w:lang w:val="en"/>
        </w:rPr>
        <w:t xml:space="preserve">“Examining Distinctness” </w:t>
      </w:r>
    </w:p>
    <w:p w:rsidR="005A4183" w:rsidRPr="00C438E8" w:rsidRDefault="005A4183" w:rsidP="00B05AFE">
      <w:pPr>
        <w:ind w:left="1134" w:hanging="1134"/>
      </w:pPr>
      <w:r>
        <w:rPr>
          <w:lang w:val="en"/>
        </w:rPr>
        <w:t>ANNEX IV</w:t>
      </w:r>
      <w:r>
        <w:rPr>
          <w:lang w:val="en"/>
        </w:rPr>
        <w:tab/>
        <w:t>Extracts from document TGP/14 “Glossary of terms used in UPOV documents”</w:t>
      </w:r>
    </w:p>
    <w:p w:rsidR="00DD252C" w:rsidRDefault="00DD252C" w:rsidP="00DD252C">
      <w:bookmarkStart w:id="11" w:name="_Toc536109297"/>
    </w:p>
    <w:p w:rsidR="00C438E8" w:rsidRPr="00C438E8" w:rsidRDefault="00C438E8" w:rsidP="00C438E8">
      <w:pPr>
        <w:keepNext/>
        <w:outlineLvl w:val="0"/>
        <w:rPr>
          <w:caps/>
        </w:rPr>
      </w:pPr>
      <w:r w:rsidRPr="00C438E8">
        <w:rPr>
          <w:caps/>
        </w:rPr>
        <w:lastRenderedPageBreak/>
        <w:t>BACKGROUND</w:t>
      </w:r>
      <w:bookmarkEnd w:id="6"/>
      <w:bookmarkEnd w:id="7"/>
      <w:bookmarkEnd w:id="8"/>
      <w:bookmarkEnd w:id="9"/>
      <w:bookmarkEnd w:id="10"/>
      <w:bookmarkEnd w:id="11"/>
    </w:p>
    <w:bookmarkEnd w:id="4"/>
    <w:bookmarkEnd w:id="5"/>
    <w:p w:rsidR="00D12301" w:rsidRPr="00C438E8" w:rsidRDefault="00D12301" w:rsidP="00C438E8"/>
    <w:p w:rsidR="00634DF3" w:rsidRDefault="00634DF3" w:rsidP="00634DF3">
      <w:r w:rsidRPr="00916BB5">
        <w:fldChar w:fldCharType="begin"/>
      </w:r>
      <w:r w:rsidRPr="00916BB5">
        <w:instrText xml:space="preserve"> AUTONUM  </w:instrText>
      </w:r>
      <w:r w:rsidRPr="00916BB5">
        <w:fldChar w:fldCharType="end"/>
      </w:r>
      <w:r w:rsidRPr="00916BB5">
        <w:tab/>
        <w:t>The TC</w:t>
      </w:r>
      <w:r>
        <w:t>, at its fifty-fourth session, held in Geneva on October 29 and 30, 2018,</w:t>
      </w:r>
      <w:r w:rsidRPr="00916BB5">
        <w:t xml:space="preserve"> considered document</w:t>
      </w:r>
      <w:r>
        <w:t> TC/54/21 “Illustration for shape and ratio characteristics” (see document TC/54/31 “Report”, paragraphs 235 to 239</w:t>
      </w:r>
      <w:r w:rsidR="00251F43">
        <w:t>).</w:t>
      </w:r>
      <w:r>
        <w:t xml:space="preserve"> </w:t>
      </w:r>
    </w:p>
    <w:p w:rsidR="003F3C2D" w:rsidRPr="00916BB5" w:rsidRDefault="003F3C2D" w:rsidP="00634DF3"/>
    <w:p w:rsidR="00634DF3" w:rsidRPr="00916BB5" w:rsidRDefault="00634DF3" w:rsidP="00634DF3">
      <w:r w:rsidRPr="00916BB5">
        <w:fldChar w:fldCharType="begin"/>
      </w:r>
      <w:r w:rsidRPr="00916BB5">
        <w:instrText xml:space="preserve"> AUTONUM  </w:instrText>
      </w:r>
      <w:r w:rsidRPr="00916BB5">
        <w:fldChar w:fldCharType="end"/>
      </w:r>
      <w:r w:rsidRPr="00916BB5">
        <w:tab/>
        <w:t xml:space="preserve">The TC noted that grids </w:t>
      </w:r>
      <w:proofErr w:type="gramStart"/>
      <w:r w:rsidRPr="00916BB5">
        <w:t>could be used</w:t>
      </w:r>
      <w:proofErr w:type="gramEnd"/>
      <w:r w:rsidRPr="00916BB5">
        <w:t xml:space="preserve"> to clarify the states of expression and the differences between states of expression and to describe the range of expression for shape characteristics.</w:t>
      </w:r>
    </w:p>
    <w:p w:rsidR="00634DF3" w:rsidRPr="00916BB5" w:rsidRDefault="00634DF3" w:rsidP="00634DF3"/>
    <w:p w:rsidR="00634DF3" w:rsidRPr="00916BB5" w:rsidRDefault="00634DF3" w:rsidP="00634DF3">
      <w:r w:rsidRPr="00916BB5">
        <w:fldChar w:fldCharType="begin"/>
      </w:r>
      <w:r w:rsidRPr="00916BB5">
        <w:instrText xml:space="preserve"> AUTONUM  </w:instrText>
      </w:r>
      <w:r w:rsidRPr="00916BB5">
        <w:fldChar w:fldCharType="end"/>
      </w:r>
      <w:r w:rsidRPr="00916BB5">
        <w:tab/>
        <w:t xml:space="preserve">The TC noted the discussions on whether to identify situations when grids should and should not be used to explain states of expression in shape characteristics and agreed that the TWPs should decide on a case-by-case for each Test Guidelines according to the guidance in </w:t>
      </w:r>
      <w:r w:rsidR="008472F5">
        <w:t xml:space="preserve">document </w:t>
      </w:r>
      <w:r w:rsidRPr="00916BB5">
        <w:t xml:space="preserve">TGP/14 </w:t>
      </w:r>
      <w:r>
        <w:t>“Glossary of Terms Used in UPOV </w:t>
      </w:r>
      <w:r w:rsidRPr="00916BB5">
        <w:t xml:space="preserve">Documents”.  The TC recalled that, if grids </w:t>
      </w:r>
      <w:proofErr w:type="gramStart"/>
      <w:r w:rsidRPr="00916BB5">
        <w:t>were not used</w:t>
      </w:r>
      <w:proofErr w:type="gramEnd"/>
      <w:r w:rsidRPr="00916BB5">
        <w:t xml:space="preserve">, it was necessary for Test Guidelines to explain the differences between shapes by another clear and objective way.  </w:t>
      </w:r>
    </w:p>
    <w:p w:rsidR="00634DF3" w:rsidRPr="00916BB5" w:rsidRDefault="00634DF3" w:rsidP="00634DF3"/>
    <w:p w:rsidR="00634DF3" w:rsidRPr="00916BB5" w:rsidRDefault="00634DF3" w:rsidP="00634DF3">
      <w:r w:rsidRPr="00634DF3">
        <w:fldChar w:fldCharType="begin"/>
      </w:r>
      <w:r w:rsidRPr="00634DF3">
        <w:instrText xml:space="preserve"> AUTONUM  </w:instrText>
      </w:r>
      <w:r w:rsidRPr="00634DF3">
        <w:fldChar w:fldCharType="end"/>
      </w:r>
      <w:r w:rsidRPr="00634DF3">
        <w:tab/>
        <w:t xml:space="preserve">The TC noted the discussions on whether to provide guidance on how grids </w:t>
      </w:r>
      <w:r w:rsidR="003F3C2D">
        <w:t>could</w:t>
      </w:r>
      <w:r w:rsidRPr="00634DF3">
        <w:t xml:space="preserve"> clarify how differences in notes </w:t>
      </w:r>
      <w:proofErr w:type="gramStart"/>
      <w:r w:rsidRPr="00634DF3">
        <w:t>can be used</w:t>
      </w:r>
      <w:proofErr w:type="gramEnd"/>
      <w:r w:rsidRPr="00634DF3">
        <w:t xml:space="preserve"> for the assessment of distinctness, in accordance with the guidance in the General</w:t>
      </w:r>
      <w:r w:rsidR="00221E79">
        <w:t> </w:t>
      </w:r>
      <w:r w:rsidRPr="00916BB5">
        <w:t>Introduction and document TGP/9.</w:t>
      </w:r>
    </w:p>
    <w:p w:rsidR="00634DF3" w:rsidRPr="00916BB5" w:rsidRDefault="00634DF3" w:rsidP="00634DF3"/>
    <w:p w:rsidR="00634DF3" w:rsidRPr="00916BB5" w:rsidRDefault="00634DF3" w:rsidP="00634DF3">
      <w:r w:rsidRPr="00916BB5">
        <w:fldChar w:fldCharType="begin"/>
      </w:r>
      <w:r w:rsidRPr="00916BB5">
        <w:instrText xml:space="preserve"> AUTONUM  </w:instrText>
      </w:r>
      <w:r w:rsidRPr="00916BB5">
        <w:fldChar w:fldCharType="end"/>
      </w:r>
      <w:r w:rsidRPr="00916BB5">
        <w:tab/>
        <w:t xml:space="preserve">The TC noted that the GAIA software was an example on how differences in notes </w:t>
      </w:r>
      <w:proofErr w:type="gramStart"/>
      <w:r w:rsidRPr="00916BB5">
        <w:t>could be used</w:t>
      </w:r>
      <w:proofErr w:type="gramEnd"/>
      <w:r w:rsidRPr="00916BB5">
        <w:t xml:space="preserve"> for the assessment of distinctness.  The TC agreed to request the UPOV Office to prepare a document for discussion at the TWPs providing explanations on QN and PQ characteristics from document TG/1/3 “</w:t>
      </w:r>
      <w:r w:rsidRPr="00916BB5">
        <w:rPr>
          <w:lang w:val="en"/>
        </w:rPr>
        <w:t>General Introduction to the Examination of Distinctness, Uniformity and Stability and the Development of Harmonized Descriptions of new Varieties of Plants</w:t>
      </w:r>
      <w:r w:rsidRPr="00916BB5">
        <w:t>”</w:t>
      </w:r>
      <w:r>
        <w:t>.</w:t>
      </w:r>
      <w:r w:rsidRPr="00916BB5">
        <w:t xml:space="preserve">  The TC agreed that such discussions </w:t>
      </w:r>
      <w:proofErr w:type="gramStart"/>
      <w:r w:rsidRPr="00916BB5">
        <w:t>should be dissociated</w:t>
      </w:r>
      <w:proofErr w:type="gramEnd"/>
      <w:r w:rsidRPr="00916BB5">
        <w:t xml:space="preserve"> from the discussions on the use of grids to illustrate shape and ratio characteristics. </w:t>
      </w:r>
    </w:p>
    <w:p w:rsidR="00CA4D33" w:rsidRPr="00C438E8" w:rsidRDefault="00CA4D33" w:rsidP="00634DF3"/>
    <w:p w:rsidR="00221E79" w:rsidRDefault="00BF6982" w:rsidP="00BF6982">
      <w:pPr>
        <w:pStyle w:val="Heading1"/>
      </w:pPr>
      <w:bookmarkStart w:id="12" w:name="_Toc536109298"/>
      <w:r>
        <w:t>Existing guidance</w:t>
      </w:r>
      <w:r w:rsidR="00221E79" w:rsidRPr="00916BB5">
        <w:t xml:space="preserve"> </w:t>
      </w:r>
      <w:r w:rsidR="00221E79">
        <w:t>on differences in notes for the assessment of distinctness</w:t>
      </w:r>
      <w:bookmarkEnd w:id="12"/>
    </w:p>
    <w:p w:rsidR="00C438E8" w:rsidRDefault="00C438E8" w:rsidP="00C438E8"/>
    <w:p w:rsidR="00DB1F83" w:rsidRDefault="00DB1F83" w:rsidP="00C438E8">
      <w:r>
        <w:fldChar w:fldCharType="begin"/>
      </w:r>
      <w:r>
        <w:instrText xml:space="preserve"> AUTONUM  </w:instrText>
      </w:r>
      <w:r>
        <w:fldChar w:fldCharType="end"/>
      </w:r>
      <w:r>
        <w:tab/>
      </w:r>
      <w:r w:rsidR="00D1783B">
        <w:t xml:space="preserve">Document </w:t>
      </w:r>
      <w:r w:rsidR="00D1783B" w:rsidRPr="00D1783B">
        <w:t>TGP/8 “Trial design and techniques used in the examination of Distinctness, Uniformity and Stability”</w:t>
      </w:r>
      <w:r w:rsidR="00D1783B">
        <w:t xml:space="preserve"> describes the GAIA methodology.  The principle is to compute a phenotypic distance between each pair of varieties, this distance being the sum of distances on each individual observed characteristic.  The following example </w:t>
      </w:r>
      <w:proofErr w:type="gramStart"/>
      <w:r w:rsidR="00D1783B">
        <w:t xml:space="preserve">is </w:t>
      </w:r>
      <w:r w:rsidR="00CA4D33">
        <w:t>provided</w:t>
      </w:r>
      <w:proofErr w:type="gramEnd"/>
      <w:r w:rsidR="00D1783B">
        <w:t xml:space="preserve"> in section </w:t>
      </w:r>
      <w:r w:rsidR="00D1783B" w:rsidRPr="00D1783B">
        <w:t>1.3.5.2.5</w:t>
      </w:r>
      <w:r w:rsidR="00D1783B">
        <w:t>:</w:t>
      </w:r>
    </w:p>
    <w:p w:rsidR="00CA4D33" w:rsidRPr="00DA1D91" w:rsidRDefault="00CA4D33" w:rsidP="00C438E8">
      <w:pPr>
        <w:rPr>
          <w:rFonts w:cs="Arial"/>
          <w:sz w:val="18"/>
          <w:szCs w:val="18"/>
        </w:rPr>
      </w:pPr>
    </w:p>
    <w:p w:rsidR="00554FCD" w:rsidRPr="00DA1D91" w:rsidRDefault="00DA1D91" w:rsidP="00DA1D91">
      <w:pPr>
        <w:keepNext/>
        <w:keepLines/>
        <w:tabs>
          <w:tab w:val="left" w:pos="1134"/>
        </w:tabs>
        <w:ind w:left="567" w:right="567"/>
        <w:rPr>
          <w:rFonts w:cs="Arial"/>
          <w:color w:val="000000"/>
          <w:sz w:val="18"/>
          <w:szCs w:val="18"/>
        </w:rPr>
      </w:pPr>
      <w:r>
        <w:rPr>
          <w:rFonts w:cs="Arial"/>
          <w:snapToGrid w:val="0"/>
          <w:sz w:val="18"/>
          <w:szCs w:val="18"/>
        </w:rPr>
        <w:t>“</w:t>
      </w:r>
      <w:r w:rsidR="00554FCD" w:rsidRPr="00DA1D91">
        <w:rPr>
          <w:rFonts w:cs="Arial"/>
          <w:snapToGrid w:val="0"/>
          <w:sz w:val="18"/>
          <w:szCs w:val="18"/>
        </w:rPr>
        <w:t>1</w:t>
      </w:r>
      <w:r w:rsidR="00554FCD" w:rsidRPr="00DA1D91">
        <w:rPr>
          <w:rFonts w:cs="Arial"/>
          <w:sz w:val="18"/>
          <w:szCs w:val="18"/>
        </w:rPr>
        <w:t>.3.5.2.5</w:t>
      </w:r>
      <w:r w:rsidR="00554FCD" w:rsidRPr="00DA1D91">
        <w:rPr>
          <w:rFonts w:cs="Arial"/>
          <w:sz w:val="18"/>
          <w:szCs w:val="18"/>
        </w:rPr>
        <w:tab/>
      </w:r>
      <w:r w:rsidR="00554FCD" w:rsidRPr="00DA1D91">
        <w:rPr>
          <w:rFonts w:cs="Arial"/>
          <w:color w:val="000000"/>
          <w:sz w:val="18"/>
          <w:szCs w:val="18"/>
        </w:rPr>
        <w:t xml:space="preserve"> “Length of husks”, observed on a 1 to 9 scale, the crop expert has defined the following weighting matrix:</w:t>
      </w:r>
    </w:p>
    <w:tbl>
      <w:tblPr>
        <w:tblW w:w="0" w:type="auto"/>
        <w:tblLayout w:type="fixed"/>
        <w:tblCellMar>
          <w:left w:w="70" w:type="dxa"/>
          <w:right w:w="70" w:type="dxa"/>
        </w:tblCellMar>
        <w:tblLook w:val="0000" w:firstRow="0" w:lastRow="0" w:firstColumn="0" w:lastColumn="0" w:noHBand="0" w:noVBand="0"/>
      </w:tblPr>
      <w:tblGrid>
        <w:gridCol w:w="420"/>
        <w:gridCol w:w="323"/>
        <w:gridCol w:w="323"/>
        <w:gridCol w:w="323"/>
        <w:gridCol w:w="323"/>
        <w:gridCol w:w="323"/>
        <w:gridCol w:w="323"/>
        <w:gridCol w:w="323"/>
        <w:gridCol w:w="323"/>
        <w:gridCol w:w="323"/>
        <w:gridCol w:w="323"/>
      </w:tblGrid>
      <w:tr w:rsidR="00554FCD" w:rsidRPr="00DA1D91" w:rsidTr="00DA1D91">
        <w:trPr>
          <w:trHeight w:val="261"/>
        </w:trPr>
        <w:tc>
          <w:tcPr>
            <w:tcW w:w="420" w:type="dxa"/>
          </w:tcPr>
          <w:p w:rsidR="00554FCD" w:rsidRPr="00DA1D91" w:rsidRDefault="00554FCD" w:rsidP="00DA1D91">
            <w:pPr>
              <w:framePr w:hSpace="141" w:wrap="auto" w:vAnchor="text" w:hAnchor="page" w:x="4974" w:y="82"/>
              <w:rPr>
                <w:rFonts w:cs="Arial"/>
                <w:sz w:val="18"/>
                <w:szCs w:val="18"/>
              </w:rPr>
            </w:pPr>
          </w:p>
        </w:tc>
        <w:tc>
          <w:tcPr>
            <w:tcW w:w="323" w:type="dxa"/>
            <w:tcBorders>
              <w:right w:val="single" w:sz="4" w:space="0" w:color="auto"/>
            </w:tcBorders>
            <w:vAlign w:val="center"/>
          </w:tcPr>
          <w:p w:rsidR="00554FCD" w:rsidRPr="00DA1D91" w:rsidRDefault="00554FCD" w:rsidP="00DA1D91">
            <w:pPr>
              <w:framePr w:hSpace="141" w:wrap="auto" w:vAnchor="text" w:hAnchor="page" w:x="4974" w:y="82"/>
              <w:rPr>
                <w:rFonts w:cs="Arial"/>
                <w:sz w:val="18"/>
                <w:szCs w:val="18"/>
              </w:rPr>
            </w:pPr>
          </w:p>
        </w:tc>
        <w:tc>
          <w:tcPr>
            <w:tcW w:w="2907" w:type="dxa"/>
            <w:gridSpan w:val="9"/>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jc w:val="center"/>
              <w:rPr>
                <w:rFonts w:cs="Arial"/>
                <w:sz w:val="18"/>
                <w:szCs w:val="18"/>
              </w:rPr>
            </w:pPr>
            <w:r w:rsidRPr="00DA1D91">
              <w:rPr>
                <w:rFonts w:cs="Arial"/>
                <w:sz w:val="18"/>
                <w:szCs w:val="18"/>
              </w:rPr>
              <w:t>Variety ‘</w:t>
            </w:r>
            <w:proofErr w:type="spellStart"/>
            <w:r w:rsidRPr="00DA1D91">
              <w:rPr>
                <w:rFonts w:cs="Arial"/>
                <w:sz w:val="18"/>
                <w:szCs w:val="18"/>
              </w:rPr>
              <w:t>i</w:t>
            </w:r>
            <w:proofErr w:type="spellEnd"/>
            <w:r w:rsidRPr="00DA1D91">
              <w:rPr>
                <w:rFonts w:cs="Arial"/>
                <w:sz w:val="18"/>
                <w:szCs w:val="18"/>
              </w:rPr>
              <w:t>’</w:t>
            </w:r>
          </w:p>
        </w:tc>
      </w:tr>
      <w:tr w:rsidR="00554FCD" w:rsidRPr="00DA1D91" w:rsidTr="00DA1D91">
        <w:trPr>
          <w:trHeight w:val="261"/>
        </w:trPr>
        <w:tc>
          <w:tcPr>
            <w:tcW w:w="420" w:type="dxa"/>
            <w:tcBorders>
              <w:bottom w:val="single" w:sz="4" w:space="0" w:color="auto"/>
            </w:tcBorders>
          </w:tcPr>
          <w:p w:rsidR="00554FCD" w:rsidRPr="00DA1D91" w:rsidRDefault="00554FCD" w:rsidP="00DA1D91">
            <w:pPr>
              <w:framePr w:hSpace="141" w:wrap="auto" w:vAnchor="text" w:hAnchor="page" w:x="4974" w:y="82"/>
              <w:rPr>
                <w:rFonts w:cs="Arial"/>
                <w:sz w:val="18"/>
                <w:szCs w:val="18"/>
              </w:rPr>
            </w:pPr>
          </w:p>
        </w:tc>
        <w:tc>
          <w:tcPr>
            <w:tcW w:w="323" w:type="dxa"/>
            <w:tcBorders>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sz w:val="18"/>
                <w:szCs w:val="18"/>
              </w:rPr>
            </w:pPr>
            <w:r w:rsidRPr="00DA1D91">
              <w:rPr>
                <w:rFonts w:cs="Arial"/>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sz w:val="18"/>
                <w:szCs w:val="18"/>
              </w:rPr>
            </w:pPr>
            <w:r w:rsidRPr="00DA1D91">
              <w:rPr>
                <w:rFonts w:cs="Arial"/>
                <w:sz w:val="18"/>
                <w:szCs w:val="18"/>
              </w:rPr>
              <w:t>1</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sz w:val="18"/>
                <w:szCs w:val="18"/>
              </w:rPr>
            </w:pPr>
            <w:r w:rsidRPr="00DA1D91">
              <w:rPr>
                <w:rFonts w:cs="Arial"/>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sz w:val="18"/>
                <w:szCs w:val="18"/>
              </w:rPr>
            </w:pPr>
            <w:r w:rsidRPr="00DA1D91">
              <w:rPr>
                <w:rFonts w:cs="Arial"/>
                <w:sz w:val="18"/>
                <w:szCs w:val="18"/>
              </w:rPr>
              <w:t>3</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sz w:val="18"/>
                <w:szCs w:val="18"/>
              </w:rPr>
            </w:pPr>
            <w:r w:rsidRPr="00DA1D91">
              <w:rPr>
                <w:rFonts w:cs="Arial"/>
                <w:sz w:val="18"/>
                <w:szCs w:val="18"/>
              </w:rPr>
              <w:t>4</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sz w:val="18"/>
                <w:szCs w:val="18"/>
              </w:rPr>
            </w:pPr>
            <w:r w:rsidRPr="00DA1D91">
              <w:rPr>
                <w:rFonts w:cs="Arial"/>
                <w:sz w:val="18"/>
                <w:szCs w:val="18"/>
              </w:rPr>
              <w:t>5</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sz w:val="18"/>
                <w:szCs w:val="18"/>
              </w:rPr>
            </w:pPr>
            <w:r w:rsidRPr="00DA1D91">
              <w:rPr>
                <w:rFonts w:cs="Arial"/>
                <w:sz w:val="18"/>
                <w:szCs w:val="18"/>
              </w:rPr>
              <w:t>6</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sz w:val="18"/>
                <w:szCs w:val="18"/>
              </w:rPr>
            </w:pPr>
            <w:r w:rsidRPr="00DA1D91">
              <w:rPr>
                <w:rFonts w:cs="Arial"/>
                <w:sz w:val="18"/>
                <w:szCs w:val="18"/>
              </w:rPr>
              <w:t>7</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sz w:val="18"/>
                <w:szCs w:val="18"/>
              </w:rPr>
            </w:pPr>
            <w:r w:rsidRPr="00DA1D91">
              <w:rPr>
                <w:rFonts w:cs="Arial"/>
                <w:sz w:val="18"/>
                <w:szCs w:val="18"/>
              </w:rPr>
              <w:t>8</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sz w:val="18"/>
                <w:szCs w:val="18"/>
              </w:rPr>
            </w:pPr>
            <w:r w:rsidRPr="00DA1D91">
              <w:rPr>
                <w:rFonts w:cs="Arial"/>
                <w:sz w:val="18"/>
                <w:szCs w:val="18"/>
              </w:rPr>
              <w:t>9</w:t>
            </w:r>
          </w:p>
        </w:tc>
      </w:tr>
      <w:tr w:rsidR="00554FCD" w:rsidRPr="00DA1D91" w:rsidTr="00DA1D91">
        <w:trPr>
          <w:cantSplit/>
          <w:trHeight w:val="261"/>
        </w:trPr>
        <w:tc>
          <w:tcPr>
            <w:tcW w:w="420" w:type="dxa"/>
            <w:vMerge w:val="restart"/>
            <w:tcBorders>
              <w:top w:val="single" w:sz="4" w:space="0" w:color="auto"/>
              <w:left w:val="single" w:sz="4" w:space="0" w:color="auto"/>
              <w:bottom w:val="single" w:sz="4" w:space="0" w:color="auto"/>
              <w:right w:val="single" w:sz="4" w:space="0" w:color="auto"/>
            </w:tcBorders>
            <w:textDirection w:val="btLr"/>
          </w:tcPr>
          <w:p w:rsidR="00554FCD" w:rsidRPr="00DA1D91" w:rsidRDefault="00554FCD" w:rsidP="00DA1D91">
            <w:pPr>
              <w:framePr w:hSpace="141" w:wrap="auto" w:vAnchor="text" w:hAnchor="page" w:x="4974" w:y="82"/>
              <w:ind w:left="113" w:right="113"/>
              <w:jc w:val="center"/>
              <w:rPr>
                <w:rFonts w:cs="Arial"/>
                <w:color w:val="000000"/>
                <w:sz w:val="18"/>
                <w:szCs w:val="18"/>
              </w:rPr>
            </w:pPr>
            <w:r w:rsidRPr="00DA1D91">
              <w:rPr>
                <w:rFonts w:cs="Arial"/>
                <w:color w:val="000000"/>
                <w:sz w:val="18"/>
                <w:szCs w:val="18"/>
              </w:rPr>
              <w:t xml:space="preserve">Variety </w:t>
            </w:r>
            <w:r w:rsidR="00CA4D33">
              <w:rPr>
                <w:rFonts w:cs="Arial"/>
                <w:color w:val="000000"/>
                <w:sz w:val="18"/>
                <w:szCs w:val="18"/>
              </w:rPr>
              <w:t>‘</w:t>
            </w:r>
            <w:r w:rsidRPr="00DA1D91">
              <w:rPr>
                <w:rFonts w:cs="Arial"/>
                <w:sz w:val="18"/>
                <w:szCs w:val="18"/>
              </w:rPr>
              <w:t>j’</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1</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r>
      <w:tr w:rsidR="00554FCD" w:rsidRPr="00DA1D91" w:rsidTr="00DA1D91">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554FCD" w:rsidRPr="00DA1D91" w:rsidRDefault="00554FCD" w:rsidP="00DA1D91">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r>
      <w:tr w:rsidR="00554FCD" w:rsidRPr="00DA1D91" w:rsidTr="00DA1D91">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554FCD" w:rsidRPr="00DA1D91" w:rsidRDefault="00554FCD" w:rsidP="00DA1D91">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3</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r>
      <w:tr w:rsidR="00554FCD" w:rsidRPr="00DA1D91" w:rsidTr="00DA1D91">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554FCD" w:rsidRPr="00DA1D91" w:rsidRDefault="00554FCD" w:rsidP="00DA1D91">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4</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r>
      <w:tr w:rsidR="00554FCD" w:rsidRPr="00DA1D91" w:rsidTr="00DA1D91">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554FCD" w:rsidRPr="00DA1D91" w:rsidRDefault="00554FCD" w:rsidP="00DA1D91">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5</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r>
      <w:tr w:rsidR="00554FCD" w:rsidRPr="00DA1D91" w:rsidTr="00DA1D91">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554FCD" w:rsidRPr="00DA1D91" w:rsidRDefault="00554FCD" w:rsidP="00DA1D91">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6</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2</w:t>
            </w:r>
          </w:p>
        </w:tc>
      </w:tr>
      <w:tr w:rsidR="00554FCD" w:rsidRPr="00DA1D91" w:rsidTr="00DA1D91">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554FCD" w:rsidRPr="00DA1D91" w:rsidRDefault="00554FCD" w:rsidP="00DA1D91">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7</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r>
      <w:tr w:rsidR="00554FCD" w:rsidRPr="00DA1D91" w:rsidTr="00DA1D91">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554FCD" w:rsidRPr="00DA1D91" w:rsidRDefault="00554FCD" w:rsidP="00DA1D91">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8</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r>
      <w:tr w:rsidR="00554FCD" w:rsidRPr="00DA1D91" w:rsidTr="00DA1D91">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554FCD" w:rsidRPr="00DA1D91" w:rsidRDefault="00554FCD" w:rsidP="00DA1D91">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9</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554FCD" w:rsidRPr="00DA1D91" w:rsidRDefault="00554FCD" w:rsidP="00DA1D91">
            <w:pPr>
              <w:framePr w:hSpace="141" w:wrap="auto" w:vAnchor="text" w:hAnchor="page" w:x="4974" w:y="82"/>
              <w:rPr>
                <w:rFonts w:cs="Arial"/>
                <w:color w:val="000000"/>
                <w:sz w:val="18"/>
                <w:szCs w:val="18"/>
              </w:rPr>
            </w:pPr>
            <w:r w:rsidRPr="00DA1D91">
              <w:rPr>
                <w:rFonts w:cs="Arial"/>
                <w:color w:val="000000"/>
                <w:sz w:val="18"/>
                <w:szCs w:val="18"/>
              </w:rPr>
              <w:t>0</w:t>
            </w:r>
          </w:p>
        </w:tc>
      </w:tr>
    </w:tbl>
    <w:p w:rsidR="00554FCD" w:rsidRPr="00DA1D91" w:rsidRDefault="00554FCD" w:rsidP="00554FCD">
      <w:pPr>
        <w:rPr>
          <w:rFonts w:cs="Arial"/>
          <w:color w:val="000000"/>
          <w:sz w:val="18"/>
          <w:szCs w:val="18"/>
        </w:rPr>
      </w:pPr>
    </w:p>
    <w:p w:rsidR="00554FCD" w:rsidRPr="00DA1D91" w:rsidRDefault="00554FCD" w:rsidP="00554FCD">
      <w:pPr>
        <w:ind w:left="1134"/>
        <w:rPr>
          <w:rFonts w:cs="Arial"/>
          <w:color w:val="000000"/>
          <w:sz w:val="18"/>
          <w:szCs w:val="18"/>
        </w:rPr>
      </w:pPr>
      <w:r w:rsidRPr="00DA1D91">
        <w:rPr>
          <w:rFonts w:cs="Arial"/>
          <w:color w:val="000000"/>
          <w:sz w:val="18"/>
          <w:szCs w:val="18"/>
        </w:rPr>
        <w:t>1 = very short</w:t>
      </w:r>
    </w:p>
    <w:p w:rsidR="00554FCD" w:rsidRPr="00DA1D91" w:rsidRDefault="00554FCD" w:rsidP="00554FCD">
      <w:pPr>
        <w:ind w:left="1134"/>
        <w:rPr>
          <w:rFonts w:cs="Arial"/>
          <w:color w:val="000000"/>
          <w:sz w:val="18"/>
          <w:szCs w:val="18"/>
        </w:rPr>
      </w:pPr>
      <w:r w:rsidRPr="00DA1D91">
        <w:rPr>
          <w:rFonts w:cs="Arial"/>
          <w:color w:val="000000"/>
          <w:sz w:val="18"/>
          <w:szCs w:val="18"/>
        </w:rPr>
        <w:t>2 = very short to short</w:t>
      </w:r>
    </w:p>
    <w:p w:rsidR="00554FCD" w:rsidRPr="00DA1D91" w:rsidRDefault="00554FCD" w:rsidP="00554FCD">
      <w:pPr>
        <w:ind w:left="1134"/>
        <w:rPr>
          <w:rFonts w:cs="Arial"/>
          <w:color w:val="000000"/>
          <w:sz w:val="18"/>
          <w:szCs w:val="18"/>
        </w:rPr>
      </w:pPr>
      <w:r w:rsidRPr="00DA1D91">
        <w:rPr>
          <w:rFonts w:cs="Arial"/>
          <w:color w:val="000000"/>
          <w:sz w:val="18"/>
          <w:szCs w:val="18"/>
        </w:rPr>
        <w:t>3 = short</w:t>
      </w:r>
    </w:p>
    <w:p w:rsidR="00554FCD" w:rsidRPr="00DA1D91" w:rsidRDefault="00554FCD" w:rsidP="00554FCD">
      <w:pPr>
        <w:ind w:left="1134"/>
        <w:rPr>
          <w:rFonts w:cs="Arial"/>
          <w:color w:val="000000"/>
          <w:sz w:val="18"/>
          <w:szCs w:val="18"/>
        </w:rPr>
      </w:pPr>
      <w:r w:rsidRPr="00DA1D91">
        <w:rPr>
          <w:rFonts w:cs="Arial"/>
          <w:color w:val="000000"/>
          <w:sz w:val="18"/>
          <w:szCs w:val="18"/>
        </w:rPr>
        <w:t>4 = short to medium</w:t>
      </w:r>
    </w:p>
    <w:p w:rsidR="00554FCD" w:rsidRPr="00DA1D91" w:rsidRDefault="00554FCD" w:rsidP="00554FCD">
      <w:pPr>
        <w:ind w:left="1134"/>
        <w:rPr>
          <w:rFonts w:cs="Arial"/>
          <w:color w:val="000000"/>
          <w:sz w:val="18"/>
          <w:szCs w:val="18"/>
        </w:rPr>
      </w:pPr>
      <w:r w:rsidRPr="00DA1D91">
        <w:rPr>
          <w:rFonts w:cs="Arial"/>
          <w:color w:val="000000"/>
          <w:sz w:val="18"/>
          <w:szCs w:val="18"/>
        </w:rPr>
        <w:t>5 = medium</w:t>
      </w:r>
    </w:p>
    <w:p w:rsidR="00554FCD" w:rsidRPr="00DA1D91" w:rsidRDefault="00554FCD" w:rsidP="00554FCD">
      <w:pPr>
        <w:ind w:left="1134"/>
        <w:rPr>
          <w:rFonts w:cs="Arial"/>
          <w:color w:val="000000"/>
          <w:sz w:val="18"/>
          <w:szCs w:val="18"/>
        </w:rPr>
      </w:pPr>
      <w:r w:rsidRPr="00DA1D91">
        <w:rPr>
          <w:rFonts w:cs="Arial"/>
          <w:color w:val="000000"/>
          <w:sz w:val="18"/>
          <w:szCs w:val="18"/>
        </w:rPr>
        <w:t>6 = medium to long</w:t>
      </w:r>
    </w:p>
    <w:p w:rsidR="00554FCD" w:rsidRPr="00DA1D91" w:rsidRDefault="00554FCD" w:rsidP="00554FCD">
      <w:pPr>
        <w:ind w:left="1134"/>
        <w:rPr>
          <w:rFonts w:cs="Arial"/>
          <w:color w:val="000000"/>
          <w:sz w:val="18"/>
          <w:szCs w:val="18"/>
        </w:rPr>
      </w:pPr>
      <w:r w:rsidRPr="00DA1D91">
        <w:rPr>
          <w:rFonts w:cs="Arial"/>
          <w:color w:val="000000"/>
          <w:sz w:val="18"/>
          <w:szCs w:val="18"/>
        </w:rPr>
        <w:t>7 = long</w:t>
      </w:r>
    </w:p>
    <w:p w:rsidR="00554FCD" w:rsidRPr="00DA1D91" w:rsidRDefault="00554FCD" w:rsidP="00554FCD">
      <w:pPr>
        <w:ind w:left="1134"/>
        <w:rPr>
          <w:rFonts w:cs="Arial"/>
          <w:color w:val="000000"/>
          <w:sz w:val="18"/>
          <w:szCs w:val="18"/>
        </w:rPr>
      </w:pPr>
      <w:r w:rsidRPr="00DA1D91">
        <w:rPr>
          <w:rFonts w:cs="Arial"/>
          <w:color w:val="000000"/>
          <w:sz w:val="18"/>
          <w:szCs w:val="18"/>
        </w:rPr>
        <w:t>8 = long to very long</w:t>
      </w:r>
    </w:p>
    <w:p w:rsidR="00554FCD" w:rsidRPr="00DA1D91" w:rsidRDefault="00554FCD" w:rsidP="00554FCD">
      <w:pPr>
        <w:ind w:left="1134"/>
        <w:rPr>
          <w:rFonts w:cs="Arial"/>
          <w:color w:val="000000"/>
          <w:sz w:val="18"/>
          <w:szCs w:val="18"/>
        </w:rPr>
      </w:pPr>
      <w:r w:rsidRPr="00DA1D91">
        <w:rPr>
          <w:rFonts w:cs="Arial"/>
          <w:color w:val="000000"/>
          <w:sz w:val="18"/>
          <w:szCs w:val="18"/>
        </w:rPr>
        <w:t>9 = very long</w:t>
      </w:r>
    </w:p>
    <w:p w:rsidR="00554FCD" w:rsidRPr="00DA1D91" w:rsidRDefault="00554FCD" w:rsidP="00554FCD">
      <w:pPr>
        <w:rPr>
          <w:rFonts w:cs="Arial"/>
          <w:color w:val="000000"/>
          <w:sz w:val="18"/>
          <w:szCs w:val="18"/>
        </w:rPr>
      </w:pPr>
    </w:p>
    <w:p w:rsidR="00554FCD" w:rsidRPr="00DA1D91" w:rsidRDefault="00554FCD" w:rsidP="00554FCD">
      <w:pPr>
        <w:rPr>
          <w:rFonts w:cs="Arial"/>
          <w:sz w:val="18"/>
          <w:szCs w:val="18"/>
        </w:rPr>
      </w:pPr>
    </w:p>
    <w:p w:rsidR="00554FCD" w:rsidRPr="00DA1D91" w:rsidRDefault="00554FCD" w:rsidP="00554FCD">
      <w:pPr>
        <w:rPr>
          <w:rFonts w:cs="Arial"/>
          <w:sz w:val="18"/>
          <w:szCs w:val="18"/>
        </w:rPr>
      </w:pPr>
    </w:p>
    <w:p w:rsidR="00554FCD" w:rsidRPr="00DA1D91" w:rsidRDefault="00554FCD" w:rsidP="00554FCD">
      <w:pPr>
        <w:rPr>
          <w:rFonts w:cs="Arial"/>
          <w:snapToGrid w:val="0"/>
          <w:sz w:val="18"/>
          <w:szCs w:val="18"/>
        </w:rPr>
      </w:pPr>
    </w:p>
    <w:p w:rsidR="00554FCD" w:rsidRPr="00DA1D91" w:rsidRDefault="00554FCD" w:rsidP="00554FCD">
      <w:pPr>
        <w:rPr>
          <w:rFonts w:cs="Arial"/>
          <w:snapToGrid w:val="0"/>
          <w:sz w:val="18"/>
          <w:szCs w:val="18"/>
        </w:rPr>
      </w:pPr>
    </w:p>
    <w:p w:rsidR="00DA1D91" w:rsidRDefault="00DA1D91" w:rsidP="00554FCD">
      <w:pPr>
        <w:tabs>
          <w:tab w:val="left" w:pos="1134"/>
        </w:tabs>
        <w:rPr>
          <w:rFonts w:cs="Arial"/>
          <w:snapToGrid w:val="0"/>
          <w:sz w:val="18"/>
          <w:szCs w:val="18"/>
        </w:rPr>
      </w:pPr>
    </w:p>
    <w:p w:rsidR="00554FCD" w:rsidRPr="00DA1D91" w:rsidRDefault="00DA1D91" w:rsidP="00DA1D91">
      <w:pPr>
        <w:tabs>
          <w:tab w:val="left" w:pos="1134"/>
        </w:tabs>
        <w:ind w:left="567" w:right="567"/>
        <w:rPr>
          <w:rFonts w:cs="Arial"/>
          <w:color w:val="000000"/>
          <w:sz w:val="18"/>
          <w:szCs w:val="18"/>
        </w:rPr>
      </w:pPr>
      <w:r>
        <w:rPr>
          <w:rFonts w:cs="Arial"/>
          <w:snapToGrid w:val="0"/>
          <w:sz w:val="18"/>
          <w:szCs w:val="18"/>
        </w:rPr>
        <w:t>“</w:t>
      </w:r>
      <w:r w:rsidR="00554FCD" w:rsidRPr="00DA1D91">
        <w:rPr>
          <w:rFonts w:cs="Arial"/>
          <w:snapToGrid w:val="0"/>
          <w:sz w:val="18"/>
          <w:szCs w:val="18"/>
        </w:rPr>
        <w:t>1</w:t>
      </w:r>
      <w:r w:rsidR="00554FCD" w:rsidRPr="00DA1D91">
        <w:rPr>
          <w:rFonts w:cs="Arial"/>
          <w:sz w:val="18"/>
          <w:szCs w:val="18"/>
        </w:rPr>
        <w:t>.3.5.2.6</w:t>
      </w:r>
      <w:r w:rsidR="00554FCD" w:rsidRPr="00DA1D91">
        <w:rPr>
          <w:rFonts w:cs="Arial"/>
          <w:sz w:val="18"/>
          <w:szCs w:val="18"/>
        </w:rPr>
        <w:tab/>
      </w:r>
      <w:proofErr w:type="gramStart"/>
      <w:r w:rsidR="00554FCD" w:rsidRPr="00DA1D91">
        <w:rPr>
          <w:rFonts w:cs="Arial"/>
          <w:sz w:val="18"/>
          <w:szCs w:val="18"/>
        </w:rPr>
        <w:t>The</w:t>
      </w:r>
      <w:proofErr w:type="gramEnd"/>
      <w:r w:rsidR="00554FCD" w:rsidRPr="00DA1D91">
        <w:rPr>
          <w:rFonts w:cs="Arial"/>
          <w:sz w:val="18"/>
          <w:szCs w:val="18"/>
        </w:rPr>
        <w:t xml:space="preserve"> weighting between a variety ‘</w:t>
      </w:r>
      <w:proofErr w:type="spellStart"/>
      <w:r w:rsidR="00554FCD" w:rsidRPr="00DA1D91">
        <w:rPr>
          <w:rFonts w:cs="Arial"/>
          <w:sz w:val="18"/>
          <w:szCs w:val="18"/>
        </w:rPr>
        <w:t>i</w:t>
      </w:r>
      <w:proofErr w:type="spellEnd"/>
      <w:r w:rsidR="00554FCD" w:rsidRPr="00DA1D91">
        <w:rPr>
          <w:rFonts w:cs="Arial"/>
          <w:sz w:val="18"/>
          <w:szCs w:val="18"/>
        </w:rPr>
        <w:t xml:space="preserve">’ with very short husks (note 1) and a variety ‘j’ with short husks (note 3) is 0.  The expert considers a difference of </w:t>
      </w:r>
      <w:proofErr w:type="gramStart"/>
      <w:r w:rsidR="00554FCD" w:rsidRPr="00DA1D91">
        <w:rPr>
          <w:rFonts w:cs="Arial"/>
          <w:sz w:val="18"/>
          <w:szCs w:val="18"/>
        </w:rPr>
        <w:t>3</w:t>
      </w:r>
      <w:proofErr w:type="gramEnd"/>
      <w:r w:rsidR="00554FCD" w:rsidRPr="00DA1D91">
        <w:rPr>
          <w:rFonts w:cs="Arial"/>
          <w:sz w:val="18"/>
          <w:szCs w:val="18"/>
        </w:rPr>
        <w:t xml:space="preserve"> notes is the minimum difference in order to </w:t>
      </w:r>
      <w:proofErr w:type="spellStart"/>
      <w:r w:rsidR="00554FCD" w:rsidRPr="00DA1D91">
        <w:rPr>
          <w:rFonts w:cs="Arial"/>
          <w:sz w:val="18"/>
          <w:szCs w:val="18"/>
        </w:rPr>
        <w:t>recognise</w:t>
      </w:r>
      <w:proofErr w:type="spellEnd"/>
      <w:r w:rsidR="00554FCD" w:rsidRPr="00DA1D91">
        <w:rPr>
          <w:rFonts w:cs="Arial"/>
          <w:sz w:val="18"/>
          <w:szCs w:val="18"/>
        </w:rPr>
        <w:t xml:space="preserve"> a non-zero distance between two varieties.  Even if the difference in notes is greater than 3, the expert keeps the distance weight to 2 while in very reliable characteristics a difference of 1 is given a weight of 6.</w:t>
      </w:r>
      <w:r>
        <w:rPr>
          <w:rFonts w:cs="Arial"/>
          <w:sz w:val="18"/>
          <w:szCs w:val="18"/>
        </w:rPr>
        <w:t>”</w:t>
      </w:r>
    </w:p>
    <w:p w:rsidR="00DB1F83" w:rsidRDefault="00DB1F83" w:rsidP="00C438E8"/>
    <w:p w:rsidR="00590081" w:rsidRDefault="00BF6982" w:rsidP="00C438E8">
      <w:r>
        <w:fldChar w:fldCharType="begin"/>
      </w:r>
      <w:r>
        <w:instrText xml:space="preserve"> AUTONUM  </w:instrText>
      </w:r>
      <w:r>
        <w:fldChar w:fldCharType="end"/>
      </w:r>
      <w:r>
        <w:tab/>
      </w:r>
      <w:r w:rsidR="00590081">
        <w:t>Document TG/1/3 “General introduction to the examination of distinctness, uniformity and stability and the development of harmonized descriptions of new varieties of plants” provides the following explanation on the general approach for the assessment of distinctness on quantitative characteristics:</w:t>
      </w:r>
    </w:p>
    <w:p w:rsidR="00590081" w:rsidRDefault="00590081" w:rsidP="00C438E8"/>
    <w:p w:rsidR="00590081" w:rsidRPr="00590081" w:rsidRDefault="00590081" w:rsidP="00590081">
      <w:pPr>
        <w:ind w:left="567" w:right="567"/>
        <w:rPr>
          <w:sz w:val="18"/>
        </w:rPr>
      </w:pPr>
      <w:r w:rsidRPr="00590081">
        <w:rPr>
          <w:sz w:val="18"/>
        </w:rPr>
        <w:t>“5.4.3</w:t>
      </w:r>
      <w:r w:rsidRPr="00590081">
        <w:rPr>
          <w:sz w:val="18"/>
        </w:rPr>
        <w:tab/>
      </w:r>
      <w:r w:rsidRPr="00590081">
        <w:rPr>
          <w:sz w:val="18"/>
        </w:rPr>
        <w:tab/>
        <w:t>For quantitative characteristics, a difference of two Notes often represents a clear difference, but that is not an absolute standard for assessment of distinctness. Depending on factors, such as the testing place, the year, environmental variation or range of expression in the variety collection, a clear difference may be more or less than two Notes. Guidance is provided in document TGP/9, ‘Examining Distinctness.’”</w:t>
      </w:r>
    </w:p>
    <w:p w:rsidR="00FA4FCD" w:rsidRDefault="00590081" w:rsidP="00C438E8">
      <w:r>
        <w:fldChar w:fldCharType="begin"/>
      </w:r>
      <w:r>
        <w:instrText xml:space="preserve"> AUTONUM  </w:instrText>
      </w:r>
      <w:r>
        <w:fldChar w:fldCharType="end"/>
      </w:r>
      <w:r>
        <w:tab/>
      </w:r>
      <w:r w:rsidR="003F3C2D">
        <w:t xml:space="preserve">The following examples from document TGP/14 </w:t>
      </w:r>
      <w:r w:rsidR="00CA4D33">
        <w:t xml:space="preserve">“Glossary of terms used in UPOV documents” </w:t>
      </w:r>
      <w:proofErr w:type="gramStart"/>
      <w:r w:rsidR="003F3C2D">
        <w:t>are used</w:t>
      </w:r>
      <w:proofErr w:type="gramEnd"/>
      <w:r w:rsidR="003F3C2D">
        <w:t xml:space="preserve"> to illustrate how the approach for QN characteristics may or may not be applicable for PQ characteristics:</w:t>
      </w:r>
    </w:p>
    <w:p w:rsidR="00412BEC" w:rsidRDefault="00412BEC" w:rsidP="00C438E8"/>
    <w:p w:rsidR="00BF43A6" w:rsidRDefault="00BF43A6" w:rsidP="00C438E8">
      <w:r>
        <w:t>Example 1:</w:t>
      </w:r>
      <w:r w:rsidRPr="00BF43A6">
        <w:t xml:space="preserve"> </w:t>
      </w:r>
      <w:r>
        <w:t>The rules for QN characteristics are applicable to the shapes displayed following the dashed arrows</w:t>
      </w:r>
    </w:p>
    <w:p w:rsidR="00696A7E" w:rsidRDefault="00696A7E" w:rsidP="00C438E8"/>
    <w:p w:rsidR="002A5198" w:rsidRDefault="00BF43A6" w:rsidP="00BF43A6">
      <w:pPr>
        <w:ind w:left="1843"/>
        <w:jc w:val="left"/>
        <w:rPr>
          <w:i/>
        </w:rPr>
      </w:pPr>
      <w:r>
        <w:rPr>
          <w:noProof/>
        </w:rPr>
        <w:drawing>
          <wp:inline distT="0" distB="0" distL="0" distR="0" wp14:anchorId="54431C0D" wp14:editId="5AD43EED">
            <wp:extent cx="3832584" cy="363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47006" cy="3652242"/>
                    </a:xfrm>
                    <a:prstGeom prst="rect">
                      <a:avLst/>
                    </a:prstGeom>
                  </pic:spPr>
                </pic:pic>
              </a:graphicData>
            </a:graphic>
          </wp:inline>
        </w:drawing>
      </w:r>
    </w:p>
    <w:p w:rsidR="00412BEC" w:rsidRDefault="00412BEC" w:rsidP="00412BEC">
      <w:pPr>
        <w:ind w:left="1985"/>
        <w:jc w:val="left"/>
        <w:rPr>
          <w:i/>
        </w:rPr>
      </w:pPr>
    </w:p>
    <w:p w:rsidR="002A5198" w:rsidRDefault="00BF43A6" w:rsidP="00BF43A6">
      <w:pPr>
        <w:ind w:left="1134" w:hanging="1134"/>
      </w:pPr>
      <w:r w:rsidRPr="00BF43A6">
        <w:t>Example 2:</w:t>
      </w:r>
      <w:r>
        <w:t xml:space="preserve"> The rules for QN characteristics are applicable to the shapes displayed following the dashed arrows </w:t>
      </w:r>
    </w:p>
    <w:p w:rsidR="00BF43A6" w:rsidRPr="00BF43A6" w:rsidRDefault="00BF43A6" w:rsidP="00FA4FCD"/>
    <w:p w:rsidR="00FA4FCD" w:rsidRDefault="00CF042D" w:rsidP="00BB78F8">
      <w:pPr>
        <w:ind w:left="2268"/>
      </w:pPr>
      <w:r>
        <w:rPr>
          <w:noProof/>
        </w:rPr>
        <w:drawing>
          <wp:inline distT="0" distB="0" distL="0" distR="0" wp14:anchorId="7F762BF0" wp14:editId="6E78937F">
            <wp:extent cx="3084010" cy="44018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5531" cy="4418314"/>
                    </a:xfrm>
                    <a:prstGeom prst="rect">
                      <a:avLst/>
                    </a:prstGeom>
                  </pic:spPr>
                </pic:pic>
              </a:graphicData>
            </a:graphic>
          </wp:inline>
        </w:drawing>
      </w:r>
    </w:p>
    <w:p w:rsidR="00FA4FCD" w:rsidRDefault="00FA4FCD" w:rsidP="00C438E8"/>
    <w:p w:rsidR="00172E7E" w:rsidRDefault="00172E7E" w:rsidP="00172E7E">
      <w:pPr>
        <w:ind w:left="1134" w:hanging="1134"/>
      </w:pPr>
      <w:r w:rsidRPr="00BF43A6">
        <w:t xml:space="preserve">Example </w:t>
      </w:r>
      <w:r>
        <w:t>3</w:t>
      </w:r>
      <w:r w:rsidRPr="00BF43A6">
        <w:t>:</w:t>
      </w:r>
      <w:r>
        <w:t xml:space="preserve"> The rules for QN characteristics are applicable to the shapes displayed following the dashed arrow and are </w:t>
      </w:r>
      <w:r w:rsidRPr="0053022D">
        <w:rPr>
          <w:u w:val="single"/>
        </w:rPr>
        <w:t>not applicable</w:t>
      </w:r>
      <w:r>
        <w:t xml:space="preserve"> to the shapes displayed following the solid line</w:t>
      </w:r>
    </w:p>
    <w:p w:rsidR="00172E7E" w:rsidRDefault="00172E7E" w:rsidP="00172E7E">
      <w:pPr>
        <w:ind w:left="1134" w:hanging="1134"/>
      </w:pPr>
    </w:p>
    <w:p w:rsidR="00172E7E" w:rsidRPr="00BF43A6" w:rsidRDefault="00CF042D" w:rsidP="00172E7E">
      <w:pPr>
        <w:ind w:left="1560"/>
      </w:pPr>
      <w:r>
        <w:rPr>
          <w:noProof/>
        </w:rPr>
        <w:drawing>
          <wp:inline distT="0" distB="0" distL="0" distR="0" wp14:anchorId="106D51F7" wp14:editId="20271F00">
            <wp:extent cx="4514947" cy="4740249"/>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6526" cy="4741907"/>
                    </a:xfrm>
                    <a:prstGeom prst="rect">
                      <a:avLst/>
                    </a:prstGeom>
                  </pic:spPr>
                </pic:pic>
              </a:graphicData>
            </a:graphic>
          </wp:inline>
        </w:drawing>
      </w:r>
    </w:p>
    <w:p w:rsidR="007E6E0A" w:rsidRDefault="007E6E0A" w:rsidP="007E6E0A"/>
    <w:p w:rsidR="007E6E0A" w:rsidRPr="00C438E8" w:rsidRDefault="007E6E0A" w:rsidP="007E6E0A">
      <w:r>
        <w:fldChar w:fldCharType="begin"/>
      </w:r>
      <w:r>
        <w:instrText xml:space="preserve"> AUTONUM  </w:instrText>
      </w:r>
      <w:r>
        <w:fldChar w:fldCharType="end"/>
      </w:r>
      <w:r>
        <w:tab/>
        <w:t xml:space="preserve">The Annex to this document reproduces relevant extracts from documents </w:t>
      </w:r>
      <w:r w:rsidRPr="00916BB5">
        <w:t>TG/1/3 “</w:t>
      </w:r>
      <w:r w:rsidRPr="00916BB5">
        <w:rPr>
          <w:lang w:val="en"/>
        </w:rPr>
        <w:t>General Introduction to the Examination of Distinctness, Uniformity and Stability and the Development of Harmonized Descriptions of new Varieties of Plants</w:t>
      </w:r>
      <w:r>
        <w:rPr>
          <w:lang w:val="en"/>
        </w:rPr>
        <w:t>,” TGP/9 “Examining Distinctness” and TGP/8 “Trial design and techniques used in the examination of Distinctness, Uniformity and Stability.”</w:t>
      </w:r>
    </w:p>
    <w:p w:rsidR="007E6E0A" w:rsidRPr="00C438E8" w:rsidRDefault="007E6E0A" w:rsidP="00C438E8"/>
    <w:p w:rsidR="001325D5" w:rsidRDefault="00C438E8" w:rsidP="00C438E8">
      <w:pPr>
        <w:keepLines/>
        <w:tabs>
          <w:tab w:val="left" w:pos="5387"/>
        </w:tabs>
        <w:ind w:left="4820"/>
        <w:rPr>
          <w:i/>
        </w:rPr>
      </w:pPr>
      <w:r w:rsidRPr="00C438E8">
        <w:rPr>
          <w:i/>
          <w:snapToGrid w:val="0"/>
        </w:rPr>
        <w:fldChar w:fldCharType="begin"/>
      </w:r>
      <w:r w:rsidRPr="00C438E8">
        <w:rPr>
          <w:i/>
          <w:snapToGrid w:val="0"/>
        </w:rPr>
        <w:instrText xml:space="preserve"> AUTONUM  </w:instrText>
      </w:r>
      <w:r w:rsidRPr="00C438E8">
        <w:rPr>
          <w:i/>
          <w:snapToGrid w:val="0"/>
        </w:rPr>
        <w:fldChar w:fldCharType="end"/>
      </w:r>
      <w:r w:rsidRPr="00C438E8">
        <w:rPr>
          <w:i/>
          <w:snapToGrid w:val="0"/>
        </w:rPr>
        <w:tab/>
      </w:r>
      <w:r w:rsidRPr="00C438E8">
        <w:rPr>
          <w:i/>
        </w:rPr>
        <w:t xml:space="preserve">The </w:t>
      </w:r>
      <w:r w:rsidR="002A5198">
        <w:rPr>
          <w:i/>
        </w:rPr>
        <w:t xml:space="preserve">TWPs </w:t>
      </w:r>
      <w:proofErr w:type="gramStart"/>
      <w:r w:rsidR="002A5198">
        <w:rPr>
          <w:i/>
        </w:rPr>
        <w:t>are</w:t>
      </w:r>
      <w:r w:rsidRPr="00C438E8">
        <w:rPr>
          <w:i/>
        </w:rPr>
        <w:t xml:space="preserve"> invited</w:t>
      </w:r>
      <w:proofErr w:type="gramEnd"/>
      <w:r w:rsidRPr="00C438E8">
        <w:rPr>
          <w:i/>
        </w:rPr>
        <w:t xml:space="preserve"> to</w:t>
      </w:r>
      <w:r w:rsidR="001325D5">
        <w:rPr>
          <w:i/>
        </w:rPr>
        <w:t>:</w:t>
      </w:r>
    </w:p>
    <w:p w:rsidR="001325D5" w:rsidRDefault="001325D5" w:rsidP="00C438E8">
      <w:pPr>
        <w:keepLines/>
        <w:tabs>
          <w:tab w:val="left" w:pos="5387"/>
        </w:tabs>
        <w:ind w:left="4820"/>
        <w:rPr>
          <w:i/>
        </w:rPr>
      </w:pPr>
    </w:p>
    <w:p w:rsidR="0077443E" w:rsidRPr="009F3CC5" w:rsidRDefault="009F3CC5" w:rsidP="009F3CC5">
      <w:pPr>
        <w:keepLines/>
        <w:tabs>
          <w:tab w:val="left" w:pos="5387"/>
          <w:tab w:val="left" w:pos="5954"/>
        </w:tabs>
        <w:ind w:left="4820"/>
        <w:rPr>
          <w:i/>
        </w:rPr>
      </w:pPr>
      <w:r>
        <w:rPr>
          <w:i/>
        </w:rPr>
        <w:tab/>
        <w:t>(a)</w:t>
      </w:r>
      <w:r>
        <w:rPr>
          <w:i/>
        </w:rPr>
        <w:tab/>
      </w:r>
      <w:proofErr w:type="gramStart"/>
      <w:r w:rsidR="0077443E" w:rsidRPr="009F3CC5">
        <w:rPr>
          <w:i/>
        </w:rPr>
        <w:t>note</w:t>
      </w:r>
      <w:proofErr w:type="gramEnd"/>
      <w:r w:rsidR="0077443E" w:rsidRPr="009F3CC5">
        <w:rPr>
          <w:i/>
        </w:rPr>
        <w:t xml:space="preserve"> existing guidance in the General Introduction and documents</w:t>
      </w:r>
      <w:r w:rsidR="002A5198" w:rsidRPr="009F3CC5">
        <w:rPr>
          <w:i/>
        </w:rPr>
        <w:t> </w:t>
      </w:r>
      <w:r w:rsidR="0077443E" w:rsidRPr="009F3CC5">
        <w:rPr>
          <w:i/>
        </w:rPr>
        <w:t>TGP</w:t>
      </w:r>
      <w:r w:rsidR="005B461E" w:rsidRPr="009F3CC5">
        <w:rPr>
          <w:i/>
        </w:rPr>
        <w:t>/8</w:t>
      </w:r>
      <w:r w:rsidR="00FA4FCD" w:rsidRPr="009F3CC5">
        <w:rPr>
          <w:i/>
        </w:rPr>
        <w:t>,</w:t>
      </w:r>
      <w:r w:rsidR="005B461E" w:rsidRPr="009F3CC5">
        <w:rPr>
          <w:i/>
        </w:rPr>
        <w:t xml:space="preserve"> TGP/9 </w:t>
      </w:r>
      <w:r w:rsidR="00FA4FCD" w:rsidRPr="009F3CC5">
        <w:rPr>
          <w:i/>
        </w:rPr>
        <w:t xml:space="preserve">and TGP/14 </w:t>
      </w:r>
      <w:r w:rsidR="005B461E" w:rsidRPr="009F3CC5">
        <w:rPr>
          <w:i/>
        </w:rPr>
        <w:t>on differences in notes for</w:t>
      </w:r>
      <w:r w:rsidR="001325D5" w:rsidRPr="009F3CC5">
        <w:rPr>
          <w:i/>
        </w:rPr>
        <w:t xml:space="preserve"> the assessment of distinctness; and</w:t>
      </w:r>
    </w:p>
    <w:p w:rsidR="001325D5" w:rsidRDefault="001325D5" w:rsidP="001325D5">
      <w:pPr>
        <w:pStyle w:val="ListParagraph"/>
        <w:keepLines/>
        <w:tabs>
          <w:tab w:val="left" w:pos="5387"/>
          <w:tab w:val="left" w:pos="5954"/>
        </w:tabs>
        <w:ind w:left="4820" w:firstLine="567"/>
        <w:rPr>
          <w:i/>
        </w:rPr>
      </w:pPr>
    </w:p>
    <w:p w:rsidR="001325D5" w:rsidRPr="009F3CC5" w:rsidRDefault="009F3CC5" w:rsidP="009F3CC5">
      <w:pPr>
        <w:keepLines/>
        <w:tabs>
          <w:tab w:val="left" w:pos="5387"/>
          <w:tab w:val="left" w:pos="5954"/>
        </w:tabs>
        <w:ind w:left="4820"/>
        <w:rPr>
          <w:i/>
        </w:rPr>
      </w:pPr>
      <w:r>
        <w:rPr>
          <w:i/>
        </w:rPr>
        <w:tab/>
        <w:t>(b)</w:t>
      </w:r>
      <w:r>
        <w:rPr>
          <w:i/>
        </w:rPr>
        <w:tab/>
      </w:r>
      <w:proofErr w:type="gramStart"/>
      <w:r w:rsidR="001325D5" w:rsidRPr="009F3CC5">
        <w:rPr>
          <w:i/>
        </w:rPr>
        <w:t>consider</w:t>
      </w:r>
      <w:proofErr w:type="gramEnd"/>
      <w:r w:rsidR="001325D5" w:rsidRPr="009F3CC5">
        <w:rPr>
          <w:i/>
        </w:rPr>
        <w:t xml:space="preserve"> the clarification provided in paragraph</w:t>
      </w:r>
      <w:r w:rsidR="002C4DBB" w:rsidRPr="009F3CC5">
        <w:rPr>
          <w:i/>
        </w:rPr>
        <w:t>s 10 to 13</w:t>
      </w:r>
      <w:r w:rsidR="001325D5" w:rsidRPr="009F3CC5">
        <w:rPr>
          <w:i/>
        </w:rPr>
        <w:t xml:space="preserve"> of this document. </w:t>
      </w:r>
    </w:p>
    <w:p w:rsidR="00C438E8" w:rsidRPr="00C438E8" w:rsidRDefault="00C438E8" w:rsidP="00C438E8">
      <w:pPr>
        <w:tabs>
          <w:tab w:val="left" w:pos="5387"/>
        </w:tabs>
        <w:ind w:left="4820"/>
        <w:rPr>
          <w:i/>
        </w:rPr>
      </w:pPr>
    </w:p>
    <w:p w:rsidR="00C438E8" w:rsidRPr="00C438E8" w:rsidRDefault="00C438E8" w:rsidP="00C438E8">
      <w:pPr>
        <w:tabs>
          <w:tab w:val="left" w:pos="5387"/>
        </w:tabs>
        <w:ind w:left="4820"/>
        <w:rPr>
          <w:i/>
        </w:rPr>
      </w:pPr>
    </w:p>
    <w:p w:rsidR="00C438E8" w:rsidRPr="00C438E8" w:rsidRDefault="00C438E8" w:rsidP="00C438E8">
      <w:pPr>
        <w:jc w:val="right"/>
      </w:pPr>
    </w:p>
    <w:p w:rsidR="00C438E8" w:rsidRPr="00C438E8" w:rsidRDefault="00C438E8" w:rsidP="00C438E8">
      <w:pPr>
        <w:jc w:val="right"/>
      </w:pPr>
      <w:r w:rsidRPr="00C438E8">
        <w:t xml:space="preserve"> [Annex</w:t>
      </w:r>
      <w:r w:rsidR="00382953">
        <w:t>es</w:t>
      </w:r>
      <w:r w:rsidRPr="00C438E8">
        <w:t xml:space="preserve"> follow] </w:t>
      </w:r>
    </w:p>
    <w:p w:rsidR="00C438E8" w:rsidRPr="00C438E8" w:rsidRDefault="00C438E8" w:rsidP="00C438E8">
      <w:pPr>
        <w:jc w:val="left"/>
        <w:sectPr w:rsidR="00C438E8" w:rsidRPr="00C438E8" w:rsidSect="00906DDC">
          <w:headerReference w:type="default" r:id="rId11"/>
          <w:pgSz w:w="11907" w:h="16840" w:code="9"/>
          <w:pgMar w:top="510" w:right="1134" w:bottom="1134" w:left="1134" w:header="510" w:footer="680" w:gutter="0"/>
          <w:cols w:space="720"/>
          <w:titlePg/>
        </w:sectPr>
      </w:pPr>
    </w:p>
    <w:p w:rsidR="00C438E8" w:rsidRDefault="00841A82" w:rsidP="00841A82">
      <w:pPr>
        <w:jc w:val="center"/>
      </w:pPr>
      <w:r>
        <w:t>EXTRACT FROM DOCUMENT TG/1/3 “GENERAL INTRODUCTION TO THE EXAMINATION OF DISTINCTNESS, UNIFORMITY AND STABILITY AND THE DEVELOPMENT OF HARMONIZED DESCRIPTIONS OF NEW VARIETIES OF PLANTS”</w:t>
      </w:r>
    </w:p>
    <w:p w:rsidR="00841A82" w:rsidRDefault="00841A82" w:rsidP="00C438E8">
      <w:pPr>
        <w:jc w:val="left"/>
      </w:pPr>
    </w:p>
    <w:p w:rsidR="002547AD" w:rsidRDefault="002547AD" w:rsidP="002547AD">
      <w:bookmarkStart w:id="13" w:name="_Toc498319766"/>
      <w:bookmarkStart w:id="14" w:name="_Toc498511316"/>
      <w:bookmarkStart w:id="15" w:name="_Toc7923349"/>
      <w:bookmarkStart w:id="16" w:name="_Toc7923353"/>
      <w:r>
        <w:t>CHAPTER 4 – CHARACTERISTICS USED IN DUS TESTING</w:t>
      </w:r>
      <w:bookmarkEnd w:id="13"/>
      <w:bookmarkEnd w:id="14"/>
      <w:bookmarkEnd w:id="15"/>
    </w:p>
    <w:p w:rsidR="00066B42" w:rsidRDefault="00066B42" w:rsidP="00012113"/>
    <w:p w:rsidR="00767F14" w:rsidRDefault="00767F14" w:rsidP="00012113">
      <w:r>
        <w:t>4.4</w:t>
      </w:r>
      <w:r>
        <w:tab/>
        <w:t>Types of Expression of Characteristics</w:t>
      </w:r>
      <w:bookmarkEnd w:id="16"/>
    </w:p>
    <w:p w:rsidR="00012113" w:rsidRDefault="00012113" w:rsidP="00012113"/>
    <w:p w:rsidR="00767F14" w:rsidRDefault="00767F14" w:rsidP="00012113">
      <w:bookmarkStart w:id="17" w:name="_Toc498319770"/>
      <w:bookmarkStart w:id="18" w:name="_Toc7923354"/>
      <w:r>
        <w:t>4.4.1</w:t>
      </w:r>
      <w:r>
        <w:tab/>
        <w:t>Qualitative Characteristics</w:t>
      </w:r>
      <w:bookmarkEnd w:id="17"/>
      <w:bookmarkEnd w:id="18"/>
    </w:p>
    <w:p w:rsidR="00012113" w:rsidRDefault="00012113" w:rsidP="00012113"/>
    <w:p w:rsidR="00767F14" w:rsidRPr="00147CB7" w:rsidRDefault="00767F14" w:rsidP="00767F14">
      <w:r>
        <w:tab/>
      </w:r>
      <w:r w:rsidRPr="00147CB7">
        <w:t xml:space="preserve">“Qualitative characteristics” are those that </w:t>
      </w:r>
      <w:proofErr w:type="gramStart"/>
      <w:r w:rsidRPr="00147CB7">
        <w:t>are expressed</w:t>
      </w:r>
      <w:proofErr w:type="gramEnd"/>
      <w:r w:rsidRPr="00147CB7">
        <w:t xml:space="preserve"> in discontinuous states (e.g. sex of plant:  dioecious female (1), dioecious male (2), monoecious unisexual (3), monoecious hermaphrodite (4)).  These states are self</w:t>
      </w:r>
      <w:r w:rsidRPr="00147CB7">
        <w:noBreakHyphen/>
        <w:t xml:space="preserve">explanatory and independently meaningful.  All states are necessary to describe the full range of the characteristic, and every form of expression </w:t>
      </w:r>
      <w:proofErr w:type="gramStart"/>
      <w:r w:rsidRPr="00147CB7">
        <w:t>can be described</w:t>
      </w:r>
      <w:proofErr w:type="gramEnd"/>
      <w:r w:rsidRPr="00147CB7">
        <w:t xml:space="preserve"> by a single state.  The order of states is not important.  As a rule, the characteristics </w:t>
      </w:r>
      <w:proofErr w:type="gramStart"/>
      <w:r w:rsidRPr="00147CB7">
        <w:t>are not influenced</w:t>
      </w:r>
      <w:proofErr w:type="gramEnd"/>
      <w:r w:rsidRPr="00147CB7">
        <w:t xml:space="preserve"> by environment.</w:t>
      </w:r>
    </w:p>
    <w:p w:rsidR="00767F14" w:rsidRPr="00147CB7" w:rsidRDefault="00767F14" w:rsidP="00767F14"/>
    <w:p w:rsidR="00767F14" w:rsidRPr="00147CB7" w:rsidRDefault="00767F14" w:rsidP="00012113">
      <w:bookmarkStart w:id="19" w:name="_Toc498319771"/>
      <w:bookmarkStart w:id="20" w:name="_Toc7923355"/>
      <w:r w:rsidRPr="00147CB7">
        <w:t>4.4.2</w:t>
      </w:r>
      <w:r w:rsidRPr="00147CB7">
        <w:tab/>
        <w:t>Quantitative Characteristics</w:t>
      </w:r>
      <w:bookmarkEnd w:id="19"/>
      <w:bookmarkEnd w:id="20"/>
    </w:p>
    <w:p w:rsidR="00012113" w:rsidRPr="00147CB7" w:rsidRDefault="00012113" w:rsidP="00012113"/>
    <w:p w:rsidR="00767F14" w:rsidRPr="00147CB7" w:rsidRDefault="00767F14" w:rsidP="00767F14">
      <w:r w:rsidRPr="00147CB7">
        <w:tab/>
        <w:t xml:space="preserve">“Quantitative characteristics” are those where the expression covers the full range of variation from one extreme to the other.  The expression </w:t>
      </w:r>
      <w:proofErr w:type="gramStart"/>
      <w:r w:rsidRPr="00147CB7">
        <w:t>can be recorded</w:t>
      </w:r>
      <w:proofErr w:type="gramEnd"/>
      <w:r w:rsidRPr="00147CB7">
        <w:t xml:space="preserve"> on a one</w:t>
      </w:r>
      <w:r w:rsidRPr="00147CB7">
        <w:noBreakHyphen/>
        <w:t xml:space="preserve">dimensional, continuous or discrete, linear scale.  The range of expression is divided into a number of states for the purpose of description (e.g. length of stem: very short (1), short (3), medium (5), long (7), very long (9)).  The division seeks to provide, as far as is practical, an even distribution across the scale.  The Test Guidelines do not specify the difference needed for distinctness.  The states of expression </w:t>
      </w:r>
      <w:proofErr w:type="gramStart"/>
      <w:r w:rsidRPr="00147CB7">
        <w:t>should, however, be</w:t>
      </w:r>
      <w:proofErr w:type="gramEnd"/>
      <w:r w:rsidRPr="00147CB7">
        <w:t xml:space="preserve"> meaningful for DUS assessment.</w:t>
      </w:r>
    </w:p>
    <w:p w:rsidR="00767F14" w:rsidRPr="00147CB7" w:rsidRDefault="00767F14" w:rsidP="00767F14"/>
    <w:p w:rsidR="00767F14" w:rsidRPr="00147CB7" w:rsidRDefault="00767F14" w:rsidP="00012113">
      <w:bookmarkStart w:id="21" w:name="_Toc498319772"/>
      <w:bookmarkStart w:id="22" w:name="_Toc7923356"/>
      <w:r w:rsidRPr="00147CB7">
        <w:t>4.4.3</w:t>
      </w:r>
      <w:r w:rsidRPr="00147CB7">
        <w:tab/>
        <w:t>Pseudo</w:t>
      </w:r>
      <w:r w:rsidRPr="00147CB7">
        <w:noBreakHyphen/>
        <w:t>Qualitative Characteristics</w:t>
      </w:r>
      <w:bookmarkEnd w:id="21"/>
      <w:bookmarkEnd w:id="22"/>
    </w:p>
    <w:p w:rsidR="00012113" w:rsidRPr="00147CB7" w:rsidRDefault="00012113" w:rsidP="00012113"/>
    <w:p w:rsidR="00767F14" w:rsidRPr="00147CB7" w:rsidRDefault="00767F14" w:rsidP="00767F14">
      <w:r w:rsidRPr="00147CB7">
        <w:tab/>
        <w:t>In the case of “pseudo</w:t>
      </w:r>
      <w:r w:rsidRPr="00147CB7">
        <w:noBreakHyphen/>
        <w:t>qualitative characteristics,” the range of expression is at least partly continuous, but varies in more than one dimension (e.g. shape:  ovate (1), elliptic (2), circular (3), obovate (4)) and cannot be adequately described by just defining two ends of a linear range.  In a similar way to qualitative (discontinuous) characteristics – hence the term “pseudo</w:t>
      </w:r>
      <w:r w:rsidRPr="00147CB7">
        <w:noBreakHyphen/>
        <w:t xml:space="preserve">qualitative” – each individual state of expression needs to </w:t>
      </w:r>
      <w:proofErr w:type="gramStart"/>
      <w:r w:rsidRPr="00147CB7">
        <w:t>be identified</w:t>
      </w:r>
      <w:proofErr w:type="gramEnd"/>
      <w:r w:rsidRPr="00147CB7">
        <w:t xml:space="preserve"> to adequately describe the range of the characteristic. </w:t>
      </w:r>
    </w:p>
    <w:p w:rsidR="00066B42" w:rsidRPr="00147CB7" w:rsidRDefault="00066B42" w:rsidP="00C438E8">
      <w:pPr>
        <w:jc w:val="left"/>
        <w:rPr>
          <w:rFonts w:cs="Arial"/>
        </w:rPr>
      </w:pPr>
    </w:p>
    <w:p w:rsidR="00923B63" w:rsidRPr="00147CB7" w:rsidRDefault="00923B63" w:rsidP="00923B63">
      <w:pPr>
        <w:rPr>
          <w:rFonts w:cs="Arial"/>
        </w:rPr>
      </w:pPr>
      <w:bookmarkStart w:id="23" w:name="_Toc498319782"/>
      <w:bookmarkStart w:id="24" w:name="_Toc498511334"/>
      <w:bookmarkStart w:id="25" w:name="_Toc7923366"/>
      <w:r w:rsidRPr="00147CB7">
        <w:rPr>
          <w:rFonts w:cs="Arial"/>
        </w:rPr>
        <w:t>CHAPTER 5 – EXAMINING DISTINCTNESS</w:t>
      </w:r>
      <w:bookmarkEnd w:id="23"/>
      <w:bookmarkEnd w:id="24"/>
      <w:bookmarkEnd w:id="25"/>
    </w:p>
    <w:p w:rsidR="00767F14" w:rsidRPr="00147CB7" w:rsidRDefault="00767F14" w:rsidP="00C438E8">
      <w:pPr>
        <w:jc w:val="left"/>
        <w:rPr>
          <w:rFonts w:cs="Arial"/>
        </w:rPr>
      </w:pPr>
    </w:p>
    <w:p w:rsidR="00923B63" w:rsidRPr="00147CB7" w:rsidRDefault="00923B63" w:rsidP="00923B63">
      <w:pPr>
        <w:rPr>
          <w:rFonts w:cs="Arial"/>
        </w:rPr>
      </w:pPr>
      <w:bookmarkStart w:id="26" w:name="_Toc498511337"/>
      <w:bookmarkStart w:id="27" w:name="_Toc7923371"/>
      <w:r w:rsidRPr="00147CB7">
        <w:rPr>
          <w:rFonts w:cs="Arial"/>
        </w:rPr>
        <w:t>5.3</w:t>
      </w:r>
      <w:r w:rsidRPr="00147CB7">
        <w:rPr>
          <w:rFonts w:cs="Arial"/>
        </w:rPr>
        <w:tab/>
        <w:t>Clearly Distinguishing a New Variety</w:t>
      </w:r>
      <w:bookmarkEnd w:id="26"/>
      <w:bookmarkEnd w:id="27"/>
    </w:p>
    <w:p w:rsidR="00923B63" w:rsidRPr="00147CB7" w:rsidRDefault="00923B63" w:rsidP="00923B63">
      <w:pPr>
        <w:rPr>
          <w:rFonts w:cs="Arial"/>
        </w:rPr>
      </w:pPr>
    </w:p>
    <w:p w:rsidR="00923B63" w:rsidRPr="00147CB7" w:rsidRDefault="00923B63" w:rsidP="00923B63">
      <w:pPr>
        <w:rPr>
          <w:rFonts w:cs="Arial"/>
        </w:rPr>
      </w:pPr>
      <w:bookmarkStart w:id="28" w:name="_Toc498319788"/>
      <w:bookmarkStart w:id="29" w:name="_Toc498511340"/>
      <w:bookmarkStart w:id="30" w:name="_Toc7923374"/>
      <w:r w:rsidRPr="00147CB7">
        <w:rPr>
          <w:rFonts w:cs="Arial"/>
        </w:rPr>
        <w:t>5.3.3</w:t>
      </w:r>
      <w:r w:rsidRPr="00147CB7">
        <w:rPr>
          <w:rFonts w:cs="Arial"/>
        </w:rPr>
        <w:tab/>
      </w:r>
      <w:bookmarkEnd w:id="28"/>
      <w:r w:rsidRPr="00147CB7">
        <w:rPr>
          <w:rFonts w:cs="Arial"/>
        </w:rPr>
        <w:t>The Criteria for Distinctness Using Characteristics</w:t>
      </w:r>
      <w:bookmarkEnd w:id="29"/>
      <w:bookmarkEnd w:id="30"/>
    </w:p>
    <w:p w:rsidR="00841A82" w:rsidRPr="00147CB7" w:rsidRDefault="00841A82" w:rsidP="00923B63">
      <w:pPr>
        <w:rPr>
          <w:rFonts w:cs="Arial"/>
        </w:rPr>
      </w:pPr>
      <w:bookmarkStart w:id="31" w:name="_Toc7923376"/>
    </w:p>
    <w:p w:rsidR="00923B63" w:rsidRPr="00147CB7" w:rsidRDefault="00923B63" w:rsidP="00923B63">
      <w:pPr>
        <w:rPr>
          <w:rFonts w:cs="Arial"/>
        </w:rPr>
      </w:pPr>
      <w:r w:rsidRPr="00147CB7">
        <w:rPr>
          <w:rFonts w:cs="Arial"/>
        </w:rPr>
        <w:t>5.3.3.2</w:t>
      </w:r>
      <w:r w:rsidRPr="00147CB7">
        <w:rPr>
          <w:rFonts w:cs="Arial"/>
        </w:rPr>
        <w:tab/>
        <w:t>Clear Differences</w:t>
      </w:r>
      <w:bookmarkEnd w:id="31"/>
    </w:p>
    <w:p w:rsidR="001B1F7A" w:rsidRPr="00147CB7" w:rsidRDefault="00841A82" w:rsidP="00923B63">
      <w:pPr>
        <w:rPr>
          <w:rFonts w:cs="Arial"/>
        </w:rPr>
      </w:pPr>
      <w:r w:rsidRPr="00147CB7">
        <w:rPr>
          <w:rFonts w:cs="Arial"/>
        </w:rPr>
        <w:t>[…]</w:t>
      </w:r>
    </w:p>
    <w:p w:rsidR="00923B63" w:rsidRPr="00147CB7" w:rsidRDefault="00923B63" w:rsidP="00923B63">
      <w:pPr>
        <w:rPr>
          <w:rFonts w:cs="Arial"/>
        </w:rPr>
      </w:pPr>
      <w:bookmarkStart w:id="32" w:name="_Toc498319790"/>
      <w:bookmarkStart w:id="33" w:name="_Toc7923378"/>
      <w:r w:rsidRPr="00147CB7">
        <w:rPr>
          <w:rFonts w:cs="Arial"/>
        </w:rPr>
        <w:t>5.3.3.2.2</w:t>
      </w:r>
      <w:r w:rsidRPr="00147CB7">
        <w:rPr>
          <w:rFonts w:cs="Arial"/>
        </w:rPr>
        <w:tab/>
        <w:t>Quantitative Characteristic</w:t>
      </w:r>
      <w:bookmarkEnd w:id="32"/>
      <w:r w:rsidRPr="00147CB7">
        <w:rPr>
          <w:rFonts w:cs="Arial"/>
        </w:rPr>
        <w:t>s</w:t>
      </w:r>
      <w:bookmarkEnd w:id="33"/>
    </w:p>
    <w:p w:rsidR="001B1F7A" w:rsidRPr="00147CB7" w:rsidRDefault="001B1F7A" w:rsidP="00923B63">
      <w:pPr>
        <w:rPr>
          <w:rFonts w:cs="Arial"/>
        </w:rPr>
      </w:pPr>
    </w:p>
    <w:p w:rsidR="00923B63" w:rsidRPr="00147CB7" w:rsidRDefault="00923B63" w:rsidP="00066B42">
      <w:pPr>
        <w:pStyle w:val="h4para"/>
        <w:tabs>
          <w:tab w:val="clear" w:pos="993"/>
          <w:tab w:val="left" w:pos="567"/>
        </w:tabs>
        <w:rPr>
          <w:rFonts w:ascii="Arial" w:hAnsi="Arial" w:cs="Arial"/>
          <w:sz w:val="20"/>
        </w:rPr>
      </w:pPr>
      <w:r w:rsidRPr="00147CB7">
        <w:rPr>
          <w:rFonts w:ascii="Arial" w:hAnsi="Arial" w:cs="Arial"/>
          <w:sz w:val="20"/>
        </w:rPr>
        <w:tab/>
        <w:t xml:space="preserve">Quantitative characteristics </w:t>
      </w:r>
      <w:proofErr w:type="gramStart"/>
      <w:r w:rsidRPr="00147CB7">
        <w:rPr>
          <w:rFonts w:ascii="Arial" w:hAnsi="Arial" w:cs="Arial"/>
          <w:sz w:val="20"/>
        </w:rPr>
        <w:t>are considered</w:t>
      </w:r>
      <w:proofErr w:type="gramEnd"/>
      <w:r w:rsidRPr="00147CB7">
        <w:rPr>
          <w:rFonts w:ascii="Arial" w:hAnsi="Arial" w:cs="Arial"/>
          <w:sz w:val="20"/>
        </w:rPr>
        <w:t xml:space="preserve"> for distinctness according to the method of observation and the features of propagation of the variety concerned.  The different approaches </w:t>
      </w:r>
      <w:proofErr w:type="gramStart"/>
      <w:r w:rsidRPr="00147CB7">
        <w:rPr>
          <w:rFonts w:ascii="Arial" w:hAnsi="Arial" w:cs="Arial"/>
          <w:sz w:val="20"/>
        </w:rPr>
        <w:t>are considered</w:t>
      </w:r>
      <w:proofErr w:type="gramEnd"/>
      <w:r w:rsidRPr="00147CB7">
        <w:rPr>
          <w:rFonts w:ascii="Arial" w:hAnsi="Arial" w:cs="Arial"/>
          <w:sz w:val="20"/>
        </w:rPr>
        <w:t xml:space="preserve"> later in this Chapter.</w:t>
      </w:r>
    </w:p>
    <w:p w:rsidR="00923B63" w:rsidRPr="00147CB7" w:rsidRDefault="00923B63" w:rsidP="00923B63">
      <w:pPr>
        <w:rPr>
          <w:rFonts w:cs="Arial"/>
        </w:rPr>
      </w:pPr>
    </w:p>
    <w:p w:rsidR="00923B63" w:rsidRPr="00147CB7" w:rsidRDefault="00923B63" w:rsidP="00923B63">
      <w:pPr>
        <w:rPr>
          <w:rFonts w:cs="Arial"/>
        </w:rPr>
      </w:pPr>
      <w:bookmarkStart w:id="34" w:name="_Toc498319791"/>
      <w:bookmarkStart w:id="35" w:name="_Toc7923379"/>
      <w:r w:rsidRPr="00147CB7">
        <w:rPr>
          <w:rFonts w:cs="Arial"/>
        </w:rPr>
        <w:t>5.3.3.2.3</w:t>
      </w:r>
      <w:r w:rsidRPr="00147CB7">
        <w:rPr>
          <w:rFonts w:cs="Arial"/>
        </w:rPr>
        <w:tab/>
        <w:t>Pseudo</w:t>
      </w:r>
      <w:r w:rsidRPr="00147CB7">
        <w:rPr>
          <w:rFonts w:cs="Arial"/>
        </w:rPr>
        <w:noBreakHyphen/>
        <w:t>Qualitative Characteristic</w:t>
      </w:r>
      <w:bookmarkEnd w:id="34"/>
      <w:r w:rsidRPr="00147CB7">
        <w:rPr>
          <w:rFonts w:cs="Arial"/>
        </w:rPr>
        <w:t>s</w:t>
      </w:r>
      <w:bookmarkEnd w:id="35"/>
    </w:p>
    <w:p w:rsidR="001B1F7A" w:rsidRPr="00147CB7" w:rsidRDefault="001B1F7A" w:rsidP="00923B63">
      <w:pPr>
        <w:rPr>
          <w:rFonts w:cs="Arial"/>
        </w:rPr>
      </w:pPr>
    </w:p>
    <w:p w:rsidR="00923B63" w:rsidRPr="00147CB7" w:rsidRDefault="00923B63" w:rsidP="00066B42">
      <w:pPr>
        <w:pStyle w:val="h4para"/>
        <w:tabs>
          <w:tab w:val="clear" w:pos="993"/>
          <w:tab w:val="left" w:pos="567"/>
        </w:tabs>
        <w:rPr>
          <w:rFonts w:ascii="Arial" w:hAnsi="Arial" w:cs="Arial"/>
          <w:sz w:val="20"/>
        </w:rPr>
      </w:pPr>
      <w:r w:rsidRPr="00147CB7">
        <w:rPr>
          <w:rFonts w:ascii="Arial" w:hAnsi="Arial" w:cs="Arial"/>
          <w:sz w:val="20"/>
        </w:rPr>
        <w:tab/>
        <w:t>A different state in the Test Guidelines may not be sufficient to establish distinctness (see also section 5.5.2.3).  However, in certain circumstances, varieties described by the same state of expression may be clearly distinguishable.</w:t>
      </w:r>
    </w:p>
    <w:p w:rsidR="001B2FD2" w:rsidRPr="00147CB7" w:rsidRDefault="001B2FD2" w:rsidP="00923B63">
      <w:pPr>
        <w:pStyle w:val="h4para"/>
        <w:rPr>
          <w:rFonts w:ascii="Arial" w:hAnsi="Arial" w:cs="Arial"/>
          <w:sz w:val="20"/>
        </w:rPr>
      </w:pPr>
      <w:r w:rsidRPr="00147CB7">
        <w:rPr>
          <w:rFonts w:ascii="Arial" w:hAnsi="Arial" w:cs="Arial"/>
          <w:sz w:val="20"/>
        </w:rPr>
        <w:t>[…]</w:t>
      </w:r>
    </w:p>
    <w:p w:rsidR="001B2FD2" w:rsidRPr="00147CB7" w:rsidRDefault="001B2FD2" w:rsidP="001B2FD2">
      <w:bookmarkStart w:id="36" w:name="_Toc498319793"/>
      <w:bookmarkStart w:id="37" w:name="_Toc498511341"/>
      <w:bookmarkStart w:id="38" w:name="_Toc7923382"/>
      <w:r w:rsidRPr="00147CB7">
        <w:t>5.4</w:t>
      </w:r>
      <w:r w:rsidRPr="00147CB7">
        <w:tab/>
        <w:t xml:space="preserve">Interpretation of Observations for the Assessment of Distinctness </w:t>
      </w:r>
      <w:proofErr w:type="gramStart"/>
      <w:r w:rsidRPr="00147CB7">
        <w:t>Without</w:t>
      </w:r>
      <w:proofErr w:type="gramEnd"/>
      <w:r w:rsidRPr="00147CB7">
        <w:t xml:space="preserve"> the Application of Statistical Methods</w:t>
      </w:r>
      <w:bookmarkEnd w:id="36"/>
      <w:bookmarkEnd w:id="37"/>
      <w:bookmarkEnd w:id="38"/>
    </w:p>
    <w:p w:rsidR="001B2FD2" w:rsidRPr="00147CB7" w:rsidRDefault="00515830" w:rsidP="001B2FD2">
      <w:r w:rsidRPr="00147CB7">
        <w:t>[…]</w:t>
      </w:r>
    </w:p>
    <w:p w:rsidR="00773C05" w:rsidRPr="00147CB7" w:rsidRDefault="001B2FD2" w:rsidP="001B2FD2">
      <w:r w:rsidRPr="00147CB7">
        <w:t>5.4.3</w:t>
      </w:r>
      <w:r w:rsidRPr="00147CB7">
        <w:tab/>
        <w:t xml:space="preserve">For quantitative characteristics, a difference of two Notes often represents a clear difference, but that is not an absolute standard for assessment of distinctness.  Depending on factors, such as the testing place, the year, environmental variation or range of expression in the variety collection, a clear difference may be more or less than two Notes.  Guidance </w:t>
      </w:r>
      <w:proofErr w:type="gramStart"/>
      <w:r w:rsidRPr="00147CB7">
        <w:t>is provided</w:t>
      </w:r>
      <w:proofErr w:type="gramEnd"/>
      <w:r w:rsidRPr="00147CB7">
        <w:t xml:space="preserve"> in document TGP/9, “Examining Distinctness.”</w:t>
      </w:r>
    </w:p>
    <w:p w:rsidR="00773C05" w:rsidRPr="00147CB7" w:rsidRDefault="00773C05" w:rsidP="001B2FD2"/>
    <w:p w:rsidR="00773C05" w:rsidRPr="00147CB7" w:rsidRDefault="00773C05" w:rsidP="00773C05">
      <w:pPr>
        <w:jc w:val="right"/>
        <w:sectPr w:rsidR="00773C05" w:rsidRPr="00147CB7" w:rsidSect="00644269">
          <w:headerReference w:type="default" r:id="rId12"/>
          <w:headerReference w:type="first" r:id="rId13"/>
          <w:pgSz w:w="11907" w:h="16840" w:code="9"/>
          <w:pgMar w:top="510" w:right="1134" w:bottom="1134" w:left="1134" w:header="510" w:footer="680" w:gutter="0"/>
          <w:pgNumType w:start="1"/>
          <w:cols w:space="720"/>
          <w:titlePg/>
        </w:sectPr>
      </w:pPr>
      <w:r w:rsidRPr="00147CB7">
        <w:t>[Annex II follows]</w:t>
      </w:r>
    </w:p>
    <w:p w:rsidR="005A4183" w:rsidRPr="00147CB7" w:rsidRDefault="005A4183" w:rsidP="005A4183">
      <w:pPr>
        <w:jc w:val="center"/>
        <w:rPr>
          <w:rFonts w:cs="Arial"/>
        </w:rPr>
      </w:pPr>
      <w:r w:rsidRPr="00147CB7">
        <w:rPr>
          <w:rFonts w:cs="Arial"/>
        </w:rPr>
        <w:t>EXTRACT FROM DOCUMENT TGP/8/3 “TRIAL DESIGN AND TECHNIQUES USED IN THE EXAMINATION OF DISTINCTNESS, UNIFORMITY AND STABILITY”</w:t>
      </w:r>
    </w:p>
    <w:p w:rsidR="005A4183" w:rsidRPr="00147CB7" w:rsidRDefault="005A4183" w:rsidP="005A4183">
      <w:pPr>
        <w:rPr>
          <w:rFonts w:cs="Arial"/>
        </w:rPr>
      </w:pPr>
    </w:p>
    <w:p w:rsidR="005A4183" w:rsidRPr="00147CB7" w:rsidRDefault="005A4183" w:rsidP="005A4183">
      <w:pPr>
        <w:rPr>
          <w:caps/>
        </w:rPr>
      </w:pPr>
      <w:bookmarkStart w:id="39" w:name="_Toc463359561"/>
      <w:bookmarkStart w:id="40" w:name="_Toc129786405"/>
      <w:bookmarkStart w:id="41" w:name="_Toc154368894"/>
      <w:bookmarkStart w:id="42" w:name="_Toc219640759"/>
      <w:r w:rsidRPr="00147CB7">
        <w:rPr>
          <w:caps/>
        </w:rPr>
        <w:t>PART II:  Selected TECHNIQUES used in DUS examination</w:t>
      </w:r>
      <w:bookmarkEnd w:id="39"/>
    </w:p>
    <w:p w:rsidR="005A4183" w:rsidRPr="00147CB7" w:rsidRDefault="005A4183" w:rsidP="005A4183">
      <w:pPr>
        <w:rPr>
          <w:caps/>
        </w:rPr>
      </w:pPr>
    </w:p>
    <w:p w:rsidR="005A4183" w:rsidRPr="00147CB7" w:rsidRDefault="005A4183" w:rsidP="005A4183">
      <w:bookmarkStart w:id="43" w:name="_Toc463359562"/>
      <w:r w:rsidRPr="00147CB7">
        <w:t>1.</w:t>
      </w:r>
      <w:r w:rsidRPr="00147CB7">
        <w:tab/>
        <w:t>THE GAIA METHODOLOGY</w:t>
      </w:r>
      <w:bookmarkEnd w:id="40"/>
      <w:bookmarkEnd w:id="41"/>
      <w:bookmarkEnd w:id="42"/>
      <w:bookmarkEnd w:id="43"/>
    </w:p>
    <w:p w:rsidR="005A4183" w:rsidRPr="00147CB7" w:rsidRDefault="005A4183" w:rsidP="005A4183"/>
    <w:p w:rsidR="005A4183" w:rsidRPr="00147CB7" w:rsidRDefault="005A4183" w:rsidP="005A4183">
      <w:pPr>
        <w:rPr>
          <w:snapToGrid w:val="0"/>
        </w:rPr>
      </w:pPr>
      <w:r w:rsidRPr="00147CB7">
        <w:t xml:space="preserve">The GAIA method </w:t>
      </w:r>
      <w:proofErr w:type="gramStart"/>
      <w:r w:rsidRPr="00147CB7">
        <w:t>has been developed</w:t>
      </w:r>
      <w:proofErr w:type="gramEnd"/>
      <w:r w:rsidRPr="00147CB7">
        <w:t xml:space="preserve"> to </w:t>
      </w:r>
      <w:r w:rsidRPr="00147CB7">
        <w:rPr>
          <w:snapToGrid w:val="0"/>
        </w:rPr>
        <w:t>optimize trials, by avoiding the growing of some of the varieties in the variety collection.  The principle is to compute a phenotypic distance between each pair of varieties, this distance being a sum of distances on each individual observed characteristic.  The background of the method relies on the possibility given to the crop expert to express his confidence on the differences observed, by giving weights to the difference for each observed characteristic.</w:t>
      </w:r>
    </w:p>
    <w:p w:rsidR="005A4183" w:rsidRPr="00147CB7" w:rsidRDefault="005A4183" w:rsidP="005A4183">
      <w:pPr>
        <w:rPr>
          <w:snapToGrid w:val="0"/>
        </w:rPr>
      </w:pPr>
      <w:r w:rsidRPr="00147CB7">
        <w:rPr>
          <w:snapToGrid w:val="0"/>
        </w:rPr>
        <w:t>[…]</w:t>
      </w:r>
    </w:p>
    <w:p w:rsidR="005A4183" w:rsidRPr="00CA6C4E" w:rsidRDefault="005A4183" w:rsidP="005A4183"/>
    <w:p w:rsidR="005A4183" w:rsidRPr="00147CB7" w:rsidRDefault="005A4183" w:rsidP="005A4183">
      <w:bookmarkStart w:id="44" w:name="_Toc154368897"/>
      <w:bookmarkStart w:id="45" w:name="_Toc219640762"/>
      <w:bookmarkStart w:id="46" w:name="_Toc463359565"/>
      <w:r w:rsidRPr="00147CB7">
        <w:rPr>
          <w:snapToGrid w:val="0"/>
        </w:rPr>
        <w:t>1</w:t>
      </w:r>
      <w:r w:rsidRPr="00147CB7">
        <w:t>.3</w:t>
      </w:r>
      <w:r w:rsidRPr="00147CB7">
        <w:tab/>
        <w:t>Detailed information on the GAIA methodology</w:t>
      </w:r>
      <w:bookmarkEnd w:id="44"/>
      <w:bookmarkEnd w:id="45"/>
      <w:bookmarkEnd w:id="46"/>
    </w:p>
    <w:p w:rsidR="005A4183" w:rsidRPr="00147CB7" w:rsidRDefault="005A4183" w:rsidP="005A4183"/>
    <w:p w:rsidR="005A4183" w:rsidRPr="00147CB7" w:rsidRDefault="005A4183" w:rsidP="005A4183">
      <w:bookmarkStart w:id="47" w:name="_Toc154368898"/>
      <w:bookmarkStart w:id="48" w:name="_Toc219640763"/>
      <w:bookmarkStart w:id="49" w:name="_Toc463359566"/>
      <w:r w:rsidRPr="00147CB7">
        <w:rPr>
          <w:snapToGrid w:val="0"/>
        </w:rPr>
        <w:t>1</w:t>
      </w:r>
      <w:r w:rsidRPr="00147CB7">
        <w:t>.3.1</w:t>
      </w:r>
      <w:r w:rsidRPr="00147CB7">
        <w:tab/>
        <w:t>Weighting of characteristics</w:t>
      </w:r>
      <w:bookmarkEnd w:id="47"/>
      <w:bookmarkEnd w:id="48"/>
      <w:bookmarkEnd w:id="49"/>
    </w:p>
    <w:p w:rsidR="005A4183" w:rsidRPr="00147CB7" w:rsidRDefault="005A4183" w:rsidP="005A4183">
      <w:r w:rsidRPr="00147CB7">
        <w:t>[…]</w:t>
      </w:r>
    </w:p>
    <w:p w:rsidR="005A4183" w:rsidRPr="00CA6C4E" w:rsidRDefault="005A4183" w:rsidP="005A4183">
      <w:r w:rsidRPr="00CA6C4E">
        <w:rPr>
          <w:snapToGrid w:val="0"/>
        </w:rPr>
        <w:t>1</w:t>
      </w:r>
      <w:r w:rsidRPr="00CA6C4E">
        <w:t>.3.1.2</w:t>
      </w:r>
      <w:r w:rsidRPr="00CA6C4E">
        <w:tab/>
        <w:t xml:space="preserve">Weighting </w:t>
      </w:r>
      <w:proofErr w:type="gramStart"/>
      <w:r w:rsidRPr="00CA6C4E">
        <w:t>is defined</w:t>
      </w:r>
      <w:proofErr w:type="gramEnd"/>
      <w:r w:rsidRPr="00CA6C4E">
        <w:t xml:space="preserve"> as the contribution in a given characteristic to the total distance between a pair of varieties.  </w:t>
      </w:r>
      <w:r w:rsidRPr="00CA6C4E">
        <w:rPr>
          <w:snapToGrid w:val="0"/>
        </w:rPr>
        <w:t xml:space="preserve">For each species, this system must be calibrated to determine the </w:t>
      </w:r>
      <w:proofErr w:type="gramStart"/>
      <w:r w:rsidRPr="00CA6C4E">
        <w:rPr>
          <w:snapToGrid w:val="0"/>
        </w:rPr>
        <w:t>weight which can be given to each difference</w:t>
      </w:r>
      <w:proofErr w:type="gramEnd"/>
      <w:r w:rsidRPr="00CA6C4E">
        <w:rPr>
          <w:snapToGrid w:val="0"/>
        </w:rPr>
        <w:t xml:space="preserve"> and to evaluate the reliability of each characteristic in a given environment and for the genetic variability concerned.  For that </w:t>
      </w:r>
      <w:proofErr w:type="gramStart"/>
      <w:r w:rsidRPr="00CA6C4E">
        <w:rPr>
          <w:snapToGrid w:val="0"/>
        </w:rPr>
        <w:t>reason</w:t>
      </w:r>
      <w:proofErr w:type="gramEnd"/>
      <w:r w:rsidRPr="00CA6C4E">
        <w:rPr>
          <w:snapToGrid w:val="0"/>
        </w:rPr>
        <w:t xml:space="preserve"> the role of the crop expert is essential. </w:t>
      </w:r>
    </w:p>
    <w:p w:rsidR="005A4183" w:rsidRPr="00CA6C4E" w:rsidRDefault="005A4183" w:rsidP="005A4183"/>
    <w:p w:rsidR="005A4183" w:rsidRPr="00CA6C4E" w:rsidRDefault="005A4183" w:rsidP="005A4183">
      <w:pPr>
        <w:rPr>
          <w:i/>
          <w:u w:val="single"/>
        </w:rPr>
      </w:pPr>
      <w:r w:rsidRPr="00CA6C4E">
        <w:rPr>
          <w:snapToGrid w:val="0"/>
        </w:rPr>
        <w:t>1</w:t>
      </w:r>
      <w:r w:rsidRPr="00CA6C4E">
        <w:t>.3.1.3</w:t>
      </w:r>
      <w:r w:rsidRPr="00CA6C4E">
        <w:tab/>
        <w:t xml:space="preserve">Weighting depends on the size of the difference and on the individual characteristic. The weightings are defined by the crop expert </w:t>
      </w:r>
      <w:proofErr w:type="gramStart"/>
      <w:r w:rsidRPr="00CA6C4E">
        <w:t>on the basis of</w:t>
      </w:r>
      <w:proofErr w:type="gramEnd"/>
      <w:r w:rsidRPr="00CA6C4E">
        <w:t xml:space="preserve"> his expertise in the crop and on a “try-and-check” (see Diagram 3 at the end of this annex) learning process.  The expert can give zero weighting to small differences, thus, even if two varieties have different observed values in many characteristics, the overall distance might be zero.  For a given difference, the same weighting </w:t>
      </w:r>
      <w:proofErr w:type="gramStart"/>
      <w:r w:rsidRPr="00CA6C4E">
        <w:t>is attributed</w:t>
      </w:r>
      <w:proofErr w:type="gramEnd"/>
      <w:r w:rsidRPr="00CA6C4E">
        <w:t xml:space="preserve"> to any pair of varieties for a given characteristic.  </w:t>
      </w:r>
    </w:p>
    <w:p w:rsidR="005A4183" w:rsidRPr="00CA6C4E" w:rsidRDefault="005A4183" w:rsidP="005A4183"/>
    <w:p w:rsidR="005A4183" w:rsidRPr="00CA6C4E" w:rsidRDefault="005A4183" w:rsidP="005A4183">
      <w:pPr>
        <w:keepNext/>
      </w:pPr>
      <w:r w:rsidRPr="00CA6C4E">
        <w:rPr>
          <w:snapToGrid w:val="0"/>
        </w:rPr>
        <w:t>1</w:t>
      </w:r>
      <w:r w:rsidRPr="00CA6C4E">
        <w:t>.3.1.4</w:t>
      </w:r>
      <w:r w:rsidRPr="00CA6C4E">
        <w:tab/>
        <w:t>The weighting should be simple and consistent.  For instance the crop expert can base the weights for a characteristic only with integer values, i.e. 0, 1, 2, 3, (or more).</w:t>
      </w:r>
    </w:p>
    <w:p w:rsidR="005A4183" w:rsidRPr="00CA6C4E" w:rsidRDefault="005A4183" w:rsidP="005A4183">
      <w:pPr>
        <w:keepNext/>
      </w:pPr>
    </w:p>
    <w:p w:rsidR="005A4183" w:rsidRPr="00CA6C4E" w:rsidRDefault="005A4183" w:rsidP="005A4183">
      <w:pPr>
        <w:keepNext/>
      </w:pPr>
      <w:r w:rsidRPr="00CA6C4E">
        <w:t>If so,</w:t>
      </w:r>
    </w:p>
    <w:p w:rsidR="005A4183" w:rsidRPr="00CA6C4E" w:rsidRDefault="005A4183" w:rsidP="005A4183">
      <w:pPr>
        <w:keepNext/>
      </w:pPr>
    </w:p>
    <w:p w:rsidR="005A4183" w:rsidRPr="00CA6C4E" w:rsidRDefault="005A4183" w:rsidP="005A4183">
      <w:pPr>
        <w:keepNext/>
        <w:ind w:left="567"/>
      </w:pPr>
      <w:r w:rsidRPr="00CA6C4E">
        <w:t xml:space="preserve">- </w:t>
      </w:r>
      <w:proofErr w:type="gramStart"/>
      <w:r w:rsidRPr="00CA6C4E">
        <w:t>a</w:t>
      </w:r>
      <w:proofErr w:type="gramEnd"/>
      <w:r w:rsidRPr="00CA6C4E">
        <w:t xml:space="preserve"> weight of 0 is given to observed differences which for this characteristic are considered by the crop expert as possibly caused by environment effects or lack of precision in measure.</w:t>
      </w:r>
    </w:p>
    <w:p w:rsidR="005A4183" w:rsidRPr="00CA6C4E" w:rsidRDefault="005A4183" w:rsidP="005A4183">
      <w:pPr>
        <w:keepNext/>
        <w:ind w:left="567"/>
      </w:pPr>
      <w:r w:rsidRPr="00CA6C4E">
        <w:t xml:space="preserve">- </w:t>
      </w:r>
      <w:proofErr w:type="gramStart"/>
      <w:r w:rsidRPr="00CA6C4E">
        <w:t>a</w:t>
      </w:r>
      <w:proofErr w:type="gramEnd"/>
      <w:r w:rsidRPr="00CA6C4E">
        <w:t xml:space="preserve"> weight of 1 is the minimum weight which can contribute as a </w:t>
      </w:r>
      <w:proofErr w:type="spellStart"/>
      <w:r w:rsidRPr="00CA6C4E">
        <w:t>non zero</w:t>
      </w:r>
      <w:proofErr w:type="spellEnd"/>
      <w:r w:rsidRPr="00CA6C4E">
        <w:t xml:space="preserve"> distance </w:t>
      </w:r>
    </w:p>
    <w:p w:rsidR="005A4183" w:rsidRPr="00CA6C4E" w:rsidRDefault="005A4183" w:rsidP="005A4183">
      <w:pPr>
        <w:keepNext/>
        <w:ind w:left="567"/>
      </w:pPr>
      <w:r w:rsidRPr="00CA6C4E">
        <w:t xml:space="preserve">- </w:t>
      </w:r>
      <w:proofErr w:type="gramStart"/>
      <w:r w:rsidRPr="00CA6C4E">
        <w:t>a</w:t>
      </w:r>
      <w:proofErr w:type="gramEnd"/>
      <w:r w:rsidRPr="00CA6C4E">
        <w:t xml:space="preserve"> weight of 3 is considered to be about 3 times greater in term of confidence or distance than a weight of 1.</w:t>
      </w:r>
    </w:p>
    <w:p w:rsidR="005A4183" w:rsidRPr="00CA6C4E" w:rsidRDefault="005A4183" w:rsidP="005A4183">
      <w:pPr>
        <w:keepNext/>
      </w:pPr>
    </w:p>
    <w:p w:rsidR="005A4183" w:rsidRPr="00CA6C4E" w:rsidRDefault="005A4183" w:rsidP="005A4183">
      <w:pPr>
        <w:keepNext/>
      </w:pPr>
      <w:r w:rsidRPr="00CA6C4E">
        <w:rPr>
          <w:snapToGrid w:val="0"/>
        </w:rPr>
        <w:t>1</w:t>
      </w:r>
      <w:r w:rsidRPr="00CA6C4E">
        <w:t>.3.1.5</w:t>
      </w:r>
      <w:r w:rsidRPr="00CA6C4E">
        <w:tab/>
        <w:t xml:space="preserve">The distinctness plus threshold will be defined as a value for which the sum of the differences with a </w:t>
      </w:r>
      <w:proofErr w:type="spellStart"/>
      <w:proofErr w:type="gramStart"/>
      <w:r w:rsidRPr="00CA6C4E">
        <w:t>non</w:t>
      </w:r>
      <w:proofErr w:type="gramEnd"/>
      <w:r w:rsidRPr="00CA6C4E">
        <w:t xml:space="preserve"> zero</w:t>
      </w:r>
      <w:proofErr w:type="spellEnd"/>
      <w:r w:rsidRPr="00CA6C4E">
        <w:t xml:space="preserve"> weight is great enough to ensure a reliable obvious distinction.</w:t>
      </w:r>
    </w:p>
    <w:p w:rsidR="005A4183" w:rsidRPr="00CA6C4E" w:rsidRDefault="005A4183" w:rsidP="005A4183">
      <w:r>
        <w:t>[…]</w:t>
      </w:r>
    </w:p>
    <w:p w:rsidR="005A4183" w:rsidRPr="00CA6C4E" w:rsidRDefault="005A4183" w:rsidP="005A4183">
      <w:pPr>
        <w:keepNext/>
      </w:pPr>
      <w:r w:rsidRPr="00CA6C4E">
        <w:rPr>
          <w:snapToGrid w:val="0"/>
        </w:rPr>
        <w:t>1</w:t>
      </w:r>
      <w:r w:rsidRPr="00CA6C4E">
        <w:t>.3.1.7</w:t>
      </w:r>
      <w:r w:rsidRPr="00CA6C4E">
        <w:tab/>
        <w:t xml:space="preserve">The following simple example on </w:t>
      </w:r>
      <w:proofErr w:type="spellStart"/>
      <w:r w:rsidRPr="00CA6C4E">
        <w:rPr>
          <w:i/>
        </w:rPr>
        <w:t>Zea</w:t>
      </w:r>
      <w:proofErr w:type="spellEnd"/>
      <w:r w:rsidRPr="00CA6C4E">
        <w:rPr>
          <w:i/>
        </w:rPr>
        <w:t xml:space="preserve"> mays</w:t>
      </w:r>
      <w:r w:rsidRPr="00CA6C4E">
        <w:t xml:space="preserve"> shows the computation of the distance between two varieties:</w:t>
      </w:r>
    </w:p>
    <w:p w:rsidR="005A4183" w:rsidRPr="00CA6C4E" w:rsidRDefault="005A4183" w:rsidP="005A4183">
      <w:pPr>
        <w:keepNext/>
      </w:pPr>
    </w:p>
    <w:p w:rsidR="005A4183" w:rsidRPr="00CA6C4E" w:rsidRDefault="005A4183" w:rsidP="005A4183">
      <w:pPr>
        <w:ind w:left="567"/>
      </w:pPr>
      <w:r w:rsidRPr="00CA6C4E">
        <w:rPr>
          <w:u w:val="single"/>
        </w:rPr>
        <w:t>Example:</w:t>
      </w:r>
      <w:r w:rsidRPr="00CA6C4E">
        <w:t xml:space="preserve">  taking the characteristic “Weighting matrix shape of ear”, observed on a 1 to 3 scale, the crop expert has attributed weighting to </w:t>
      </w:r>
      <w:proofErr w:type="gramStart"/>
      <w:r w:rsidRPr="00CA6C4E">
        <w:t>differences which</w:t>
      </w:r>
      <w:proofErr w:type="gramEnd"/>
      <w:r w:rsidRPr="00CA6C4E">
        <w:t xml:space="preserve"> they consider significant:</w:t>
      </w:r>
    </w:p>
    <w:p w:rsidR="005A4183" w:rsidRPr="00CA6C4E" w:rsidRDefault="005A4183" w:rsidP="005A4183"/>
    <w:p w:rsidR="005A4183" w:rsidRPr="00CA6C4E" w:rsidRDefault="005A4183" w:rsidP="005A4183">
      <w:pPr>
        <w:ind w:left="567"/>
      </w:pPr>
      <w:r w:rsidRPr="00CA6C4E">
        <w:t>Shape of ear:</w:t>
      </w:r>
    </w:p>
    <w:p w:rsidR="005A4183" w:rsidRPr="00CA6C4E" w:rsidRDefault="005A4183" w:rsidP="005A4183">
      <w:pPr>
        <w:ind w:left="1134"/>
      </w:pPr>
      <w:r w:rsidRPr="00CA6C4E">
        <w:t>1 = conical</w:t>
      </w:r>
    </w:p>
    <w:p w:rsidR="005A4183" w:rsidRPr="00CA6C4E" w:rsidRDefault="005A4183" w:rsidP="005A4183">
      <w:pPr>
        <w:ind w:left="1134"/>
      </w:pPr>
      <w:r w:rsidRPr="00CA6C4E">
        <w:t xml:space="preserve">2 = </w:t>
      </w:r>
      <w:proofErr w:type="spellStart"/>
      <w:r w:rsidRPr="00CA6C4E">
        <w:t>conico</w:t>
      </w:r>
      <w:proofErr w:type="spellEnd"/>
      <w:r w:rsidRPr="00CA6C4E">
        <w:t>-cylindrical</w:t>
      </w:r>
    </w:p>
    <w:p w:rsidR="005A4183" w:rsidRPr="00CA6C4E" w:rsidRDefault="005A4183" w:rsidP="005A4183">
      <w:pPr>
        <w:ind w:left="1134"/>
      </w:pPr>
      <w:r w:rsidRPr="00CA6C4E">
        <w:t>3 = cylindrical</w:t>
      </w:r>
    </w:p>
    <w:p w:rsidR="005A4183" w:rsidRPr="00CA6C4E" w:rsidRDefault="005A4183" w:rsidP="005A4183"/>
    <w:p w:rsidR="005A4183" w:rsidRPr="00CA6C4E" w:rsidRDefault="005A4183" w:rsidP="005A4183"/>
    <w:tbl>
      <w:tblPr>
        <w:tblW w:w="0" w:type="auto"/>
        <w:jc w:val="center"/>
        <w:tblLayout w:type="fixed"/>
        <w:tblLook w:val="0000" w:firstRow="0" w:lastRow="0" w:firstColumn="0" w:lastColumn="0" w:noHBand="0" w:noVBand="0"/>
      </w:tblPr>
      <w:tblGrid>
        <w:gridCol w:w="4395"/>
        <w:gridCol w:w="1134"/>
        <w:gridCol w:w="1275"/>
      </w:tblGrid>
      <w:tr w:rsidR="005A4183" w:rsidRPr="00CA6C4E" w:rsidTr="00DA1D91">
        <w:trPr>
          <w:cantSplit/>
          <w:trHeight w:val="500"/>
          <w:jc w:val="center"/>
        </w:trPr>
        <w:tc>
          <w:tcPr>
            <w:tcW w:w="6804" w:type="dxa"/>
            <w:gridSpan w:val="3"/>
            <w:tcBorders>
              <w:top w:val="single" w:sz="4" w:space="0" w:color="auto"/>
              <w:left w:val="single" w:sz="4" w:space="0" w:color="auto"/>
              <w:right w:val="single" w:sz="4" w:space="0" w:color="auto"/>
            </w:tcBorders>
            <w:vAlign w:val="center"/>
          </w:tcPr>
          <w:p w:rsidR="005A4183" w:rsidRPr="00CA6C4E" w:rsidRDefault="005A4183" w:rsidP="00DA1D91">
            <w:pPr>
              <w:keepNext/>
              <w:jc w:val="center"/>
            </w:pPr>
            <w:r w:rsidRPr="00CA6C4E">
              <w:t>Comparison between difference in notes and weighting</w:t>
            </w:r>
          </w:p>
        </w:tc>
      </w:tr>
      <w:tr w:rsidR="005A4183" w:rsidRPr="00CA6C4E" w:rsidTr="00DA1D91">
        <w:trPr>
          <w:cantSplit/>
          <w:jc w:val="center"/>
        </w:trPr>
        <w:tc>
          <w:tcPr>
            <w:tcW w:w="4395" w:type="dxa"/>
            <w:tcBorders>
              <w:left w:val="single" w:sz="4" w:space="0" w:color="auto"/>
              <w:bottom w:val="single" w:sz="4" w:space="0" w:color="auto"/>
              <w:right w:val="single" w:sz="4" w:space="0" w:color="auto"/>
            </w:tcBorders>
          </w:tcPr>
          <w:p w:rsidR="005A4183" w:rsidRPr="00CA6C4E" w:rsidRDefault="005A4183" w:rsidP="00DA1D91">
            <w:pPr>
              <w:keepNext/>
              <w:ind w:left="-108"/>
            </w:pPr>
          </w:p>
        </w:tc>
        <w:tc>
          <w:tcPr>
            <w:tcW w:w="1134" w:type="dxa"/>
            <w:tcBorders>
              <w:top w:val="single" w:sz="4" w:space="0" w:color="auto"/>
              <w:bottom w:val="single" w:sz="4" w:space="0" w:color="auto"/>
              <w:right w:val="single" w:sz="4" w:space="0" w:color="auto"/>
            </w:tcBorders>
          </w:tcPr>
          <w:p w:rsidR="005A4183" w:rsidRPr="00CA6C4E" w:rsidRDefault="005A4183" w:rsidP="00DA1D91">
            <w:pPr>
              <w:keepNext/>
              <w:jc w:val="center"/>
            </w:pPr>
            <w:r w:rsidRPr="00CA6C4E">
              <w:t>Different in notes</w:t>
            </w:r>
          </w:p>
        </w:tc>
        <w:tc>
          <w:tcPr>
            <w:tcW w:w="1275" w:type="dxa"/>
            <w:tcBorders>
              <w:top w:val="single" w:sz="4" w:space="0" w:color="auto"/>
              <w:bottom w:val="single" w:sz="4" w:space="0" w:color="auto"/>
              <w:right w:val="single" w:sz="4" w:space="0" w:color="auto"/>
            </w:tcBorders>
          </w:tcPr>
          <w:p w:rsidR="005A4183" w:rsidRPr="00CA6C4E" w:rsidRDefault="005A4183" w:rsidP="00DA1D91">
            <w:pPr>
              <w:keepNext/>
              <w:jc w:val="center"/>
            </w:pPr>
            <w:r w:rsidRPr="00CA6C4E">
              <w:t>Weighting</w:t>
            </w:r>
          </w:p>
        </w:tc>
      </w:tr>
      <w:tr w:rsidR="005A4183" w:rsidRPr="00CA6C4E" w:rsidTr="00DA1D91">
        <w:trPr>
          <w:cantSplit/>
          <w:trHeight w:val="394"/>
          <w:jc w:val="center"/>
        </w:trPr>
        <w:tc>
          <w:tcPr>
            <w:tcW w:w="4395" w:type="dxa"/>
            <w:tcBorders>
              <w:top w:val="single" w:sz="4" w:space="0" w:color="auto"/>
              <w:left w:val="single" w:sz="4" w:space="0" w:color="auto"/>
              <w:bottom w:val="single" w:sz="4" w:space="0" w:color="auto"/>
              <w:right w:val="single" w:sz="4" w:space="0" w:color="auto"/>
            </w:tcBorders>
            <w:vAlign w:val="center"/>
          </w:tcPr>
          <w:p w:rsidR="005A4183" w:rsidRPr="00CA6C4E" w:rsidRDefault="005A4183" w:rsidP="00DA1D91">
            <w:pPr>
              <w:keepNext/>
              <w:ind w:left="-108"/>
            </w:pPr>
            <w:r w:rsidRPr="00CA6C4E">
              <w:t xml:space="preserve"> conical (1) vs. conical (1)</w:t>
            </w:r>
          </w:p>
        </w:tc>
        <w:tc>
          <w:tcPr>
            <w:tcW w:w="1134" w:type="dxa"/>
            <w:tcBorders>
              <w:top w:val="single" w:sz="4" w:space="0" w:color="auto"/>
              <w:bottom w:val="single" w:sz="4" w:space="0" w:color="auto"/>
              <w:right w:val="single" w:sz="4" w:space="0" w:color="auto"/>
            </w:tcBorders>
            <w:vAlign w:val="center"/>
          </w:tcPr>
          <w:p w:rsidR="005A4183" w:rsidRPr="00CA6C4E" w:rsidRDefault="005A4183" w:rsidP="00DA1D91">
            <w:pPr>
              <w:keepNext/>
              <w:jc w:val="center"/>
            </w:pPr>
            <w:r w:rsidRPr="00CA6C4E">
              <w:t>0</w:t>
            </w:r>
          </w:p>
        </w:tc>
        <w:tc>
          <w:tcPr>
            <w:tcW w:w="1275" w:type="dxa"/>
            <w:tcBorders>
              <w:top w:val="single" w:sz="4" w:space="0" w:color="auto"/>
              <w:bottom w:val="single" w:sz="4" w:space="0" w:color="auto"/>
              <w:right w:val="single" w:sz="4" w:space="0" w:color="auto"/>
            </w:tcBorders>
            <w:vAlign w:val="center"/>
          </w:tcPr>
          <w:p w:rsidR="005A4183" w:rsidRPr="00CA6C4E" w:rsidRDefault="005A4183" w:rsidP="00DA1D91">
            <w:pPr>
              <w:keepNext/>
              <w:jc w:val="center"/>
            </w:pPr>
            <w:r w:rsidRPr="00CA6C4E">
              <w:t>0</w:t>
            </w:r>
          </w:p>
        </w:tc>
      </w:tr>
      <w:tr w:rsidR="005A4183" w:rsidRPr="00CA6C4E" w:rsidTr="00DA1D91">
        <w:trPr>
          <w:cantSplit/>
          <w:trHeight w:val="394"/>
          <w:jc w:val="center"/>
        </w:trPr>
        <w:tc>
          <w:tcPr>
            <w:tcW w:w="4395" w:type="dxa"/>
            <w:tcBorders>
              <w:top w:val="single" w:sz="4" w:space="0" w:color="auto"/>
              <w:left w:val="single" w:sz="4" w:space="0" w:color="auto"/>
              <w:bottom w:val="single" w:sz="4" w:space="0" w:color="auto"/>
              <w:right w:val="single" w:sz="4" w:space="0" w:color="auto"/>
            </w:tcBorders>
            <w:vAlign w:val="center"/>
          </w:tcPr>
          <w:p w:rsidR="005A4183" w:rsidRPr="00CA6C4E" w:rsidRDefault="005A4183" w:rsidP="00DA1D91">
            <w:pPr>
              <w:keepNext/>
              <w:ind w:left="-108"/>
            </w:pPr>
            <w:r w:rsidRPr="00CA6C4E">
              <w:t xml:space="preserve"> conical (1) vs. </w:t>
            </w:r>
            <w:proofErr w:type="spellStart"/>
            <w:r w:rsidRPr="00CA6C4E">
              <w:t>conico</w:t>
            </w:r>
            <w:proofErr w:type="spellEnd"/>
            <w:r w:rsidRPr="00CA6C4E">
              <w:t>-cylindrical (2)</w:t>
            </w:r>
          </w:p>
        </w:tc>
        <w:tc>
          <w:tcPr>
            <w:tcW w:w="1134" w:type="dxa"/>
            <w:tcBorders>
              <w:top w:val="single" w:sz="4" w:space="0" w:color="auto"/>
              <w:bottom w:val="single" w:sz="4" w:space="0" w:color="auto"/>
              <w:right w:val="single" w:sz="4" w:space="0" w:color="auto"/>
            </w:tcBorders>
            <w:vAlign w:val="center"/>
          </w:tcPr>
          <w:p w:rsidR="005A4183" w:rsidRPr="00CA6C4E" w:rsidRDefault="005A4183" w:rsidP="00DA1D91">
            <w:pPr>
              <w:keepNext/>
              <w:jc w:val="center"/>
            </w:pPr>
            <w:r w:rsidRPr="00CA6C4E">
              <w:t>1</w:t>
            </w:r>
          </w:p>
        </w:tc>
        <w:tc>
          <w:tcPr>
            <w:tcW w:w="1275" w:type="dxa"/>
            <w:tcBorders>
              <w:top w:val="single" w:sz="4" w:space="0" w:color="auto"/>
              <w:bottom w:val="single" w:sz="4" w:space="0" w:color="auto"/>
              <w:right w:val="single" w:sz="4" w:space="0" w:color="auto"/>
            </w:tcBorders>
            <w:vAlign w:val="center"/>
          </w:tcPr>
          <w:p w:rsidR="005A4183" w:rsidRPr="00CA6C4E" w:rsidRDefault="005A4183" w:rsidP="00DA1D91">
            <w:pPr>
              <w:keepNext/>
              <w:jc w:val="center"/>
            </w:pPr>
            <w:r w:rsidRPr="00CA6C4E">
              <w:t>2</w:t>
            </w:r>
          </w:p>
        </w:tc>
      </w:tr>
      <w:tr w:rsidR="005A4183" w:rsidRPr="00CA6C4E" w:rsidTr="00DA1D91">
        <w:trPr>
          <w:cantSplit/>
          <w:trHeight w:val="395"/>
          <w:jc w:val="center"/>
        </w:trPr>
        <w:tc>
          <w:tcPr>
            <w:tcW w:w="4395" w:type="dxa"/>
            <w:tcBorders>
              <w:top w:val="single" w:sz="4" w:space="0" w:color="auto"/>
              <w:left w:val="single" w:sz="4" w:space="0" w:color="auto"/>
              <w:bottom w:val="single" w:sz="4" w:space="0" w:color="auto"/>
              <w:right w:val="single" w:sz="4" w:space="0" w:color="auto"/>
            </w:tcBorders>
            <w:vAlign w:val="center"/>
          </w:tcPr>
          <w:p w:rsidR="005A4183" w:rsidRPr="00CA6C4E" w:rsidRDefault="005A4183" w:rsidP="00DA1D91">
            <w:pPr>
              <w:keepNext/>
              <w:ind w:left="-108"/>
            </w:pPr>
            <w:r w:rsidRPr="00CA6C4E">
              <w:t xml:space="preserve"> conical (1) vs. cylindrical (3)</w:t>
            </w:r>
          </w:p>
        </w:tc>
        <w:tc>
          <w:tcPr>
            <w:tcW w:w="1134" w:type="dxa"/>
            <w:tcBorders>
              <w:top w:val="single" w:sz="4" w:space="0" w:color="auto"/>
              <w:bottom w:val="single" w:sz="4" w:space="0" w:color="auto"/>
              <w:right w:val="single" w:sz="4" w:space="0" w:color="auto"/>
            </w:tcBorders>
            <w:vAlign w:val="center"/>
          </w:tcPr>
          <w:p w:rsidR="005A4183" w:rsidRPr="00CA6C4E" w:rsidRDefault="005A4183" w:rsidP="00DA1D91">
            <w:pPr>
              <w:keepNext/>
              <w:jc w:val="center"/>
            </w:pPr>
            <w:r w:rsidRPr="00CA6C4E">
              <w:t>2</w:t>
            </w:r>
          </w:p>
        </w:tc>
        <w:tc>
          <w:tcPr>
            <w:tcW w:w="1275" w:type="dxa"/>
            <w:tcBorders>
              <w:top w:val="single" w:sz="4" w:space="0" w:color="auto"/>
              <w:bottom w:val="single" w:sz="4" w:space="0" w:color="auto"/>
              <w:right w:val="single" w:sz="4" w:space="0" w:color="auto"/>
            </w:tcBorders>
            <w:vAlign w:val="center"/>
          </w:tcPr>
          <w:p w:rsidR="005A4183" w:rsidRPr="00CA6C4E" w:rsidRDefault="005A4183" w:rsidP="00DA1D91">
            <w:pPr>
              <w:keepNext/>
              <w:jc w:val="center"/>
            </w:pPr>
            <w:r w:rsidRPr="00CA6C4E">
              <w:t>6</w:t>
            </w:r>
          </w:p>
        </w:tc>
      </w:tr>
      <w:tr w:rsidR="005A4183" w:rsidRPr="00CA6C4E" w:rsidTr="00DA1D91">
        <w:trPr>
          <w:cantSplit/>
          <w:trHeight w:val="394"/>
          <w:jc w:val="center"/>
        </w:trPr>
        <w:tc>
          <w:tcPr>
            <w:tcW w:w="4395" w:type="dxa"/>
            <w:tcBorders>
              <w:top w:val="single" w:sz="4" w:space="0" w:color="auto"/>
              <w:left w:val="single" w:sz="4" w:space="0" w:color="auto"/>
              <w:bottom w:val="single" w:sz="4" w:space="0" w:color="auto"/>
              <w:right w:val="single" w:sz="4" w:space="0" w:color="auto"/>
            </w:tcBorders>
            <w:vAlign w:val="center"/>
          </w:tcPr>
          <w:p w:rsidR="005A4183" w:rsidRPr="00CA6C4E" w:rsidRDefault="005A4183" w:rsidP="00DA1D91">
            <w:pPr>
              <w:keepNext/>
              <w:ind w:left="-108"/>
              <w:rPr>
                <w:lang w:val="pt-BR"/>
              </w:rPr>
            </w:pPr>
            <w:r w:rsidRPr="00CA6C4E">
              <w:rPr>
                <w:lang w:val="pt-BR"/>
              </w:rPr>
              <w:t xml:space="preserve"> conico-cylindrical (2) vs. conico-cylindrical (2)</w:t>
            </w:r>
          </w:p>
        </w:tc>
        <w:tc>
          <w:tcPr>
            <w:tcW w:w="1134" w:type="dxa"/>
            <w:tcBorders>
              <w:top w:val="single" w:sz="4" w:space="0" w:color="auto"/>
              <w:bottom w:val="single" w:sz="4" w:space="0" w:color="auto"/>
              <w:right w:val="single" w:sz="4" w:space="0" w:color="auto"/>
            </w:tcBorders>
            <w:vAlign w:val="center"/>
          </w:tcPr>
          <w:p w:rsidR="005A4183" w:rsidRPr="00CA6C4E" w:rsidRDefault="005A4183" w:rsidP="00DA1D91">
            <w:pPr>
              <w:keepNext/>
              <w:jc w:val="center"/>
            </w:pPr>
            <w:r w:rsidRPr="00CA6C4E">
              <w:t>0</w:t>
            </w:r>
          </w:p>
        </w:tc>
        <w:tc>
          <w:tcPr>
            <w:tcW w:w="1275" w:type="dxa"/>
            <w:tcBorders>
              <w:top w:val="single" w:sz="4" w:space="0" w:color="auto"/>
              <w:bottom w:val="single" w:sz="4" w:space="0" w:color="auto"/>
              <w:right w:val="single" w:sz="4" w:space="0" w:color="auto"/>
            </w:tcBorders>
            <w:vAlign w:val="center"/>
          </w:tcPr>
          <w:p w:rsidR="005A4183" w:rsidRPr="00CA6C4E" w:rsidRDefault="005A4183" w:rsidP="00DA1D91">
            <w:pPr>
              <w:keepNext/>
              <w:jc w:val="center"/>
            </w:pPr>
            <w:r w:rsidRPr="00CA6C4E">
              <w:t>0</w:t>
            </w:r>
          </w:p>
        </w:tc>
      </w:tr>
      <w:tr w:rsidR="005A4183" w:rsidRPr="00CA6C4E" w:rsidTr="00DA1D91">
        <w:trPr>
          <w:cantSplit/>
          <w:trHeight w:val="394"/>
          <w:jc w:val="center"/>
        </w:trPr>
        <w:tc>
          <w:tcPr>
            <w:tcW w:w="4395" w:type="dxa"/>
            <w:tcBorders>
              <w:top w:val="single" w:sz="4" w:space="0" w:color="auto"/>
              <w:left w:val="single" w:sz="4" w:space="0" w:color="auto"/>
              <w:bottom w:val="single" w:sz="4" w:space="0" w:color="auto"/>
              <w:right w:val="single" w:sz="4" w:space="0" w:color="auto"/>
            </w:tcBorders>
            <w:vAlign w:val="center"/>
          </w:tcPr>
          <w:p w:rsidR="005A4183" w:rsidRPr="00CA6C4E" w:rsidRDefault="005A4183" w:rsidP="00DA1D91">
            <w:pPr>
              <w:keepNext/>
              <w:ind w:left="-108"/>
            </w:pPr>
            <w:r w:rsidRPr="00CA6C4E">
              <w:t xml:space="preserve"> </w:t>
            </w:r>
            <w:proofErr w:type="spellStart"/>
            <w:r w:rsidRPr="00CA6C4E">
              <w:t>conico</w:t>
            </w:r>
            <w:proofErr w:type="spellEnd"/>
            <w:r w:rsidRPr="00CA6C4E">
              <w:t>-cylindrical (2) vs. cylindrical (3)</w:t>
            </w:r>
          </w:p>
        </w:tc>
        <w:tc>
          <w:tcPr>
            <w:tcW w:w="1134" w:type="dxa"/>
            <w:tcBorders>
              <w:top w:val="single" w:sz="4" w:space="0" w:color="auto"/>
              <w:bottom w:val="single" w:sz="4" w:space="0" w:color="auto"/>
              <w:right w:val="single" w:sz="4" w:space="0" w:color="auto"/>
            </w:tcBorders>
            <w:vAlign w:val="center"/>
          </w:tcPr>
          <w:p w:rsidR="005A4183" w:rsidRPr="00CA6C4E" w:rsidRDefault="005A4183" w:rsidP="00DA1D91">
            <w:pPr>
              <w:keepNext/>
              <w:jc w:val="center"/>
            </w:pPr>
            <w:r w:rsidRPr="00CA6C4E">
              <w:t>1</w:t>
            </w:r>
          </w:p>
        </w:tc>
        <w:tc>
          <w:tcPr>
            <w:tcW w:w="1275" w:type="dxa"/>
            <w:tcBorders>
              <w:top w:val="single" w:sz="4" w:space="0" w:color="auto"/>
              <w:bottom w:val="single" w:sz="4" w:space="0" w:color="auto"/>
              <w:right w:val="single" w:sz="4" w:space="0" w:color="auto"/>
            </w:tcBorders>
            <w:vAlign w:val="center"/>
          </w:tcPr>
          <w:p w:rsidR="005A4183" w:rsidRPr="00CA6C4E" w:rsidRDefault="005A4183" w:rsidP="00DA1D91">
            <w:pPr>
              <w:keepNext/>
              <w:jc w:val="center"/>
            </w:pPr>
            <w:r w:rsidRPr="00CA6C4E">
              <w:t>2</w:t>
            </w:r>
          </w:p>
        </w:tc>
      </w:tr>
      <w:tr w:rsidR="005A4183" w:rsidRPr="00CA6C4E" w:rsidTr="00DA1D91">
        <w:trPr>
          <w:cantSplit/>
          <w:trHeight w:val="395"/>
          <w:jc w:val="center"/>
        </w:trPr>
        <w:tc>
          <w:tcPr>
            <w:tcW w:w="4395" w:type="dxa"/>
            <w:tcBorders>
              <w:top w:val="single" w:sz="4" w:space="0" w:color="auto"/>
              <w:left w:val="single" w:sz="4" w:space="0" w:color="auto"/>
              <w:bottom w:val="single" w:sz="4" w:space="0" w:color="auto"/>
              <w:right w:val="single" w:sz="4" w:space="0" w:color="auto"/>
            </w:tcBorders>
            <w:vAlign w:val="center"/>
          </w:tcPr>
          <w:p w:rsidR="005A4183" w:rsidRPr="00CA6C4E" w:rsidRDefault="005A4183" w:rsidP="00DA1D91">
            <w:pPr>
              <w:ind w:left="-108"/>
            </w:pPr>
            <w:r w:rsidRPr="00CA6C4E">
              <w:t xml:space="preserve"> cylindrical (3) vs. cylindrical (3)</w:t>
            </w:r>
          </w:p>
        </w:tc>
        <w:tc>
          <w:tcPr>
            <w:tcW w:w="1134" w:type="dxa"/>
            <w:tcBorders>
              <w:top w:val="single" w:sz="4" w:space="0" w:color="auto"/>
              <w:bottom w:val="single" w:sz="4" w:space="0" w:color="auto"/>
              <w:right w:val="single" w:sz="4" w:space="0" w:color="auto"/>
            </w:tcBorders>
            <w:vAlign w:val="center"/>
          </w:tcPr>
          <w:p w:rsidR="005A4183" w:rsidRPr="00CA6C4E" w:rsidRDefault="005A4183" w:rsidP="00DA1D91">
            <w:pPr>
              <w:jc w:val="center"/>
            </w:pPr>
            <w:r w:rsidRPr="00CA6C4E">
              <w:t>0</w:t>
            </w:r>
          </w:p>
        </w:tc>
        <w:tc>
          <w:tcPr>
            <w:tcW w:w="1275" w:type="dxa"/>
            <w:tcBorders>
              <w:top w:val="single" w:sz="4" w:space="0" w:color="auto"/>
              <w:bottom w:val="single" w:sz="4" w:space="0" w:color="auto"/>
              <w:right w:val="single" w:sz="4" w:space="0" w:color="auto"/>
            </w:tcBorders>
            <w:vAlign w:val="center"/>
          </w:tcPr>
          <w:p w:rsidR="005A4183" w:rsidRPr="00CA6C4E" w:rsidRDefault="005A4183" w:rsidP="00DA1D91">
            <w:pPr>
              <w:jc w:val="center"/>
            </w:pPr>
            <w:r w:rsidRPr="00CA6C4E">
              <w:t>0</w:t>
            </w:r>
          </w:p>
        </w:tc>
      </w:tr>
    </w:tbl>
    <w:p w:rsidR="005A4183" w:rsidRPr="00CA6C4E" w:rsidRDefault="005A4183" w:rsidP="005A4183">
      <w:pPr>
        <w:ind w:left="567"/>
      </w:pPr>
    </w:p>
    <w:p w:rsidR="005A4183" w:rsidRPr="00CA6C4E" w:rsidRDefault="005A4183" w:rsidP="005A4183">
      <w:pPr>
        <w:ind w:left="567"/>
      </w:pPr>
    </w:p>
    <w:p w:rsidR="005A4183" w:rsidRPr="00CA6C4E" w:rsidRDefault="005A4183" w:rsidP="005A4183">
      <w:pPr>
        <w:ind w:left="567"/>
      </w:pPr>
      <w:r w:rsidRPr="00CA6C4E">
        <w:t>When the crop expert compares a variety ‘</w:t>
      </w:r>
      <w:proofErr w:type="spellStart"/>
      <w:r w:rsidRPr="00CA6C4E">
        <w:t>i</w:t>
      </w:r>
      <w:proofErr w:type="spellEnd"/>
      <w:r w:rsidRPr="00CA6C4E">
        <w:t xml:space="preserve">’ with conical ear (note 1) to a variety ‘j’ with cylindrical ear (note 3), he attributes a weighting of </w:t>
      </w:r>
      <w:proofErr w:type="gramStart"/>
      <w:r w:rsidRPr="00CA6C4E">
        <w:t>6</w:t>
      </w:r>
      <w:proofErr w:type="gramEnd"/>
      <w:r w:rsidRPr="00CA6C4E">
        <w:t xml:space="preserve"> etc.  The weightings </w:t>
      </w:r>
      <w:proofErr w:type="gramStart"/>
      <w:r w:rsidRPr="00CA6C4E">
        <w:t>are summarized</w:t>
      </w:r>
      <w:proofErr w:type="gramEnd"/>
      <w:r w:rsidRPr="00CA6C4E">
        <w:t xml:space="preserve"> in the form of a weighting matrix:</w:t>
      </w:r>
    </w:p>
    <w:p w:rsidR="005A4183" w:rsidRPr="00CA6C4E" w:rsidRDefault="005A4183" w:rsidP="005A4183"/>
    <w:tbl>
      <w:tblPr>
        <w:tblW w:w="0" w:type="auto"/>
        <w:tblInd w:w="3227" w:type="dxa"/>
        <w:tblLayout w:type="fixed"/>
        <w:tblLook w:val="0000" w:firstRow="0" w:lastRow="0" w:firstColumn="0" w:lastColumn="0" w:noHBand="0" w:noVBand="0"/>
      </w:tblPr>
      <w:tblGrid>
        <w:gridCol w:w="992"/>
        <w:gridCol w:w="426"/>
        <w:gridCol w:w="425"/>
        <w:gridCol w:w="425"/>
        <w:gridCol w:w="426"/>
      </w:tblGrid>
      <w:tr w:rsidR="005A4183" w:rsidRPr="008E0042" w:rsidTr="00DA1D91">
        <w:trPr>
          <w:cantSplit/>
          <w:trHeight w:val="500"/>
        </w:trPr>
        <w:tc>
          <w:tcPr>
            <w:tcW w:w="2694" w:type="dxa"/>
            <w:gridSpan w:val="5"/>
            <w:tcBorders>
              <w:top w:val="single" w:sz="4" w:space="0" w:color="auto"/>
              <w:left w:val="single" w:sz="4" w:space="0" w:color="auto"/>
              <w:right w:val="single" w:sz="4" w:space="0" w:color="auto"/>
            </w:tcBorders>
            <w:vAlign w:val="center"/>
          </w:tcPr>
          <w:p w:rsidR="005A4183" w:rsidRPr="008E0042" w:rsidRDefault="005A4183" w:rsidP="00DA1D91">
            <w:pPr>
              <w:jc w:val="center"/>
            </w:pPr>
            <w:r w:rsidRPr="008E0042">
              <w:t>Weighting matrix</w:t>
            </w:r>
            <w:r w:rsidRPr="008E0042">
              <w:br/>
            </w:r>
            <w:r w:rsidRPr="008E0042">
              <w:rPr>
                <w:u w:val="single"/>
              </w:rPr>
              <w:t>‘</w:t>
            </w:r>
            <w:proofErr w:type="spellStart"/>
            <w:r w:rsidRPr="008E0042">
              <w:rPr>
                <w:u w:val="single"/>
              </w:rPr>
              <w:t>i</w:t>
            </w:r>
            <w:proofErr w:type="spellEnd"/>
            <w:r w:rsidRPr="008E0042">
              <w:rPr>
                <w:u w:val="single"/>
              </w:rPr>
              <w:t>’</w:t>
            </w:r>
          </w:p>
        </w:tc>
      </w:tr>
      <w:tr w:rsidR="005A4183" w:rsidRPr="008E0042" w:rsidTr="00DA1D91">
        <w:trPr>
          <w:cantSplit/>
        </w:trPr>
        <w:tc>
          <w:tcPr>
            <w:tcW w:w="992" w:type="dxa"/>
            <w:tcBorders>
              <w:left w:val="single" w:sz="4" w:space="0" w:color="auto"/>
            </w:tcBorders>
          </w:tcPr>
          <w:p w:rsidR="005A4183" w:rsidRPr="008E0042" w:rsidRDefault="005A4183" w:rsidP="00DA1D91"/>
        </w:tc>
        <w:tc>
          <w:tcPr>
            <w:tcW w:w="426" w:type="dxa"/>
            <w:tcBorders>
              <w:bottom w:val="single" w:sz="4" w:space="0" w:color="auto"/>
            </w:tcBorders>
          </w:tcPr>
          <w:p w:rsidR="005A4183" w:rsidRPr="008E0042" w:rsidRDefault="005A4183" w:rsidP="00DA1D91"/>
        </w:tc>
        <w:tc>
          <w:tcPr>
            <w:tcW w:w="425" w:type="dxa"/>
            <w:tcBorders>
              <w:bottom w:val="single" w:sz="4" w:space="0" w:color="auto"/>
            </w:tcBorders>
          </w:tcPr>
          <w:p w:rsidR="005A4183" w:rsidRPr="008E0042" w:rsidRDefault="005A4183" w:rsidP="00DA1D91"/>
        </w:tc>
        <w:tc>
          <w:tcPr>
            <w:tcW w:w="425" w:type="dxa"/>
            <w:tcBorders>
              <w:bottom w:val="single" w:sz="4" w:space="0" w:color="auto"/>
            </w:tcBorders>
          </w:tcPr>
          <w:p w:rsidR="005A4183" w:rsidRPr="008E0042" w:rsidRDefault="005A4183" w:rsidP="00DA1D91"/>
        </w:tc>
        <w:tc>
          <w:tcPr>
            <w:tcW w:w="426" w:type="dxa"/>
            <w:tcBorders>
              <w:bottom w:val="single" w:sz="4" w:space="0" w:color="auto"/>
              <w:right w:val="single" w:sz="4" w:space="0" w:color="auto"/>
            </w:tcBorders>
          </w:tcPr>
          <w:p w:rsidR="005A4183" w:rsidRPr="008E0042" w:rsidRDefault="005A4183" w:rsidP="00DA1D91"/>
        </w:tc>
      </w:tr>
      <w:tr w:rsidR="005A4183" w:rsidRPr="008E0042" w:rsidTr="00DA1D91">
        <w:trPr>
          <w:cantSplit/>
          <w:trHeight w:val="394"/>
        </w:trPr>
        <w:tc>
          <w:tcPr>
            <w:tcW w:w="992" w:type="dxa"/>
            <w:tcBorders>
              <w:left w:val="single" w:sz="4" w:space="0" w:color="auto"/>
              <w:bottom w:val="single" w:sz="4" w:space="0" w:color="auto"/>
              <w:right w:val="single" w:sz="4" w:space="0" w:color="auto"/>
            </w:tcBorders>
          </w:tcPr>
          <w:p w:rsidR="005A4183" w:rsidRPr="008E0042" w:rsidRDefault="005A4183" w:rsidP="00DA1D91"/>
        </w:tc>
        <w:tc>
          <w:tcPr>
            <w:tcW w:w="1702" w:type="dxa"/>
            <w:gridSpan w:val="4"/>
            <w:tcBorders>
              <w:top w:val="single" w:sz="4" w:space="0" w:color="auto"/>
              <w:right w:val="single" w:sz="4" w:space="0" w:color="auto"/>
            </w:tcBorders>
            <w:vAlign w:val="center"/>
          </w:tcPr>
          <w:p w:rsidR="005A4183" w:rsidRPr="008E0042" w:rsidRDefault="005A4183" w:rsidP="00DA1D91">
            <w:pPr>
              <w:jc w:val="center"/>
            </w:pPr>
            <w:r w:rsidRPr="008E0042">
              <w:t xml:space="preserve">Variety </w:t>
            </w:r>
            <w:r w:rsidRPr="008E0042">
              <w:rPr>
                <w:u w:val="single"/>
              </w:rPr>
              <w:t>‘</w:t>
            </w:r>
            <w:proofErr w:type="spellStart"/>
            <w:r w:rsidRPr="008E0042">
              <w:rPr>
                <w:u w:val="single"/>
              </w:rPr>
              <w:t>i</w:t>
            </w:r>
            <w:proofErr w:type="spellEnd"/>
            <w:r w:rsidRPr="008E0042">
              <w:rPr>
                <w:u w:val="single"/>
              </w:rPr>
              <w:t>’</w:t>
            </w:r>
          </w:p>
        </w:tc>
      </w:tr>
      <w:tr w:rsidR="005A4183" w:rsidRPr="008E0042" w:rsidTr="00DA1D91">
        <w:trPr>
          <w:cantSplit/>
          <w:trHeight w:val="394"/>
        </w:trPr>
        <w:tc>
          <w:tcPr>
            <w:tcW w:w="992" w:type="dxa"/>
            <w:vMerge w:val="restart"/>
            <w:tcBorders>
              <w:top w:val="single" w:sz="4" w:space="0" w:color="auto"/>
              <w:left w:val="single" w:sz="4" w:space="0" w:color="auto"/>
            </w:tcBorders>
            <w:textDirection w:val="btLr"/>
            <w:vAlign w:val="center"/>
          </w:tcPr>
          <w:p w:rsidR="005A4183" w:rsidRPr="008E0042" w:rsidRDefault="005A4183" w:rsidP="00DA1D91">
            <w:pPr>
              <w:ind w:left="113" w:right="113"/>
              <w:jc w:val="center"/>
            </w:pPr>
            <w:r w:rsidRPr="008E0042">
              <w:t>Variety ‘j’</w:t>
            </w:r>
          </w:p>
        </w:tc>
        <w:tc>
          <w:tcPr>
            <w:tcW w:w="426" w:type="dxa"/>
            <w:tcBorders>
              <w:top w:val="single" w:sz="4" w:space="0" w:color="auto"/>
              <w:left w:val="single" w:sz="4" w:space="0" w:color="auto"/>
              <w:bottom w:val="single" w:sz="4" w:space="0" w:color="auto"/>
            </w:tcBorders>
            <w:vAlign w:val="center"/>
          </w:tcPr>
          <w:p w:rsidR="005A4183" w:rsidRPr="008E0042" w:rsidRDefault="005A4183" w:rsidP="00DA1D91">
            <w:pPr>
              <w:keepNext/>
              <w:keepLines/>
              <w:framePr w:hSpace="141" w:wrap="auto" w:vAnchor="text" w:hAnchor="page" w:x="5264" w:y="317"/>
              <w:jc w:val="center"/>
              <w:rPr>
                <w:sz w:val="22"/>
              </w:rPr>
            </w:pPr>
          </w:p>
        </w:tc>
        <w:tc>
          <w:tcPr>
            <w:tcW w:w="425" w:type="dxa"/>
            <w:tcBorders>
              <w:top w:val="single" w:sz="4" w:space="0" w:color="auto"/>
              <w:left w:val="single" w:sz="4" w:space="0" w:color="auto"/>
              <w:bottom w:val="single" w:sz="4" w:space="0" w:color="auto"/>
            </w:tcBorders>
            <w:vAlign w:val="center"/>
          </w:tcPr>
          <w:p w:rsidR="005A4183" w:rsidRPr="008E0042" w:rsidRDefault="005A4183" w:rsidP="00DA1D91">
            <w:pPr>
              <w:keepNext/>
              <w:keepLines/>
              <w:framePr w:hSpace="141" w:wrap="auto" w:vAnchor="text" w:hAnchor="page" w:x="5264" w:y="317"/>
              <w:jc w:val="center"/>
              <w:rPr>
                <w:b/>
                <w:sz w:val="22"/>
              </w:rPr>
            </w:pPr>
            <w:r w:rsidRPr="008E0042">
              <w:rPr>
                <w:b/>
              </w:rPr>
              <w:t>1</w:t>
            </w:r>
          </w:p>
        </w:tc>
        <w:tc>
          <w:tcPr>
            <w:tcW w:w="425" w:type="dxa"/>
            <w:tcBorders>
              <w:top w:val="single" w:sz="4" w:space="0" w:color="auto"/>
              <w:left w:val="single" w:sz="4" w:space="0" w:color="auto"/>
              <w:bottom w:val="single" w:sz="4" w:space="0" w:color="auto"/>
            </w:tcBorders>
            <w:vAlign w:val="center"/>
          </w:tcPr>
          <w:p w:rsidR="005A4183" w:rsidRPr="008E0042" w:rsidRDefault="005A4183" w:rsidP="00DA1D91">
            <w:pPr>
              <w:keepNext/>
              <w:keepLines/>
              <w:framePr w:hSpace="141" w:wrap="auto" w:vAnchor="text" w:hAnchor="page" w:x="5264" w:y="317"/>
              <w:jc w:val="center"/>
              <w:rPr>
                <w:b/>
                <w:sz w:val="22"/>
              </w:rPr>
            </w:pPr>
            <w:r w:rsidRPr="008E0042">
              <w:rPr>
                <w:b/>
              </w:rPr>
              <w:t>2</w:t>
            </w:r>
          </w:p>
        </w:tc>
        <w:tc>
          <w:tcPr>
            <w:tcW w:w="426"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keepNext/>
              <w:keepLines/>
              <w:framePr w:hSpace="141" w:wrap="auto" w:vAnchor="text" w:hAnchor="page" w:x="5264" w:y="317"/>
              <w:jc w:val="center"/>
              <w:rPr>
                <w:b/>
              </w:rPr>
            </w:pPr>
            <w:r w:rsidRPr="008E0042">
              <w:rPr>
                <w:b/>
              </w:rPr>
              <w:t>3</w:t>
            </w:r>
          </w:p>
        </w:tc>
      </w:tr>
      <w:tr w:rsidR="005A4183" w:rsidRPr="008E0042" w:rsidTr="00DA1D91">
        <w:trPr>
          <w:cantSplit/>
          <w:trHeight w:val="395"/>
        </w:trPr>
        <w:tc>
          <w:tcPr>
            <w:tcW w:w="992" w:type="dxa"/>
            <w:vMerge/>
            <w:tcBorders>
              <w:left w:val="single" w:sz="4" w:space="0" w:color="auto"/>
            </w:tcBorders>
            <w:textDirection w:val="btLr"/>
            <w:vAlign w:val="center"/>
          </w:tcPr>
          <w:p w:rsidR="005A4183" w:rsidRPr="008E0042" w:rsidRDefault="005A4183" w:rsidP="00DA1D91">
            <w:pPr>
              <w:ind w:left="113" w:right="113"/>
              <w:rPr>
                <w:sz w:val="22"/>
              </w:rPr>
            </w:pPr>
          </w:p>
        </w:tc>
        <w:tc>
          <w:tcPr>
            <w:tcW w:w="426" w:type="dxa"/>
            <w:tcBorders>
              <w:left w:val="single" w:sz="4" w:space="0" w:color="auto"/>
              <w:bottom w:val="single" w:sz="4" w:space="0" w:color="auto"/>
              <w:right w:val="single" w:sz="4" w:space="0" w:color="auto"/>
            </w:tcBorders>
            <w:vAlign w:val="center"/>
          </w:tcPr>
          <w:p w:rsidR="005A4183" w:rsidRPr="008E0042" w:rsidRDefault="005A4183" w:rsidP="00DA1D91">
            <w:pPr>
              <w:keepNext/>
              <w:keepLines/>
              <w:framePr w:hSpace="141" w:wrap="auto" w:vAnchor="text" w:hAnchor="page" w:x="5264" w:y="317"/>
              <w:jc w:val="center"/>
              <w:rPr>
                <w:b/>
                <w:sz w:val="22"/>
              </w:rPr>
            </w:pPr>
            <w:r w:rsidRPr="008E0042">
              <w:rPr>
                <w:b/>
              </w:rPr>
              <w:t>1</w:t>
            </w:r>
          </w:p>
        </w:tc>
        <w:tc>
          <w:tcPr>
            <w:tcW w:w="425" w:type="dxa"/>
            <w:tcBorders>
              <w:left w:val="single" w:sz="4" w:space="0" w:color="auto"/>
              <w:bottom w:val="single" w:sz="4" w:space="0" w:color="auto"/>
              <w:right w:val="single" w:sz="4" w:space="0" w:color="auto"/>
            </w:tcBorders>
            <w:vAlign w:val="center"/>
          </w:tcPr>
          <w:p w:rsidR="005A4183" w:rsidRPr="008E0042" w:rsidRDefault="005A4183" w:rsidP="00DA1D91">
            <w:pPr>
              <w:keepNext/>
              <w:keepLines/>
              <w:framePr w:hSpace="141" w:wrap="auto" w:vAnchor="text" w:hAnchor="page" w:x="5264" w:y="317"/>
              <w:jc w:val="center"/>
              <w:rPr>
                <w:sz w:val="22"/>
              </w:rPr>
            </w:pPr>
            <w:r w:rsidRPr="008E0042">
              <w:t>0</w:t>
            </w:r>
          </w:p>
        </w:tc>
        <w:tc>
          <w:tcPr>
            <w:tcW w:w="425" w:type="dxa"/>
            <w:tcBorders>
              <w:left w:val="single" w:sz="4" w:space="0" w:color="auto"/>
              <w:bottom w:val="single" w:sz="4" w:space="0" w:color="auto"/>
              <w:right w:val="single" w:sz="4" w:space="0" w:color="auto"/>
            </w:tcBorders>
            <w:vAlign w:val="center"/>
          </w:tcPr>
          <w:p w:rsidR="005A4183" w:rsidRPr="008E0042" w:rsidRDefault="005A4183" w:rsidP="00DA1D91">
            <w:pPr>
              <w:keepNext/>
              <w:keepLines/>
              <w:framePr w:hSpace="141" w:wrap="auto" w:vAnchor="text" w:hAnchor="page" w:x="5264" w:y="317"/>
              <w:jc w:val="center"/>
              <w:rPr>
                <w:sz w:val="22"/>
              </w:rPr>
            </w:pPr>
            <w:r w:rsidRPr="008E0042">
              <w:t>2</w:t>
            </w:r>
          </w:p>
        </w:tc>
        <w:tc>
          <w:tcPr>
            <w:tcW w:w="426" w:type="dxa"/>
            <w:tcBorders>
              <w:left w:val="single" w:sz="4" w:space="0" w:color="auto"/>
              <w:bottom w:val="single" w:sz="4" w:space="0" w:color="auto"/>
              <w:right w:val="single" w:sz="4" w:space="0" w:color="auto"/>
            </w:tcBorders>
            <w:vAlign w:val="center"/>
          </w:tcPr>
          <w:p w:rsidR="005A4183" w:rsidRPr="008E0042" w:rsidRDefault="005A4183" w:rsidP="00DA1D91">
            <w:pPr>
              <w:keepNext/>
              <w:keepLines/>
              <w:framePr w:hSpace="141" w:wrap="auto" w:vAnchor="text" w:hAnchor="page" w:x="5264" w:y="317"/>
              <w:jc w:val="center"/>
            </w:pPr>
            <w:r w:rsidRPr="008E0042">
              <w:t>6</w:t>
            </w:r>
          </w:p>
        </w:tc>
      </w:tr>
      <w:tr w:rsidR="005A4183" w:rsidRPr="008E0042" w:rsidTr="00DA1D91">
        <w:trPr>
          <w:cantSplit/>
          <w:trHeight w:val="394"/>
        </w:trPr>
        <w:tc>
          <w:tcPr>
            <w:tcW w:w="992" w:type="dxa"/>
            <w:vMerge/>
            <w:tcBorders>
              <w:left w:val="single" w:sz="4" w:space="0" w:color="auto"/>
            </w:tcBorders>
          </w:tcPr>
          <w:p w:rsidR="005A4183" w:rsidRPr="008E0042" w:rsidRDefault="005A4183" w:rsidP="00DA1D91"/>
        </w:tc>
        <w:tc>
          <w:tcPr>
            <w:tcW w:w="426"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keepNext/>
              <w:keepLines/>
              <w:framePr w:hSpace="141" w:wrap="auto" w:vAnchor="text" w:hAnchor="page" w:x="5264" w:y="317"/>
              <w:jc w:val="center"/>
              <w:rPr>
                <w:b/>
                <w:sz w:val="22"/>
              </w:rPr>
            </w:pPr>
            <w:r w:rsidRPr="008E0042">
              <w:rPr>
                <w:b/>
              </w:rPr>
              <w:t>2</w:t>
            </w:r>
          </w:p>
        </w:tc>
        <w:tc>
          <w:tcPr>
            <w:tcW w:w="425"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keepNext/>
              <w:keepLines/>
              <w:framePr w:hSpace="141" w:wrap="auto" w:vAnchor="text" w:hAnchor="page" w:x="5264" w:y="317"/>
              <w:jc w:val="center"/>
              <w:rPr>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keepNext/>
              <w:keepLines/>
              <w:framePr w:hSpace="141" w:wrap="auto" w:vAnchor="text" w:hAnchor="page" w:x="5264" w:y="317"/>
              <w:jc w:val="center"/>
              <w:rPr>
                <w:sz w:val="22"/>
              </w:rPr>
            </w:pPr>
            <w:r w:rsidRPr="008E0042">
              <w:t>0</w:t>
            </w:r>
          </w:p>
        </w:tc>
        <w:tc>
          <w:tcPr>
            <w:tcW w:w="426"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keepNext/>
              <w:keepLines/>
              <w:framePr w:hSpace="141" w:wrap="auto" w:vAnchor="text" w:hAnchor="page" w:x="5264" w:y="317"/>
              <w:jc w:val="center"/>
            </w:pPr>
            <w:r w:rsidRPr="008E0042">
              <w:t>2</w:t>
            </w:r>
          </w:p>
        </w:tc>
      </w:tr>
      <w:tr w:rsidR="005A4183" w:rsidRPr="008E0042" w:rsidTr="00DA1D91">
        <w:trPr>
          <w:cantSplit/>
          <w:trHeight w:val="394"/>
        </w:trPr>
        <w:tc>
          <w:tcPr>
            <w:tcW w:w="992" w:type="dxa"/>
            <w:vMerge/>
            <w:tcBorders>
              <w:left w:val="single" w:sz="4" w:space="0" w:color="auto"/>
              <w:bottom w:val="single" w:sz="4" w:space="0" w:color="auto"/>
            </w:tcBorders>
          </w:tcPr>
          <w:p w:rsidR="005A4183" w:rsidRPr="008E0042" w:rsidRDefault="005A4183" w:rsidP="00DA1D91"/>
        </w:tc>
        <w:tc>
          <w:tcPr>
            <w:tcW w:w="426"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keepNext/>
              <w:keepLines/>
              <w:framePr w:hSpace="141" w:wrap="auto" w:vAnchor="text" w:hAnchor="page" w:x="5264" w:y="317"/>
              <w:jc w:val="center"/>
              <w:rPr>
                <w:b/>
                <w:sz w:val="22"/>
              </w:rPr>
            </w:pPr>
            <w:r w:rsidRPr="008E0042">
              <w:rPr>
                <w:b/>
              </w:rPr>
              <w:t>3</w:t>
            </w:r>
          </w:p>
        </w:tc>
        <w:tc>
          <w:tcPr>
            <w:tcW w:w="425"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keepNext/>
              <w:keepLines/>
              <w:framePr w:hSpace="141" w:wrap="auto" w:vAnchor="text" w:hAnchor="page" w:x="5264" w:y="317"/>
              <w:jc w:val="center"/>
              <w:rPr>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keepNext/>
              <w:keepLines/>
              <w:framePr w:hSpace="141" w:wrap="auto" w:vAnchor="text" w:hAnchor="page" w:x="5264" w:y="317"/>
              <w:jc w:val="center"/>
              <w:rPr>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keepNext/>
              <w:keepLines/>
              <w:framePr w:hSpace="141" w:wrap="auto" w:vAnchor="text" w:hAnchor="page" w:x="5264" w:y="317"/>
              <w:jc w:val="center"/>
            </w:pPr>
            <w:r w:rsidRPr="008E0042">
              <w:t>0</w:t>
            </w:r>
          </w:p>
        </w:tc>
      </w:tr>
    </w:tbl>
    <w:p w:rsidR="005A4183" w:rsidRPr="00CA6C4E" w:rsidRDefault="005A4183" w:rsidP="005A4183">
      <w:pPr>
        <w:ind w:left="567"/>
      </w:pPr>
    </w:p>
    <w:p w:rsidR="005A4183" w:rsidRPr="00CA6C4E" w:rsidRDefault="005A4183" w:rsidP="005A4183">
      <w:pPr>
        <w:ind w:left="567"/>
      </w:pPr>
      <w:r w:rsidRPr="00CA6C4E">
        <w:t xml:space="preserve">When the crop expert compares a variety </w:t>
      </w:r>
      <w:proofErr w:type="spellStart"/>
      <w:r w:rsidRPr="00CA6C4E">
        <w:t>i</w:t>
      </w:r>
      <w:proofErr w:type="spellEnd"/>
      <w:r w:rsidRPr="00CA6C4E">
        <w:t xml:space="preserve"> with conical ear (note 1) to a variety j with cylindrical ear (note 3), he attributes a weighting of </w:t>
      </w:r>
      <w:proofErr w:type="gramStart"/>
      <w:r w:rsidRPr="00CA6C4E">
        <w:t>6</w:t>
      </w:r>
      <w:proofErr w:type="gramEnd"/>
      <w:r w:rsidRPr="00CA6C4E">
        <w:t>.</w:t>
      </w:r>
    </w:p>
    <w:p w:rsidR="005A4183" w:rsidRDefault="005A4183" w:rsidP="005A4183">
      <w:r>
        <w:t>[…]</w:t>
      </w:r>
    </w:p>
    <w:p w:rsidR="005A4183" w:rsidRPr="008E0042" w:rsidRDefault="005A4183" w:rsidP="005A4183">
      <w:pPr>
        <w:keepNext/>
        <w:keepLines/>
        <w:tabs>
          <w:tab w:val="left" w:pos="1134"/>
        </w:tabs>
        <w:rPr>
          <w:color w:val="000000"/>
        </w:rPr>
      </w:pPr>
      <w:r w:rsidRPr="008E0042">
        <w:rPr>
          <w:snapToGrid w:val="0"/>
        </w:rPr>
        <w:t>1</w:t>
      </w:r>
      <w:r w:rsidRPr="008E0042">
        <w:t>.3.5.2.5</w:t>
      </w:r>
      <w:r w:rsidRPr="008E0042">
        <w:tab/>
      </w:r>
      <w:r w:rsidRPr="008E0042">
        <w:rPr>
          <w:color w:val="000000"/>
        </w:rPr>
        <w:t xml:space="preserve"> “Length of husks”, observed on a 1 to 9 scale, the crop expert has defined the following weighting matrix:</w:t>
      </w:r>
    </w:p>
    <w:p w:rsidR="005A4183" w:rsidRPr="008E0042" w:rsidRDefault="005A4183" w:rsidP="005A4183">
      <w:pPr>
        <w:keepNext/>
        <w:keepLines/>
        <w:rPr>
          <w:color w:val="000000"/>
        </w:rPr>
      </w:pPr>
    </w:p>
    <w:tbl>
      <w:tblPr>
        <w:tblW w:w="0" w:type="auto"/>
        <w:tblLayout w:type="fixed"/>
        <w:tblCellMar>
          <w:left w:w="70" w:type="dxa"/>
          <w:right w:w="70" w:type="dxa"/>
        </w:tblCellMar>
        <w:tblLook w:val="0000" w:firstRow="0" w:lastRow="0" w:firstColumn="0" w:lastColumn="0" w:noHBand="0" w:noVBand="0"/>
      </w:tblPr>
      <w:tblGrid>
        <w:gridCol w:w="420"/>
        <w:gridCol w:w="323"/>
        <w:gridCol w:w="323"/>
        <w:gridCol w:w="323"/>
        <w:gridCol w:w="323"/>
        <w:gridCol w:w="323"/>
        <w:gridCol w:w="323"/>
        <w:gridCol w:w="323"/>
        <w:gridCol w:w="323"/>
        <w:gridCol w:w="323"/>
        <w:gridCol w:w="323"/>
      </w:tblGrid>
      <w:tr w:rsidR="005A4183" w:rsidRPr="008E0042" w:rsidTr="00DA1D91">
        <w:trPr>
          <w:trHeight w:val="261"/>
        </w:trPr>
        <w:tc>
          <w:tcPr>
            <w:tcW w:w="420" w:type="dxa"/>
          </w:tcPr>
          <w:p w:rsidR="005A4183" w:rsidRPr="008E0042" w:rsidRDefault="005A4183" w:rsidP="00DA1D91">
            <w:pPr>
              <w:framePr w:hSpace="141" w:wrap="auto" w:vAnchor="text" w:hAnchor="page" w:x="4974" w:y="82"/>
            </w:pPr>
          </w:p>
        </w:tc>
        <w:tc>
          <w:tcPr>
            <w:tcW w:w="323" w:type="dxa"/>
            <w:tcBorders>
              <w:right w:val="single" w:sz="4" w:space="0" w:color="auto"/>
            </w:tcBorders>
            <w:vAlign w:val="center"/>
          </w:tcPr>
          <w:p w:rsidR="005A4183" w:rsidRPr="008E0042" w:rsidRDefault="005A4183" w:rsidP="00DA1D91">
            <w:pPr>
              <w:framePr w:hSpace="141" w:wrap="auto" w:vAnchor="text" w:hAnchor="page" w:x="4974" w:y="82"/>
            </w:pPr>
          </w:p>
        </w:tc>
        <w:tc>
          <w:tcPr>
            <w:tcW w:w="2907" w:type="dxa"/>
            <w:gridSpan w:val="9"/>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jc w:val="center"/>
            </w:pPr>
            <w:r w:rsidRPr="008E0042">
              <w:t xml:space="preserve">Variety </w:t>
            </w:r>
            <w:r w:rsidRPr="008E0042">
              <w:rPr>
                <w:sz w:val="18"/>
              </w:rPr>
              <w:t>‘</w:t>
            </w:r>
            <w:proofErr w:type="spellStart"/>
            <w:r w:rsidRPr="008E0042">
              <w:rPr>
                <w:sz w:val="18"/>
              </w:rPr>
              <w:t>i</w:t>
            </w:r>
            <w:proofErr w:type="spellEnd"/>
            <w:r w:rsidRPr="008E0042">
              <w:rPr>
                <w:sz w:val="18"/>
              </w:rPr>
              <w:t>’</w:t>
            </w:r>
          </w:p>
        </w:tc>
      </w:tr>
      <w:tr w:rsidR="005A4183" w:rsidRPr="008E0042" w:rsidTr="00DA1D91">
        <w:trPr>
          <w:trHeight w:val="261"/>
        </w:trPr>
        <w:tc>
          <w:tcPr>
            <w:tcW w:w="420" w:type="dxa"/>
            <w:tcBorders>
              <w:bottom w:val="single" w:sz="4" w:space="0" w:color="auto"/>
            </w:tcBorders>
          </w:tcPr>
          <w:p w:rsidR="005A4183" w:rsidRPr="008E0042" w:rsidRDefault="005A4183" w:rsidP="00DA1D91">
            <w:pPr>
              <w:framePr w:hSpace="141" w:wrap="auto" w:vAnchor="text" w:hAnchor="page" w:x="4974" w:y="82"/>
            </w:pPr>
          </w:p>
        </w:tc>
        <w:tc>
          <w:tcPr>
            <w:tcW w:w="323" w:type="dxa"/>
            <w:tcBorders>
              <w:bottom w:val="single" w:sz="4" w:space="0" w:color="auto"/>
              <w:right w:val="single" w:sz="4" w:space="0" w:color="auto"/>
            </w:tcBorders>
            <w:vAlign w:val="center"/>
          </w:tcPr>
          <w:p w:rsidR="005A4183" w:rsidRPr="008E0042" w:rsidRDefault="005A4183" w:rsidP="00DA1D91">
            <w:pPr>
              <w:framePr w:hSpace="141" w:wrap="auto" w:vAnchor="text" w:hAnchor="page" w:x="4974" w:y="82"/>
            </w:pPr>
            <w:r w:rsidRPr="008E0042">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pPr>
            <w:r w:rsidRPr="008E0042">
              <w:t>1</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pPr>
            <w:r w:rsidRPr="008E0042">
              <w:t>2</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pPr>
            <w:r w:rsidRPr="008E0042">
              <w:t>3</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pPr>
            <w:r w:rsidRPr="008E0042">
              <w:t>4</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pPr>
            <w:r w:rsidRPr="008E0042">
              <w:t>5</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pPr>
            <w:r w:rsidRPr="008E0042">
              <w:t>6</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pPr>
            <w:r w:rsidRPr="008E0042">
              <w:t>7</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pPr>
            <w:r w:rsidRPr="008E0042">
              <w:t>8</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pPr>
            <w:r w:rsidRPr="008E0042">
              <w:t>9</w:t>
            </w:r>
          </w:p>
        </w:tc>
      </w:tr>
      <w:tr w:rsidR="005A4183" w:rsidRPr="008E0042" w:rsidTr="00DA1D91">
        <w:trPr>
          <w:cantSplit/>
          <w:trHeight w:val="261"/>
        </w:trPr>
        <w:tc>
          <w:tcPr>
            <w:tcW w:w="420" w:type="dxa"/>
            <w:vMerge w:val="restart"/>
            <w:tcBorders>
              <w:top w:val="single" w:sz="4" w:space="0" w:color="auto"/>
              <w:left w:val="single" w:sz="4" w:space="0" w:color="auto"/>
              <w:bottom w:val="single" w:sz="4" w:space="0" w:color="auto"/>
              <w:right w:val="single" w:sz="4" w:space="0" w:color="auto"/>
            </w:tcBorders>
            <w:textDirection w:val="btLr"/>
          </w:tcPr>
          <w:p w:rsidR="005A4183" w:rsidRPr="008E0042" w:rsidRDefault="005A4183" w:rsidP="00DA1D91">
            <w:pPr>
              <w:framePr w:hSpace="141" w:wrap="auto" w:vAnchor="text" w:hAnchor="page" w:x="4974" w:y="82"/>
              <w:ind w:left="113" w:right="113"/>
              <w:jc w:val="center"/>
              <w:rPr>
                <w:color w:val="000000"/>
              </w:rPr>
            </w:pPr>
            <w:r w:rsidRPr="008E0042">
              <w:rPr>
                <w:color w:val="000000"/>
              </w:rPr>
              <w:t xml:space="preserve">Variety </w:t>
            </w:r>
            <w:r w:rsidRPr="008E0042">
              <w:t>‘j’</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1</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r>
      <w:tr w:rsidR="005A4183" w:rsidRPr="008E0042" w:rsidTr="00DA1D91">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5A4183" w:rsidRPr="008E0042" w:rsidRDefault="005A4183" w:rsidP="00DA1D91">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r>
      <w:tr w:rsidR="005A4183" w:rsidRPr="008E0042" w:rsidTr="00DA1D91">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5A4183" w:rsidRPr="008E0042" w:rsidRDefault="005A4183" w:rsidP="00DA1D91">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3</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r>
      <w:tr w:rsidR="005A4183" w:rsidRPr="008E0042" w:rsidTr="00DA1D91">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5A4183" w:rsidRPr="008E0042" w:rsidRDefault="005A4183" w:rsidP="00DA1D91">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4</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r>
      <w:tr w:rsidR="005A4183" w:rsidRPr="008E0042" w:rsidTr="00DA1D91">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5A4183" w:rsidRPr="008E0042" w:rsidRDefault="005A4183" w:rsidP="00DA1D91">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5</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r>
      <w:tr w:rsidR="005A4183" w:rsidRPr="008E0042" w:rsidTr="00DA1D91">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5A4183" w:rsidRPr="008E0042" w:rsidRDefault="005A4183" w:rsidP="00DA1D91">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6</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2</w:t>
            </w:r>
          </w:p>
        </w:tc>
      </w:tr>
      <w:tr w:rsidR="005A4183" w:rsidRPr="008E0042" w:rsidTr="00DA1D91">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5A4183" w:rsidRPr="008E0042" w:rsidRDefault="005A4183" w:rsidP="00DA1D91">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7</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r>
      <w:tr w:rsidR="005A4183" w:rsidRPr="008E0042" w:rsidTr="00DA1D91">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5A4183" w:rsidRPr="008E0042" w:rsidRDefault="005A4183" w:rsidP="00DA1D91">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8</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r>
      <w:tr w:rsidR="005A4183" w:rsidRPr="008E0042" w:rsidTr="00DA1D91">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5A4183" w:rsidRPr="008E0042" w:rsidRDefault="005A4183" w:rsidP="00DA1D91">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9</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5A4183" w:rsidRPr="008E0042" w:rsidRDefault="005A4183" w:rsidP="00DA1D91">
            <w:pPr>
              <w:framePr w:hSpace="141" w:wrap="auto" w:vAnchor="text" w:hAnchor="page" w:x="4974" w:y="82"/>
              <w:rPr>
                <w:color w:val="000000"/>
              </w:rPr>
            </w:pPr>
            <w:r w:rsidRPr="008E0042">
              <w:rPr>
                <w:color w:val="000000"/>
              </w:rPr>
              <w:t>0</w:t>
            </w:r>
          </w:p>
        </w:tc>
      </w:tr>
    </w:tbl>
    <w:p w:rsidR="005A4183" w:rsidRPr="008E0042" w:rsidRDefault="005A4183" w:rsidP="005A4183">
      <w:pPr>
        <w:rPr>
          <w:color w:val="000000"/>
        </w:rPr>
      </w:pPr>
    </w:p>
    <w:p w:rsidR="005A4183" w:rsidRPr="008E0042" w:rsidRDefault="005A4183" w:rsidP="005A4183">
      <w:pPr>
        <w:ind w:left="1134"/>
        <w:rPr>
          <w:color w:val="000000"/>
        </w:rPr>
      </w:pPr>
      <w:r w:rsidRPr="008E0042">
        <w:rPr>
          <w:color w:val="000000"/>
        </w:rPr>
        <w:t>1 = very short</w:t>
      </w:r>
    </w:p>
    <w:p w:rsidR="005A4183" w:rsidRPr="008E0042" w:rsidRDefault="005A4183" w:rsidP="005A4183">
      <w:pPr>
        <w:ind w:left="1134"/>
        <w:rPr>
          <w:color w:val="000000"/>
        </w:rPr>
      </w:pPr>
      <w:r w:rsidRPr="008E0042">
        <w:rPr>
          <w:color w:val="000000"/>
        </w:rPr>
        <w:t>2 = very short to short</w:t>
      </w:r>
    </w:p>
    <w:p w:rsidR="005A4183" w:rsidRPr="008E0042" w:rsidRDefault="005A4183" w:rsidP="005A4183">
      <w:pPr>
        <w:ind w:left="1134"/>
        <w:rPr>
          <w:color w:val="000000"/>
        </w:rPr>
      </w:pPr>
      <w:r w:rsidRPr="008E0042">
        <w:rPr>
          <w:color w:val="000000"/>
        </w:rPr>
        <w:t>3 = short</w:t>
      </w:r>
    </w:p>
    <w:p w:rsidR="005A4183" w:rsidRPr="008E0042" w:rsidRDefault="005A4183" w:rsidP="005A4183">
      <w:pPr>
        <w:ind w:left="1134"/>
        <w:rPr>
          <w:color w:val="000000"/>
        </w:rPr>
      </w:pPr>
      <w:r w:rsidRPr="008E0042">
        <w:rPr>
          <w:color w:val="000000"/>
        </w:rPr>
        <w:t>4 = short to medium</w:t>
      </w:r>
    </w:p>
    <w:p w:rsidR="005A4183" w:rsidRPr="008E0042" w:rsidRDefault="005A4183" w:rsidP="005A4183">
      <w:pPr>
        <w:ind w:left="1134"/>
        <w:rPr>
          <w:color w:val="000000"/>
        </w:rPr>
      </w:pPr>
      <w:r w:rsidRPr="008E0042">
        <w:rPr>
          <w:color w:val="000000"/>
        </w:rPr>
        <w:t>5 = medium</w:t>
      </w:r>
    </w:p>
    <w:p w:rsidR="005A4183" w:rsidRPr="008E0042" w:rsidRDefault="005A4183" w:rsidP="005A4183">
      <w:pPr>
        <w:ind w:left="1134"/>
        <w:rPr>
          <w:color w:val="000000"/>
        </w:rPr>
      </w:pPr>
      <w:r w:rsidRPr="008E0042">
        <w:rPr>
          <w:color w:val="000000"/>
        </w:rPr>
        <w:t>6 = medium to long</w:t>
      </w:r>
    </w:p>
    <w:p w:rsidR="005A4183" w:rsidRPr="008E0042" w:rsidRDefault="005A4183" w:rsidP="005A4183">
      <w:pPr>
        <w:ind w:left="1134"/>
        <w:rPr>
          <w:color w:val="000000"/>
        </w:rPr>
      </w:pPr>
      <w:r w:rsidRPr="008E0042">
        <w:rPr>
          <w:color w:val="000000"/>
        </w:rPr>
        <w:t>7 = long</w:t>
      </w:r>
    </w:p>
    <w:p w:rsidR="005A4183" w:rsidRPr="008E0042" w:rsidRDefault="005A4183" w:rsidP="005A4183">
      <w:pPr>
        <w:ind w:left="1134"/>
        <w:rPr>
          <w:color w:val="000000"/>
        </w:rPr>
      </w:pPr>
      <w:r w:rsidRPr="008E0042">
        <w:rPr>
          <w:color w:val="000000"/>
        </w:rPr>
        <w:t>8 = long to very long</w:t>
      </w:r>
    </w:p>
    <w:p w:rsidR="005A4183" w:rsidRPr="008E0042" w:rsidRDefault="005A4183" w:rsidP="005A4183">
      <w:pPr>
        <w:ind w:left="1134"/>
        <w:rPr>
          <w:color w:val="000000"/>
        </w:rPr>
      </w:pPr>
      <w:r w:rsidRPr="008E0042">
        <w:rPr>
          <w:color w:val="000000"/>
        </w:rPr>
        <w:t>9 = very long</w:t>
      </w:r>
    </w:p>
    <w:p w:rsidR="005A4183" w:rsidRPr="008E0042" w:rsidRDefault="005A4183" w:rsidP="005A4183">
      <w:pPr>
        <w:rPr>
          <w:color w:val="000000"/>
        </w:rPr>
      </w:pPr>
    </w:p>
    <w:p w:rsidR="005A4183" w:rsidRPr="008E0042" w:rsidRDefault="005A4183" w:rsidP="005A4183"/>
    <w:p w:rsidR="005A4183" w:rsidRPr="008E0042" w:rsidRDefault="005A4183" w:rsidP="005A4183"/>
    <w:p w:rsidR="005A4183" w:rsidRPr="008E0042" w:rsidRDefault="005A4183" w:rsidP="005A4183">
      <w:pPr>
        <w:rPr>
          <w:snapToGrid w:val="0"/>
        </w:rPr>
      </w:pPr>
    </w:p>
    <w:p w:rsidR="005A4183" w:rsidRPr="008E0042" w:rsidRDefault="005A4183" w:rsidP="005A4183">
      <w:pPr>
        <w:rPr>
          <w:snapToGrid w:val="0"/>
        </w:rPr>
      </w:pPr>
    </w:p>
    <w:p w:rsidR="005A4183" w:rsidRPr="008E0042" w:rsidRDefault="005A4183" w:rsidP="005A4183">
      <w:pPr>
        <w:tabs>
          <w:tab w:val="left" w:pos="1134"/>
        </w:tabs>
        <w:rPr>
          <w:color w:val="000000"/>
        </w:rPr>
      </w:pPr>
      <w:r w:rsidRPr="008E0042">
        <w:rPr>
          <w:snapToGrid w:val="0"/>
        </w:rPr>
        <w:t>1</w:t>
      </w:r>
      <w:r w:rsidRPr="008E0042">
        <w:t>.3.5.2.6</w:t>
      </w:r>
      <w:r w:rsidRPr="008E0042">
        <w:tab/>
        <w:t>The weighting between a variety ‘</w:t>
      </w:r>
      <w:proofErr w:type="spellStart"/>
      <w:r w:rsidRPr="008E0042">
        <w:t>i</w:t>
      </w:r>
      <w:proofErr w:type="spellEnd"/>
      <w:r w:rsidRPr="008E0042">
        <w:t xml:space="preserve">’ with very short husks (note 1) and a variety ‘j’ with short husks (note 3) is </w:t>
      </w:r>
      <w:proofErr w:type="gramStart"/>
      <w:r w:rsidRPr="008E0042">
        <w:t>0</w:t>
      </w:r>
      <w:proofErr w:type="gramEnd"/>
      <w:r w:rsidRPr="008E0042">
        <w:t xml:space="preserve">.  The expert considers a difference of </w:t>
      </w:r>
      <w:proofErr w:type="gramStart"/>
      <w:r w:rsidRPr="008E0042">
        <w:t>3</w:t>
      </w:r>
      <w:proofErr w:type="gramEnd"/>
      <w:r w:rsidRPr="008E0042">
        <w:t xml:space="preserve"> notes is the minimum difference in order to </w:t>
      </w:r>
      <w:proofErr w:type="spellStart"/>
      <w:r w:rsidRPr="008E0042">
        <w:t>recognise</w:t>
      </w:r>
      <w:proofErr w:type="spellEnd"/>
      <w:r w:rsidRPr="008E0042">
        <w:t xml:space="preserve"> a non-zero distance between two varieties.  Even if the difference in notes is greater than </w:t>
      </w:r>
      <w:proofErr w:type="gramStart"/>
      <w:r w:rsidRPr="008E0042">
        <w:t>3</w:t>
      </w:r>
      <w:proofErr w:type="gramEnd"/>
      <w:r w:rsidRPr="008E0042">
        <w:t>, the expert keeps the distance weight to 2 while in very reliable characteristics a difference of 1 is given a weight of 6.</w:t>
      </w:r>
    </w:p>
    <w:p w:rsidR="00C77B97" w:rsidRPr="00147CB7" w:rsidRDefault="00C77B97" w:rsidP="00C77B97">
      <w:pPr>
        <w:rPr>
          <w:rFonts w:cs="Arial"/>
        </w:rPr>
      </w:pPr>
    </w:p>
    <w:p w:rsidR="00C77B97" w:rsidRPr="00147CB7" w:rsidRDefault="00C77B97" w:rsidP="00923B63">
      <w:pPr>
        <w:rPr>
          <w:rFonts w:cs="Arial"/>
        </w:rPr>
      </w:pPr>
    </w:p>
    <w:p w:rsidR="00066B42" w:rsidRPr="00147CB7" w:rsidRDefault="00066B42" w:rsidP="00923B63">
      <w:pPr>
        <w:rPr>
          <w:rFonts w:cs="Arial"/>
        </w:rPr>
      </w:pPr>
    </w:p>
    <w:p w:rsidR="00066B42" w:rsidRPr="00147CB7" w:rsidRDefault="00773C05" w:rsidP="005A4183">
      <w:pPr>
        <w:jc w:val="right"/>
        <w:rPr>
          <w:rFonts w:cs="Arial"/>
        </w:rPr>
      </w:pPr>
      <w:r w:rsidRPr="00147CB7">
        <w:rPr>
          <w:rFonts w:cs="Arial"/>
        </w:rPr>
        <w:t>[Annex III follows]</w:t>
      </w:r>
    </w:p>
    <w:p w:rsidR="00773C05" w:rsidRPr="00147CB7" w:rsidRDefault="00773C05" w:rsidP="00923B63">
      <w:pPr>
        <w:rPr>
          <w:rFonts w:cs="Arial"/>
        </w:rPr>
        <w:sectPr w:rsidR="00773C05" w:rsidRPr="00147CB7" w:rsidSect="00644269">
          <w:headerReference w:type="default" r:id="rId14"/>
          <w:headerReference w:type="first" r:id="rId15"/>
          <w:pgSz w:w="11907" w:h="16840" w:code="9"/>
          <w:pgMar w:top="510" w:right="1134" w:bottom="1134" w:left="1134" w:header="510" w:footer="680" w:gutter="0"/>
          <w:pgNumType w:start="1"/>
          <w:cols w:space="720"/>
          <w:titlePg/>
        </w:sectPr>
      </w:pPr>
    </w:p>
    <w:p w:rsidR="005A4183" w:rsidRDefault="005A4183" w:rsidP="00841A82">
      <w:pPr>
        <w:jc w:val="center"/>
        <w:rPr>
          <w:rFonts w:cs="Arial"/>
        </w:rPr>
      </w:pPr>
    </w:p>
    <w:p w:rsidR="005A4183" w:rsidRPr="00147CB7" w:rsidRDefault="005A4183" w:rsidP="005A4183">
      <w:pPr>
        <w:jc w:val="center"/>
        <w:rPr>
          <w:rFonts w:cs="Arial"/>
        </w:rPr>
      </w:pPr>
      <w:r w:rsidRPr="00147CB7">
        <w:rPr>
          <w:rFonts w:cs="Arial"/>
        </w:rPr>
        <w:t>EXTRACT FROM DOCUMENT TGP/9/2 “EXAMINING DISTINCTNESS”</w:t>
      </w:r>
    </w:p>
    <w:p w:rsidR="005A4183" w:rsidRPr="00147CB7" w:rsidRDefault="005A4183" w:rsidP="005A4183">
      <w:pPr>
        <w:ind w:left="567" w:hanging="567"/>
      </w:pPr>
    </w:p>
    <w:p w:rsidR="005A4183" w:rsidRPr="00147CB7" w:rsidRDefault="005A4183" w:rsidP="005A4183">
      <w:bookmarkStart w:id="50" w:name="_Toc156741069"/>
      <w:bookmarkStart w:id="51" w:name="_Toc434828681"/>
      <w:r w:rsidRPr="00147CB7">
        <w:t xml:space="preserve">SECTION 5:  ASSESSING DISTINCTNESS BASED ON </w:t>
      </w:r>
      <w:r w:rsidRPr="00147CB7">
        <w:rPr>
          <w:caps/>
        </w:rPr>
        <w:t>the growing</w:t>
      </w:r>
      <w:r w:rsidRPr="00147CB7">
        <w:t xml:space="preserve"> TRIAL</w:t>
      </w:r>
      <w:bookmarkEnd w:id="50"/>
      <w:bookmarkEnd w:id="51"/>
      <w:r w:rsidRPr="00147CB7">
        <w:t xml:space="preserve"> </w:t>
      </w:r>
    </w:p>
    <w:p w:rsidR="005A4183" w:rsidRPr="00147CB7" w:rsidRDefault="005A4183" w:rsidP="005A4183">
      <w:pPr>
        <w:pStyle w:val="h4para"/>
        <w:rPr>
          <w:rFonts w:ascii="Arial" w:hAnsi="Arial" w:cs="Arial"/>
          <w:sz w:val="20"/>
        </w:rPr>
      </w:pPr>
    </w:p>
    <w:p w:rsidR="005A4183" w:rsidRPr="00147CB7" w:rsidRDefault="005A4183" w:rsidP="005A4183">
      <w:bookmarkStart w:id="52" w:name="_Toc156741071"/>
      <w:bookmarkStart w:id="53" w:name="_Toc434828683"/>
      <w:r w:rsidRPr="00147CB7">
        <w:rPr>
          <w:caps/>
        </w:rPr>
        <w:t>5.2</w:t>
      </w:r>
      <w:r w:rsidRPr="00147CB7">
        <w:rPr>
          <w:caps/>
        </w:rPr>
        <w:tab/>
      </w:r>
      <w:r w:rsidRPr="00147CB7">
        <w:t>Approaches for assessing distinctness</w:t>
      </w:r>
      <w:bookmarkEnd w:id="52"/>
      <w:bookmarkEnd w:id="53"/>
    </w:p>
    <w:p w:rsidR="005A4183" w:rsidRPr="00147CB7" w:rsidRDefault="005A4183" w:rsidP="005A4183">
      <w:pPr>
        <w:rPr>
          <w:rFonts w:cs="Arial"/>
        </w:rPr>
      </w:pPr>
    </w:p>
    <w:p w:rsidR="005A4183" w:rsidRPr="00147CB7" w:rsidRDefault="005A4183" w:rsidP="005A4183">
      <w:bookmarkStart w:id="54" w:name="_Toc156741077"/>
      <w:bookmarkStart w:id="55" w:name="_Toc434828689"/>
      <w:r w:rsidRPr="00147CB7">
        <w:t>5.2.3</w:t>
      </w:r>
      <w:r w:rsidRPr="00147CB7">
        <w:tab/>
        <w:t>Assessment by Notes / Single variety records (“Notes”)</w:t>
      </w:r>
      <w:bookmarkEnd w:id="54"/>
      <w:bookmarkEnd w:id="55"/>
      <w:r w:rsidRPr="00147CB7">
        <w:t xml:space="preserve"> </w:t>
      </w:r>
    </w:p>
    <w:p w:rsidR="005A4183" w:rsidRPr="00147CB7" w:rsidRDefault="005A4183" w:rsidP="005A4183">
      <w:pPr>
        <w:rPr>
          <w:rFonts w:cs="Arial"/>
        </w:rPr>
      </w:pPr>
    </w:p>
    <w:p w:rsidR="005A4183" w:rsidRPr="00147CB7" w:rsidRDefault="005A4183" w:rsidP="005A4183">
      <w:bookmarkStart w:id="56" w:name="_Toc156741079"/>
      <w:bookmarkStart w:id="57" w:name="_Toc434828691"/>
      <w:r w:rsidRPr="00147CB7">
        <w:t>5.2.3.2</w:t>
      </w:r>
      <w:r w:rsidRPr="00147CB7">
        <w:tab/>
        <w:t>Assessment by Notes</w:t>
      </w:r>
      <w:bookmarkEnd w:id="56"/>
      <w:bookmarkEnd w:id="57"/>
    </w:p>
    <w:p w:rsidR="005A4183" w:rsidRPr="00147CB7" w:rsidRDefault="005A4183" w:rsidP="005A4183">
      <w:pPr>
        <w:rPr>
          <w:rFonts w:cs="Arial"/>
        </w:rPr>
      </w:pPr>
      <w:r w:rsidRPr="00147CB7">
        <w:rPr>
          <w:rFonts w:cs="Arial"/>
        </w:rPr>
        <w:t>[…]</w:t>
      </w:r>
    </w:p>
    <w:p w:rsidR="005A4183" w:rsidRPr="00147CB7" w:rsidRDefault="005A4183" w:rsidP="005A4183">
      <w:bookmarkStart w:id="58" w:name="_Toc434828693"/>
      <w:r w:rsidRPr="00147CB7">
        <w:t>5.2.3.2.2</w:t>
      </w:r>
      <w:r w:rsidRPr="00147CB7">
        <w:tab/>
        <w:t>Pseudo-qualitative (PQ) characteristics</w:t>
      </w:r>
      <w:bookmarkEnd w:id="58"/>
    </w:p>
    <w:p w:rsidR="005A4183" w:rsidRPr="00147CB7" w:rsidRDefault="005A4183" w:rsidP="005A4183"/>
    <w:p w:rsidR="005A4183" w:rsidRPr="00147CB7" w:rsidRDefault="005A4183" w:rsidP="005A4183">
      <w:pPr>
        <w:tabs>
          <w:tab w:val="left" w:pos="1134"/>
        </w:tabs>
        <w:rPr>
          <w:rFonts w:cs="Arial"/>
        </w:rPr>
      </w:pPr>
      <w:r w:rsidRPr="00147CB7">
        <w:rPr>
          <w:rFonts w:cs="Arial"/>
        </w:rPr>
        <w:t>5.2.3.2.2.1</w:t>
      </w:r>
      <w:r w:rsidRPr="00147CB7">
        <w:rPr>
          <w:rFonts w:cs="Arial"/>
        </w:rPr>
        <w:tab/>
        <w:t xml:space="preserve">The difference in </w:t>
      </w:r>
      <w:proofErr w:type="gramStart"/>
      <w:r w:rsidRPr="00147CB7">
        <w:rPr>
          <w:rFonts w:cs="Arial"/>
        </w:rPr>
        <w:t>Notes which</w:t>
      </w:r>
      <w:proofErr w:type="gramEnd"/>
      <w:r w:rsidRPr="00147CB7">
        <w:rPr>
          <w:rFonts w:cs="Arial"/>
        </w:rPr>
        <w:t xml:space="preserve"> may establish distinctness for a pseudo</w:t>
      </w:r>
      <w:r w:rsidRPr="00147CB7">
        <w:rPr>
          <w:rFonts w:cs="Arial"/>
        </w:rPr>
        <w:noBreakHyphen/>
        <w:t xml:space="preserve">qualitative characteristic is influenced by factors such as location, year and environmental variation within the trial.  </w:t>
      </w:r>
      <w:proofErr w:type="gramStart"/>
      <w:r w:rsidRPr="00147CB7">
        <w:rPr>
          <w:rFonts w:cs="Arial"/>
        </w:rPr>
        <w:t>Also</w:t>
      </w:r>
      <w:proofErr w:type="gramEnd"/>
      <w:r w:rsidRPr="00147CB7">
        <w:rPr>
          <w:rFonts w:cs="Arial"/>
        </w:rPr>
        <w:t xml:space="preserve">, as with quantitative characteristics, the range of the scale (number of Notes) varies.  </w:t>
      </w:r>
      <w:proofErr w:type="gramStart"/>
      <w:r w:rsidRPr="00147CB7">
        <w:rPr>
          <w:rFonts w:cs="Arial"/>
        </w:rPr>
        <w:t>However, an important additional factor with pseudo</w:t>
      </w:r>
      <w:r w:rsidRPr="00147CB7">
        <w:rPr>
          <w:rFonts w:cs="Arial"/>
        </w:rPr>
        <w:noBreakHyphen/>
        <w:t>qualitative characteristics is that, whilst a part of the range is continuous, there is not an even distribution across the scale and the range varies in more than one dimension (e.g. shape:  ovate (1), elliptic (2), circular (3), obovate (4):  there is a variation in the length/width ratio and in the position of the widest point).</w:t>
      </w:r>
      <w:proofErr w:type="gramEnd"/>
      <w:r w:rsidRPr="00147CB7">
        <w:rPr>
          <w:rFonts w:cs="Arial"/>
        </w:rPr>
        <w:t xml:space="preserve">  This means that it is difficult to define a general rule on the difference in Notes to establish distinctness within a characteristic.</w:t>
      </w:r>
    </w:p>
    <w:p w:rsidR="005A4183" w:rsidRPr="00147CB7" w:rsidRDefault="005A4183" w:rsidP="005A4183">
      <w:pPr>
        <w:tabs>
          <w:tab w:val="left" w:pos="1134"/>
        </w:tabs>
        <w:rPr>
          <w:rFonts w:cs="Arial"/>
        </w:rPr>
      </w:pPr>
      <w:r w:rsidRPr="00147CB7">
        <w:rPr>
          <w:rFonts w:cs="Arial"/>
        </w:rPr>
        <w:t>[…]</w:t>
      </w:r>
    </w:p>
    <w:p w:rsidR="005A4183" w:rsidRPr="00147CB7" w:rsidRDefault="005A4183" w:rsidP="005A4183">
      <w:pPr>
        <w:tabs>
          <w:tab w:val="left" w:pos="1134"/>
        </w:tabs>
        <w:rPr>
          <w:rFonts w:cs="Arial"/>
        </w:rPr>
      </w:pPr>
      <w:r w:rsidRPr="00147CB7">
        <w:rPr>
          <w:rFonts w:cs="Arial"/>
        </w:rPr>
        <w:t>5.2.3.2.2.3</w:t>
      </w:r>
      <w:r w:rsidRPr="00147CB7">
        <w:rPr>
          <w:rFonts w:cs="Arial"/>
        </w:rPr>
        <w:tab/>
        <w:t>The following examples illustrate why deciding on the difference in the number of Notes required between varieties to establish distinctness needs particular care:</w:t>
      </w:r>
    </w:p>
    <w:p w:rsidR="005A4183" w:rsidRPr="00147CB7" w:rsidRDefault="005A4183" w:rsidP="005A4183">
      <w:pPr>
        <w:rPr>
          <w:rFonts w:cs="Arial"/>
        </w:rPr>
      </w:pPr>
    </w:p>
    <w:p w:rsidR="005A4183" w:rsidRPr="00147CB7" w:rsidRDefault="005A4183" w:rsidP="005A4183">
      <w:pPr>
        <w:keepNext/>
        <w:ind w:left="851"/>
        <w:rPr>
          <w:rFonts w:cs="Arial"/>
          <w:i/>
        </w:rPr>
      </w:pPr>
      <w:r w:rsidRPr="00147CB7">
        <w:rPr>
          <w:rFonts w:cs="Arial"/>
          <w:i/>
        </w:rPr>
        <w:t xml:space="preserve">Example 1: </w:t>
      </w:r>
    </w:p>
    <w:p w:rsidR="005A4183" w:rsidRPr="00147CB7" w:rsidRDefault="005A4183" w:rsidP="005A4183">
      <w:pPr>
        <w:keepNext/>
        <w:ind w:left="851"/>
        <w:rPr>
          <w:rFonts w:cs="Arial"/>
        </w:rPr>
      </w:pPr>
    </w:p>
    <w:p w:rsidR="005A4183" w:rsidRPr="00147CB7" w:rsidRDefault="005A4183" w:rsidP="005A4183">
      <w:pPr>
        <w:ind w:left="851"/>
        <w:rPr>
          <w:rFonts w:cs="Arial"/>
        </w:rPr>
      </w:pPr>
      <w:r w:rsidRPr="00147CB7">
        <w:rPr>
          <w:rFonts w:cs="Arial"/>
        </w:rPr>
        <w:t>Type of mottling:  only diffuse (Note 1); diffuse and in patches (2); diffuse, in patches and linear bands (3)</w:t>
      </w:r>
      <w:proofErr w:type="gramStart"/>
      <w:r w:rsidRPr="00147CB7">
        <w:rPr>
          <w:rFonts w:cs="Arial"/>
        </w:rPr>
        <w:t>;  diffuse</w:t>
      </w:r>
      <w:proofErr w:type="gramEnd"/>
      <w:r w:rsidRPr="00147CB7">
        <w:rPr>
          <w:rFonts w:cs="Arial"/>
        </w:rPr>
        <w:t xml:space="preserve"> and in linear bands (4).</w:t>
      </w:r>
    </w:p>
    <w:p w:rsidR="005A4183" w:rsidRPr="00147CB7" w:rsidRDefault="005A4183" w:rsidP="005A4183">
      <w:pPr>
        <w:ind w:left="851"/>
        <w:rPr>
          <w:rFonts w:cs="Arial"/>
        </w:rPr>
      </w:pPr>
    </w:p>
    <w:p w:rsidR="005A4183" w:rsidRPr="00147CB7" w:rsidRDefault="005A4183" w:rsidP="005A4183">
      <w:pPr>
        <w:keepNext/>
        <w:ind w:left="851"/>
        <w:rPr>
          <w:rFonts w:cs="Arial"/>
          <w:i/>
        </w:rPr>
      </w:pPr>
      <w:r w:rsidRPr="00147CB7">
        <w:rPr>
          <w:rFonts w:cs="Arial"/>
          <w:i/>
        </w:rPr>
        <w:t>Example 2:</w:t>
      </w:r>
    </w:p>
    <w:p w:rsidR="005A4183" w:rsidRPr="00147CB7" w:rsidRDefault="005A4183" w:rsidP="005A4183">
      <w:pPr>
        <w:keepNext/>
        <w:ind w:left="851"/>
        <w:rPr>
          <w:rFonts w:cs="Arial"/>
          <w:i/>
        </w:rPr>
      </w:pPr>
    </w:p>
    <w:p w:rsidR="005A4183" w:rsidRPr="00147CB7" w:rsidRDefault="005A4183" w:rsidP="005A4183">
      <w:pPr>
        <w:ind w:left="851"/>
      </w:pPr>
      <w:r w:rsidRPr="00147CB7">
        <w:t>Shape:  broad elliptic (Note 1), medium elliptic (2), narrow elliptic (3), ovate (4)</w:t>
      </w:r>
    </w:p>
    <w:p w:rsidR="005A4183" w:rsidRPr="00147CB7" w:rsidRDefault="005A4183" w:rsidP="005A4183">
      <w:pPr>
        <w:ind w:left="851"/>
        <w:rPr>
          <w:rFonts w:cs="Arial"/>
        </w:rPr>
      </w:pPr>
    </w:p>
    <w:p w:rsidR="005A4183" w:rsidRPr="00147CB7" w:rsidRDefault="005A4183" w:rsidP="005A4183">
      <w:pPr>
        <w:keepNext/>
        <w:ind w:left="851"/>
        <w:rPr>
          <w:rFonts w:cs="Arial"/>
          <w:i/>
        </w:rPr>
      </w:pPr>
      <w:r w:rsidRPr="00147CB7">
        <w:rPr>
          <w:rFonts w:cs="Arial"/>
          <w:i/>
        </w:rPr>
        <w:t>Example 3:</w:t>
      </w:r>
    </w:p>
    <w:p w:rsidR="005A4183" w:rsidRPr="00147CB7" w:rsidRDefault="005A4183" w:rsidP="005A4183">
      <w:pPr>
        <w:keepNext/>
        <w:ind w:left="851"/>
        <w:rPr>
          <w:rFonts w:cs="Arial"/>
        </w:rPr>
      </w:pPr>
    </w:p>
    <w:p w:rsidR="005A4183" w:rsidRPr="00147CB7" w:rsidRDefault="005A4183" w:rsidP="005A4183">
      <w:pPr>
        <w:ind w:left="851"/>
      </w:pPr>
      <w:r w:rsidRPr="00147CB7">
        <w:t xml:space="preserve">Color:  green (Note 1), yellow green (2), green yellow (3), yellow (4), orange (5), </w:t>
      </w:r>
      <w:proofErr w:type="gramStart"/>
      <w:r w:rsidRPr="00147CB7">
        <w:t>red (6)</w:t>
      </w:r>
      <w:proofErr w:type="gramEnd"/>
    </w:p>
    <w:p w:rsidR="005A4183" w:rsidRPr="00147CB7" w:rsidRDefault="005A4183" w:rsidP="005A4183">
      <w:pPr>
        <w:ind w:left="851"/>
        <w:rPr>
          <w:rFonts w:cs="Arial"/>
        </w:rPr>
      </w:pPr>
    </w:p>
    <w:p w:rsidR="005A4183" w:rsidRPr="00147CB7" w:rsidRDefault="005A4183" w:rsidP="005A4183">
      <w:pPr>
        <w:rPr>
          <w:rFonts w:cs="Arial"/>
        </w:rPr>
      </w:pPr>
      <w:r w:rsidRPr="00147CB7">
        <w:rPr>
          <w:rFonts w:cs="Arial"/>
        </w:rPr>
        <w:t xml:space="preserve">In the case of Examples 1 and 2, it is not appropriate to say that the “difference” between varieties with Notes 1 and 2 is less than between varieties with Notes 1 and 4, although they are respectively </w:t>
      </w:r>
      <w:proofErr w:type="gramStart"/>
      <w:r w:rsidRPr="00147CB7">
        <w:rPr>
          <w:rFonts w:cs="Arial"/>
        </w:rPr>
        <w:t>1</w:t>
      </w:r>
      <w:proofErr w:type="gramEnd"/>
      <w:r w:rsidRPr="00147CB7">
        <w:rPr>
          <w:rFonts w:cs="Arial"/>
        </w:rPr>
        <w:t xml:space="preserve"> and 3 Notes “different”.  In some cases, for example, the difference between Notes 2 and 3 may be greater than between Notes 1 and 4.  However, Example 3 demonstrates that, in some parts of the range of some pseudo-qualitative characteristics, it might be possible to follow a similar approach to that used for quantitative characteristics, e.g. varieties with states 2 and 3 (1 Note difference) have less difference than those with states 1 and 4 (3 Notes difference). </w:t>
      </w:r>
    </w:p>
    <w:p w:rsidR="005A4183" w:rsidRDefault="005A4183" w:rsidP="00841A82">
      <w:pPr>
        <w:jc w:val="center"/>
        <w:rPr>
          <w:rFonts w:cs="Arial"/>
        </w:rPr>
      </w:pPr>
    </w:p>
    <w:p w:rsidR="00773C05" w:rsidRDefault="00773C05" w:rsidP="00923B63">
      <w:pPr>
        <w:rPr>
          <w:rFonts w:cs="Arial"/>
        </w:rPr>
      </w:pPr>
    </w:p>
    <w:p w:rsidR="00841A82" w:rsidRPr="001B1F7A" w:rsidRDefault="00841A82" w:rsidP="00923B63">
      <w:pPr>
        <w:rPr>
          <w:rFonts w:cs="Arial"/>
        </w:rPr>
      </w:pPr>
    </w:p>
    <w:p w:rsidR="002A1FE8" w:rsidRDefault="00C438E8" w:rsidP="00066B42">
      <w:pPr>
        <w:jc w:val="right"/>
        <w:sectPr w:rsidR="002A1FE8" w:rsidSect="00644269">
          <w:headerReference w:type="first" r:id="rId16"/>
          <w:pgSz w:w="11907" w:h="16840" w:code="9"/>
          <w:pgMar w:top="510" w:right="1134" w:bottom="1134" w:left="1134" w:header="510" w:footer="680" w:gutter="0"/>
          <w:pgNumType w:start="1"/>
          <w:cols w:space="720"/>
          <w:titlePg/>
        </w:sectPr>
      </w:pPr>
      <w:r w:rsidRPr="00C438E8">
        <w:t xml:space="preserve">[Annex </w:t>
      </w:r>
      <w:r w:rsidR="00773C05">
        <w:t>I</w:t>
      </w:r>
      <w:r w:rsidR="005A4183">
        <w:t>V</w:t>
      </w:r>
      <w:r w:rsidR="00773C05">
        <w:t xml:space="preserve"> </w:t>
      </w:r>
      <w:r w:rsidR="005A4183">
        <w:t>follows</w:t>
      </w:r>
      <w:r w:rsidRPr="00C438E8">
        <w:t>]</w:t>
      </w:r>
    </w:p>
    <w:p w:rsidR="006039CC" w:rsidRDefault="005A4183" w:rsidP="005A4183">
      <w:pPr>
        <w:jc w:val="center"/>
      </w:pPr>
      <w:r>
        <w:t>EXTRACT FROM DOCUMENT TGP/14 “GLOSSARY OF TERMS USED IN UPOV DOCUMENTS”</w:t>
      </w:r>
    </w:p>
    <w:p w:rsidR="005A4183" w:rsidRDefault="005A4183" w:rsidP="005A4183">
      <w:pPr>
        <w:jc w:val="center"/>
      </w:pPr>
    </w:p>
    <w:p w:rsidR="00B87BE9" w:rsidRPr="00B87BE9" w:rsidRDefault="00B87BE9" w:rsidP="00B87BE9">
      <w:pPr>
        <w:rPr>
          <w:caps/>
        </w:rPr>
      </w:pPr>
      <w:r w:rsidRPr="00B87BE9">
        <w:rPr>
          <w:caps/>
        </w:rPr>
        <w:t xml:space="preserve">Subsection </w:t>
      </w:r>
      <w:proofErr w:type="gramStart"/>
      <w:r w:rsidRPr="00B87BE9">
        <w:rPr>
          <w:caps/>
        </w:rPr>
        <w:t>2</w:t>
      </w:r>
      <w:proofErr w:type="gramEnd"/>
      <w:r w:rsidRPr="00B87BE9">
        <w:rPr>
          <w:caps/>
        </w:rPr>
        <w:t>. Shapes and Structures</w:t>
      </w:r>
    </w:p>
    <w:p w:rsidR="00B87BE9" w:rsidRDefault="00B87BE9" w:rsidP="00B87BE9"/>
    <w:p w:rsidR="00B87BE9" w:rsidRDefault="00B87BE9" w:rsidP="00B87BE9">
      <w:pPr>
        <w:pStyle w:val="ListParagraph"/>
        <w:numPr>
          <w:ilvl w:val="0"/>
          <w:numId w:val="4"/>
        </w:numPr>
        <w:ind w:left="567" w:hanging="567"/>
        <w:rPr>
          <w:u w:val="single"/>
        </w:rPr>
      </w:pPr>
      <w:r w:rsidRPr="00B87BE9">
        <w:rPr>
          <w:u w:val="single"/>
        </w:rPr>
        <w:t>Shape</w:t>
      </w:r>
    </w:p>
    <w:p w:rsidR="00B87BE9" w:rsidRDefault="00B87BE9" w:rsidP="00B87BE9">
      <w:pPr>
        <w:rPr>
          <w:u w:val="single"/>
        </w:rPr>
      </w:pPr>
      <w:r>
        <w:rPr>
          <w:u w:val="single"/>
        </w:rPr>
        <w:t>[…]</w:t>
      </w:r>
    </w:p>
    <w:p w:rsidR="00B87BE9" w:rsidRPr="00B87BE9" w:rsidRDefault="00B87BE9" w:rsidP="00B87BE9">
      <w:pPr>
        <w:rPr>
          <w:i/>
        </w:rPr>
      </w:pPr>
      <w:r w:rsidRPr="00B87BE9">
        <w:rPr>
          <w:i/>
        </w:rPr>
        <w:t>2.</w:t>
      </w:r>
      <w:r w:rsidRPr="00B87BE9">
        <w:rPr>
          <w:i/>
        </w:rPr>
        <w:tab/>
        <w:t>Developing Shape-Related Characteristics</w:t>
      </w:r>
    </w:p>
    <w:p w:rsidR="006039CC" w:rsidRDefault="00B87BE9" w:rsidP="006039CC">
      <w:r>
        <w:t>[…]</w:t>
      </w:r>
    </w:p>
    <w:p w:rsidR="00F42399" w:rsidRPr="009042D6" w:rsidRDefault="00F42399" w:rsidP="00F42399">
      <w:pPr>
        <w:ind w:left="567"/>
        <w:rPr>
          <w:u w:val="single"/>
        </w:rPr>
      </w:pPr>
      <w:r w:rsidRPr="009042D6">
        <w:rPr>
          <w:u w:val="single"/>
        </w:rPr>
        <w:t>2.2</w:t>
      </w:r>
      <w:r w:rsidRPr="009042D6">
        <w:rPr>
          <w:u w:val="single"/>
        </w:rPr>
        <w:tab/>
        <w:t>Full plane shape characteristics</w:t>
      </w:r>
    </w:p>
    <w:p w:rsidR="00F42399" w:rsidRDefault="00F42399" w:rsidP="00F42399">
      <w:pPr>
        <w:ind w:left="567"/>
      </w:pPr>
      <w:r>
        <w:t>[…]</w:t>
      </w:r>
    </w:p>
    <w:p w:rsidR="009042D6" w:rsidRPr="00B87BE9" w:rsidRDefault="009042D6" w:rsidP="00F42399">
      <w:pPr>
        <w:ind w:left="567"/>
      </w:pPr>
    </w:p>
    <w:p w:rsidR="006039CC" w:rsidRPr="00DE3AFC" w:rsidRDefault="006039CC" w:rsidP="006039CC">
      <w:pPr>
        <w:rPr>
          <w:i/>
        </w:rPr>
      </w:pPr>
      <w:r w:rsidRPr="00DE3AFC">
        <w:rPr>
          <w:i/>
        </w:rPr>
        <w:t>Example 1: variation in ratio length/width only.</w:t>
      </w:r>
    </w:p>
    <w:p w:rsidR="006039CC" w:rsidRPr="00DE3AFC" w:rsidRDefault="006039CC" w:rsidP="006039CC"/>
    <w:p w:rsidR="006039CC" w:rsidRPr="00DE3AFC" w:rsidRDefault="006039CC" w:rsidP="006039CC">
      <w:pPr>
        <w:shd w:val="clear" w:color="auto" w:fill="FFFFFF"/>
        <w:ind w:left="360"/>
      </w:pPr>
      <w:r w:rsidRPr="00DE3AFC">
        <w:t xml:space="preserve">Alternative </w:t>
      </w:r>
      <w:proofErr w:type="gramStart"/>
      <w:r w:rsidRPr="00DE3AFC">
        <w:t>1</w:t>
      </w:r>
      <w:proofErr w:type="gramEnd"/>
    </w:p>
    <w:p w:rsidR="006039CC" w:rsidRPr="00DE3AFC" w:rsidRDefault="006039CC" w:rsidP="006039CC">
      <w:pPr>
        <w:shd w:val="clear" w:color="auto" w:fill="FFFFFF"/>
        <w:ind w:left="567"/>
        <w:rPr>
          <w:rFonts w:cs="Angsana New"/>
          <w:szCs w:val="24"/>
          <w:lang w:bidi="th-TH"/>
        </w:rPr>
      </w:pPr>
      <w:r w:rsidRPr="00DE3AFC">
        <w:rPr>
          <w:rFonts w:cs="Angsana New"/>
          <w:szCs w:val="24"/>
          <w:lang w:bidi="th-TH"/>
        </w:rPr>
        <w:t>Plant [part]:  ratio length/width (low to high) (QN)</w:t>
      </w:r>
    </w:p>
    <w:p w:rsidR="006039CC" w:rsidRPr="00DE3AFC" w:rsidRDefault="006039CC" w:rsidP="006039CC">
      <w:pPr>
        <w:shd w:val="clear" w:color="auto" w:fill="FFFFFF"/>
        <w:ind w:left="360"/>
        <w:rPr>
          <w:rFonts w:cs="Angsana New"/>
          <w:szCs w:val="24"/>
          <w:lang w:bidi="th-TH"/>
        </w:rPr>
      </w:pPr>
    </w:p>
    <w:p w:rsidR="006039CC" w:rsidRPr="00DE3AFC" w:rsidRDefault="006039CC" w:rsidP="006039CC">
      <w:pPr>
        <w:shd w:val="clear" w:color="auto" w:fill="FFFFFF"/>
        <w:ind w:left="360"/>
      </w:pPr>
      <w:r w:rsidRPr="00DE3AFC">
        <w:t xml:space="preserve">Alternative </w:t>
      </w:r>
      <w:proofErr w:type="gramStart"/>
      <w:r w:rsidRPr="00DE3AFC">
        <w:t>2</w:t>
      </w:r>
      <w:proofErr w:type="gramEnd"/>
    </w:p>
    <w:p w:rsidR="006039CC" w:rsidRPr="00DE3AFC" w:rsidRDefault="006039CC" w:rsidP="006039CC">
      <w:pPr>
        <w:shd w:val="clear" w:color="auto" w:fill="FFFFFF"/>
        <w:ind w:left="562"/>
        <w:rPr>
          <w:rFonts w:cs="Angsana New"/>
          <w:szCs w:val="24"/>
          <w:lang w:bidi="th-TH"/>
        </w:rPr>
      </w:pPr>
      <w:r w:rsidRPr="00DE3AFC">
        <w:rPr>
          <w:rFonts w:cs="Angsana New"/>
          <w:szCs w:val="24"/>
          <w:lang w:bidi="th-TH"/>
        </w:rPr>
        <w:t>Plant [part]:  shape (broad obovate (1); medium obovate (2)</w:t>
      </w:r>
      <w:proofErr w:type="gramStart"/>
      <w:r w:rsidRPr="00DE3AFC">
        <w:rPr>
          <w:rFonts w:cs="Angsana New"/>
          <w:szCs w:val="24"/>
          <w:lang w:bidi="th-TH"/>
        </w:rPr>
        <w:t>;  narrow</w:t>
      </w:r>
      <w:proofErr w:type="gramEnd"/>
      <w:r w:rsidRPr="00DE3AFC">
        <w:rPr>
          <w:rFonts w:cs="Angsana New"/>
          <w:szCs w:val="24"/>
          <w:lang w:bidi="th-TH"/>
        </w:rPr>
        <w:t xml:space="preserve"> obovate (3))  (QN)</w:t>
      </w:r>
    </w:p>
    <w:p w:rsidR="006039CC" w:rsidRPr="00DE3AFC" w:rsidRDefault="006039CC" w:rsidP="006039CC">
      <w:pPr>
        <w:shd w:val="clear" w:color="auto" w:fill="FFFFFF"/>
        <w:ind w:left="562"/>
        <w:rPr>
          <w:rFonts w:cs="Angsana New"/>
          <w:i/>
          <w:szCs w:val="24"/>
          <w:lang w:bidi="th-TH"/>
        </w:rPr>
      </w:pPr>
    </w:p>
    <w:p w:rsidR="006039CC" w:rsidRPr="00DE3AFC" w:rsidRDefault="006039CC" w:rsidP="006039CC">
      <w:pPr>
        <w:shd w:val="clear" w:color="auto" w:fill="FFFFFF"/>
        <w:ind w:left="562"/>
        <w:rPr>
          <w:rFonts w:cs="Angsana New"/>
          <w:szCs w:val="24"/>
          <w:lang w:bidi="th-TH"/>
        </w:rPr>
      </w:pPr>
      <w:proofErr w:type="gramStart"/>
      <w:r w:rsidRPr="00DE3AFC">
        <w:rPr>
          <w:rFonts w:cs="Angsana New"/>
          <w:szCs w:val="24"/>
          <w:lang w:bidi="th-TH"/>
        </w:rPr>
        <w:t>with</w:t>
      </w:r>
      <w:proofErr w:type="gramEnd"/>
      <w:r w:rsidRPr="00DE3AFC">
        <w:rPr>
          <w:rFonts w:cs="Angsana New"/>
          <w:szCs w:val="24"/>
          <w:lang w:bidi="th-TH"/>
        </w:rPr>
        <w:t xml:space="preserve"> the following illustration:</w:t>
      </w:r>
    </w:p>
    <w:p w:rsidR="006039CC" w:rsidRPr="00DE3AFC" w:rsidRDefault="006039CC" w:rsidP="006039CC"/>
    <w:p w:rsidR="006039CC" w:rsidRPr="00DE3AFC" w:rsidRDefault="006039CC" w:rsidP="006039CC">
      <w:pPr>
        <w:jc w:val="center"/>
      </w:pPr>
      <w:bookmarkStart w:id="59" w:name="_GoBack"/>
      <w:r w:rsidRPr="00DE3AFC">
        <w:rPr>
          <w:noProof/>
        </w:rPr>
        <w:drawing>
          <wp:inline distT="0" distB="0" distL="0" distR="0" wp14:anchorId="12E574EC" wp14:editId="07C33A16">
            <wp:extent cx="5374191" cy="1236268"/>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85826" cy="1284952"/>
                    </a:xfrm>
                    <a:prstGeom prst="rect">
                      <a:avLst/>
                    </a:prstGeom>
                  </pic:spPr>
                </pic:pic>
              </a:graphicData>
            </a:graphic>
          </wp:inline>
        </w:drawing>
      </w:r>
      <w:bookmarkEnd w:id="59"/>
    </w:p>
    <w:p w:rsidR="006039CC" w:rsidRDefault="006039CC" w:rsidP="006039CC"/>
    <w:p w:rsidR="009042D6" w:rsidRDefault="009042D6" w:rsidP="006039CC">
      <w:r>
        <w:t>[…]</w:t>
      </w:r>
    </w:p>
    <w:p w:rsidR="009042D6" w:rsidRPr="00DE3AFC" w:rsidRDefault="009042D6" w:rsidP="006039CC"/>
    <w:p w:rsidR="006039CC" w:rsidRPr="00DE3AFC" w:rsidRDefault="006039CC" w:rsidP="006039CC">
      <w:pPr>
        <w:rPr>
          <w:i/>
        </w:rPr>
      </w:pPr>
      <w:r w:rsidRPr="00DE3AFC">
        <w:rPr>
          <w:i/>
        </w:rPr>
        <w:t xml:space="preserve">Example 2: variation in position of the broadest part only.  </w:t>
      </w:r>
    </w:p>
    <w:p w:rsidR="006039CC" w:rsidRPr="00DE3AFC" w:rsidRDefault="006039CC" w:rsidP="006039CC"/>
    <w:p w:rsidR="006039CC" w:rsidRPr="00DE3AFC" w:rsidRDefault="006039CC" w:rsidP="006039CC">
      <w:pPr>
        <w:ind w:left="360"/>
      </w:pPr>
      <w:r w:rsidRPr="00DE3AFC">
        <w:t xml:space="preserve">Alternative </w:t>
      </w:r>
      <w:proofErr w:type="gramStart"/>
      <w:r w:rsidRPr="00DE3AFC">
        <w:t>1</w:t>
      </w:r>
      <w:proofErr w:type="gramEnd"/>
    </w:p>
    <w:p w:rsidR="006039CC" w:rsidRPr="00DE3AFC" w:rsidRDefault="006039CC" w:rsidP="006039CC">
      <w:pPr>
        <w:ind w:left="567"/>
        <w:rPr>
          <w:rFonts w:cs="Angsana New"/>
          <w:szCs w:val="24"/>
          <w:lang w:bidi="th-TH"/>
        </w:rPr>
      </w:pPr>
      <w:r w:rsidRPr="00DE3AFC">
        <w:rPr>
          <w:rFonts w:cs="Angsana New"/>
          <w:szCs w:val="24"/>
          <w:lang w:bidi="th-TH"/>
        </w:rPr>
        <w:t>Plant [part]:  position of broadest part (towards base to towards apex) (QN)</w:t>
      </w:r>
    </w:p>
    <w:p w:rsidR="006039CC" w:rsidRPr="00DE3AFC" w:rsidRDefault="006039CC" w:rsidP="006039CC"/>
    <w:p w:rsidR="006039CC" w:rsidRPr="00DE3AFC" w:rsidRDefault="006039CC" w:rsidP="006039CC">
      <w:pPr>
        <w:shd w:val="clear" w:color="auto" w:fill="FFFFFF"/>
        <w:ind w:left="360"/>
      </w:pPr>
      <w:r w:rsidRPr="00DE3AFC">
        <w:t xml:space="preserve">Alternative </w:t>
      </w:r>
      <w:proofErr w:type="gramStart"/>
      <w:r w:rsidRPr="00DE3AFC">
        <w:t>2</w:t>
      </w:r>
      <w:proofErr w:type="gramEnd"/>
    </w:p>
    <w:p w:rsidR="006039CC" w:rsidRPr="00DE3AFC" w:rsidRDefault="006039CC" w:rsidP="006039CC">
      <w:pPr>
        <w:shd w:val="clear" w:color="auto" w:fill="FFFFFF"/>
        <w:ind w:left="567"/>
        <w:rPr>
          <w:rFonts w:cs="Angsana New"/>
          <w:szCs w:val="24"/>
          <w:lang w:bidi="th-TH"/>
        </w:rPr>
      </w:pPr>
      <w:r w:rsidRPr="00DE3AFC">
        <w:rPr>
          <w:rFonts w:cs="Angsana New"/>
          <w:szCs w:val="24"/>
          <w:lang w:bidi="th-TH"/>
        </w:rPr>
        <w:t>Plant [part]:  shape (ovate (1)</w:t>
      </w:r>
      <w:proofErr w:type="gramStart"/>
      <w:r w:rsidRPr="00DE3AFC">
        <w:rPr>
          <w:rFonts w:cs="Angsana New"/>
          <w:szCs w:val="24"/>
          <w:lang w:bidi="th-TH"/>
        </w:rPr>
        <w:t>;  elliptic</w:t>
      </w:r>
      <w:proofErr w:type="gramEnd"/>
      <w:r w:rsidRPr="00DE3AFC">
        <w:rPr>
          <w:rFonts w:cs="Angsana New"/>
          <w:szCs w:val="24"/>
          <w:lang w:bidi="th-TH"/>
        </w:rPr>
        <w:t xml:space="preserve"> (2);  obovate (3)) (QN)</w:t>
      </w:r>
    </w:p>
    <w:p w:rsidR="006039CC" w:rsidRPr="00DE3AFC" w:rsidRDefault="006039CC" w:rsidP="006039CC">
      <w:pPr>
        <w:shd w:val="clear" w:color="auto" w:fill="FFFFFF"/>
        <w:ind w:left="567"/>
        <w:rPr>
          <w:rFonts w:cs="Angsana New"/>
          <w:szCs w:val="24"/>
          <w:lang w:bidi="th-TH"/>
        </w:rPr>
      </w:pPr>
    </w:p>
    <w:p w:rsidR="006039CC" w:rsidRPr="00DE3AFC" w:rsidRDefault="006039CC" w:rsidP="006039CC">
      <w:pPr>
        <w:shd w:val="clear" w:color="auto" w:fill="FFFFFF"/>
        <w:ind w:left="562"/>
        <w:rPr>
          <w:rFonts w:cs="Angsana New"/>
          <w:szCs w:val="24"/>
          <w:lang w:bidi="th-TH"/>
        </w:rPr>
      </w:pPr>
      <w:proofErr w:type="gramStart"/>
      <w:r w:rsidRPr="00DE3AFC">
        <w:rPr>
          <w:rFonts w:cs="Angsana New"/>
          <w:szCs w:val="24"/>
          <w:lang w:bidi="th-TH"/>
        </w:rPr>
        <w:t>with</w:t>
      </w:r>
      <w:proofErr w:type="gramEnd"/>
      <w:r w:rsidRPr="00DE3AFC">
        <w:rPr>
          <w:rFonts w:cs="Angsana New"/>
          <w:szCs w:val="24"/>
          <w:lang w:bidi="th-TH"/>
        </w:rPr>
        <w:t xml:space="preserve"> the following illustration:</w:t>
      </w:r>
    </w:p>
    <w:p w:rsidR="006039CC" w:rsidRPr="00DE3AFC" w:rsidRDefault="006039CC" w:rsidP="006039CC">
      <w:pPr>
        <w:jc w:val="center"/>
      </w:pPr>
      <w:r w:rsidRPr="00DE3AFC">
        <w:rPr>
          <w:noProof/>
        </w:rPr>
        <w:drawing>
          <wp:inline distT="0" distB="0" distL="0" distR="0" wp14:anchorId="679801E1" wp14:editId="4D8D152A">
            <wp:extent cx="4970733" cy="130210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57890" cy="1324936"/>
                    </a:xfrm>
                    <a:prstGeom prst="rect">
                      <a:avLst/>
                    </a:prstGeom>
                  </pic:spPr>
                </pic:pic>
              </a:graphicData>
            </a:graphic>
          </wp:inline>
        </w:drawing>
      </w:r>
    </w:p>
    <w:p w:rsidR="009042D6" w:rsidRDefault="009042D6" w:rsidP="006039CC">
      <w:pPr>
        <w:rPr>
          <w:i/>
        </w:rPr>
      </w:pPr>
    </w:p>
    <w:p w:rsidR="009042D6" w:rsidRPr="009042D6" w:rsidRDefault="009042D6" w:rsidP="006039CC">
      <w:r>
        <w:t>[…]</w:t>
      </w:r>
    </w:p>
    <w:p w:rsidR="009042D6" w:rsidRDefault="009042D6" w:rsidP="006039CC">
      <w:pPr>
        <w:rPr>
          <w:i/>
        </w:rPr>
      </w:pPr>
    </w:p>
    <w:p w:rsidR="006039CC" w:rsidRPr="00DE3AFC" w:rsidRDefault="006039CC" w:rsidP="006039CC">
      <w:pPr>
        <w:rPr>
          <w:i/>
        </w:rPr>
      </w:pPr>
      <w:r w:rsidRPr="00DE3AFC">
        <w:rPr>
          <w:i/>
        </w:rPr>
        <w:t xml:space="preserve">Example 3: variation in </w:t>
      </w:r>
      <w:r w:rsidRPr="00DE3AFC">
        <w:rPr>
          <w:i/>
          <w:color w:val="000000"/>
        </w:rPr>
        <w:t xml:space="preserve">ratio length/width, </w:t>
      </w:r>
      <w:r w:rsidRPr="00DE3AFC">
        <w:rPr>
          <w:i/>
        </w:rPr>
        <w:t xml:space="preserve">shape of base and lateral outline  </w:t>
      </w:r>
    </w:p>
    <w:p w:rsidR="006039CC" w:rsidRPr="00DE3AFC" w:rsidRDefault="006039CC" w:rsidP="006039CC">
      <w:pPr>
        <w:ind w:left="992"/>
      </w:pPr>
    </w:p>
    <w:p w:rsidR="006039CC" w:rsidRPr="00DE3AFC" w:rsidRDefault="006039CC" w:rsidP="006039CC">
      <w:pPr>
        <w:ind w:left="360"/>
      </w:pPr>
      <w:r w:rsidRPr="00DE3AFC">
        <w:t xml:space="preserve">Alternative </w:t>
      </w:r>
      <w:proofErr w:type="gramStart"/>
      <w:r w:rsidRPr="00DE3AFC">
        <w:t>1</w:t>
      </w:r>
      <w:proofErr w:type="gramEnd"/>
    </w:p>
    <w:p w:rsidR="006039CC" w:rsidRPr="00DE3AFC" w:rsidRDefault="006039CC" w:rsidP="006039CC">
      <w:pPr>
        <w:ind w:left="567"/>
        <w:rPr>
          <w:rFonts w:cs="Angsana New"/>
          <w:szCs w:val="24"/>
          <w:lang w:bidi="th-TH"/>
        </w:rPr>
      </w:pPr>
      <w:r w:rsidRPr="00DE3AFC">
        <w:rPr>
          <w:rFonts w:cs="Angsana New"/>
          <w:szCs w:val="24"/>
          <w:lang w:bidi="th-TH"/>
        </w:rPr>
        <w:t xml:space="preserve">Plant [part]:  </w:t>
      </w:r>
      <w:r w:rsidRPr="00DE3AFC">
        <w:rPr>
          <w:rFonts w:cs="Angsana New"/>
          <w:color w:val="000000"/>
          <w:szCs w:val="24"/>
          <w:lang w:bidi="th-TH"/>
        </w:rPr>
        <w:t>ratio length/width</w:t>
      </w:r>
      <w:r w:rsidRPr="00DE3AFC">
        <w:rPr>
          <w:rFonts w:cs="Angsana New"/>
          <w:szCs w:val="24"/>
          <w:lang w:bidi="th-TH"/>
        </w:rPr>
        <w:t xml:space="preserve"> (low to high) (QN)</w:t>
      </w:r>
    </w:p>
    <w:p w:rsidR="006039CC" w:rsidRPr="00DE3AFC" w:rsidRDefault="006039CC" w:rsidP="006039CC">
      <w:pPr>
        <w:ind w:left="567"/>
        <w:rPr>
          <w:rFonts w:cs="Angsana New"/>
          <w:szCs w:val="24"/>
          <w:lang w:bidi="th-TH"/>
        </w:rPr>
      </w:pPr>
      <w:r w:rsidRPr="00DE3AFC">
        <w:rPr>
          <w:rFonts w:cs="Angsana New"/>
          <w:szCs w:val="24"/>
          <w:lang w:bidi="th-TH"/>
        </w:rPr>
        <w:t>Plant [part]: shape of base (acute, obtuse, rounded) (PQ)</w:t>
      </w:r>
    </w:p>
    <w:p w:rsidR="006039CC" w:rsidRPr="00DE3AFC" w:rsidRDefault="006039CC" w:rsidP="006039CC">
      <w:pPr>
        <w:ind w:left="567"/>
        <w:rPr>
          <w:rFonts w:cs="Angsana New"/>
          <w:szCs w:val="24"/>
          <w:lang w:bidi="th-TH"/>
        </w:rPr>
      </w:pPr>
      <w:r w:rsidRPr="00DE3AFC">
        <w:rPr>
          <w:rFonts w:cs="Angsana New"/>
          <w:szCs w:val="24"/>
          <w:lang w:bidi="th-TH"/>
        </w:rPr>
        <w:t>Plant [part]: lateral outline (clearly rounded to clearly triangular) (QN)</w:t>
      </w:r>
    </w:p>
    <w:p w:rsidR="006039CC" w:rsidRDefault="006039CC" w:rsidP="006039CC">
      <w:pPr>
        <w:ind w:left="360"/>
      </w:pPr>
    </w:p>
    <w:p w:rsidR="00D8661B" w:rsidRPr="00DE3AFC" w:rsidRDefault="00D8661B" w:rsidP="006039CC">
      <w:pPr>
        <w:ind w:left="360"/>
      </w:pPr>
    </w:p>
    <w:p w:rsidR="006039CC" w:rsidRPr="00DE3AFC" w:rsidRDefault="006039CC" w:rsidP="006039CC">
      <w:pPr>
        <w:shd w:val="clear" w:color="auto" w:fill="FFFFFF"/>
        <w:ind w:left="360"/>
      </w:pPr>
      <w:r w:rsidRPr="00DE3AFC">
        <w:t xml:space="preserve">Alternative </w:t>
      </w:r>
      <w:proofErr w:type="gramStart"/>
      <w:r w:rsidRPr="00DE3AFC">
        <w:t>2</w:t>
      </w:r>
      <w:proofErr w:type="gramEnd"/>
    </w:p>
    <w:p w:rsidR="006039CC" w:rsidRPr="00DE3AFC" w:rsidRDefault="006039CC" w:rsidP="006039CC">
      <w:pPr>
        <w:ind w:left="1701" w:hanging="1134"/>
        <w:jc w:val="left"/>
      </w:pPr>
      <w:r w:rsidRPr="00DE3AFC">
        <w:t xml:space="preserve">Plant [part]:  shape (broad ovate (1); medium ovate (2); medium </w:t>
      </w:r>
      <w:proofErr w:type="spellStart"/>
      <w:r w:rsidRPr="00DE3AFC">
        <w:t>trullate</w:t>
      </w:r>
      <w:proofErr w:type="spellEnd"/>
      <w:r w:rsidRPr="00DE3AFC">
        <w:t xml:space="preserve"> (3); narrow ovate (4);  narrow </w:t>
      </w:r>
      <w:proofErr w:type="spellStart"/>
      <w:r w:rsidRPr="00DE3AFC">
        <w:t>trullate</w:t>
      </w:r>
      <w:proofErr w:type="spellEnd"/>
      <w:r w:rsidRPr="00DE3AFC">
        <w:t> (5)) (PQ)</w:t>
      </w:r>
    </w:p>
    <w:p w:rsidR="006039CC" w:rsidRPr="00DE3AFC" w:rsidRDefault="006039CC" w:rsidP="006039CC">
      <w:pPr>
        <w:shd w:val="clear" w:color="auto" w:fill="FFFFFF"/>
        <w:ind w:left="360"/>
      </w:pPr>
    </w:p>
    <w:p w:rsidR="006039CC" w:rsidRPr="00DE3AFC" w:rsidRDefault="006039CC" w:rsidP="006039CC">
      <w:pPr>
        <w:shd w:val="clear" w:color="auto" w:fill="FFFFFF"/>
        <w:ind w:left="562"/>
        <w:rPr>
          <w:rFonts w:cs="Angsana New"/>
          <w:szCs w:val="24"/>
          <w:lang w:bidi="th-TH"/>
        </w:rPr>
      </w:pPr>
      <w:proofErr w:type="gramStart"/>
      <w:r w:rsidRPr="00DE3AFC">
        <w:rPr>
          <w:rFonts w:cs="Angsana New"/>
          <w:szCs w:val="24"/>
          <w:lang w:bidi="th-TH"/>
        </w:rPr>
        <w:t>with</w:t>
      </w:r>
      <w:proofErr w:type="gramEnd"/>
      <w:r w:rsidRPr="00DE3AFC">
        <w:rPr>
          <w:rFonts w:cs="Angsana New"/>
          <w:szCs w:val="24"/>
          <w:lang w:bidi="th-TH"/>
        </w:rPr>
        <w:t xml:space="preserve"> the following illustration:</w:t>
      </w:r>
    </w:p>
    <w:p w:rsidR="006039CC" w:rsidRPr="00DE3AFC" w:rsidRDefault="006039CC" w:rsidP="006039CC">
      <w:pPr>
        <w:jc w:val="center"/>
        <w:rPr>
          <w:i/>
        </w:rPr>
      </w:pPr>
      <w:r w:rsidRPr="00DE3AFC">
        <w:rPr>
          <w:noProof/>
        </w:rPr>
        <w:drawing>
          <wp:inline distT="0" distB="0" distL="0" distR="0" wp14:anchorId="3871D2D6" wp14:editId="01B228C6">
            <wp:extent cx="4682735" cy="2801721"/>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23511" cy="2826118"/>
                    </a:xfrm>
                    <a:prstGeom prst="rect">
                      <a:avLst/>
                    </a:prstGeom>
                  </pic:spPr>
                </pic:pic>
              </a:graphicData>
            </a:graphic>
          </wp:inline>
        </w:drawing>
      </w:r>
    </w:p>
    <w:p w:rsidR="006039CC" w:rsidRPr="00DE3AFC" w:rsidRDefault="006039CC" w:rsidP="006039CC">
      <w:pPr>
        <w:rPr>
          <w:i/>
        </w:rPr>
      </w:pPr>
    </w:p>
    <w:p w:rsidR="006039CC" w:rsidRDefault="006039CC" w:rsidP="00066B42">
      <w:pPr>
        <w:jc w:val="right"/>
        <w:rPr>
          <w:noProof/>
        </w:rPr>
      </w:pPr>
    </w:p>
    <w:p w:rsidR="006039CC" w:rsidRDefault="006039CC" w:rsidP="00066B42">
      <w:pPr>
        <w:jc w:val="right"/>
        <w:rPr>
          <w:noProof/>
        </w:rPr>
      </w:pPr>
    </w:p>
    <w:p w:rsidR="006039CC" w:rsidRDefault="006039CC" w:rsidP="00066B42">
      <w:pPr>
        <w:jc w:val="right"/>
        <w:rPr>
          <w:noProof/>
        </w:rPr>
      </w:pPr>
    </w:p>
    <w:p w:rsidR="006039CC" w:rsidRDefault="005A4183" w:rsidP="00066B42">
      <w:pPr>
        <w:jc w:val="right"/>
        <w:rPr>
          <w:noProof/>
        </w:rPr>
      </w:pPr>
      <w:r>
        <w:rPr>
          <w:noProof/>
        </w:rPr>
        <w:t>[End of Annex IV and of document]</w:t>
      </w:r>
    </w:p>
    <w:sectPr w:rsidR="006039CC" w:rsidSect="00644269">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D91" w:rsidRDefault="00DA1D91" w:rsidP="006655D3">
      <w:r>
        <w:separator/>
      </w:r>
    </w:p>
    <w:p w:rsidR="00DA1D91" w:rsidRDefault="00DA1D91" w:rsidP="006655D3"/>
    <w:p w:rsidR="00DA1D91" w:rsidRDefault="00DA1D91" w:rsidP="006655D3"/>
  </w:endnote>
  <w:endnote w:type="continuationSeparator" w:id="0">
    <w:p w:rsidR="00DA1D91" w:rsidRDefault="00DA1D91" w:rsidP="006655D3">
      <w:r>
        <w:separator/>
      </w:r>
    </w:p>
    <w:p w:rsidR="00DA1D91" w:rsidRPr="00294751" w:rsidRDefault="00DA1D91">
      <w:pPr>
        <w:pStyle w:val="Footer"/>
        <w:spacing w:after="60"/>
        <w:rPr>
          <w:sz w:val="18"/>
          <w:lang w:val="fr-FR"/>
        </w:rPr>
      </w:pPr>
      <w:r w:rsidRPr="00294751">
        <w:rPr>
          <w:sz w:val="18"/>
          <w:lang w:val="fr-FR"/>
        </w:rPr>
        <w:t>[Suite de la note de la page précédente]</w:t>
      </w:r>
    </w:p>
    <w:p w:rsidR="00DA1D91" w:rsidRPr="00294751" w:rsidRDefault="00DA1D91" w:rsidP="006655D3">
      <w:pPr>
        <w:rPr>
          <w:lang w:val="fr-FR"/>
        </w:rPr>
      </w:pPr>
    </w:p>
    <w:p w:rsidR="00DA1D91" w:rsidRPr="00294751" w:rsidRDefault="00DA1D91" w:rsidP="006655D3">
      <w:pPr>
        <w:rPr>
          <w:lang w:val="fr-FR"/>
        </w:rPr>
      </w:pPr>
    </w:p>
  </w:endnote>
  <w:endnote w:type="continuationNotice" w:id="1">
    <w:p w:rsidR="00DA1D91" w:rsidRPr="00294751" w:rsidRDefault="00DA1D91" w:rsidP="006655D3">
      <w:pPr>
        <w:rPr>
          <w:lang w:val="fr-FR"/>
        </w:rPr>
      </w:pPr>
      <w:r w:rsidRPr="00294751">
        <w:rPr>
          <w:lang w:val="fr-FR"/>
        </w:rPr>
        <w:t>[Suite de la note page suivante]</w:t>
      </w:r>
    </w:p>
    <w:p w:rsidR="00DA1D91" w:rsidRPr="00294751" w:rsidRDefault="00DA1D91" w:rsidP="006655D3">
      <w:pPr>
        <w:rPr>
          <w:lang w:val="fr-FR"/>
        </w:rPr>
      </w:pPr>
    </w:p>
    <w:p w:rsidR="00DA1D91" w:rsidRPr="00294751" w:rsidRDefault="00DA1D9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D91" w:rsidRDefault="00DA1D91" w:rsidP="006655D3">
      <w:r>
        <w:separator/>
      </w:r>
    </w:p>
  </w:footnote>
  <w:footnote w:type="continuationSeparator" w:id="0">
    <w:p w:rsidR="00DA1D91" w:rsidRDefault="00DA1D91" w:rsidP="006655D3">
      <w:r>
        <w:separator/>
      </w:r>
    </w:p>
  </w:footnote>
  <w:footnote w:type="continuationNotice" w:id="1">
    <w:p w:rsidR="00DA1D91" w:rsidRPr="00AB530F" w:rsidRDefault="00DA1D9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91" w:rsidRPr="00C5280D" w:rsidRDefault="00DA1D91" w:rsidP="00EB048E">
    <w:pPr>
      <w:pStyle w:val="Header"/>
      <w:rPr>
        <w:rStyle w:val="PageNumber"/>
        <w:lang w:val="en-US"/>
      </w:rPr>
    </w:pPr>
    <w:r>
      <w:rPr>
        <w:lang w:val="en-US"/>
      </w:rPr>
      <w:t>TWP</w:t>
    </w:r>
    <w:r w:rsidRPr="004F258F">
      <w:rPr>
        <w:lang w:val="en-US"/>
      </w:rPr>
      <w:t>/</w:t>
    </w:r>
    <w:r>
      <w:rPr>
        <w:lang w:val="en-US"/>
      </w:rPr>
      <w:t>3</w:t>
    </w:r>
    <w:r w:rsidRPr="004F258F">
      <w:rPr>
        <w:lang w:val="en-US"/>
      </w:rPr>
      <w:t>/</w:t>
    </w:r>
    <w:r>
      <w:rPr>
        <w:lang w:val="en-US"/>
      </w:rPr>
      <w:t>13</w:t>
    </w:r>
  </w:p>
  <w:p w:rsidR="00DA1D91" w:rsidRPr="00C5280D" w:rsidRDefault="00DA1D9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43D0">
      <w:rPr>
        <w:rStyle w:val="PageNumber"/>
        <w:noProof/>
        <w:lang w:val="en-US"/>
      </w:rPr>
      <w:t>4</w:t>
    </w:r>
    <w:r w:rsidRPr="00C5280D">
      <w:rPr>
        <w:rStyle w:val="PageNumber"/>
        <w:lang w:val="en-US"/>
      </w:rPr>
      <w:fldChar w:fldCharType="end"/>
    </w:r>
  </w:p>
  <w:p w:rsidR="00DA1D91" w:rsidRPr="00C5280D" w:rsidRDefault="00DA1D9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91" w:rsidRPr="00C5280D" w:rsidRDefault="00DA1D91" w:rsidP="00EB048E">
    <w:pPr>
      <w:pStyle w:val="Header"/>
      <w:rPr>
        <w:rStyle w:val="PageNumber"/>
        <w:lang w:val="en-US"/>
      </w:rPr>
    </w:pPr>
    <w:r>
      <w:rPr>
        <w:rStyle w:val="PageNumber"/>
        <w:lang w:val="en-US"/>
      </w:rPr>
      <w:t>TWP/3/13</w:t>
    </w:r>
  </w:p>
  <w:p w:rsidR="00DA1D91" w:rsidRPr="00C5280D" w:rsidRDefault="00DA1D91"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DA1D91" w:rsidRPr="00C5280D" w:rsidRDefault="00DA1D91" w:rsidP="006655D3"/>
  <w:p w:rsidR="00DA1D91" w:rsidRDefault="00DA1D9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91" w:rsidRPr="00C5280D" w:rsidRDefault="00DA1D91" w:rsidP="00396351">
    <w:pPr>
      <w:pStyle w:val="Header"/>
      <w:rPr>
        <w:rStyle w:val="PageNumber"/>
        <w:lang w:val="en-US"/>
      </w:rPr>
    </w:pPr>
    <w:r>
      <w:rPr>
        <w:lang w:val="en-US"/>
      </w:rPr>
      <w:t>TWP</w:t>
    </w:r>
    <w:r w:rsidRPr="004F258F">
      <w:rPr>
        <w:lang w:val="en-US"/>
      </w:rPr>
      <w:t>/</w:t>
    </w:r>
    <w:r>
      <w:rPr>
        <w:lang w:val="en-US"/>
      </w:rPr>
      <w:t>3</w:t>
    </w:r>
    <w:r w:rsidRPr="004F258F">
      <w:rPr>
        <w:lang w:val="en-US"/>
      </w:rPr>
      <w:t>/</w:t>
    </w:r>
    <w:r>
      <w:rPr>
        <w:lang w:val="en-US"/>
      </w:rPr>
      <w:t>13</w:t>
    </w:r>
  </w:p>
  <w:p w:rsidR="00DA1D91" w:rsidRDefault="00DA1D91" w:rsidP="00396351">
    <w:pPr>
      <w:pStyle w:val="Header"/>
      <w:rPr>
        <w:lang w:val="en-US"/>
      </w:rPr>
    </w:pPr>
  </w:p>
  <w:p w:rsidR="00DA1D91" w:rsidRPr="00C5280D" w:rsidRDefault="00DA1D91" w:rsidP="00396351">
    <w:pPr>
      <w:pStyle w:val="Header"/>
      <w:rPr>
        <w:lang w:val="en-US"/>
      </w:rPr>
    </w:pPr>
    <w:r>
      <w:rPr>
        <w:lang w:val="en-US"/>
      </w:rPr>
      <w:t>ANNEX I</w:t>
    </w:r>
  </w:p>
  <w:p w:rsidR="00DA1D91" w:rsidRDefault="00DA1D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91" w:rsidRPr="00C5280D" w:rsidRDefault="00DA1D91" w:rsidP="00EB048E">
    <w:pPr>
      <w:pStyle w:val="Header"/>
      <w:rPr>
        <w:rStyle w:val="PageNumber"/>
        <w:lang w:val="en-US"/>
      </w:rPr>
    </w:pPr>
    <w:r>
      <w:rPr>
        <w:rStyle w:val="PageNumber"/>
        <w:lang w:val="en-US"/>
      </w:rPr>
      <w:t>TWP/3/13</w:t>
    </w:r>
  </w:p>
  <w:p w:rsidR="00DA1D91" w:rsidRPr="00C5280D" w:rsidRDefault="00DA1D91"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43D0">
      <w:rPr>
        <w:rStyle w:val="PageNumber"/>
        <w:noProof/>
        <w:lang w:val="en-US"/>
      </w:rPr>
      <w:t>2</w:t>
    </w:r>
    <w:r w:rsidRPr="00C5280D">
      <w:rPr>
        <w:rStyle w:val="PageNumber"/>
        <w:lang w:val="en-US"/>
      </w:rPr>
      <w:fldChar w:fldCharType="end"/>
    </w:r>
  </w:p>
  <w:p w:rsidR="00DA1D91" w:rsidRDefault="00DA1D9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91" w:rsidRPr="00C5280D" w:rsidRDefault="00DA1D91" w:rsidP="00396351">
    <w:pPr>
      <w:pStyle w:val="Header"/>
      <w:rPr>
        <w:rStyle w:val="PageNumber"/>
        <w:lang w:val="en-US"/>
      </w:rPr>
    </w:pPr>
    <w:r>
      <w:rPr>
        <w:lang w:val="en-US"/>
      </w:rPr>
      <w:t>TWP</w:t>
    </w:r>
    <w:r w:rsidRPr="004F258F">
      <w:rPr>
        <w:lang w:val="en-US"/>
      </w:rPr>
      <w:t>/</w:t>
    </w:r>
    <w:r>
      <w:rPr>
        <w:lang w:val="en-US"/>
      </w:rPr>
      <w:t>3</w:t>
    </w:r>
    <w:r w:rsidRPr="004F258F">
      <w:rPr>
        <w:lang w:val="en-US"/>
      </w:rPr>
      <w:t>/</w:t>
    </w:r>
    <w:r>
      <w:rPr>
        <w:lang w:val="en-US"/>
      </w:rPr>
      <w:t>13</w:t>
    </w:r>
  </w:p>
  <w:p w:rsidR="00DA1D91" w:rsidRDefault="00DA1D91" w:rsidP="00396351">
    <w:pPr>
      <w:pStyle w:val="Header"/>
      <w:rPr>
        <w:lang w:val="en-US"/>
      </w:rPr>
    </w:pPr>
  </w:p>
  <w:p w:rsidR="00DA1D91" w:rsidRPr="00C5280D" w:rsidRDefault="00DA1D91" w:rsidP="00396351">
    <w:pPr>
      <w:pStyle w:val="Header"/>
      <w:rPr>
        <w:lang w:val="en-US"/>
      </w:rPr>
    </w:pPr>
    <w:r>
      <w:rPr>
        <w:lang w:val="en-US"/>
      </w:rPr>
      <w:t>ANNEX II</w:t>
    </w:r>
  </w:p>
  <w:p w:rsidR="00DA1D91" w:rsidRDefault="00DA1D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91" w:rsidRPr="00C5280D" w:rsidRDefault="00DA1D91" w:rsidP="00396351">
    <w:pPr>
      <w:pStyle w:val="Header"/>
      <w:rPr>
        <w:rStyle w:val="PageNumber"/>
        <w:lang w:val="en-US"/>
      </w:rPr>
    </w:pPr>
    <w:r>
      <w:rPr>
        <w:lang w:val="en-US"/>
      </w:rPr>
      <w:t>TWP</w:t>
    </w:r>
    <w:r w:rsidRPr="004F258F">
      <w:rPr>
        <w:lang w:val="en-US"/>
      </w:rPr>
      <w:t>/</w:t>
    </w:r>
    <w:r>
      <w:rPr>
        <w:lang w:val="en-US"/>
      </w:rPr>
      <w:t>3</w:t>
    </w:r>
    <w:r w:rsidRPr="004F258F">
      <w:rPr>
        <w:lang w:val="en-US"/>
      </w:rPr>
      <w:t>/</w:t>
    </w:r>
    <w:r>
      <w:rPr>
        <w:lang w:val="en-US"/>
      </w:rPr>
      <w:t>13</w:t>
    </w:r>
  </w:p>
  <w:p w:rsidR="00DA1D91" w:rsidRDefault="00DA1D91" w:rsidP="00396351">
    <w:pPr>
      <w:pStyle w:val="Header"/>
      <w:rPr>
        <w:lang w:val="en-US"/>
      </w:rPr>
    </w:pPr>
  </w:p>
  <w:p w:rsidR="00DA1D91" w:rsidRPr="00C5280D" w:rsidRDefault="00DA1D91" w:rsidP="00396351">
    <w:pPr>
      <w:pStyle w:val="Header"/>
      <w:rPr>
        <w:lang w:val="en-US"/>
      </w:rPr>
    </w:pPr>
    <w:r>
      <w:rPr>
        <w:lang w:val="en-US"/>
      </w:rPr>
      <w:t>ANNEX III</w:t>
    </w:r>
  </w:p>
  <w:p w:rsidR="00DA1D91" w:rsidRDefault="00DA1D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91" w:rsidRPr="00C5280D" w:rsidRDefault="00DA1D91" w:rsidP="00EB048E">
    <w:pPr>
      <w:pStyle w:val="Header"/>
      <w:rPr>
        <w:rStyle w:val="PageNumber"/>
        <w:lang w:val="en-US"/>
      </w:rPr>
    </w:pPr>
    <w:r>
      <w:rPr>
        <w:rStyle w:val="PageNumber"/>
        <w:lang w:val="en-US"/>
      </w:rPr>
      <w:t>TWP/3/13</w:t>
    </w:r>
  </w:p>
  <w:p w:rsidR="00DA1D91" w:rsidRPr="00C5280D" w:rsidRDefault="00DA1D91"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43D0">
      <w:rPr>
        <w:rStyle w:val="PageNumber"/>
        <w:noProof/>
        <w:lang w:val="en-US"/>
      </w:rPr>
      <w:t>2</w:t>
    </w:r>
    <w:r w:rsidRPr="00C5280D">
      <w:rPr>
        <w:rStyle w:val="PageNumber"/>
        <w:lang w:val="en-US"/>
      </w:rPr>
      <w:fldChar w:fldCharType="end"/>
    </w:r>
  </w:p>
  <w:p w:rsidR="00DA1D91" w:rsidRDefault="00DA1D91"/>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91" w:rsidRPr="00C5280D" w:rsidRDefault="00DA1D91" w:rsidP="00396351">
    <w:pPr>
      <w:pStyle w:val="Header"/>
      <w:rPr>
        <w:rStyle w:val="PageNumber"/>
        <w:lang w:val="en-US"/>
      </w:rPr>
    </w:pPr>
    <w:r>
      <w:rPr>
        <w:lang w:val="en-US"/>
      </w:rPr>
      <w:t>TWP</w:t>
    </w:r>
    <w:r w:rsidRPr="004F258F">
      <w:rPr>
        <w:lang w:val="en-US"/>
      </w:rPr>
      <w:t>/</w:t>
    </w:r>
    <w:r>
      <w:rPr>
        <w:lang w:val="en-US"/>
      </w:rPr>
      <w:t>3</w:t>
    </w:r>
    <w:r w:rsidRPr="004F258F">
      <w:rPr>
        <w:lang w:val="en-US"/>
      </w:rPr>
      <w:t>/</w:t>
    </w:r>
    <w:r>
      <w:rPr>
        <w:lang w:val="en-US"/>
      </w:rPr>
      <w:t>13</w:t>
    </w:r>
  </w:p>
  <w:p w:rsidR="00DA1D91" w:rsidRDefault="00DA1D91" w:rsidP="00396351">
    <w:pPr>
      <w:pStyle w:val="Header"/>
      <w:rPr>
        <w:lang w:val="en-US"/>
      </w:rPr>
    </w:pPr>
  </w:p>
  <w:p w:rsidR="00DA1D91" w:rsidRPr="00C5280D" w:rsidRDefault="00DA1D91" w:rsidP="00396351">
    <w:pPr>
      <w:pStyle w:val="Header"/>
      <w:rPr>
        <w:lang w:val="en-US"/>
      </w:rPr>
    </w:pPr>
    <w:r>
      <w:rPr>
        <w:lang w:val="en-US"/>
      </w:rPr>
      <w:t>ANNEX IV</w:t>
    </w:r>
  </w:p>
  <w:p w:rsidR="00DA1D91" w:rsidRDefault="00DA1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793F"/>
    <w:multiLevelType w:val="hybridMultilevel"/>
    <w:tmpl w:val="CB4A5EEE"/>
    <w:lvl w:ilvl="0" w:tplc="4CC44B2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2DF67F3C"/>
    <w:multiLevelType w:val="multilevel"/>
    <w:tmpl w:val="04B4C93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785F6C"/>
    <w:multiLevelType w:val="hybridMultilevel"/>
    <w:tmpl w:val="F30E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C6221"/>
    <w:multiLevelType w:val="hybridMultilevel"/>
    <w:tmpl w:val="ABB6F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875AE7"/>
    <w:multiLevelType w:val="hybridMultilevel"/>
    <w:tmpl w:val="3894D25C"/>
    <w:lvl w:ilvl="0" w:tplc="86FCE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EB"/>
    <w:rsid w:val="00010CF3"/>
    <w:rsid w:val="00011E27"/>
    <w:rsid w:val="00012113"/>
    <w:rsid w:val="000148BC"/>
    <w:rsid w:val="00024AB8"/>
    <w:rsid w:val="00030854"/>
    <w:rsid w:val="00036028"/>
    <w:rsid w:val="00044642"/>
    <w:rsid w:val="000446B9"/>
    <w:rsid w:val="00047E21"/>
    <w:rsid w:val="00050E16"/>
    <w:rsid w:val="00066B42"/>
    <w:rsid w:val="00085505"/>
    <w:rsid w:val="000B73AF"/>
    <w:rsid w:val="000C4E25"/>
    <w:rsid w:val="000C7021"/>
    <w:rsid w:val="000C71FF"/>
    <w:rsid w:val="000D60A0"/>
    <w:rsid w:val="000D6BBC"/>
    <w:rsid w:val="000D7780"/>
    <w:rsid w:val="000E441F"/>
    <w:rsid w:val="000E636A"/>
    <w:rsid w:val="000F2643"/>
    <w:rsid w:val="000F2F11"/>
    <w:rsid w:val="00105929"/>
    <w:rsid w:val="00110C36"/>
    <w:rsid w:val="001131D5"/>
    <w:rsid w:val="001132F2"/>
    <w:rsid w:val="00120911"/>
    <w:rsid w:val="001325D5"/>
    <w:rsid w:val="00141DB8"/>
    <w:rsid w:val="001449AC"/>
    <w:rsid w:val="00147CB7"/>
    <w:rsid w:val="00152FD9"/>
    <w:rsid w:val="00172084"/>
    <w:rsid w:val="00172E7E"/>
    <w:rsid w:val="0017474A"/>
    <w:rsid w:val="001758C6"/>
    <w:rsid w:val="00182B99"/>
    <w:rsid w:val="001B1F7A"/>
    <w:rsid w:val="001B2FD2"/>
    <w:rsid w:val="001B3EB7"/>
    <w:rsid w:val="001D6303"/>
    <w:rsid w:val="0021332C"/>
    <w:rsid w:val="00213982"/>
    <w:rsid w:val="0021576F"/>
    <w:rsid w:val="00221E79"/>
    <w:rsid w:val="00222BDF"/>
    <w:rsid w:val="0024416D"/>
    <w:rsid w:val="00251F43"/>
    <w:rsid w:val="002547AD"/>
    <w:rsid w:val="00266E13"/>
    <w:rsid w:val="00271911"/>
    <w:rsid w:val="002800A0"/>
    <w:rsid w:val="002801B3"/>
    <w:rsid w:val="00281060"/>
    <w:rsid w:val="00284CDF"/>
    <w:rsid w:val="002940E8"/>
    <w:rsid w:val="00294751"/>
    <w:rsid w:val="002A043C"/>
    <w:rsid w:val="002A1FE8"/>
    <w:rsid w:val="002A5198"/>
    <w:rsid w:val="002A6E50"/>
    <w:rsid w:val="002B4298"/>
    <w:rsid w:val="002C256A"/>
    <w:rsid w:val="002C2660"/>
    <w:rsid w:val="002C4DBB"/>
    <w:rsid w:val="002E6E41"/>
    <w:rsid w:val="00300EAB"/>
    <w:rsid w:val="00305A7F"/>
    <w:rsid w:val="003152FE"/>
    <w:rsid w:val="00327436"/>
    <w:rsid w:val="00335389"/>
    <w:rsid w:val="00344BD6"/>
    <w:rsid w:val="0035528D"/>
    <w:rsid w:val="00361821"/>
    <w:rsid w:val="00361E9E"/>
    <w:rsid w:val="00370BF0"/>
    <w:rsid w:val="00382953"/>
    <w:rsid w:val="00384B59"/>
    <w:rsid w:val="00396351"/>
    <w:rsid w:val="003A629F"/>
    <w:rsid w:val="003C314A"/>
    <w:rsid w:val="003C7FBE"/>
    <w:rsid w:val="003D227C"/>
    <w:rsid w:val="003D2B4D"/>
    <w:rsid w:val="003E41DB"/>
    <w:rsid w:val="003F3C2D"/>
    <w:rsid w:val="00406A76"/>
    <w:rsid w:val="00412BEC"/>
    <w:rsid w:val="00444A88"/>
    <w:rsid w:val="0046287C"/>
    <w:rsid w:val="00474DA4"/>
    <w:rsid w:val="00476B4D"/>
    <w:rsid w:val="004805FA"/>
    <w:rsid w:val="00487192"/>
    <w:rsid w:val="004935D2"/>
    <w:rsid w:val="0049744F"/>
    <w:rsid w:val="004B1215"/>
    <w:rsid w:val="004C39C2"/>
    <w:rsid w:val="004D047D"/>
    <w:rsid w:val="004F1E9E"/>
    <w:rsid w:val="004F305A"/>
    <w:rsid w:val="00512164"/>
    <w:rsid w:val="00515830"/>
    <w:rsid w:val="00520297"/>
    <w:rsid w:val="00524CC2"/>
    <w:rsid w:val="0053022D"/>
    <w:rsid w:val="005338F9"/>
    <w:rsid w:val="0054281C"/>
    <w:rsid w:val="00544581"/>
    <w:rsid w:val="0055268D"/>
    <w:rsid w:val="00554FCD"/>
    <w:rsid w:val="00562FEC"/>
    <w:rsid w:val="00576BE4"/>
    <w:rsid w:val="00590081"/>
    <w:rsid w:val="005A400A"/>
    <w:rsid w:val="005A4183"/>
    <w:rsid w:val="005B461E"/>
    <w:rsid w:val="005F7B92"/>
    <w:rsid w:val="006039CC"/>
    <w:rsid w:val="00603DEB"/>
    <w:rsid w:val="00612379"/>
    <w:rsid w:val="006153B6"/>
    <w:rsid w:val="0061555F"/>
    <w:rsid w:val="00621302"/>
    <w:rsid w:val="00634DF3"/>
    <w:rsid w:val="00636CA6"/>
    <w:rsid w:val="00641200"/>
    <w:rsid w:val="00641C43"/>
    <w:rsid w:val="00644269"/>
    <w:rsid w:val="0066142F"/>
    <w:rsid w:val="006655D3"/>
    <w:rsid w:val="00667404"/>
    <w:rsid w:val="006756EA"/>
    <w:rsid w:val="00677A17"/>
    <w:rsid w:val="00687EB4"/>
    <w:rsid w:val="0069357B"/>
    <w:rsid w:val="00695C56"/>
    <w:rsid w:val="00696A7E"/>
    <w:rsid w:val="006A5CDE"/>
    <w:rsid w:val="006A644A"/>
    <w:rsid w:val="006B17D2"/>
    <w:rsid w:val="006C224E"/>
    <w:rsid w:val="006D780A"/>
    <w:rsid w:val="006F203B"/>
    <w:rsid w:val="00700F6B"/>
    <w:rsid w:val="0071271E"/>
    <w:rsid w:val="00732DEC"/>
    <w:rsid w:val="00735BD5"/>
    <w:rsid w:val="007472B2"/>
    <w:rsid w:val="00751613"/>
    <w:rsid w:val="00752674"/>
    <w:rsid w:val="007556F6"/>
    <w:rsid w:val="00760EEF"/>
    <w:rsid w:val="00767F14"/>
    <w:rsid w:val="00773C05"/>
    <w:rsid w:val="0077443E"/>
    <w:rsid w:val="00777EE5"/>
    <w:rsid w:val="00784836"/>
    <w:rsid w:val="0079023E"/>
    <w:rsid w:val="007A2854"/>
    <w:rsid w:val="007C1D92"/>
    <w:rsid w:val="007C45DE"/>
    <w:rsid w:val="007C4CB9"/>
    <w:rsid w:val="007D0B9D"/>
    <w:rsid w:val="007D19B0"/>
    <w:rsid w:val="007D7BA0"/>
    <w:rsid w:val="007E6E0A"/>
    <w:rsid w:val="007F498F"/>
    <w:rsid w:val="0080679D"/>
    <w:rsid w:val="008108B0"/>
    <w:rsid w:val="00811B20"/>
    <w:rsid w:val="008211B5"/>
    <w:rsid w:val="0082296E"/>
    <w:rsid w:val="00824099"/>
    <w:rsid w:val="00835B95"/>
    <w:rsid w:val="00841A82"/>
    <w:rsid w:val="00846D7C"/>
    <w:rsid w:val="008472F5"/>
    <w:rsid w:val="00860A1D"/>
    <w:rsid w:val="00867AC1"/>
    <w:rsid w:val="0087152E"/>
    <w:rsid w:val="00890DF8"/>
    <w:rsid w:val="008A743F"/>
    <w:rsid w:val="008C0970"/>
    <w:rsid w:val="008D0BC5"/>
    <w:rsid w:val="008D2CF7"/>
    <w:rsid w:val="008F3CB1"/>
    <w:rsid w:val="008F5632"/>
    <w:rsid w:val="00900C26"/>
    <w:rsid w:val="0090197F"/>
    <w:rsid w:val="009042D6"/>
    <w:rsid w:val="00906DDC"/>
    <w:rsid w:val="009114F0"/>
    <w:rsid w:val="00916D9E"/>
    <w:rsid w:val="00923B63"/>
    <w:rsid w:val="00925551"/>
    <w:rsid w:val="00934E09"/>
    <w:rsid w:val="00936253"/>
    <w:rsid w:val="00940D46"/>
    <w:rsid w:val="00952DD4"/>
    <w:rsid w:val="00965AE7"/>
    <w:rsid w:val="00970FED"/>
    <w:rsid w:val="00981026"/>
    <w:rsid w:val="00992D82"/>
    <w:rsid w:val="00997029"/>
    <w:rsid w:val="009A5D98"/>
    <w:rsid w:val="009A7339"/>
    <w:rsid w:val="009B440E"/>
    <w:rsid w:val="009B66F7"/>
    <w:rsid w:val="009D03D4"/>
    <w:rsid w:val="009D690D"/>
    <w:rsid w:val="009E4ADB"/>
    <w:rsid w:val="009E4BF9"/>
    <w:rsid w:val="009E65B6"/>
    <w:rsid w:val="009F3CC5"/>
    <w:rsid w:val="00A24C10"/>
    <w:rsid w:val="00A42AC3"/>
    <w:rsid w:val="00A430CF"/>
    <w:rsid w:val="00A54309"/>
    <w:rsid w:val="00A647E8"/>
    <w:rsid w:val="00A834C9"/>
    <w:rsid w:val="00AB2B93"/>
    <w:rsid w:val="00AB530F"/>
    <w:rsid w:val="00AB7E5B"/>
    <w:rsid w:val="00AC2883"/>
    <w:rsid w:val="00AD5340"/>
    <w:rsid w:val="00AD5FB2"/>
    <w:rsid w:val="00AE0EF1"/>
    <w:rsid w:val="00AE2937"/>
    <w:rsid w:val="00AF43D0"/>
    <w:rsid w:val="00AF5CDA"/>
    <w:rsid w:val="00B05AFE"/>
    <w:rsid w:val="00B07301"/>
    <w:rsid w:val="00B11F3E"/>
    <w:rsid w:val="00B224DE"/>
    <w:rsid w:val="00B324D4"/>
    <w:rsid w:val="00B3799B"/>
    <w:rsid w:val="00B46575"/>
    <w:rsid w:val="00B54B81"/>
    <w:rsid w:val="00B61777"/>
    <w:rsid w:val="00B84BBD"/>
    <w:rsid w:val="00B87BE9"/>
    <w:rsid w:val="00BA43FB"/>
    <w:rsid w:val="00BB78F8"/>
    <w:rsid w:val="00BC127D"/>
    <w:rsid w:val="00BC1FE6"/>
    <w:rsid w:val="00BE384A"/>
    <w:rsid w:val="00BF43A6"/>
    <w:rsid w:val="00BF6982"/>
    <w:rsid w:val="00C061B6"/>
    <w:rsid w:val="00C22DEA"/>
    <w:rsid w:val="00C2446C"/>
    <w:rsid w:val="00C36AE5"/>
    <w:rsid w:val="00C41F17"/>
    <w:rsid w:val="00C438E8"/>
    <w:rsid w:val="00C527FA"/>
    <w:rsid w:val="00C5280D"/>
    <w:rsid w:val="00C53EB3"/>
    <w:rsid w:val="00C577B0"/>
    <w:rsid w:val="00C5791C"/>
    <w:rsid w:val="00C66290"/>
    <w:rsid w:val="00C72B7A"/>
    <w:rsid w:val="00C77B97"/>
    <w:rsid w:val="00C863D6"/>
    <w:rsid w:val="00C973F2"/>
    <w:rsid w:val="00CA304C"/>
    <w:rsid w:val="00CA4D33"/>
    <w:rsid w:val="00CA6C4E"/>
    <w:rsid w:val="00CA774A"/>
    <w:rsid w:val="00CC11B0"/>
    <w:rsid w:val="00CC2841"/>
    <w:rsid w:val="00CE425B"/>
    <w:rsid w:val="00CF042D"/>
    <w:rsid w:val="00CF1330"/>
    <w:rsid w:val="00CF7E36"/>
    <w:rsid w:val="00D01D7C"/>
    <w:rsid w:val="00D02621"/>
    <w:rsid w:val="00D12301"/>
    <w:rsid w:val="00D175D3"/>
    <w:rsid w:val="00D1783B"/>
    <w:rsid w:val="00D21A33"/>
    <w:rsid w:val="00D30F65"/>
    <w:rsid w:val="00D3708D"/>
    <w:rsid w:val="00D40426"/>
    <w:rsid w:val="00D51651"/>
    <w:rsid w:val="00D57C96"/>
    <w:rsid w:val="00D57D18"/>
    <w:rsid w:val="00D8661B"/>
    <w:rsid w:val="00D91203"/>
    <w:rsid w:val="00D95174"/>
    <w:rsid w:val="00D96057"/>
    <w:rsid w:val="00DA1712"/>
    <w:rsid w:val="00DA1D91"/>
    <w:rsid w:val="00DA4499"/>
    <w:rsid w:val="00DA4973"/>
    <w:rsid w:val="00DA6F36"/>
    <w:rsid w:val="00DB18EC"/>
    <w:rsid w:val="00DB1F83"/>
    <w:rsid w:val="00DB596E"/>
    <w:rsid w:val="00DB7773"/>
    <w:rsid w:val="00DC00EA"/>
    <w:rsid w:val="00DC3802"/>
    <w:rsid w:val="00DD030F"/>
    <w:rsid w:val="00DD252C"/>
    <w:rsid w:val="00E07D87"/>
    <w:rsid w:val="00E32F7E"/>
    <w:rsid w:val="00E5267B"/>
    <w:rsid w:val="00E70039"/>
    <w:rsid w:val="00E72D49"/>
    <w:rsid w:val="00E7593C"/>
    <w:rsid w:val="00E7678A"/>
    <w:rsid w:val="00E935F1"/>
    <w:rsid w:val="00E94A81"/>
    <w:rsid w:val="00EA1FFB"/>
    <w:rsid w:val="00EA75DB"/>
    <w:rsid w:val="00EB048E"/>
    <w:rsid w:val="00EB27B8"/>
    <w:rsid w:val="00EB4E9C"/>
    <w:rsid w:val="00EC481C"/>
    <w:rsid w:val="00EE1AFA"/>
    <w:rsid w:val="00EE34DF"/>
    <w:rsid w:val="00EF2F89"/>
    <w:rsid w:val="00F03E98"/>
    <w:rsid w:val="00F1237A"/>
    <w:rsid w:val="00F126DF"/>
    <w:rsid w:val="00F22CBD"/>
    <w:rsid w:val="00F272F1"/>
    <w:rsid w:val="00F3446D"/>
    <w:rsid w:val="00F42399"/>
    <w:rsid w:val="00F45372"/>
    <w:rsid w:val="00F54CE9"/>
    <w:rsid w:val="00F560F7"/>
    <w:rsid w:val="00F6334D"/>
    <w:rsid w:val="00F76A11"/>
    <w:rsid w:val="00FA49AB"/>
    <w:rsid w:val="00FA4FCD"/>
    <w:rsid w:val="00FE39C7"/>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24D0238"/>
  <w15:docId w15:val="{845F51C2-AED3-49EE-9DD8-BD10248F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406A76"/>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erChar">
    <w:name w:val="Header Char"/>
    <w:link w:val="Header"/>
    <w:locked/>
    <w:rsid w:val="00C438E8"/>
    <w:rPr>
      <w:rFonts w:ascii="Arial" w:hAnsi="Arial"/>
      <w:lang w:val="fr-FR"/>
    </w:rPr>
  </w:style>
  <w:style w:type="table" w:styleId="TableGrid">
    <w:name w:val="Table Grid"/>
    <w:basedOn w:val="TableNormal"/>
    <w:rsid w:val="00C4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para">
    <w:name w:val="h4para"/>
    <w:basedOn w:val="Normal"/>
    <w:rsid w:val="00923B63"/>
    <w:pPr>
      <w:tabs>
        <w:tab w:val="left" w:pos="993"/>
        <w:tab w:val="left" w:pos="1843"/>
      </w:tabs>
    </w:pPr>
    <w:rPr>
      <w:rFonts w:ascii="Times New Roman" w:hAnsi="Times New Roman"/>
      <w:sz w:val="22"/>
    </w:rPr>
  </w:style>
  <w:style w:type="paragraph" w:styleId="ListParagraph">
    <w:name w:val="List Paragraph"/>
    <w:basedOn w:val="Normal"/>
    <w:uiPriority w:val="34"/>
    <w:qFormat/>
    <w:rsid w:val="00841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3007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TWP/3/</dc:title>
  <dc:creator>REZENDE TAVEIRA Leontino</dc:creator>
  <cp:lastModifiedBy>Romy Oertel</cp:lastModifiedBy>
  <cp:revision>55</cp:revision>
  <cp:lastPrinted>2019-02-08T08:19:00Z</cp:lastPrinted>
  <dcterms:created xsi:type="dcterms:W3CDTF">2019-01-22T13:42:00Z</dcterms:created>
  <dcterms:modified xsi:type="dcterms:W3CDTF">2019-02-08T08:23:00Z</dcterms:modified>
</cp:coreProperties>
</file>