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2D1A00" w:rsidTr="00EB4E9C">
        <w:tc>
          <w:tcPr>
            <w:tcW w:w="6522" w:type="dxa"/>
          </w:tcPr>
          <w:p w:rsidR="00DC3802" w:rsidRPr="002D1A00" w:rsidRDefault="00DC3802" w:rsidP="00AC2883">
            <w:r w:rsidRPr="002D1A00">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2D1A00" w:rsidRDefault="00DC3802" w:rsidP="00AC2883">
            <w:pPr>
              <w:pStyle w:val="Lettrine"/>
            </w:pPr>
            <w:r w:rsidRPr="002D1A00">
              <w:t>E</w:t>
            </w:r>
          </w:p>
        </w:tc>
      </w:tr>
      <w:tr w:rsidR="00DC3802" w:rsidRPr="002D1A00" w:rsidTr="00EB4E9C">
        <w:tc>
          <w:tcPr>
            <w:tcW w:w="6522" w:type="dxa"/>
          </w:tcPr>
          <w:p w:rsidR="00DC3802" w:rsidRPr="002D1A00" w:rsidRDefault="00DC3802" w:rsidP="00AC2883">
            <w:pPr>
              <w:pStyle w:val="upove"/>
            </w:pPr>
            <w:r w:rsidRPr="002D1A00">
              <w:t>International Union for the Protection of New Varieties of Plants</w:t>
            </w:r>
          </w:p>
        </w:tc>
        <w:tc>
          <w:tcPr>
            <w:tcW w:w="3117" w:type="dxa"/>
          </w:tcPr>
          <w:p w:rsidR="00DC3802" w:rsidRPr="002D1A00" w:rsidRDefault="00DC3802" w:rsidP="00DA4973"/>
        </w:tc>
      </w:tr>
    </w:tbl>
    <w:p w:rsidR="00DC3802" w:rsidRPr="002D1A00" w:rsidRDefault="00DC3802" w:rsidP="00DC3802"/>
    <w:p w:rsidR="00DA4973" w:rsidRPr="002D1A00"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2D1A00" w:rsidTr="00EB4E9C">
        <w:tc>
          <w:tcPr>
            <w:tcW w:w="6512" w:type="dxa"/>
          </w:tcPr>
          <w:p w:rsidR="00EB4E9C" w:rsidRPr="002D1A00" w:rsidRDefault="00E70039" w:rsidP="00DA4499">
            <w:pPr>
              <w:pStyle w:val="Sessiontc"/>
            </w:pPr>
            <w:r w:rsidRPr="002D1A00">
              <w:t xml:space="preserve">Technical Working Party for </w:t>
            </w:r>
            <w:r w:rsidR="00EE41AF" w:rsidRPr="002D1A00">
              <w:t>Ornamental Plants and Forest Trees</w:t>
            </w:r>
          </w:p>
          <w:p w:rsidR="00EB4E9C" w:rsidRPr="002D1A00" w:rsidRDefault="00805E12" w:rsidP="00D3603B">
            <w:pPr>
              <w:pStyle w:val="Sessiontcplacedate"/>
              <w:rPr>
                <w:sz w:val="22"/>
              </w:rPr>
            </w:pPr>
            <w:r w:rsidRPr="002D1A00">
              <w:t>Fift</w:t>
            </w:r>
            <w:r w:rsidR="00D3603B" w:rsidRPr="002D1A00">
              <w:t xml:space="preserve">y-First </w:t>
            </w:r>
            <w:r w:rsidR="00EB4E9C" w:rsidRPr="002D1A00">
              <w:t>Session</w:t>
            </w:r>
            <w:r w:rsidR="00EB4E9C" w:rsidRPr="002D1A00">
              <w:br/>
            </w:r>
            <w:r w:rsidR="00D3603B" w:rsidRPr="002D1A00">
              <w:t>Christchurch</w:t>
            </w:r>
            <w:r w:rsidR="00EE41AF" w:rsidRPr="002D1A00">
              <w:t xml:space="preserve">, </w:t>
            </w:r>
            <w:r w:rsidR="00D3603B" w:rsidRPr="002D1A00">
              <w:t>New Zealand</w:t>
            </w:r>
            <w:r w:rsidR="00EB4E9C" w:rsidRPr="002D1A00">
              <w:t xml:space="preserve">, </w:t>
            </w:r>
            <w:r w:rsidR="00D3603B" w:rsidRPr="002D1A00">
              <w:t>February 18</w:t>
            </w:r>
            <w:r w:rsidR="00E70039" w:rsidRPr="002D1A00">
              <w:t xml:space="preserve"> to </w:t>
            </w:r>
            <w:r w:rsidR="00D3603B" w:rsidRPr="002D1A00">
              <w:t>22</w:t>
            </w:r>
            <w:r w:rsidR="00EB4E9C" w:rsidRPr="002D1A00">
              <w:t>, 201</w:t>
            </w:r>
            <w:r w:rsidR="00D3603B" w:rsidRPr="002D1A00">
              <w:t>9</w:t>
            </w:r>
          </w:p>
        </w:tc>
        <w:tc>
          <w:tcPr>
            <w:tcW w:w="3127" w:type="dxa"/>
          </w:tcPr>
          <w:p w:rsidR="00DA4499" w:rsidRPr="002D1A00" w:rsidRDefault="00621302" w:rsidP="003C7FBE">
            <w:pPr>
              <w:pStyle w:val="Doccode"/>
            </w:pPr>
            <w:r w:rsidRPr="002D1A00">
              <w:t>T</w:t>
            </w:r>
            <w:r w:rsidR="00E70039" w:rsidRPr="002D1A00">
              <w:t>W</w:t>
            </w:r>
            <w:r w:rsidR="00EE41AF" w:rsidRPr="002D1A00">
              <w:t>O</w:t>
            </w:r>
            <w:r w:rsidR="00EB4E9C" w:rsidRPr="002D1A00">
              <w:t>/</w:t>
            </w:r>
            <w:r w:rsidR="00805E12" w:rsidRPr="002D1A00">
              <w:t>5</w:t>
            </w:r>
            <w:r w:rsidR="00D3603B" w:rsidRPr="002D1A00">
              <w:t>1</w:t>
            </w:r>
            <w:r w:rsidR="00EB4E9C" w:rsidRPr="002D1A00">
              <w:t>/</w:t>
            </w:r>
            <w:r w:rsidR="00025BB5">
              <w:t>10</w:t>
            </w:r>
          </w:p>
          <w:p w:rsidR="00EB4E9C" w:rsidRPr="002D1A00" w:rsidRDefault="00EB4E9C" w:rsidP="003C7FBE">
            <w:pPr>
              <w:pStyle w:val="Docoriginal"/>
            </w:pPr>
            <w:r w:rsidRPr="002D1A00">
              <w:t>Original:</w:t>
            </w:r>
            <w:r w:rsidRPr="002D1A00">
              <w:rPr>
                <w:b w:val="0"/>
                <w:spacing w:val="0"/>
              </w:rPr>
              <w:t xml:space="preserve">  English</w:t>
            </w:r>
          </w:p>
          <w:p w:rsidR="00EB4E9C" w:rsidRPr="002D1A00" w:rsidRDefault="00EB4E9C" w:rsidP="00806804">
            <w:pPr>
              <w:pStyle w:val="Docoriginal"/>
            </w:pPr>
            <w:r w:rsidRPr="002D1A00">
              <w:t>Date:</w:t>
            </w:r>
            <w:r w:rsidRPr="002D1A00">
              <w:rPr>
                <w:b w:val="0"/>
                <w:spacing w:val="0"/>
              </w:rPr>
              <w:t xml:space="preserve">  </w:t>
            </w:r>
            <w:r w:rsidR="00211100" w:rsidRPr="00274E92">
              <w:rPr>
                <w:b w:val="0"/>
                <w:spacing w:val="0"/>
              </w:rPr>
              <w:t xml:space="preserve">February </w:t>
            </w:r>
            <w:r w:rsidR="00806804" w:rsidRPr="00274E92">
              <w:rPr>
                <w:b w:val="0"/>
                <w:spacing w:val="0"/>
              </w:rPr>
              <w:t>4</w:t>
            </w:r>
            <w:r w:rsidRPr="00274E92">
              <w:rPr>
                <w:b w:val="0"/>
                <w:spacing w:val="0"/>
              </w:rPr>
              <w:t>, 201</w:t>
            </w:r>
            <w:r w:rsidR="00393956" w:rsidRPr="00274E92">
              <w:rPr>
                <w:b w:val="0"/>
                <w:spacing w:val="0"/>
              </w:rPr>
              <w:t>9</w:t>
            </w:r>
          </w:p>
        </w:tc>
      </w:tr>
    </w:tbl>
    <w:p w:rsidR="000D7780" w:rsidRPr="002D1A00" w:rsidRDefault="00A63C47" w:rsidP="004E13CD">
      <w:pPr>
        <w:pStyle w:val="Titleofdoc0"/>
        <w:ind w:right="-142"/>
      </w:pPr>
      <w:bookmarkStart w:id="0" w:name="TitleOfDoc"/>
      <w:bookmarkEnd w:id="0"/>
      <w:r w:rsidRPr="002D1A00">
        <w:t>GROWING CYCLE VersuS TESTING CYCLE</w:t>
      </w:r>
    </w:p>
    <w:p w:rsidR="006A644A" w:rsidRPr="002D1A00" w:rsidRDefault="00AE0EF1" w:rsidP="006A644A">
      <w:pPr>
        <w:pStyle w:val="preparedby1"/>
        <w:jc w:val="left"/>
      </w:pPr>
      <w:bookmarkStart w:id="1" w:name="Prepared"/>
      <w:bookmarkEnd w:id="1"/>
      <w:r w:rsidRPr="002D1A00">
        <w:t xml:space="preserve">Document </w:t>
      </w:r>
      <w:r w:rsidR="0061555F" w:rsidRPr="002D1A00">
        <w:t xml:space="preserve">prepared by </w:t>
      </w:r>
      <w:r w:rsidR="001B15F4" w:rsidRPr="002D1A00">
        <w:t xml:space="preserve">an expert from the </w:t>
      </w:r>
      <w:r w:rsidR="00137D28" w:rsidRPr="002D1A00">
        <w:t>European Union</w:t>
      </w:r>
    </w:p>
    <w:p w:rsidR="00050E16" w:rsidRPr="002D1A00" w:rsidRDefault="00050E16" w:rsidP="006A644A">
      <w:pPr>
        <w:pStyle w:val="Disclaimer"/>
      </w:pPr>
      <w:r w:rsidRPr="002D1A00">
        <w:t>Disclaimer:  this document does not represent UPOV policies or guidance</w:t>
      </w:r>
    </w:p>
    <w:p w:rsidR="00211100" w:rsidRDefault="00211100" w:rsidP="00211100">
      <w:r>
        <w:t>BACKGROUND</w:t>
      </w:r>
    </w:p>
    <w:p w:rsidR="00211100" w:rsidRDefault="00211100" w:rsidP="00211100"/>
    <w:p w:rsidR="00211100" w:rsidRDefault="00211100" w:rsidP="00211100">
      <w:r>
        <w:fldChar w:fldCharType="begin"/>
      </w:r>
      <w:r>
        <w:instrText xml:space="preserve"> AUTONUM  </w:instrText>
      </w:r>
      <w:r>
        <w:fldChar w:fldCharType="end"/>
      </w:r>
      <w:r>
        <w:tab/>
        <w:t>The TWO, at its fiftie</w:t>
      </w:r>
      <w:r w:rsidR="002122EC">
        <w:t>th</w:t>
      </w:r>
      <w:r>
        <w:t xml:space="preserve"> session, </w:t>
      </w:r>
      <w:r w:rsidR="00E34AE1">
        <w:t xml:space="preserve">held in Victoria, British Columbia, Canada, from September 11 to 15, 2017, </w:t>
      </w:r>
      <w:r>
        <w:t>agreed that the term “growing cycle” was not precise for explaining the duration of DUS examination as it referred primaril</w:t>
      </w:r>
      <w:bookmarkStart w:id="2" w:name="_GoBack"/>
      <w:bookmarkEnd w:id="2"/>
      <w:r>
        <w:t xml:space="preserve">y to the life cycle of a crop. </w:t>
      </w:r>
      <w:proofErr w:type="gramStart"/>
      <w:r>
        <w:t>The TWO agreed to consider the possibility to replacing the term “growing cycle” by “testing cycle” in ASW</w:t>
      </w:r>
      <w:r w:rsidR="00E34AE1">
        <w:t xml:space="preserve"> </w:t>
      </w:r>
      <w:r>
        <w:t>2(a) and (b) to clarify that the duration of DUS examination was related to the period of testing a variety regardless of the number of life cycles the crop would have completed during DUS examination</w:t>
      </w:r>
      <w:r w:rsidR="00E34AE1">
        <w:t xml:space="preserve"> (see document TWO/50/14 “Report”, paragraph 27)</w:t>
      </w:r>
      <w:r>
        <w:t>.</w:t>
      </w:r>
      <w:proofErr w:type="gramEnd"/>
      <w:r>
        <w:t xml:space="preserve"> </w:t>
      </w:r>
    </w:p>
    <w:p w:rsidR="00211100" w:rsidRDefault="00211100" w:rsidP="00211100"/>
    <w:p w:rsidR="00E34AE1" w:rsidRDefault="00211100" w:rsidP="00211100">
      <w:r>
        <w:fldChar w:fldCharType="begin"/>
      </w:r>
      <w:r>
        <w:instrText xml:space="preserve"> AUTONUM  </w:instrText>
      </w:r>
      <w:r>
        <w:fldChar w:fldCharType="end"/>
      </w:r>
      <w:r>
        <w:tab/>
        <w:t xml:space="preserve">The TWF at its </w:t>
      </w:r>
      <w:r w:rsidR="00DD3AA9">
        <w:t>forty</w:t>
      </w:r>
      <w:r w:rsidR="00E34AE1">
        <w:t>-fifth</w:t>
      </w:r>
      <w:r>
        <w:t xml:space="preserve"> session</w:t>
      </w:r>
      <w:r w:rsidR="00E34AE1">
        <w:t>, held in Marrakesh, Morocco, from May 26 to 30, 2014,</w:t>
      </w:r>
      <w:r>
        <w:t xml:space="preserve"> considered the document TWF/45/27 </w:t>
      </w:r>
      <w:r w:rsidR="00E34AE1">
        <w:t>“</w:t>
      </w:r>
      <w:r w:rsidR="00E34AE1" w:rsidRPr="00E34AE1">
        <w:t>Duration of DUS Tests in the Fruit Sector</w:t>
      </w:r>
      <w:r w:rsidR="00E34AE1">
        <w:t xml:space="preserve">” </w:t>
      </w:r>
      <w:r>
        <w:t xml:space="preserve">in which the following elements directly related to the definition of “growing cycle” were reported: </w:t>
      </w:r>
    </w:p>
    <w:p w:rsidR="00E34AE1" w:rsidRDefault="00E34AE1" w:rsidP="00211100"/>
    <w:p w:rsidR="00E34AE1" w:rsidRDefault="00211100" w:rsidP="00E34AE1">
      <w:pPr>
        <w:pStyle w:val="ListParagraph"/>
        <w:numPr>
          <w:ilvl w:val="0"/>
          <w:numId w:val="16"/>
        </w:numPr>
      </w:pPr>
      <w:r>
        <w:t>start of the test (t</w:t>
      </w:r>
      <w:r w:rsidR="00E34AE1">
        <w:t>he definition on the EU level);</w:t>
      </w:r>
    </w:p>
    <w:p w:rsidR="00E34AE1" w:rsidRDefault="00211100" w:rsidP="00E34AE1">
      <w:pPr>
        <w:pStyle w:val="ListParagraph"/>
        <w:numPr>
          <w:ilvl w:val="0"/>
          <w:numId w:val="16"/>
        </w:numPr>
      </w:pPr>
      <w:r>
        <w:t>potential inclusion of establishment periods in the total duration of the test (number of growing cycles)</w:t>
      </w:r>
      <w:r w:rsidR="00E34AE1">
        <w:t>;</w:t>
      </w:r>
    </w:p>
    <w:p w:rsidR="00E34AE1" w:rsidRDefault="00211100" w:rsidP="00E34AE1">
      <w:pPr>
        <w:pStyle w:val="ListParagraph"/>
        <w:numPr>
          <w:ilvl w:val="0"/>
          <w:numId w:val="16"/>
        </w:numPr>
      </w:pPr>
      <w:r>
        <w:t>establishment and</w:t>
      </w:r>
      <w:r w:rsidR="00E34AE1">
        <w:t xml:space="preserve"> fruiting (observation) cycles;</w:t>
      </w:r>
    </w:p>
    <w:p w:rsidR="00211100" w:rsidRDefault="00211100" w:rsidP="00E34AE1">
      <w:pPr>
        <w:pStyle w:val="ListParagraph"/>
        <w:numPr>
          <w:ilvl w:val="0"/>
          <w:numId w:val="16"/>
        </w:numPr>
      </w:pPr>
      <w:r>
        <w:t>practical and legal implications of the definition of the growing cycle (for example if a clear lack of uniformity is observed in the establishment period, i.e. in the light of some definition</w:t>
      </w:r>
      <w:r w:rsidR="00DD3AA9">
        <w:t>s</w:t>
      </w:r>
      <w:r>
        <w:t xml:space="preserve"> outside the foreseen number of growing cycles).  </w:t>
      </w:r>
    </w:p>
    <w:p w:rsidR="00211100" w:rsidRDefault="00211100" w:rsidP="00211100"/>
    <w:p w:rsidR="00211100" w:rsidRDefault="00211100" w:rsidP="006D06AB">
      <w:r>
        <w:fldChar w:fldCharType="begin"/>
      </w:r>
      <w:r>
        <w:instrText xml:space="preserve"> AUTONUM  </w:instrText>
      </w:r>
      <w:r>
        <w:fldChar w:fldCharType="end"/>
      </w:r>
      <w:r>
        <w:tab/>
      </w:r>
      <w:proofErr w:type="gramStart"/>
      <w:r>
        <w:t xml:space="preserve">One of the outcomes of the survey among the leading experts and the CPVO entrusted examination offices presented at the </w:t>
      </w:r>
      <w:r w:rsidR="00E34AE1">
        <w:t xml:space="preserve">forty-sixth </w:t>
      </w:r>
      <w:r w:rsidR="006D06AB">
        <w:t xml:space="preserve">and forty-seventh sessions of the TWF </w:t>
      </w:r>
      <w:r>
        <w:t xml:space="preserve">was a proposal to introduce </w:t>
      </w:r>
      <w:r w:rsidR="00E34AE1">
        <w:t xml:space="preserve">the </w:t>
      </w:r>
      <w:r>
        <w:t>terms “</w:t>
      </w:r>
      <w:r w:rsidRPr="00657940">
        <w:rPr>
          <w:i/>
        </w:rPr>
        <w:t>growing cycle for the purpose of establishment of plants</w:t>
      </w:r>
      <w:r>
        <w:t>” and “</w:t>
      </w:r>
      <w:r w:rsidRPr="00657940">
        <w:rPr>
          <w:i/>
        </w:rPr>
        <w:t>growing cycles for the purpose of observation of characteristics</w:t>
      </w:r>
      <w:r>
        <w:t>”</w:t>
      </w:r>
      <w:r w:rsidR="006D06AB" w:rsidRPr="006D06AB">
        <w:t xml:space="preserve"> </w:t>
      </w:r>
      <w:r w:rsidR="006D06AB">
        <w:t>(see documents TWF/46/25 Rev. and TWF/47/19 “Duration of Tests in the Fruit Sector”).</w:t>
      </w:r>
      <w:proofErr w:type="gramEnd"/>
    </w:p>
    <w:p w:rsidR="00211100" w:rsidRDefault="00211100" w:rsidP="00211100"/>
    <w:p w:rsidR="00211100" w:rsidRDefault="00211100" w:rsidP="00211100">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t xml:space="preserve">The TWF, at its forty-eighth session, </w:t>
      </w:r>
      <w:r w:rsidR="00657940">
        <w:rPr>
          <w:rFonts w:cs="Arial"/>
          <w:snapToGrid w:val="0"/>
        </w:rPr>
        <w:t xml:space="preserve">held in </w:t>
      </w:r>
      <w:r w:rsidR="00657940" w:rsidRPr="000A6A84">
        <w:t>Kelowna, British Columbia, Canada</w:t>
      </w:r>
      <w:r w:rsidR="00657940" w:rsidRPr="000A6A84">
        <w:rPr>
          <w:rFonts w:cs="Arial"/>
        </w:rPr>
        <w:t xml:space="preserve">, from </w:t>
      </w:r>
      <w:r w:rsidR="00657940" w:rsidRPr="000A6A84">
        <w:t>September 18 to</w:t>
      </w:r>
      <w:r w:rsidR="00FA08BD">
        <w:t> </w:t>
      </w:r>
      <w:r w:rsidR="00657940" w:rsidRPr="000A6A84">
        <w:t>22, 2017</w:t>
      </w:r>
      <w:r w:rsidR="00657940">
        <w:rPr>
          <w:rFonts w:cs="Arial"/>
          <w:snapToGrid w:val="0"/>
        </w:rPr>
        <w:t xml:space="preserve">, </w:t>
      </w:r>
      <w:r>
        <w:rPr>
          <w:rFonts w:cs="Arial"/>
          <w:snapToGrid w:val="0"/>
        </w:rPr>
        <w:t>noted the concern expressed by the TWO that the term “growing cycle” was not precise for explaining the duration of DUS examination as it referred primarily to the life cycle of a crop.  The TWF noted the proposal of the TWO to consider the possibility of replacing the term “growing cycle” by “testing cycle” in ASW 2(a) and (b) to clarify that the duration of DUS examination was related to the period of testing of a variety, regardless of the number of life cycles the crop would have completed during DUS examination. The TWF agreed that in the case of fruit the growing cycle did not necessarily correspond to the life cycle of the crop and acknowledged that there was a difference between the establishment period and the evaluation period</w:t>
      </w:r>
      <w:r w:rsidR="00657940">
        <w:rPr>
          <w:rFonts w:cs="Arial"/>
          <w:snapToGrid w:val="0"/>
        </w:rPr>
        <w:t xml:space="preserve"> (see document TWF/48/13 “Report”, paragraph 32)</w:t>
      </w:r>
      <w:r>
        <w:rPr>
          <w:rFonts w:cs="Arial"/>
          <w:snapToGrid w:val="0"/>
        </w:rPr>
        <w:t>.</w:t>
      </w:r>
    </w:p>
    <w:p w:rsidR="00FA08BD" w:rsidRDefault="00FA08BD" w:rsidP="00211100"/>
    <w:p w:rsidR="001107F6" w:rsidRDefault="001107F6" w:rsidP="00211100"/>
    <w:p w:rsidR="00211100" w:rsidRPr="00320314" w:rsidRDefault="00211100" w:rsidP="00320314">
      <w:pPr>
        <w:pStyle w:val="Heading1"/>
      </w:pPr>
      <w:r w:rsidRPr="00320314">
        <w:t>The term “growing cycle”</w:t>
      </w:r>
    </w:p>
    <w:p w:rsidR="00211100" w:rsidRPr="00320314" w:rsidRDefault="00211100" w:rsidP="00211100"/>
    <w:p w:rsidR="00211100" w:rsidRPr="00320314" w:rsidRDefault="00211100" w:rsidP="00320314">
      <w:pPr>
        <w:pStyle w:val="Heading2"/>
        <w:rPr>
          <w:lang w:eastAsia="fr-FR"/>
        </w:rPr>
      </w:pPr>
      <w:r w:rsidRPr="00320314">
        <w:rPr>
          <w:lang w:eastAsia="fr-FR"/>
        </w:rPr>
        <w:t xml:space="preserve">TGP/7/6 – Annex 2: Additional Standard Wording (ASW) for the TG Template: </w:t>
      </w:r>
    </w:p>
    <w:p w:rsidR="00320314" w:rsidRDefault="00320314" w:rsidP="00320314"/>
    <w:p w:rsidR="00FA08BD" w:rsidRDefault="00FA08BD" w:rsidP="00320314">
      <w:r>
        <w:fldChar w:fldCharType="begin"/>
      </w:r>
      <w:r>
        <w:instrText xml:space="preserve"> AUTONUM  </w:instrText>
      </w:r>
      <w:r>
        <w:fldChar w:fldCharType="end"/>
      </w:r>
      <w:r>
        <w:tab/>
        <w:t>Document TGP/7 “Development of Test Guidelines” provides the following additional standard wording for number of growing cycles</w:t>
      </w:r>
      <w:r w:rsidR="004215DD">
        <w:t xml:space="preserve"> (ASW 2)</w:t>
      </w:r>
      <w:r>
        <w:t>:</w:t>
      </w:r>
    </w:p>
    <w:p w:rsidR="00FA08BD" w:rsidRDefault="00FA08BD" w:rsidP="00320314"/>
    <w:p w:rsidR="001107F6" w:rsidRPr="00320314" w:rsidRDefault="001107F6" w:rsidP="00320314"/>
    <w:p w:rsidR="00320314" w:rsidRPr="00320314" w:rsidRDefault="00320314" w:rsidP="009F3977">
      <w:pPr>
        <w:ind w:left="567" w:right="567"/>
        <w:rPr>
          <w:sz w:val="18"/>
          <w:u w:val="single"/>
        </w:rPr>
      </w:pPr>
      <w:bookmarkStart w:id="3" w:name="_Toc27819131"/>
      <w:bookmarkStart w:id="4" w:name="_Toc27819312"/>
      <w:bookmarkStart w:id="5" w:name="_Toc27819493"/>
      <w:bookmarkStart w:id="6" w:name="_Toc532896965"/>
      <w:r w:rsidRPr="00320314">
        <w:rPr>
          <w:sz w:val="18"/>
          <w:u w:val="single"/>
        </w:rPr>
        <w:lastRenderedPageBreak/>
        <w:t xml:space="preserve">“ASW </w:t>
      </w:r>
      <w:proofErr w:type="gramStart"/>
      <w:r w:rsidRPr="00320314">
        <w:rPr>
          <w:sz w:val="18"/>
          <w:u w:val="single"/>
        </w:rPr>
        <w:t>2  (</w:t>
      </w:r>
      <w:proofErr w:type="gramEnd"/>
      <w:r w:rsidRPr="00320314">
        <w:rPr>
          <w:sz w:val="18"/>
          <w:u w:val="single"/>
        </w:rPr>
        <w:t>Chapter 3.1) – Number of growing cycles</w:t>
      </w:r>
      <w:bookmarkEnd w:id="3"/>
      <w:bookmarkEnd w:id="4"/>
      <w:bookmarkEnd w:id="5"/>
      <w:bookmarkEnd w:id="6"/>
    </w:p>
    <w:p w:rsidR="00320314" w:rsidRPr="00320314" w:rsidRDefault="00320314" w:rsidP="009F3977">
      <w:pPr>
        <w:keepNext/>
        <w:ind w:left="567" w:right="567"/>
        <w:outlineLvl w:val="3"/>
        <w:rPr>
          <w:i/>
          <w:sz w:val="18"/>
        </w:rPr>
      </w:pPr>
      <w:bookmarkStart w:id="7" w:name="_Toc27819132"/>
      <w:bookmarkStart w:id="8" w:name="_Toc27819313"/>
      <w:bookmarkStart w:id="9" w:name="_Toc27819494"/>
      <w:bookmarkStart w:id="10" w:name="_Toc532896966"/>
    </w:p>
    <w:p w:rsidR="00320314" w:rsidRPr="00320314" w:rsidRDefault="00320314" w:rsidP="009F3977">
      <w:pPr>
        <w:keepNext/>
        <w:spacing w:after="240"/>
        <w:ind w:left="567" w:right="567"/>
        <w:outlineLvl w:val="3"/>
        <w:rPr>
          <w:i/>
          <w:sz w:val="18"/>
        </w:rPr>
      </w:pPr>
      <w:r w:rsidRPr="00320314">
        <w:rPr>
          <w:i/>
          <w:sz w:val="18"/>
        </w:rPr>
        <w:t>“(</w:t>
      </w:r>
      <w:proofErr w:type="gramStart"/>
      <w:r w:rsidRPr="00320314">
        <w:rPr>
          <w:i/>
          <w:sz w:val="18"/>
        </w:rPr>
        <w:t>a</w:t>
      </w:r>
      <w:proofErr w:type="gramEnd"/>
      <w:r w:rsidRPr="00320314">
        <w:rPr>
          <w:i/>
          <w:sz w:val="18"/>
        </w:rPr>
        <w:t>)</w:t>
      </w:r>
      <w:r w:rsidRPr="00320314">
        <w:rPr>
          <w:i/>
          <w:sz w:val="18"/>
        </w:rPr>
        <w:tab/>
        <w:t>Single growing cycle</w:t>
      </w:r>
      <w:bookmarkEnd w:id="7"/>
      <w:bookmarkEnd w:id="8"/>
      <w:bookmarkEnd w:id="9"/>
      <w:bookmarkEnd w:id="10"/>
    </w:p>
    <w:p w:rsidR="00320314" w:rsidRPr="00320314" w:rsidRDefault="00320314" w:rsidP="009F3977">
      <w:pPr>
        <w:ind w:left="567" w:right="567"/>
        <w:rPr>
          <w:sz w:val="18"/>
        </w:rPr>
      </w:pPr>
      <w:r w:rsidRPr="00320314">
        <w:rPr>
          <w:sz w:val="18"/>
        </w:rPr>
        <w:t>“The minimum duration of tests should normally be a single growing cycle.”</w:t>
      </w:r>
    </w:p>
    <w:p w:rsidR="00320314" w:rsidRPr="00320314" w:rsidRDefault="00320314" w:rsidP="009F3977">
      <w:pPr>
        <w:ind w:left="567" w:right="567"/>
        <w:rPr>
          <w:i/>
          <w:sz w:val="18"/>
        </w:rPr>
      </w:pPr>
    </w:p>
    <w:p w:rsidR="00320314" w:rsidRPr="00320314" w:rsidRDefault="00320314" w:rsidP="009F3977">
      <w:pPr>
        <w:keepNext/>
        <w:spacing w:after="240"/>
        <w:ind w:left="567" w:right="567"/>
        <w:outlineLvl w:val="3"/>
        <w:rPr>
          <w:i/>
          <w:sz w:val="18"/>
        </w:rPr>
      </w:pPr>
      <w:bookmarkStart w:id="11" w:name="_Toc27819133"/>
      <w:bookmarkStart w:id="12" w:name="_Toc27819314"/>
      <w:bookmarkStart w:id="13" w:name="_Toc27819495"/>
      <w:bookmarkStart w:id="14" w:name="_Toc532896967"/>
      <w:r w:rsidRPr="00320314">
        <w:rPr>
          <w:i/>
          <w:sz w:val="18"/>
        </w:rPr>
        <w:t>“(b)</w:t>
      </w:r>
      <w:r w:rsidRPr="00320314">
        <w:rPr>
          <w:i/>
          <w:sz w:val="18"/>
        </w:rPr>
        <w:tab/>
        <w:t>Two independent growing cycles</w:t>
      </w:r>
      <w:bookmarkEnd w:id="11"/>
      <w:bookmarkEnd w:id="12"/>
      <w:bookmarkEnd w:id="13"/>
      <w:bookmarkEnd w:id="14"/>
    </w:p>
    <w:p w:rsidR="00320314" w:rsidRPr="00320314" w:rsidRDefault="00320314" w:rsidP="009F3977">
      <w:pPr>
        <w:ind w:left="567" w:right="567"/>
        <w:rPr>
          <w:sz w:val="18"/>
        </w:rPr>
      </w:pPr>
      <w:r w:rsidRPr="00320314">
        <w:rPr>
          <w:sz w:val="18"/>
        </w:rPr>
        <w:t>“The minimum duration of tests should normally be two independent growing cycles.”</w:t>
      </w:r>
    </w:p>
    <w:p w:rsidR="00211100" w:rsidRDefault="00211100" w:rsidP="00211100">
      <w:pPr>
        <w:rPr>
          <w:rFonts w:cs="Arial"/>
          <w:highlight w:val="yellow"/>
          <w:lang w:eastAsia="fr-FR"/>
        </w:rPr>
      </w:pPr>
    </w:p>
    <w:p w:rsidR="001107F6" w:rsidRPr="00211100" w:rsidRDefault="001107F6" w:rsidP="00211100">
      <w:pPr>
        <w:rPr>
          <w:rFonts w:cs="Arial"/>
          <w:highlight w:val="yellow"/>
          <w:lang w:eastAsia="fr-FR"/>
        </w:rPr>
      </w:pPr>
    </w:p>
    <w:p w:rsidR="00211100" w:rsidRDefault="00211100" w:rsidP="00320314">
      <w:pPr>
        <w:pStyle w:val="Heading2"/>
      </w:pPr>
      <w:r w:rsidRPr="00320314">
        <w:t>ASW 3 (Chapter 3.1.2) – Explanation of the term growing cycle</w:t>
      </w:r>
    </w:p>
    <w:p w:rsidR="00211100" w:rsidRDefault="00211100" w:rsidP="00211100">
      <w:pPr>
        <w:rPr>
          <w:rFonts w:cs="Arial"/>
          <w:lang w:eastAsia="fr-FR"/>
        </w:rPr>
      </w:pPr>
    </w:p>
    <w:p w:rsidR="00211100" w:rsidRDefault="00211100" w:rsidP="00211100">
      <w:pPr>
        <w:rPr>
          <w:rFonts w:cs="Arial"/>
          <w:lang w:eastAsia="fr-FR"/>
        </w:rPr>
      </w:pPr>
      <w:r>
        <w:rPr>
          <w:rFonts w:cs="Arial"/>
          <w:lang w:eastAsia="fr-FR"/>
        </w:rPr>
        <w:fldChar w:fldCharType="begin"/>
      </w:r>
      <w:r>
        <w:rPr>
          <w:rFonts w:cs="Arial"/>
          <w:lang w:eastAsia="fr-FR"/>
        </w:rPr>
        <w:instrText xml:space="preserve"> AUTONUM  </w:instrText>
      </w:r>
      <w:r>
        <w:rPr>
          <w:rFonts w:cs="Arial"/>
          <w:lang w:eastAsia="fr-FR"/>
        </w:rPr>
        <w:fldChar w:fldCharType="end"/>
      </w:r>
      <w:r>
        <w:rPr>
          <w:rFonts w:cs="Arial"/>
          <w:lang w:eastAsia="fr-FR"/>
        </w:rPr>
        <w:tab/>
        <w:t xml:space="preserve">As for fruit crops, the term growing cycle has been defined adapted to the particularities of the different types (see section (a) to (d) hereafter). These definitions apply explicitly to fruit crops. These definitions allow separating the time span during which data </w:t>
      </w:r>
      <w:proofErr w:type="gramStart"/>
      <w:r>
        <w:rPr>
          <w:rFonts w:cs="Arial"/>
          <w:lang w:eastAsia="fr-FR"/>
        </w:rPr>
        <w:t>are taken</w:t>
      </w:r>
      <w:proofErr w:type="gramEnd"/>
      <w:r>
        <w:rPr>
          <w:rFonts w:cs="Arial"/>
          <w:lang w:eastAsia="fr-FR"/>
        </w:rPr>
        <w:t xml:space="preserve"> from the establishment period. With these various definitions of “growing </w:t>
      </w:r>
      <w:proofErr w:type="gramStart"/>
      <w:r>
        <w:rPr>
          <w:rFonts w:cs="Arial"/>
          <w:lang w:eastAsia="fr-FR"/>
        </w:rPr>
        <w:t>cycle”</w:t>
      </w:r>
      <w:proofErr w:type="gramEnd"/>
      <w:r>
        <w:rPr>
          <w:rFonts w:cs="Arial"/>
          <w:lang w:eastAsia="fr-FR"/>
        </w:rPr>
        <w:t xml:space="preserve"> it is not possible to deduct how many times a particular characteristic needs to be assessed. Where relevant, the “establishment period” can be </w:t>
      </w:r>
      <w:proofErr w:type="gramStart"/>
      <w:r>
        <w:rPr>
          <w:rFonts w:cs="Arial"/>
          <w:lang w:eastAsia="fr-FR"/>
        </w:rPr>
        <w:t>separated</w:t>
      </w:r>
      <w:proofErr w:type="gramEnd"/>
      <w:r>
        <w:rPr>
          <w:rFonts w:cs="Arial"/>
          <w:lang w:eastAsia="fr-FR"/>
        </w:rPr>
        <w:t xml:space="preserve"> as the term is quite “distinct”. For ornamentals, only the additional wording of section (e) and (f) as reproduced hereafter are available. </w:t>
      </w:r>
    </w:p>
    <w:p w:rsidR="00211100" w:rsidRDefault="00211100" w:rsidP="00211100">
      <w:pPr>
        <w:ind w:left="720"/>
        <w:rPr>
          <w:rFonts w:cs="Arial"/>
          <w:lang w:eastAsia="fr-FR"/>
        </w:rPr>
      </w:pPr>
    </w:p>
    <w:p w:rsidR="00211100" w:rsidRDefault="00211100" w:rsidP="00211100">
      <w:pPr>
        <w:rPr>
          <w:rFonts w:cs="Arial"/>
          <w:lang w:eastAsia="fr-FR"/>
        </w:rPr>
      </w:pPr>
      <w:r>
        <w:rPr>
          <w:rFonts w:cs="Arial"/>
          <w:lang w:eastAsia="fr-FR"/>
        </w:rPr>
        <w:fldChar w:fldCharType="begin"/>
      </w:r>
      <w:r>
        <w:rPr>
          <w:rFonts w:cs="Arial"/>
          <w:lang w:eastAsia="fr-FR"/>
        </w:rPr>
        <w:instrText xml:space="preserve"> AUTONUM  </w:instrText>
      </w:r>
      <w:r>
        <w:rPr>
          <w:rFonts w:cs="Arial"/>
          <w:lang w:eastAsia="fr-FR"/>
        </w:rPr>
        <w:fldChar w:fldCharType="end"/>
      </w:r>
      <w:r>
        <w:rPr>
          <w:rFonts w:cs="Arial"/>
          <w:lang w:eastAsia="fr-FR"/>
        </w:rPr>
        <w:tab/>
      </w:r>
      <w:proofErr w:type="gramStart"/>
      <w:r w:rsidR="00591B9A">
        <w:rPr>
          <w:rFonts w:cs="Arial"/>
          <w:lang w:eastAsia="fr-FR"/>
        </w:rPr>
        <w:t>D</w:t>
      </w:r>
      <w:r>
        <w:rPr>
          <w:rFonts w:cs="Arial"/>
          <w:lang w:eastAsia="fr-FR"/>
        </w:rPr>
        <w:t>ocument TWF</w:t>
      </w:r>
      <w:r w:rsidR="00591B9A">
        <w:rPr>
          <w:rFonts w:cs="Arial"/>
          <w:lang w:eastAsia="fr-FR"/>
        </w:rPr>
        <w:t>/</w:t>
      </w:r>
      <w:r>
        <w:rPr>
          <w:rFonts w:cs="Arial"/>
          <w:lang w:eastAsia="fr-FR"/>
        </w:rPr>
        <w:t xml:space="preserve">45/27 </w:t>
      </w:r>
      <w:r w:rsidR="00591B9A">
        <w:rPr>
          <w:rFonts w:cs="Arial"/>
          <w:lang w:eastAsia="fr-FR"/>
        </w:rPr>
        <w:t>“</w:t>
      </w:r>
      <w:r w:rsidR="00591B9A" w:rsidRPr="00591B9A">
        <w:rPr>
          <w:rFonts w:cs="Arial"/>
          <w:lang w:eastAsia="fr-FR"/>
        </w:rPr>
        <w:t>Duration of DUS Tests in the Fruit Sector</w:t>
      </w:r>
      <w:r w:rsidR="00591B9A">
        <w:rPr>
          <w:rFonts w:cs="Arial"/>
          <w:lang w:eastAsia="fr-FR"/>
        </w:rPr>
        <w:t xml:space="preserve">” </w:t>
      </w:r>
      <w:r>
        <w:rPr>
          <w:rFonts w:cs="Arial"/>
          <w:lang w:eastAsia="fr-FR"/>
        </w:rPr>
        <w:t>reports that in some fruit crops although the</w:t>
      </w:r>
      <w:r w:rsidRPr="00221F27">
        <w:rPr>
          <w:rFonts w:cs="Arial"/>
          <w:lang w:eastAsia="fr-FR"/>
        </w:rPr>
        <w:t xml:space="preserve"> </w:t>
      </w:r>
      <w:r>
        <w:rPr>
          <w:rFonts w:cs="Arial"/>
          <w:lang w:eastAsia="fr-FR"/>
        </w:rPr>
        <w:t>definition</w:t>
      </w:r>
      <w:r w:rsidRPr="00221F27">
        <w:rPr>
          <w:rFonts w:cs="Arial"/>
          <w:lang w:eastAsia="fr-FR"/>
        </w:rPr>
        <w:t xml:space="preserve"> </w:t>
      </w:r>
      <w:r w:rsidR="00EB6DCA">
        <w:rPr>
          <w:rFonts w:cs="Arial"/>
          <w:lang w:eastAsia="fr-FR"/>
        </w:rPr>
        <w:t xml:space="preserve">in ASW 3(a) </w:t>
      </w:r>
      <w:r w:rsidR="00EB6DCA" w:rsidRPr="00221F27">
        <w:rPr>
          <w:rFonts w:cs="Arial"/>
          <w:lang w:eastAsia="fr-FR"/>
        </w:rPr>
        <w:t>suggest</w:t>
      </w:r>
      <w:r w:rsidR="00EB6DCA">
        <w:rPr>
          <w:rFonts w:cs="Arial"/>
          <w:lang w:eastAsia="fr-FR"/>
        </w:rPr>
        <w:t>s</w:t>
      </w:r>
      <w:r w:rsidRPr="00221F27">
        <w:rPr>
          <w:rFonts w:cs="Arial"/>
          <w:lang w:eastAsia="fr-FR"/>
        </w:rPr>
        <w:t xml:space="preserve"> that the end of the test is after the dormant season when the swelling of the new season buds occurs, in practice, in the E</w:t>
      </w:r>
      <w:r w:rsidR="00591B9A">
        <w:rPr>
          <w:rFonts w:cs="Arial"/>
          <w:lang w:eastAsia="fr-FR"/>
        </w:rPr>
        <w:t>uropean Union</w:t>
      </w:r>
      <w:r w:rsidRPr="00221F27">
        <w:rPr>
          <w:rFonts w:cs="Arial"/>
          <w:lang w:eastAsia="fr-FR"/>
        </w:rPr>
        <w:t xml:space="preserve"> the second growing cycle finishe</w:t>
      </w:r>
      <w:r>
        <w:rPr>
          <w:rFonts w:cs="Arial"/>
          <w:lang w:eastAsia="fr-FR"/>
        </w:rPr>
        <w:t>d</w:t>
      </w:r>
      <w:r w:rsidRPr="00221F27">
        <w:rPr>
          <w:rFonts w:cs="Arial"/>
          <w:lang w:eastAsia="fr-FR"/>
        </w:rPr>
        <w:t xml:space="preserve"> at harvest time or shortly after and the examination report </w:t>
      </w:r>
      <w:r>
        <w:rPr>
          <w:rFonts w:cs="Arial"/>
          <w:lang w:eastAsia="fr-FR"/>
        </w:rPr>
        <w:t>was</w:t>
      </w:r>
      <w:r w:rsidRPr="00221F27">
        <w:rPr>
          <w:rFonts w:cs="Arial"/>
          <w:lang w:eastAsia="fr-FR"/>
        </w:rPr>
        <w:t xml:space="preserve"> drafted without waiting until the end of the dormant period and swelling of new seasons buds.</w:t>
      </w:r>
      <w:proofErr w:type="gramEnd"/>
    </w:p>
    <w:p w:rsidR="00EB6DCA" w:rsidRDefault="00EB6DCA" w:rsidP="00EB6DCA">
      <w:pPr>
        <w:ind w:left="567" w:right="567"/>
        <w:rPr>
          <w:rFonts w:cs="Arial"/>
          <w:sz w:val="18"/>
          <w:lang w:eastAsia="fr-FR"/>
        </w:rPr>
      </w:pPr>
    </w:p>
    <w:p w:rsidR="00EB6DCA" w:rsidRPr="00EB6DCA" w:rsidRDefault="00EB6DCA" w:rsidP="00EB6DCA">
      <w:pPr>
        <w:ind w:left="567"/>
        <w:rPr>
          <w:sz w:val="18"/>
          <w:u w:val="single"/>
        </w:rPr>
      </w:pPr>
      <w:bookmarkStart w:id="15" w:name="_Toc532896968"/>
      <w:r>
        <w:rPr>
          <w:sz w:val="18"/>
          <w:u w:val="single"/>
        </w:rPr>
        <w:t>“</w:t>
      </w:r>
      <w:r w:rsidRPr="00EB6DCA">
        <w:rPr>
          <w:sz w:val="18"/>
          <w:u w:val="single"/>
        </w:rPr>
        <w:t>ASW 3 (Chapter 3.1.2) – Explanation of the growing cycle</w:t>
      </w:r>
      <w:bookmarkEnd w:id="15"/>
      <w:r w:rsidRPr="00EB6DCA">
        <w:rPr>
          <w:sz w:val="18"/>
          <w:u w:val="single"/>
        </w:rPr>
        <w:t xml:space="preserve"> </w:t>
      </w:r>
    </w:p>
    <w:p w:rsidR="00EB6DCA" w:rsidRPr="009F3977" w:rsidRDefault="00EB6DCA" w:rsidP="00EB6DCA">
      <w:pPr>
        <w:ind w:left="567" w:right="567"/>
        <w:rPr>
          <w:rFonts w:cs="Arial"/>
          <w:sz w:val="18"/>
          <w:lang w:eastAsia="fr-FR"/>
        </w:rPr>
      </w:pPr>
    </w:p>
    <w:p w:rsidR="00EB6DCA" w:rsidRPr="00320314" w:rsidRDefault="00EB6DCA" w:rsidP="00EB6DCA">
      <w:pPr>
        <w:keepNext/>
        <w:spacing w:after="240"/>
        <w:ind w:left="567" w:right="567"/>
        <w:outlineLvl w:val="3"/>
        <w:rPr>
          <w:i/>
          <w:sz w:val="18"/>
        </w:rPr>
      </w:pPr>
      <w:r w:rsidRPr="009F3977">
        <w:rPr>
          <w:i/>
          <w:sz w:val="18"/>
        </w:rPr>
        <w:t>“</w:t>
      </w:r>
      <w:r w:rsidRPr="00320314">
        <w:rPr>
          <w:i/>
          <w:sz w:val="18"/>
        </w:rPr>
        <w:t>(</w:t>
      </w:r>
      <w:proofErr w:type="gramStart"/>
      <w:r w:rsidRPr="00320314">
        <w:rPr>
          <w:i/>
          <w:sz w:val="18"/>
        </w:rPr>
        <w:t>a</w:t>
      </w:r>
      <w:proofErr w:type="gramEnd"/>
      <w:r w:rsidRPr="00320314">
        <w:rPr>
          <w:i/>
          <w:sz w:val="18"/>
        </w:rPr>
        <w:t>)</w:t>
      </w:r>
      <w:r w:rsidRPr="00320314">
        <w:rPr>
          <w:i/>
          <w:sz w:val="18"/>
        </w:rPr>
        <w:tab/>
        <w:t>Fruit species with clearly defined dormant period</w:t>
      </w:r>
    </w:p>
    <w:p w:rsidR="00EB6DCA" w:rsidRPr="00320314" w:rsidRDefault="00EB6DCA" w:rsidP="00EB6DCA">
      <w:pPr>
        <w:keepNext/>
        <w:ind w:left="567" w:right="567"/>
        <w:rPr>
          <w:sz w:val="18"/>
        </w:rPr>
      </w:pPr>
      <w:r w:rsidRPr="00320314">
        <w:rPr>
          <w:sz w:val="18"/>
        </w:rPr>
        <w:t>“3.1.2</w:t>
      </w:r>
      <w:r w:rsidRPr="00320314">
        <w:rPr>
          <w:sz w:val="18"/>
        </w:rPr>
        <w:tab/>
        <w:t>The growing cycle is considered to be the duration of a single growing season, beginning with bud burst (flowering and/or vegetative), flowering and fruit harvest and concluding when the following dormant period ends with the swelling of new season buds.”</w:t>
      </w:r>
    </w:p>
    <w:p w:rsidR="00211100" w:rsidRPr="009F3977" w:rsidRDefault="00211100" w:rsidP="009F3977">
      <w:pPr>
        <w:ind w:left="567" w:right="567"/>
        <w:rPr>
          <w:rFonts w:cs="Arial"/>
          <w:sz w:val="18"/>
          <w:lang w:eastAsia="fr-FR"/>
        </w:rPr>
      </w:pPr>
    </w:p>
    <w:p w:rsidR="00320314" w:rsidRPr="00320314" w:rsidRDefault="009F3977" w:rsidP="009F3977">
      <w:pPr>
        <w:keepNext/>
        <w:spacing w:after="240"/>
        <w:ind w:left="567" w:right="567"/>
        <w:outlineLvl w:val="3"/>
        <w:rPr>
          <w:i/>
          <w:sz w:val="18"/>
        </w:rPr>
      </w:pPr>
      <w:bookmarkStart w:id="16" w:name="_Toc532896970"/>
      <w:r w:rsidRPr="009F3977">
        <w:rPr>
          <w:i/>
          <w:sz w:val="18"/>
        </w:rPr>
        <w:t>“</w:t>
      </w:r>
      <w:r w:rsidR="00320314" w:rsidRPr="00320314">
        <w:rPr>
          <w:i/>
          <w:sz w:val="18"/>
        </w:rPr>
        <w:t>(b)</w:t>
      </w:r>
      <w:r w:rsidR="00320314" w:rsidRPr="00320314">
        <w:rPr>
          <w:i/>
          <w:sz w:val="18"/>
        </w:rPr>
        <w:tab/>
        <w:t>Fruit species with no clearly defined dormant period</w:t>
      </w:r>
      <w:bookmarkEnd w:id="16"/>
      <w:r w:rsidR="00320314" w:rsidRPr="00320314">
        <w:rPr>
          <w:i/>
          <w:sz w:val="18"/>
        </w:rPr>
        <w:t xml:space="preserve"> </w:t>
      </w:r>
    </w:p>
    <w:p w:rsidR="00320314" w:rsidRPr="00320314" w:rsidRDefault="00320314" w:rsidP="009F3977">
      <w:pPr>
        <w:ind w:left="567" w:right="567"/>
        <w:rPr>
          <w:i/>
          <w:sz w:val="18"/>
        </w:rPr>
      </w:pPr>
      <w:r w:rsidRPr="00320314">
        <w:rPr>
          <w:sz w:val="18"/>
        </w:rPr>
        <w:t>“3.1.2</w:t>
      </w:r>
      <w:r w:rsidRPr="00320314">
        <w:rPr>
          <w:sz w:val="18"/>
        </w:rPr>
        <w:tab/>
        <w:t>The growing cycle is considered to be the period ranging from the beginning of active vegetative growth or flowering, continuing through active vegetative growth or flowering and fruit development and concluding with the harvesting of fruit.”</w:t>
      </w:r>
    </w:p>
    <w:p w:rsidR="00320314" w:rsidRPr="00320314" w:rsidRDefault="00320314" w:rsidP="009F3977">
      <w:pPr>
        <w:ind w:left="567" w:right="567"/>
        <w:jc w:val="left"/>
        <w:rPr>
          <w:i/>
          <w:sz w:val="18"/>
        </w:rPr>
      </w:pPr>
    </w:p>
    <w:p w:rsidR="00320314" w:rsidRPr="00320314" w:rsidRDefault="009F3977" w:rsidP="009F3977">
      <w:pPr>
        <w:keepNext/>
        <w:spacing w:after="240"/>
        <w:ind w:left="567" w:right="567"/>
        <w:outlineLvl w:val="3"/>
        <w:rPr>
          <w:i/>
          <w:sz w:val="18"/>
        </w:rPr>
      </w:pPr>
      <w:bookmarkStart w:id="17" w:name="_Toc532896971"/>
      <w:r w:rsidRPr="009F3977">
        <w:rPr>
          <w:i/>
          <w:iCs/>
          <w:sz w:val="18"/>
        </w:rPr>
        <w:t>“</w:t>
      </w:r>
      <w:r w:rsidR="00320314" w:rsidRPr="00320314">
        <w:rPr>
          <w:i/>
          <w:iCs/>
          <w:sz w:val="18"/>
        </w:rPr>
        <w:t>(c)</w:t>
      </w:r>
      <w:r w:rsidR="00320314" w:rsidRPr="00320314">
        <w:rPr>
          <w:i/>
          <w:iCs/>
          <w:sz w:val="18"/>
        </w:rPr>
        <w:tab/>
      </w:r>
      <w:r w:rsidR="00320314" w:rsidRPr="00320314">
        <w:rPr>
          <w:i/>
          <w:sz w:val="18"/>
        </w:rPr>
        <w:t>Evergreen species with indeterminate growth</w:t>
      </w:r>
      <w:bookmarkEnd w:id="17"/>
    </w:p>
    <w:p w:rsidR="00320314" w:rsidRPr="00320314" w:rsidRDefault="009F3977" w:rsidP="009F3977">
      <w:pPr>
        <w:ind w:left="567" w:right="567"/>
        <w:rPr>
          <w:sz w:val="18"/>
        </w:rPr>
      </w:pPr>
      <w:r w:rsidRPr="009F3977">
        <w:rPr>
          <w:sz w:val="18"/>
        </w:rPr>
        <w:t>“</w:t>
      </w:r>
      <w:r w:rsidR="00320314" w:rsidRPr="00320314">
        <w:rPr>
          <w:sz w:val="18"/>
        </w:rPr>
        <w:t>The growing cycle is considered to be the period ranging from the beginning of development of an individual flower or inflorescence, through fruit development and concluding with the harvesting of fruit from the corresponding individual flower or inflorescence.</w:t>
      </w:r>
    </w:p>
    <w:p w:rsidR="00320314" w:rsidRPr="00320314" w:rsidRDefault="00320314" w:rsidP="009F3977">
      <w:pPr>
        <w:ind w:left="567" w:right="567"/>
        <w:jc w:val="left"/>
        <w:rPr>
          <w:i/>
          <w:sz w:val="18"/>
        </w:rPr>
      </w:pPr>
    </w:p>
    <w:p w:rsidR="00320314" w:rsidRPr="00320314" w:rsidRDefault="009F3977" w:rsidP="009F3977">
      <w:pPr>
        <w:keepNext/>
        <w:spacing w:after="240"/>
        <w:ind w:left="567" w:right="567"/>
        <w:outlineLvl w:val="3"/>
        <w:rPr>
          <w:i/>
          <w:sz w:val="18"/>
        </w:rPr>
      </w:pPr>
      <w:bookmarkStart w:id="18" w:name="_Toc532896972"/>
      <w:r w:rsidRPr="009F3977">
        <w:rPr>
          <w:i/>
          <w:sz w:val="18"/>
        </w:rPr>
        <w:t>“</w:t>
      </w:r>
      <w:r w:rsidR="00320314" w:rsidRPr="00320314">
        <w:rPr>
          <w:i/>
          <w:sz w:val="18"/>
        </w:rPr>
        <w:t>(d)</w:t>
      </w:r>
      <w:r w:rsidR="00320314" w:rsidRPr="00320314">
        <w:rPr>
          <w:i/>
          <w:sz w:val="18"/>
        </w:rPr>
        <w:tab/>
        <w:t>Fruit species</w:t>
      </w:r>
      <w:bookmarkEnd w:id="18"/>
    </w:p>
    <w:p w:rsidR="00320314" w:rsidRPr="00320314" w:rsidRDefault="009F3977" w:rsidP="009F3977">
      <w:pPr>
        <w:ind w:left="567" w:right="567"/>
        <w:rPr>
          <w:sz w:val="18"/>
        </w:rPr>
      </w:pPr>
      <w:r w:rsidRPr="009F3977">
        <w:rPr>
          <w:sz w:val="18"/>
        </w:rPr>
        <w:t>“</w:t>
      </w:r>
      <w:r w:rsidR="00320314" w:rsidRPr="00320314">
        <w:rPr>
          <w:sz w:val="18"/>
        </w:rPr>
        <w:t>In the case of Test Guidelines covering fruit species, the following sentence may be added in Chapter 3.1:</w:t>
      </w:r>
    </w:p>
    <w:p w:rsidR="00320314" w:rsidRPr="00320314" w:rsidRDefault="00320314" w:rsidP="009F3977">
      <w:pPr>
        <w:ind w:left="567" w:right="567"/>
        <w:rPr>
          <w:sz w:val="18"/>
        </w:rPr>
      </w:pPr>
    </w:p>
    <w:p w:rsidR="00320314" w:rsidRPr="00320314" w:rsidRDefault="00320314" w:rsidP="009F3977">
      <w:pPr>
        <w:ind w:left="567" w:right="567"/>
        <w:rPr>
          <w:sz w:val="18"/>
        </w:rPr>
      </w:pPr>
      <w:r w:rsidRPr="00320314">
        <w:rPr>
          <w:sz w:val="18"/>
        </w:rPr>
        <w:t>“In particular, it is essential that the [trees] / [plants] produce a satisfactory crop of fruit in each of the two growing cycles.”</w:t>
      </w:r>
    </w:p>
    <w:p w:rsidR="00320314" w:rsidRPr="00320314" w:rsidRDefault="00320314" w:rsidP="009F3977">
      <w:pPr>
        <w:ind w:left="567" w:right="567"/>
        <w:rPr>
          <w:sz w:val="18"/>
        </w:rPr>
      </w:pPr>
    </w:p>
    <w:p w:rsidR="00320314" w:rsidRPr="00320314" w:rsidRDefault="009F3977" w:rsidP="009F3977">
      <w:pPr>
        <w:keepNext/>
        <w:spacing w:after="240"/>
        <w:ind w:left="567" w:right="567"/>
        <w:outlineLvl w:val="3"/>
        <w:rPr>
          <w:i/>
          <w:sz w:val="18"/>
        </w:rPr>
      </w:pPr>
      <w:bookmarkStart w:id="19" w:name="_Toc532896973"/>
      <w:r w:rsidRPr="009F3977">
        <w:rPr>
          <w:i/>
          <w:sz w:val="18"/>
        </w:rPr>
        <w:t>“</w:t>
      </w:r>
      <w:r w:rsidR="00320314" w:rsidRPr="00320314">
        <w:rPr>
          <w:i/>
          <w:sz w:val="18"/>
        </w:rPr>
        <w:t>(e)</w:t>
      </w:r>
      <w:r w:rsidR="00320314" w:rsidRPr="00320314">
        <w:rPr>
          <w:i/>
          <w:sz w:val="18"/>
        </w:rPr>
        <w:tab/>
        <w:t>Two independent cycles in the form of two separate plantings</w:t>
      </w:r>
      <w:bookmarkEnd w:id="19"/>
    </w:p>
    <w:p w:rsidR="00320314" w:rsidRPr="00320314" w:rsidRDefault="009F3977" w:rsidP="009F3977">
      <w:pPr>
        <w:ind w:left="567" w:right="567"/>
        <w:rPr>
          <w:sz w:val="18"/>
        </w:rPr>
      </w:pPr>
      <w:r w:rsidRPr="009F3977">
        <w:rPr>
          <w:sz w:val="18"/>
        </w:rPr>
        <w:t>“</w:t>
      </w:r>
      <w:r w:rsidR="00320314" w:rsidRPr="00320314">
        <w:rPr>
          <w:sz w:val="18"/>
        </w:rPr>
        <w:t>Where appropriate, the following sentence may be added in Chapter 3.1:</w:t>
      </w:r>
    </w:p>
    <w:p w:rsidR="00320314" w:rsidRPr="00320314" w:rsidRDefault="00320314" w:rsidP="009F3977">
      <w:pPr>
        <w:ind w:left="567" w:right="567"/>
        <w:rPr>
          <w:sz w:val="18"/>
        </w:rPr>
      </w:pPr>
    </w:p>
    <w:p w:rsidR="00320314" w:rsidRPr="00320314" w:rsidRDefault="00320314" w:rsidP="009F3977">
      <w:pPr>
        <w:ind w:left="567" w:right="567"/>
        <w:rPr>
          <w:sz w:val="18"/>
        </w:rPr>
      </w:pPr>
      <w:r w:rsidRPr="00320314">
        <w:rPr>
          <w:sz w:val="18"/>
        </w:rPr>
        <w:t>“The two independent growing cycles should be in the form of two separate plantings.”</w:t>
      </w:r>
    </w:p>
    <w:p w:rsidR="00320314" w:rsidRPr="00320314" w:rsidRDefault="00320314" w:rsidP="009F3977">
      <w:pPr>
        <w:ind w:left="567" w:right="567"/>
        <w:rPr>
          <w:sz w:val="18"/>
        </w:rPr>
      </w:pPr>
    </w:p>
    <w:p w:rsidR="00320314" w:rsidRPr="00320314" w:rsidRDefault="009F3977" w:rsidP="009F3977">
      <w:pPr>
        <w:keepNext/>
        <w:spacing w:after="240"/>
        <w:ind w:left="567" w:right="567"/>
        <w:outlineLvl w:val="3"/>
        <w:rPr>
          <w:i/>
          <w:sz w:val="18"/>
        </w:rPr>
      </w:pPr>
      <w:bookmarkStart w:id="20" w:name="_Toc532896974"/>
      <w:r w:rsidRPr="009F3977">
        <w:rPr>
          <w:i/>
          <w:sz w:val="18"/>
        </w:rPr>
        <w:t>“</w:t>
      </w:r>
      <w:r w:rsidR="00320314" w:rsidRPr="00320314">
        <w:rPr>
          <w:i/>
          <w:sz w:val="18"/>
        </w:rPr>
        <w:t>(f)</w:t>
      </w:r>
      <w:r w:rsidR="00320314" w:rsidRPr="00320314">
        <w:rPr>
          <w:i/>
          <w:sz w:val="18"/>
        </w:rPr>
        <w:tab/>
        <w:t>Two independent cycles from a single planting</w:t>
      </w:r>
      <w:bookmarkEnd w:id="20"/>
    </w:p>
    <w:p w:rsidR="00320314" w:rsidRPr="00320314" w:rsidRDefault="009F3977" w:rsidP="009F3977">
      <w:pPr>
        <w:ind w:left="567" w:right="567"/>
        <w:rPr>
          <w:sz w:val="18"/>
        </w:rPr>
      </w:pPr>
      <w:r w:rsidRPr="009F3977">
        <w:rPr>
          <w:sz w:val="18"/>
        </w:rPr>
        <w:t>“</w:t>
      </w:r>
      <w:r w:rsidR="00320314" w:rsidRPr="00320314">
        <w:rPr>
          <w:sz w:val="18"/>
        </w:rPr>
        <w:t>Where appropriate, the following sentence may be added in Chapter 3.1:</w:t>
      </w:r>
    </w:p>
    <w:p w:rsidR="00320314" w:rsidRPr="00320314" w:rsidRDefault="00320314" w:rsidP="009F3977">
      <w:pPr>
        <w:ind w:left="567" w:right="567"/>
        <w:rPr>
          <w:sz w:val="18"/>
        </w:rPr>
      </w:pPr>
    </w:p>
    <w:p w:rsidR="00320314" w:rsidRPr="00320314" w:rsidRDefault="00320314" w:rsidP="009F3977">
      <w:pPr>
        <w:ind w:left="567" w:right="567"/>
        <w:rPr>
          <w:sz w:val="18"/>
        </w:rPr>
      </w:pPr>
      <w:r w:rsidRPr="00320314">
        <w:rPr>
          <w:sz w:val="18"/>
        </w:rPr>
        <w:t>“The two independent growing cycles may be observed from a single planting, examined in two separate growing cycles.”</w:t>
      </w:r>
    </w:p>
    <w:p w:rsidR="00211100" w:rsidRDefault="00211100" w:rsidP="00211100">
      <w:pPr>
        <w:rPr>
          <w:rFonts w:cs="Arial"/>
          <w:lang w:eastAsia="fr-FR"/>
        </w:rPr>
      </w:pPr>
    </w:p>
    <w:p w:rsidR="00211100" w:rsidRPr="009F3977" w:rsidRDefault="00211100" w:rsidP="009F3977">
      <w:pPr>
        <w:rPr>
          <w:rFonts w:cs="Arial"/>
          <w:caps/>
          <w:lang w:eastAsia="fr-FR"/>
        </w:rPr>
      </w:pPr>
      <w:r w:rsidRPr="009F3977">
        <w:rPr>
          <w:rFonts w:cs="Arial"/>
          <w:caps/>
          <w:lang w:eastAsia="fr-FR"/>
        </w:rPr>
        <w:lastRenderedPageBreak/>
        <w:t>Further terms used</w:t>
      </w:r>
    </w:p>
    <w:p w:rsidR="00211100" w:rsidRDefault="00211100" w:rsidP="00211100">
      <w:pPr>
        <w:rPr>
          <w:rFonts w:cs="Arial"/>
          <w:lang w:eastAsia="fr-FR"/>
        </w:rPr>
      </w:pPr>
    </w:p>
    <w:p w:rsidR="00211100" w:rsidRDefault="009F3977" w:rsidP="00211100">
      <w:pPr>
        <w:rPr>
          <w:rFonts w:cs="Arial"/>
          <w:lang w:eastAsia="fr-FR"/>
        </w:rPr>
      </w:pPr>
      <w:r>
        <w:rPr>
          <w:rFonts w:cs="Arial"/>
          <w:lang w:eastAsia="fr-FR"/>
        </w:rPr>
        <w:fldChar w:fldCharType="begin"/>
      </w:r>
      <w:r>
        <w:rPr>
          <w:rFonts w:cs="Arial"/>
          <w:lang w:eastAsia="fr-FR"/>
        </w:rPr>
        <w:instrText xml:space="preserve"> AUTONUM  </w:instrText>
      </w:r>
      <w:r>
        <w:rPr>
          <w:rFonts w:cs="Arial"/>
          <w:lang w:eastAsia="fr-FR"/>
        </w:rPr>
        <w:fldChar w:fldCharType="end"/>
      </w:r>
      <w:r>
        <w:rPr>
          <w:rFonts w:cs="Arial"/>
          <w:lang w:eastAsia="fr-FR"/>
        </w:rPr>
        <w:tab/>
      </w:r>
      <w:r w:rsidR="00211100">
        <w:rPr>
          <w:rFonts w:cs="Arial"/>
          <w:lang w:eastAsia="fr-FR"/>
        </w:rPr>
        <w:t xml:space="preserve">There are/were a number of other terms in use such as “Growing period”, “Cycle of testing” (not to be confused with “Testing cycle” as set out </w:t>
      </w:r>
      <w:r w:rsidR="00211100" w:rsidRPr="00EE0D50">
        <w:rPr>
          <w:rFonts w:cs="Arial"/>
          <w:lang w:eastAsia="fr-FR"/>
        </w:rPr>
        <w:t xml:space="preserve">in section </w:t>
      </w:r>
      <w:proofErr w:type="gramStart"/>
      <w:r w:rsidR="00211100" w:rsidRPr="00EE0D50">
        <w:rPr>
          <w:rFonts w:cs="Arial"/>
          <w:lang w:eastAsia="fr-FR"/>
        </w:rPr>
        <w:t>3b(</w:t>
      </w:r>
      <w:proofErr w:type="gramEnd"/>
      <w:r w:rsidR="00211100" w:rsidRPr="00EE0D50">
        <w:rPr>
          <w:rFonts w:cs="Arial"/>
          <w:lang w:eastAsia="fr-FR"/>
        </w:rPr>
        <w:t>!))</w:t>
      </w:r>
      <w:r w:rsidR="00EB6DCA">
        <w:rPr>
          <w:rFonts w:cs="Arial"/>
          <w:lang w:eastAsia="fr-FR"/>
        </w:rPr>
        <w:t>,</w:t>
      </w:r>
      <w:r w:rsidR="00211100">
        <w:rPr>
          <w:rFonts w:cs="Arial"/>
          <w:lang w:eastAsia="fr-FR"/>
        </w:rPr>
        <w:t xml:space="preserve"> “Period of testing”, “Life cycle”, “Establishment period”, “Time of observation” or “Evaluation period.</w:t>
      </w:r>
      <w:r w:rsidR="00EB6DCA">
        <w:rPr>
          <w:rFonts w:cs="Arial"/>
          <w:lang w:eastAsia="fr-FR"/>
        </w:rPr>
        <w:t>”</w:t>
      </w:r>
      <w:r w:rsidR="00211100">
        <w:rPr>
          <w:rFonts w:cs="Arial"/>
          <w:lang w:eastAsia="fr-FR"/>
        </w:rPr>
        <w:t xml:space="preserve"> </w:t>
      </w:r>
      <w:r w:rsidR="00EB6DCA">
        <w:rPr>
          <w:rFonts w:cs="Arial"/>
          <w:lang w:eastAsia="fr-FR"/>
        </w:rPr>
        <w:t xml:space="preserve"> </w:t>
      </w:r>
      <w:r w:rsidR="00211100">
        <w:rPr>
          <w:rFonts w:cs="Arial"/>
          <w:lang w:eastAsia="fr-FR"/>
        </w:rPr>
        <w:t xml:space="preserve">Most of these terms </w:t>
      </w:r>
      <w:proofErr w:type="gramStart"/>
      <w:r w:rsidR="00211100">
        <w:rPr>
          <w:rFonts w:cs="Arial"/>
          <w:lang w:eastAsia="fr-FR"/>
        </w:rPr>
        <w:t>were used</w:t>
      </w:r>
      <w:proofErr w:type="gramEnd"/>
      <w:r w:rsidR="00211100">
        <w:rPr>
          <w:rFonts w:cs="Arial"/>
          <w:lang w:eastAsia="fr-FR"/>
        </w:rPr>
        <w:t xml:space="preserve"> before the adoption of </w:t>
      </w:r>
      <w:r w:rsidR="00EB6DCA">
        <w:rPr>
          <w:rFonts w:cs="Arial"/>
          <w:lang w:eastAsia="fr-FR"/>
        </w:rPr>
        <w:t xml:space="preserve">document </w:t>
      </w:r>
      <w:r w:rsidR="00211100">
        <w:rPr>
          <w:rFonts w:cs="Arial"/>
          <w:lang w:eastAsia="fr-FR"/>
        </w:rPr>
        <w:t>TGP/7</w:t>
      </w:r>
      <w:r w:rsidR="00211100" w:rsidRPr="007C0612">
        <w:rPr>
          <w:rFonts w:cs="Arial"/>
          <w:lang w:eastAsia="fr-FR"/>
        </w:rPr>
        <w:t xml:space="preserve"> </w:t>
      </w:r>
      <w:r w:rsidR="00211100">
        <w:rPr>
          <w:rFonts w:cs="Arial"/>
          <w:lang w:eastAsia="fr-FR"/>
        </w:rPr>
        <w:t xml:space="preserve">as cited above and they have an undefined use, may be confusing and should thus not be used.  </w:t>
      </w:r>
    </w:p>
    <w:p w:rsidR="00806804" w:rsidRDefault="00806804" w:rsidP="009F3977">
      <w:pPr>
        <w:rPr>
          <w:rFonts w:cs="Arial"/>
          <w:caps/>
          <w:lang w:eastAsia="fr-FR"/>
        </w:rPr>
      </w:pPr>
    </w:p>
    <w:p w:rsidR="00272C28" w:rsidRDefault="00272C28" w:rsidP="009F3977">
      <w:pPr>
        <w:rPr>
          <w:rFonts w:cs="Arial"/>
          <w:caps/>
          <w:lang w:eastAsia="fr-FR"/>
        </w:rPr>
      </w:pPr>
    </w:p>
    <w:p w:rsidR="00211100" w:rsidRPr="009F3977" w:rsidRDefault="00211100" w:rsidP="009F3977">
      <w:pPr>
        <w:rPr>
          <w:rFonts w:cs="Arial"/>
          <w:caps/>
          <w:lang w:eastAsia="fr-FR"/>
        </w:rPr>
      </w:pPr>
      <w:r w:rsidRPr="009F3977">
        <w:rPr>
          <w:rFonts w:cs="Arial"/>
          <w:caps/>
          <w:lang w:eastAsia="fr-FR"/>
        </w:rPr>
        <w:t xml:space="preserve">Proposal for a definition of “growing cycle” and of “testing cycle” for ornamental crops: </w:t>
      </w:r>
    </w:p>
    <w:p w:rsidR="00211100" w:rsidRDefault="00211100" w:rsidP="00211100">
      <w:pPr>
        <w:rPr>
          <w:rFonts w:cs="Arial"/>
          <w:lang w:eastAsia="fr-FR"/>
        </w:rPr>
      </w:pPr>
    </w:p>
    <w:p w:rsidR="00925832" w:rsidRDefault="009F3977" w:rsidP="00211100">
      <w:pPr>
        <w:rPr>
          <w:rFonts w:cs="Arial"/>
          <w:lang w:eastAsia="fr-FR"/>
        </w:rPr>
      </w:pPr>
      <w:r>
        <w:rPr>
          <w:rFonts w:cs="Arial"/>
          <w:lang w:eastAsia="fr-FR"/>
        </w:rPr>
        <w:fldChar w:fldCharType="begin"/>
      </w:r>
      <w:r>
        <w:rPr>
          <w:rFonts w:cs="Arial"/>
          <w:lang w:eastAsia="fr-FR"/>
        </w:rPr>
        <w:instrText xml:space="preserve"> AUTONUM  </w:instrText>
      </w:r>
      <w:r>
        <w:rPr>
          <w:rFonts w:cs="Arial"/>
          <w:lang w:eastAsia="fr-FR"/>
        </w:rPr>
        <w:fldChar w:fldCharType="end"/>
      </w:r>
      <w:r>
        <w:rPr>
          <w:rFonts w:cs="Arial"/>
          <w:lang w:eastAsia="fr-FR"/>
        </w:rPr>
        <w:tab/>
      </w:r>
      <w:r w:rsidR="00925832">
        <w:rPr>
          <w:rFonts w:cs="Arial"/>
          <w:lang w:eastAsia="fr-FR"/>
        </w:rPr>
        <w:t xml:space="preserve">The following definition </w:t>
      </w:r>
      <w:proofErr w:type="gramStart"/>
      <w:r w:rsidR="00925832">
        <w:rPr>
          <w:rFonts w:cs="Arial"/>
          <w:lang w:eastAsia="fr-FR"/>
        </w:rPr>
        <w:t>is proposed</w:t>
      </w:r>
      <w:proofErr w:type="gramEnd"/>
      <w:r w:rsidR="00925832">
        <w:rPr>
          <w:rFonts w:cs="Arial"/>
          <w:lang w:eastAsia="fr-FR"/>
        </w:rPr>
        <w:t xml:space="preserve"> for the term “Growing cycle:”</w:t>
      </w:r>
    </w:p>
    <w:p w:rsidR="00925832" w:rsidRDefault="00925832" w:rsidP="00211100">
      <w:pPr>
        <w:rPr>
          <w:rFonts w:cs="Arial"/>
          <w:lang w:eastAsia="fr-FR"/>
        </w:rPr>
      </w:pPr>
    </w:p>
    <w:p w:rsidR="00211100" w:rsidRDefault="00B80600" w:rsidP="00925832">
      <w:pPr>
        <w:ind w:left="567" w:right="567"/>
        <w:rPr>
          <w:rFonts w:cs="Arial"/>
          <w:lang w:eastAsia="fr-FR"/>
        </w:rPr>
      </w:pPr>
      <w:r>
        <w:rPr>
          <w:rFonts w:cs="Arial"/>
          <w:lang w:eastAsia="fr-FR"/>
        </w:rPr>
        <w:t>“</w:t>
      </w:r>
      <w:r w:rsidR="00211100" w:rsidRPr="00052727">
        <w:rPr>
          <w:rFonts w:cs="Arial"/>
          <w:lang w:eastAsia="fr-FR"/>
        </w:rPr>
        <w:t>The growing cycle is considered to be the period ranging from</w:t>
      </w:r>
      <w:r w:rsidR="00211100">
        <w:rPr>
          <w:rFonts w:cs="Arial"/>
          <w:lang w:eastAsia="fr-FR"/>
        </w:rPr>
        <w:t xml:space="preserve"> s</w:t>
      </w:r>
      <w:r w:rsidR="00806804">
        <w:rPr>
          <w:rFonts w:cs="Arial"/>
          <w:lang w:eastAsia="fr-FR"/>
        </w:rPr>
        <w:t>o</w:t>
      </w:r>
      <w:r w:rsidR="00211100">
        <w:rPr>
          <w:rFonts w:cs="Arial"/>
          <w:lang w:eastAsia="fr-FR"/>
        </w:rPr>
        <w:t xml:space="preserve">wing or planting until harvest or destruction of the plant material. </w:t>
      </w:r>
      <w:r w:rsidR="00A73B6E">
        <w:rPr>
          <w:rFonts w:cs="Arial"/>
          <w:lang w:eastAsia="fr-FR"/>
        </w:rPr>
        <w:t xml:space="preserve"> </w:t>
      </w:r>
      <w:r w:rsidR="00211100">
        <w:rPr>
          <w:rFonts w:cs="Arial"/>
          <w:lang w:eastAsia="fr-FR"/>
        </w:rPr>
        <w:t xml:space="preserve">Where a propagation step is part of the growing trial, the plant material propagated represents an independent growing cycle. </w:t>
      </w:r>
      <w:r w:rsidR="00A73B6E">
        <w:rPr>
          <w:rFonts w:cs="Arial"/>
          <w:lang w:eastAsia="fr-FR"/>
        </w:rPr>
        <w:t xml:space="preserve"> </w:t>
      </w:r>
      <w:r w:rsidR="00211100">
        <w:rPr>
          <w:rFonts w:cs="Arial"/>
          <w:lang w:eastAsia="fr-FR"/>
        </w:rPr>
        <w:t>A growing cycle is independent from the number of seasons a given set of plants are grown and it is independent from how many times a gi</w:t>
      </w:r>
      <w:r>
        <w:rPr>
          <w:rFonts w:cs="Arial"/>
          <w:lang w:eastAsia="fr-FR"/>
        </w:rPr>
        <w:t>ven characteristic is assessed.”</w:t>
      </w:r>
    </w:p>
    <w:p w:rsidR="00211100" w:rsidRDefault="00211100" w:rsidP="00211100">
      <w:pPr>
        <w:rPr>
          <w:rFonts w:cs="Arial"/>
          <w:lang w:eastAsia="fr-FR"/>
        </w:rPr>
      </w:pPr>
    </w:p>
    <w:p w:rsidR="00925832" w:rsidRDefault="009F3977" w:rsidP="00211100">
      <w:pPr>
        <w:rPr>
          <w:rFonts w:cs="Arial"/>
          <w:lang w:eastAsia="fr-FR"/>
        </w:rPr>
      </w:pPr>
      <w:r>
        <w:rPr>
          <w:rFonts w:cs="Arial"/>
          <w:lang w:eastAsia="fr-FR"/>
        </w:rPr>
        <w:fldChar w:fldCharType="begin"/>
      </w:r>
      <w:r>
        <w:rPr>
          <w:rFonts w:cs="Arial"/>
          <w:lang w:eastAsia="fr-FR"/>
        </w:rPr>
        <w:instrText xml:space="preserve"> AUTONUM  </w:instrText>
      </w:r>
      <w:r>
        <w:rPr>
          <w:rFonts w:cs="Arial"/>
          <w:lang w:eastAsia="fr-FR"/>
        </w:rPr>
        <w:fldChar w:fldCharType="end"/>
      </w:r>
      <w:r>
        <w:rPr>
          <w:rFonts w:cs="Arial"/>
          <w:lang w:eastAsia="fr-FR"/>
        </w:rPr>
        <w:tab/>
      </w:r>
      <w:r w:rsidR="00925832">
        <w:rPr>
          <w:rFonts w:cs="Arial"/>
          <w:lang w:eastAsia="fr-FR"/>
        </w:rPr>
        <w:t xml:space="preserve">The following definition </w:t>
      </w:r>
      <w:proofErr w:type="gramStart"/>
      <w:r w:rsidR="00925832">
        <w:rPr>
          <w:rFonts w:cs="Arial"/>
          <w:lang w:eastAsia="fr-FR"/>
        </w:rPr>
        <w:t>is proposed</w:t>
      </w:r>
      <w:proofErr w:type="gramEnd"/>
      <w:r w:rsidR="00925832">
        <w:rPr>
          <w:rFonts w:cs="Arial"/>
          <w:lang w:eastAsia="fr-FR"/>
        </w:rPr>
        <w:t xml:space="preserve"> for the term “Testing cycle:”</w:t>
      </w:r>
    </w:p>
    <w:p w:rsidR="00925832" w:rsidRDefault="00925832" w:rsidP="00211100">
      <w:pPr>
        <w:rPr>
          <w:rFonts w:cs="Arial"/>
          <w:lang w:eastAsia="fr-FR"/>
        </w:rPr>
      </w:pPr>
    </w:p>
    <w:p w:rsidR="00211100" w:rsidRDefault="00B80600" w:rsidP="00925832">
      <w:pPr>
        <w:ind w:left="567" w:right="567"/>
        <w:rPr>
          <w:rFonts w:cs="Arial"/>
          <w:lang w:eastAsia="fr-FR"/>
        </w:rPr>
      </w:pPr>
      <w:r>
        <w:rPr>
          <w:rFonts w:cs="Arial"/>
          <w:lang w:eastAsia="fr-FR"/>
        </w:rPr>
        <w:t>“</w:t>
      </w:r>
      <w:r w:rsidR="00211100">
        <w:rPr>
          <w:rFonts w:cs="Arial"/>
          <w:lang w:eastAsia="fr-FR"/>
        </w:rPr>
        <w:t xml:space="preserve">The testing cycle is the event of assessing the set of characteristics of the test guideline once. </w:t>
      </w:r>
      <w:r w:rsidR="00A73B6E">
        <w:rPr>
          <w:rFonts w:cs="Arial"/>
          <w:lang w:eastAsia="fr-FR"/>
        </w:rPr>
        <w:t xml:space="preserve"> </w:t>
      </w:r>
      <w:r w:rsidR="00211100">
        <w:rPr>
          <w:rFonts w:cs="Arial"/>
          <w:lang w:eastAsia="fr-FR"/>
        </w:rPr>
        <w:t xml:space="preserve">If the entire set of characteristics </w:t>
      </w:r>
      <w:proofErr w:type="gramStart"/>
      <w:r w:rsidR="00211100">
        <w:rPr>
          <w:rFonts w:cs="Arial"/>
          <w:lang w:eastAsia="fr-FR"/>
        </w:rPr>
        <w:t>is assessed</w:t>
      </w:r>
      <w:proofErr w:type="gramEnd"/>
      <w:r w:rsidR="00211100">
        <w:rPr>
          <w:rFonts w:cs="Arial"/>
          <w:lang w:eastAsia="fr-FR"/>
        </w:rPr>
        <w:t xml:space="preserve"> the testing cycle is complete; if only some of the characteristics are assessed, the testing cycle is incomplete. </w:t>
      </w:r>
      <w:r w:rsidR="00A73B6E">
        <w:rPr>
          <w:rFonts w:cs="Arial"/>
          <w:lang w:eastAsia="fr-FR"/>
        </w:rPr>
        <w:t xml:space="preserve"> </w:t>
      </w:r>
      <w:r w:rsidR="00211100">
        <w:rPr>
          <w:rFonts w:cs="Arial"/>
          <w:lang w:eastAsia="fr-FR"/>
        </w:rPr>
        <w:t xml:space="preserve">The testing cycle is independent from the number of growing seasons. </w:t>
      </w:r>
      <w:r w:rsidR="00A73B6E">
        <w:rPr>
          <w:rFonts w:cs="Arial"/>
          <w:lang w:eastAsia="fr-FR"/>
        </w:rPr>
        <w:t xml:space="preserve"> </w:t>
      </w:r>
      <w:r w:rsidR="00211100">
        <w:rPr>
          <w:rFonts w:cs="Arial"/>
          <w:lang w:eastAsia="fr-FR"/>
        </w:rPr>
        <w:t>Where two or more testing cycles are conducted on the same material, these would be dependent testing cycles; where the two or more testing cycles are conducted using re-propagated plant material or plant material of a new submission, this would</w:t>
      </w:r>
      <w:r>
        <w:rPr>
          <w:rFonts w:cs="Arial"/>
          <w:lang w:eastAsia="fr-FR"/>
        </w:rPr>
        <w:t xml:space="preserve"> be independent testing cycles.”</w:t>
      </w:r>
    </w:p>
    <w:p w:rsidR="00211100" w:rsidRDefault="00211100" w:rsidP="00211100">
      <w:pPr>
        <w:rPr>
          <w:rFonts w:cs="Arial"/>
          <w:lang w:eastAsia="fr-FR"/>
        </w:rPr>
      </w:pPr>
    </w:p>
    <w:p w:rsidR="00211100" w:rsidRDefault="009F3977" w:rsidP="00211100">
      <w:pPr>
        <w:rPr>
          <w:rFonts w:cs="Arial"/>
          <w:lang w:eastAsia="fr-FR"/>
        </w:rPr>
      </w:pPr>
      <w:r>
        <w:rPr>
          <w:rFonts w:cs="Arial"/>
          <w:lang w:eastAsia="fr-FR"/>
        </w:rPr>
        <w:fldChar w:fldCharType="begin"/>
      </w:r>
      <w:r>
        <w:rPr>
          <w:rFonts w:cs="Arial"/>
          <w:lang w:eastAsia="fr-FR"/>
        </w:rPr>
        <w:instrText xml:space="preserve"> AUTONUM  </w:instrText>
      </w:r>
      <w:r>
        <w:rPr>
          <w:rFonts w:cs="Arial"/>
          <w:lang w:eastAsia="fr-FR"/>
        </w:rPr>
        <w:fldChar w:fldCharType="end"/>
      </w:r>
      <w:r>
        <w:rPr>
          <w:rFonts w:cs="Arial"/>
          <w:lang w:eastAsia="fr-FR"/>
        </w:rPr>
        <w:tab/>
      </w:r>
      <w:r w:rsidR="00211100">
        <w:rPr>
          <w:rFonts w:cs="Arial"/>
          <w:lang w:eastAsia="fr-FR"/>
        </w:rPr>
        <w:t>In many cases, a distinction of “growing cycle” and “testing cycle” is not necessary but it may be of relevance to specify in the T</w:t>
      </w:r>
      <w:r w:rsidR="00A64D31">
        <w:rPr>
          <w:rFonts w:cs="Arial"/>
          <w:lang w:eastAsia="fr-FR"/>
        </w:rPr>
        <w:t xml:space="preserve">est </w:t>
      </w:r>
      <w:r w:rsidR="00211100">
        <w:rPr>
          <w:rFonts w:cs="Arial"/>
          <w:lang w:eastAsia="fr-FR"/>
        </w:rPr>
        <w:t>G</w:t>
      </w:r>
      <w:r w:rsidR="00A64D31">
        <w:rPr>
          <w:rFonts w:cs="Arial"/>
          <w:lang w:eastAsia="fr-FR"/>
        </w:rPr>
        <w:t>uidelines</w:t>
      </w:r>
      <w:r w:rsidR="00211100">
        <w:rPr>
          <w:rFonts w:cs="Arial"/>
          <w:lang w:eastAsia="fr-FR"/>
        </w:rPr>
        <w:t xml:space="preserve"> how many times certain or all characteristics need to be assessed. </w:t>
      </w:r>
    </w:p>
    <w:p w:rsidR="00211100" w:rsidRDefault="00211100" w:rsidP="00211100">
      <w:pPr>
        <w:rPr>
          <w:rFonts w:cs="Arial"/>
          <w:lang w:eastAsia="fr-FR"/>
        </w:rPr>
      </w:pPr>
    </w:p>
    <w:p w:rsidR="00211100" w:rsidRDefault="009F3977" w:rsidP="00211100">
      <w:pPr>
        <w:rPr>
          <w:rFonts w:cs="Arial"/>
          <w:bCs/>
          <w:lang w:eastAsia="fr-FR"/>
        </w:rPr>
      </w:pPr>
      <w:r>
        <w:rPr>
          <w:rFonts w:cs="Arial"/>
          <w:bCs/>
          <w:lang w:eastAsia="fr-FR"/>
        </w:rPr>
        <w:fldChar w:fldCharType="begin"/>
      </w:r>
      <w:r>
        <w:rPr>
          <w:rFonts w:cs="Arial"/>
          <w:bCs/>
          <w:lang w:eastAsia="fr-FR"/>
        </w:rPr>
        <w:instrText xml:space="preserve"> AUTONUM  </w:instrText>
      </w:r>
      <w:r>
        <w:rPr>
          <w:rFonts w:cs="Arial"/>
          <w:bCs/>
          <w:lang w:eastAsia="fr-FR"/>
        </w:rPr>
        <w:fldChar w:fldCharType="end"/>
      </w:r>
      <w:r>
        <w:rPr>
          <w:rFonts w:cs="Arial"/>
          <w:bCs/>
          <w:lang w:eastAsia="fr-FR"/>
        </w:rPr>
        <w:tab/>
      </w:r>
      <w:r w:rsidR="00211100">
        <w:rPr>
          <w:rFonts w:cs="Arial"/>
          <w:bCs/>
          <w:lang w:eastAsia="fr-FR"/>
        </w:rPr>
        <w:t>The term “testing cycle” may become relevant where either:</w:t>
      </w:r>
    </w:p>
    <w:p w:rsidR="009F3977" w:rsidRDefault="009F3977" w:rsidP="00211100">
      <w:pPr>
        <w:rPr>
          <w:rFonts w:cs="Arial"/>
          <w:bCs/>
          <w:lang w:eastAsia="fr-FR"/>
        </w:rPr>
      </w:pPr>
    </w:p>
    <w:p w:rsidR="00211100" w:rsidRDefault="00211100" w:rsidP="009F3977">
      <w:pPr>
        <w:pStyle w:val="ListParagraph"/>
        <w:numPr>
          <w:ilvl w:val="0"/>
          <w:numId w:val="9"/>
        </w:numPr>
        <w:ind w:left="1134" w:hanging="567"/>
        <w:rPr>
          <w:rFonts w:cs="Arial"/>
          <w:bCs/>
          <w:lang w:eastAsia="fr-FR"/>
        </w:rPr>
      </w:pPr>
      <w:r w:rsidRPr="009F3977">
        <w:rPr>
          <w:rFonts w:cs="Arial"/>
          <w:bCs/>
          <w:lang w:eastAsia="fr-FR"/>
        </w:rPr>
        <w:t>a separation from the establishment period is intended</w:t>
      </w:r>
      <w:r w:rsidR="00A64D31">
        <w:rPr>
          <w:rFonts w:cs="Arial"/>
          <w:bCs/>
          <w:lang w:eastAsia="fr-FR"/>
        </w:rPr>
        <w:t>;</w:t>
      </w:r>
      <w:r w:rsidRPr="009F3977">
        <w:rPr>
          <w:rFonts w:cs="Arial"/>
          <w:bCs/>
          <w:lang w:eastAsia="fr-FR"/>
        </w:rPr>
        <w:t xml:space="preserve"> or </w:t>
      </w:r>
    </w:p>
    <w:p w:rsidR="009F3977" w:rsidRDefault="009F3977" w:rsidP="009F3977">
      <w:pPr>
        <w:pStyle w:val="ListParagraph"/>
        <w:ind w:left="1134"/>
        <w:rPr>
          <w:rFonts w:cs="Arial"/>
          <w:bCs/>
          <w:lang w:eastAsia="fr-FR"/>
        </w:rPr>
      </w:pPr>
    </w:p>
    <w:p w:rsidR="00211100" w:rsidRDefault="00211100" w:rsidP="009F3977">
      <w:pPr>
        <w:numPr>
          <w:ilvl w:val="0"/>
          <w:numId w:val="9"/>
        </w:numPr>
        <w:ind w:left="1134" w:hanging="567"/>
        <w:rPr>
          <w:rFonts w:cs="Arial"/>
          <w:bCs/>
          <w:lang w:eastAsia="fr-FR"/>
        </w:rPr>
      </w:pPr>
      <w:proofErr w:type="gramStart"/>
      <w:r>
        <w:rPr>
          <w:rFonts w:cs="Arial"/>
          <w:bCs/>
          <w:lang w:eastAsia="fr-FR"/>
        </w:rPr>
        <w:t>where</w:t>
      </w:r>
      <w:proofErr w:type="gramEnd"/>
      <w:r>
        <w:rPr>
          <w:rFonts w:cs="Arial"/>
          <w:bCs/>
          <w:lang w:eastAsia="fr-FR"/>
        </w:rPr>
        <w:t xml:space="preserve"> more than one growing cycle is conducted but certain characteristics need to be observed only once (e.g. qualitative characteristics). </w:t>
      </w:r>
      <w:r w:rsidR="00A64D31">
        <w:rPr>
          <w:rFonts w:cs="Arial"/>
          <w:bCs/>
          <w:lang w:eastAsia="fr-FR"/>
        </w:rPr>
        <w:t xml:space="preserve"> </w:t>
      </w:r>
      <w:r>
        <w:rPr>
          <w:rFonts w:cs="Arial"/>
          <w:bCs/>
          <w:lang w:eastAsia="fr-FR"/>
        </w:rPr>
        <w:t>However, in case of multi-annual testing, “growing</w:t>
      </w:r>
      <w:r w:rsidR="00A64D31">
        <w:rPr>
          <w:rFonts w:cs="Arial"/>
          <w:bCs/>
          <w:lang w:eastAsia="fr-FR"/>
        </w:rPr>
        <w:t> </w:t>
      </w:r>
      <w:r>
        <w:rPr>
          <w:rFonts w:cs="Arial"/>
          <w:bCs/>
          <w:lang w:eastAsia="fr-FR"/>
        </w:rPr>
        <w:t>cycle” would be identical with “testing cycle” where all characteristics are observed in in each growing cycle.</w:t>
      </w:r>
    </w:p>
    <w:p w:rsidR="00A63C47" w:rsidRPr="002D1A00" w:rsidRDefault="00A63C47" w:rsidP="00A63C47">
      <w:pPr>
        <w:rPr>
          <w:rFonts w:cs="Arial"/>
          <w:lang w:eastAsia="fr-FR"/>
        </w:rPr>
      </w:pPr>
    </w:p>
    <w:p w:rsidR="00050E16" w:rsidRPr="002D1A00" w:rsidRDefault="00050E16" w:rsidP="00050E16"/>
    <w:p w:rsidR="00941C89" w:rsidRPr="002D1A00" w:rsidRDefault="00941C89" w:rsidP="00050E16"/>
    <w:p w:rsidR="00050E16" w:rsidRPr="002D1A00" w:rsidRDefault="00050E16" w:rsidP="009F3977">
      <w:pPr>
        <w:jc w:val="right"/>
      </w:pPr>
      <w:r w:rsidRPr="002D1A00">
        <w:t xml:space="preserve"> [End of document]</w:t>
      </w:r>
    </w:p>
    <w:sectPr w:rsidR="00050E16" w:rsidRPr="002D1A00"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DCA" w:rsidRDefault="00315DCA" w:rsidP="006655D3">
      <w:r>
        <w:separator/>
      </w:r>
    </w:p>
    <w:p w:rsidR="00315DCA" w:rsidRDefault="00315DCA" w:rsidP="006655D3"/>
    <w:p w:rsidR="00315DCA" w:rsidRDefault="00315DCA" w:rsidP="006655D3"/>
  </w:endnote>
  <w:endnote w:type="continuationSeparator" w:id="0">
    <w:p w:rsidR="00315DCA" w:rsidRDefault="00315DCA" w:rsidP="006655D3">
      <w:r>
        <w:separator/>
      </w:r>
    </w:p>
    <w:p w:rsidR="00315DCA" w:rsidRPr="00294751" w:rsidRDefault="00315DCA">
      <w:pPr>
        <w:pStyle w:val="Footer"/>
        <w:spacing w:after="60"/>
        <w:rPr>
          <w:sz w:val="18"/>
          <w:lang w:val="fr-FR"/>
        </w:rPr>
      </w:pPr>
      <w:r w:rsidRPr="00294751">
        <w:rPr>
          <w:sz w:val="18"/>
          <w:lang w:val="fr-FR"/>
        </w:rPr>
        <w:t>[Suite de la note de la page précédente]</w:t>
      </w:r>
    </w:p>
    <w:p w:rsidR="00315DCA" w:rsidRPr="00294751" w:rsidRDefault="00315DCA" w:rsidP="006655D3">
      <w:pPr>
        <w:rPr>
          <w:lang w:val="fr-FR"/>
        </w:rPr>
      </w:pPr>
    </w:p>
    <w:p w:rsidR="00315DCA" w:rsidRPr="00294751" w:rsidRDefault="00315DCA" w:rsidP="006655D3">
      <w:pPr>
        <w:rPr>
          <w:lang w:val="fr-FR"/>
        </w:rPr>
      </w:pPr>
    </w:p>
  </w:endnote>
  <w:endnote w:type="continuationNotice" w:id="1">
    <w:p w:rsidR="00315DCA" w:rsidRPr="00294751" w:rsidRDefault="00315DCA" w:rsidP="006655D3">
      <w:pPr>
        <w:rPr>
          <w:lang w:val="fr-FR"/>
        </w:rPr>
      </w:pPr>
      <w:r w:rsidRPr="00294751">
        <w:rPr>
          <w:lang w:val="fr-FR"/>
        </w:rPr>
        <w:t>[Suite de la note page suivante]</w:t>
      </w:r>
    </w:p>
    <w:p w:rsidR="00315DCA" w:rsidRPr="00294751" w:rsidRDefault="00315DCA" w:rsidP="006655D3">
      <w:pPr>
        <w:rPr>
          <w:lang w:val="fr-FR"/>
        </w:rPr>
      </w:pPr>
    </w:p>
    <w:p w:rsidR="00315DCA" w:rsidRPr="00294751" w:rsidRDefault="00315DC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DCA" w:rsidRDefault="00315DCA" w:rsidP="006655D3">
      <w:r>
        <w:separator/>
      </w:r>
    </w:p>
  </w:footnote>
  <w:footnote w:type="continuationSeparator" w:id="0">
    <w:p w:rsidR="00315DCA" w:rsidRDefault="00315DCA" w:rsidP="006655D3">
      <w:r>
        <w:separator/>
      </w:r>
    </w:p>
  </w:footnote>
  <w:footnote w:type="continuationNotice" w:id="1">
    <w:p w:rsidR="00315DCA" w:rsidRPr="00AB530F" w:rsidRDefault="00315DC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C53EB3" w:rsidP="00EB048E">
    <w:pPr>
      <w:pStyle w:val="Header"/>
      <w:rPr>
        <w:rStyle w:val="PageNumber"/>
        <w:lang w:val="en-US"/>
      </w:rPr>
    </w:pPr>
    <w:r>
      <w:rPr>
        <w:rStyle w:val="PageNumber"/>
        <w:lang w:val="en-US"/>
      </w:rPr>
      <w:t>T</w:t>
    </w:r>
    <w:r w:rsidR="00E70039">
      <w:rPr>
        <w:rStyle w:val="PageNumber"/>
        <w:lang w:val="en-US"/>
      </w:rPr>
      <w:t>W</w:t>
    </w:r>
    <w:r w:rsidR="006455EC">
      <w:rPr>
        <w:rStyle w:val="PageNumber"/>
        <w:lang w:val="en-US"/>
      </w:rPr>
      <w:t>O</w:t>
    </w:r>
    <w:r>
      <w:rPr>
        <w:rStyle w:val="PageNumber"/>
        <w:lang w:val="en-US"/>
      </w:rPr>
      <w:t>/</w:t>
    </w:r>
    <w:r w:rsidR="00805E12">
      <w:rPr>
        <w:rStyle w:val="PageNumber"/>
        <w:lang w:val="en-US"/>
      </w:rPr>
      <w:t>5</w:t>
    </w:r>
    <w:r w:rsidR="00D3603B">
      <w:rPr>
        <w:rStyle w:val="PageNumber"/>
        <w:lang w:val="en-US"/>
      </w:rPr>
      <w:t>1</w:t>
    </w:r>
    <w:r w:rsidR="00667404">
      <w:rPr>
        <w:rStyle w:val="PageNumber"/>
        <w:lang w:val="en-US"/>
      </w:rPr>
      <w:t>/</w:t>
    </w:r>
    <w:r w:rsidR="00025BB5">
      <w:rPr>
        <w:rStyle w:val="PageNumber"/>
        <w:lang w:val="en-US"/>
      </w:rPr>
      <w:t>10</w:t>
    </w:r>
  </w:p>
  <w:p w:rsidR="00182B99" w:rsidRDefault="00452CDA" w:rsidP="00EB048E">
    <w:pPr>
      <w:pStyle w:val="Header"/>
      <w:rPr>
        <w:noProof/>
        <w:lang w:val="en-US"/>
      </w:rPr>
    </w:pPr>
    <w:proofErr w:type="gramStart"/>
    <w:r>
      <w:rPr>
        <w:lang w:val="en-US"/>
      </w:rPr>
      <w:t>page</w:t>
    </w:r>
    <w:proofErr w:type="gramEnd"/>
    <w:r>
      <w:rPr>
        <w:lang w:val="en-US"/>
      </w:rPr>
      <w:t xml:space="preserve"> </w:t>
    </w:r>
    <w:r w:rsidRPr="00452CDA">
      <w:rPr>
        <w:lang w:val="en-US"/>
      </w:rPr>
      <w:fldChar w:fldCharType="begin"/>
    </w:r>
    <w:r w:rsidRPr="00452CDA">
      <w:rPr>
        <w:lang w:val="en-US"/>
      </w:rPr>
      <w:instrText xml:space="preserve"> PAGE   \* MERGEFORMAT </w:instrText>
    </w:r>
    <w:r w:rsidRPr="00452CDA">
      <w:rPr>
        <w:lang w:val="en-US"/>
      </w:rPr>
      <w:fldChar w:fldCharType="separate"/>
    </w:r>
    <w:r w:rsidR="00272C28">
      <w:rPr>
        <w:noProof/>
        <w:lang w:val="en-US"/>
      </w:rPr>
      <w:t>2</w:t>
    </w:r>
    <w:r w:rsidRPr="00452CDA">
      <w:rPr>
        <w:noProof/>
        <w:lang w:val="en-US"/>
      </w:rPr>
      <w:fldChar w:fldCharType="end"/>
    </w:r>
  </w:p>
  <w:p w:rsidR="00452CDA" w:rsidRDefault="00452CDA" w:rsidP="00EB048E">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E82"/>
    <w:multiLevelType w:val="hybridMultilevel"/>
    <w:tmpl w:val="3078D3F0"/>
    <w:lvl w:ilvl="0" w:tplc="E19807E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F80FA8"/>
    <w:multiLevelType w:val="hybridMultilevel"/>
    <w:tmpl w:val="83E43E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021F79"/>
    <w:multiLevelType w:val="hybridMultilevel"/>
    <w:tmpl w:val="2C70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85865"/>
    <w:multiLevelType w:val="hybridMultilevel"/>
    <w:tmpl w:val="05EA3980"/>
    <w:lvl w:ilvl="0" w:tplc="CE5E820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015227"/>
    <w:multiLevelType w:val="hybridMultilevel"/>
    <w:tmpl w:val="D5DC0FF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FA4629"/>
    <w:multiLevelType w:val="hybridMultilevel"/>
    <w:tmpl w:val="F3A8FFA6"/>
    <w:lvl w:ilvl="0" w:tplc="9EC6BBB0">
      <w:start w:val="5"/>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181802"/>
    <w:multiLevelType w:val="hybridMultilevel"/>
    <w:tmpl w:val="84E6D3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0E7C86"/>
    <w:multiLevelType w:val="hybridMultilevel"/>
    <w:tmpl w:val="C9CE62D2"/>
    <w:lvl w:ilvl="0" w:tplc="6A18842A">
      <w:start w:val="1"/>
      <w:numFmt w:val="lowerLetter"/>
      <w:lvlText w:val="(%1)"/>
      <w:lvlJc w:val="left"/>
      <w:pPr>
        <w:ind w:left="720" w:hanging="360"/>
      </w:pPr>
      <w:rPr>
        <w:rFonts w:ascii="Arial" w:eastAsia="Times New Roman" w:hAnsi="Arial" w:cs="Aria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B19126F"/>
    <w:multiLevelType w:val="hybridMultilevel"/>
    <w:tmpl w:val="C848F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291F4A"/>
    <w:multiLevelType w:val="hybridMultilevel"/>
    <w:tmpl w:val="1C3806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D662F23"/>
    <w:multiLevelType w:val="hybridMultilevel"/>
    <w:tmpl w:val="2982A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605B3"/>
    <w:multiLevelType w:val="hybridMultilevel"/>
    <w:tmpl w:val="83969A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45C4E2F"/>
    <w:multiLevelType w:val="hybridMultilevel"/>
    <w:tmpl w:val="3CD4E4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3C5D8F"/>
    <w:multiLevelType w:val="hybridMultilevel"/>
    <w:tmpl w:val="B6D0E206"/>
    <w:lvl w:ilvl="0" w:tplc="795C1EE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420413C"/>
    <w:multiLevelType w:val="hybridMultilevel"/>
    <w:tmpl w:val="DF488C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976741E"/>
    <w:multiLevelType w:val="hybridMultilevel"/>
    <w:tmpl w:val="6EBE10A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13"/>
  </w:num>
  <w:num w:numId="2">
    <w:abstractNumId w:val="3"/>
  </w:num>
  <w:num w:numId="3">
    <w:abstractNumId w:val="5"/>
  </w:num>
  <w:num w:numId="4">
    <w:abstractNumId w:val="14"/>
  </w:num>
  <w:num w:numId="5">
    <w:abstractNumId w:val="12"/>
  </w:num>
  <w:num w:numId="6">
    <w:abstractNumId w:val="8"/>
  </w:num>
  <w:num w:numId="7">
    <w:abstractNumId w:val="6"/>
  </w:num>
  <w:num w:numId="8">
    <w:abstractNumId w:val="9"/>
  </w:num>
  <w:num w:numId="9">
    <w:abstractNumId w:val="7"/>
  </w:num>
  <w:num w:numId="10">
    <w:abstractNumId w:val="1"/>
  </w:num>
  <w:num w:numId="11">
    <w:abstractNumId w:val="11"/>
  </w:num>
  <w:num w:numId="12">
    <w:abstractNumId w:val="4"/>
  </w:num>
  <w:num w:numId="13">
    <w:abstractNumId w:val="15"/>
  </w:num>
  <w:num w:numId="14">
    <w:abstractNumId w:val="2"/>
  </w:num>
  <w:num w:numId="15">
    <w:abstractNumId w:val="0"/>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DCA"/>
    <w:rsid w:val="00010CF3"/>
    <w:rsid w:val="00011E27"/>
    <w:rsid w:val="000148BC"/>
    <w:rsid w:val="00024AB8"/>
    <w:rsid w:val="00025BB5"/>
    <w:rsid w:val="00030854"/>
    <w:rsid w:val="00036028"/>
    <w:rsid w:val="00044642"/>
    <w:rsid w:val="000446B9"/>
    <w:rsid w:val="00047E21"/>
    <w:rsid w:val="00050E16"/>
    <w:rsid w:val="00085505"/>
    <w:rsid w:val="000B49D3"/>
    <w:rsid w:val="000C4E25"/>
    <w:rsid w:val="000C7021"/>
    <w:rsid w:val="000D6BBC"/>
    <w:rsid w:val="000D7780"/>
    <w:rsid w:val="000E636A"/>
    <w:rsid w:val="000F2F11"/>
    <w:rsid w:val="00105929"/>
    <w:rsid w:val="001107F6"/>
    <w:rsid w:val="00110C36"/>
    <w:rsid w:val="001131D5"/>
    <w:rsid w:val="001132F2"/>
    <w:rsid w:val="00123D40"/>
    <w:rsid w:val="00137D28"/>
    <w:rsid w:val="00140139"/>
    <w:rsid w:val="00141DB8"/>
    <w:rsid w:val="00172084"/>
    <w:rsid w:val="0017474A"/>
    <w:rsid w:val="001758C6"/>
    <w:rsid w:val="00182B99"/>
    <w:rsid w:val="001A648E"/>
    <w:rsid w:val="001B15F4"/>
    <w:rsid w:val="001D6303"/>
    <w:rsid w:val="001F4FAA"/>
    <w:rsid w:val="00200605"/>
    <w:rsid w:val="00211100"/>
    <w:rsid w:val="002122EC"/>
    <w:rsid w:val="0021332C"/>
    <w:rsid w:val="00213982"/>
    <w:rsid w:val="0024416D"/>
    <w:rsid w:val="00271911"/>
    <w:rsid w:val="00272C28"/>
    <w:rsid w:val="00274E92"/>
    <w:rsid w:val="002800A0"/>
    <w:rsid w:val="002801B3"/>
    <w:rsid w:val="00281060"/>
    <w:rsid w:val="002940E8"/>
    <w:rsid w:val="00294751"/>
    <w:rsid w:val="002A6E50"/>
    <w:rsid w:val="002B4298"/>
    <w:rsid w:val="002C256A"/>
    <w:rsid w:val="002D1A00"/>
    <w:rsid w:val="00305A7F"/>
    <w:rsid w:val="00310A88"/>
    <w:rsid w:val="003152FE"/>
    <w:rsid w:val="00315DCA"/>
    <w:rsid w:val="00320314"/>
    <w:rsid w:val="003206CB"/>
    <w:rsid w:val="00327436"/>
    <w:rsid w:val="00335389"/>
    <w:rsid w:val="003400A2"/>
    <w:rsid w:val="00344BD6"/>
    <w:rsid w:val="0035528D"/>
    <w:rsid w:val="00356208"/>
    <w:rsid w:val="00361821"/>
    <w:rsid w:val="00361E9E"/>
    <w:rsid w:val="00393956"/>
    <w:rsid w:val="003C7FBE"/>
    <w:rsid w:val="003D227C"/>
    <w:rsid w:val="003D2B4D"/>
    <w:rsid w:val="004215DD"/>
    <w:rsid w:val="00444A88"/>
    <w:rsid w:val="00452CDA"/>
    <w:rsid w:val="0047263C"/>
    <w:rsid w:val="00474DA4"/>
    <w:rsid w:val="00476B4D"/>
    <w:rsid w:val="004805FA"/>
    <w:rsid w:val="004935D2"/>
    <w:rsid w:val="0049744F"/>
    <w:rsid w:val="004B1215"/>
    <w:rsid w:val="004D047D"/>
    <w:rsid w:val="004E13CD"/>
    <w:rsid w:val="004F1E9E"/>
    <w:rsid w:val="004F305A"/>
    <w:rsid w:val="00504A2C"/>
    <w:rsid w:val="00512164"/>
    <w:rsid w:val="00520297"/>
    <w:rsid w:val="005338F9"/>
    <w:rsid w:val="0054281C"/>
    <w:rsid w:val="00544581"/>
    <w:rsid w:val="0055268D"/>
    <w:rsid w:val="00576BE4"/>
    <w:rsid w:val="00591B9A"/>
    <w:rsid w:val="005A400A"/>
    <w:rsid w:val="005F7B92"/>
    <w:rsid w:val="00612379"/>
    <w:rsid w:val="006153B6"/>
    <w:rsid w:val="0061555F"/>
    <w:rsid w:val="00621302"/>
    <w:rsid w:val="00636CA6"/>
    <w:rsid w:val="00641200"/>
    <w:rsid w:val="006455EC"/>
    <w:rsid w:val="006508B3"/>
    <w:rsid w:val="00657940"/>
    <w:rsid w:val="006640C1"/>
    <w:rsid w:val="006655D3"/>
    <w:rsid w:val="00667404"/>
    <w:rsid w:val="006826C8"/>
    <w:rsid w:val="00687EB4"/>
    <w:rsid w:val="00695C56"/>
    <w:rsid w:val="006A5CDE"/>
    <w:rsid w:val="006A644A"/>
    <w:rsid w:val="006B17D2"/>
    <w:rsid w:val="006C224E"/>
    <w:rsid w:val="006D06AB"/>
    <w:rsid w:val="006D780A"/>
    <w:rsid w:val="006E787A"/>
    <w:rsid w:val="0071271E"/>
    <w:rsid w:val="007275D6"/>
    <w:rsid w:val="00732A6C"/>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5E12"/>
    <w:rsid w:val="0080679D"/>
    <w:rsid w:val="00806804"/>
    <w:rsid w:val="008108B0"/>
    <w:rsid w:val="00811B20"/>
    <w:rsid w:val="008211B5"/>
    <w:rsid w:val="0082296E"/>
    <w:rsid w:val="00824099"/>
    <w:rsid w:val="00846D7C"/>
    <w:rsid w:val="00860A1D"/>
    <w:rsid w:val="00867AC1"/>
    <w:rsid w:val="00890DF8"/>
    <w:rsid w:val="008A743F"/>
    <w:rsid w:val="008C0970"/>
    <w:rsid w:val="008D0BC5"/>
    <w:rsid w:val="008D2CF7"/>
    <w:rsid w:val="00900C26"/>
    <w:rsid w:val="0090197F"/>
    <w:rsid w:val="00906DDC"/>
    <w:rsid w:val="00925832"/>
    <w:rsid w:val="00934E09"/>
    <w:rsid w:val="00936253"/>
    <w:rsid w:val="00940D46"/>
    <w:rsid w:val="00941C89"/>
    <w:rsid w:val="00952DD4"/>
    <w:rsid w:val="00965AE7"/>
    <w:rsid w:val="00970FED"/>
    <w:rsid w:val="00992D82"/>
    <w:rsid w:val="00997029"/>
    <w:rsid w:val="009A5FC7"/>
    <w:rsid w:val="009A7339"/>
    <w:rsid w:val="009B440E"/>
    <w:rsid w:val="009D690D"/>
    <w:rsid w:val="009E65B6"/>
    <w:rsid w:val="009F3977"/>
    <w:rsid w:val="00A24C10"/>
    <w:rsid w:val="00A42AC3"/>
    <w:rsid w:val="00A430CF"/>
    <w:rsid w:val="00A54309"/>
    <w:rsid w:val="00A63C47"/>
    <w:rsid w:val="00A64D31"/>
    <w:rsid w:val="00A664CF"/>
    <w:rsid w:val="00A73B6E"/>
    <w:rsid w:val="00AB2B93"/>
    <w:rsid w:val="00AB530F"/>
    <w:rsid w:val="00AB7E5B"/>
    <w:rsid w:val="00AC2883"/>
    <w:rsid w:val="00AC60E8"/>
    <w:rsid w:val="00AC6418"/>
    <w:rsid w:val="00AD6A5E"/>
    <w:rsid w:val="00AE0EF1"/>
    <w:rsid w:val="00AE2937"/>
    <w:rsid w:val="00B07301"/>
    <w:rsid w:val="00B11F3E"/>
    <w:rsid w:val="00B224DE"/>
    <w:rsid w:val="00B324D4"/>
    <w:rsid w:val="00B46575"/>
    <w:rsid w:val="00B560B3"/>
    <w:rsid w:val="00B61777"/>
    <w:rsid w:val="00B642E5"/>
    <w:rsid w:val="00B80600"/>
    <w:rsid w:val="00B83F39"/>
    <w:rsid w:val="00B84BBD"/>
    <w:rsid w:val="00BA43FB"/>
    <w:rsid w:val="00BC127D"/>
    <w:rsid w:val="00BC1FE6"/>
    <w:rsid w:val="00BF1057"/>
    <w:rsid w:val="00C061B6"/>
    <w:rsid w:val="00C2446C"/>
    <w:rsid w:val="00C36A87"/>
    <w:rsid w:val="00C36AE5"/>
    <w:rsid w:val="00C41F17"/>
    <w:rsid w:val="00C527FA"/>
    <w:rsid w:val="00C5280D"/>
    <w:rsid w:val="00C53EB3"/>
    <w:rsid w:val="00C5791C"/>
    <w:rsid w:val="00C66290"/>
    <w:rsid w:val="00C72B7A"/>
    <w:rsid w:val="00C86956"/>
    <w:rsid w:val="00C973F2"/>
    <w:rsid w:val="00CA304C"/>
    <w:rsid w:val="00CA774A"/>
    <w:rsid w:val="00CC11B0"/>
    <w:rsid w:val="00CC15A1"/>
    <w:rsid w:val="00CC2841"/>
    <w:rsid w:val="00CF1330"/>
    <w:rsid w:val="00CF7E36"/>
    <w:rsid w:val="00D3603B"/>
    <w:rsid w:val="00D3708D"/>
    <w:rsid w:val="00D40426"/>
    <w:rsid w:val="00D57C96"/>
    <w:rsid w:val="00D57D18"/>
    <w:rsid w:val="00D91203"/>
    <w:rsid w:val="00D95174"/>
    <w:rsid w:val="00D954FA"/>
    <w:rsid w:val="00DA1712"/>
    <w:rsid w:val="00DA4499"/>
    <w:rsid w:val="00DA4973"/>
    <w:rsid w:val="00DA6F36"/>
    <w:rsid w:val="00DB596E"/>
    <w:rsid w:val="00DB7773"/>
    <w:rsid w:val="00DC00EA"/>
    <w:rsid w:val="00DC3802"/>
    <w:rsid w:val="00DD3AA9"/>
    <w:rsid w:val="00DF3F90"/>
    <w:rsid w:val="00E07D87"/>
    <w:rsid w:val="00E32F7E"/>
    <w:rsid w:val="00E34AE1"/>
    <w:rsid w:val="00E5267B"/>
    <w:rsid w:val="00E70039"/>
    <w:rsid w:val="00E72D49"/>
    <w:rsid w:val="00E7593C"/>
    <w:rsid w:val="00E7678A"/>
    <w:rsid w:val="00E935F1"/>
    <w:rsid w:val="00E94A81"/>
    <w:rsid w:val="00EA1FFB"/>
    <w:rsid w:val="00EB048E"/>
    <w:rsid w:val="00EB4E9C"/>
    <w:rsid w:val="00EB6DCA"/>
    <w:rsid w:val="00EC0361"/>
    <w:rsid w:val="00EC481C"/>
    <w:rsid w:val="00ED3FD3"/>
    <w:rsid w:val="00EE1AFA"/>
    <w:rsid w:val="00EE34DF"/>
    <w:rsid w:val="00EE41AF"/>
    <w:rsid w:val="00EF2F89"/>
    <w:rsid w:val="00F03E98"/>
    <w:rsid w:val="00F05638"/>
    <w:rsid w:val="00F1237A"/>
    <w:rsid w:val="00F13A30"/>
    <w:rsid w:val="00F22CBD"/>
    <w:rsid w:val="00F272F1"/>
    <w:rsid w:val="00F45372"/>
    <w:rsid w:val="00F560F7"/>
    <w:rsid w:val="00F6334D"/>
    <w:rsid w:val="00FA08B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295A5632"/>
  <w15:docId w15:val="{33698D1F-C6A8-4C57-AFCF-CCE9751D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F4FAA"/>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4FAA"/>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7275D6"/>
    <w:pPr>
      <w:ind w:left="720"/>
      <w:contextualSpacing/>
    </w:pPr>
  </w:style>
  <w:style w:type="paragraph" w:customStyle="1" w:styleId="Default">
    <w:name w:val="Default"/>
    <w:rsid w:val="00211100"/>
    <w:pPr>
      <w:autoSpaceDE w:val="0"/>
      <w:autoSpaceDN w:val="0"/>
      <w:adjustRightInd w:val="0"/>
    </w:pPr>
    <w:rPr>
      <w:rFonts w:ascii="Arial" w:eastAsia="Calibri" w:hAnsi="Arial" w:cs="Arial"/>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51\template\two_5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two_51.dotx</Template>
  <TotalTime>0</TotalTime>
  <Pages>3</Pages>
  <Words>1425</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TWO/51</vt:lpstr>
    </vt:vector>
  </TitlesOfParts>
  <Company>UPOV</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TWO/51</dc:title>
  <dc:creator>MAY Jessica</dc:creator>
  <cp:lastModifiedBy>MAY Jessica</cp:lastModifiedBy>
  <cp:revision>37</cp:revision>
  <cp:lastPrinted>2019-02-01T17:59:00Z</cp:lastPrinted>
  <dcterms:created xsi:type="dcterms:W3CDTF">2019-01-14T09:03:00Z</dcterms:created>
  <dcterms:modified xsi:type="dcterms:W3CDTF">2019-02-04T15:30:00Z</dcterms:modified>
</cp:coreProperties>
</file>