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EE41AF" w:rsidRPr="00EE41AF">
              <w:t>Ornamental Plants and Forest Trees</w:t>
            </w:r>
          </w:p>
          <w:p w:rsidR="00EB4E9C" w:rsidRPr="00DC3802" w:rsidRDefault="00805E12" w:rsidP="00EE41AF">
            <w:pPr>
              <w:pStyle w:val="Sessiontcplacedate"/>
              <w:rPr>
                <w:sz w:val="22"/>
              </w:rPr>
            </w:pPr>
            <w:r>
              <w:t>Fift</w:t>
            </w:r>
            <w:r w:rsidR="00EE41AF">
              <w:t>ieth</w:t>
            </w:r>
            <w:r w:rsidR="00EB4E9C" w:rsidRPr="00DA4973">
              <w:t xml:space="preserve"> Session</w:t>
            </w:r>
            <w:r w:rsidR="00EB4E9C" w:rsidRPr="00DA4973">
              <w:br/>
            </w:r>
            <w:r w:rsidR="00EE41AF" w:rsidRPr="00EE41AF">
              <w:t>Victoria, British Columbia, Canada</w:t>
            </w:r>
            <w:r w:rsidR="00EB4E9C" w:rsidRPr="00DA4973">
              <w:t xml:space="preserve">, </w:t>
            </w:r>
            <w:r w:rsidR="00EE41AF">
              <w:t>September</w:t>
            </w:r>
            <w:r w:rsidR="00E70039">
              <w:t xml:space="preserve"> </w:t>
            </w:r>
            <w:r w:rsidR="00EE41AF">
              <w:t>11</w:t>
            </w:r>
            <w:r w:rsidR="00E70039">
              <w:t xml:space="preserve"> to </w:t>
            </w:r>
            <w:r w:rsidR="00EE41AF">
              <w:t>15</w:t>
            </w:r>
            <w:r w:rsidR="00EB4E9C" w:rsidRPr="00DA4973">
              <w:t>, 2017</w:t>
            </w:r>
          </w:p>
        </w:tc>
        <w:tc>
          <w:tcPr>
            <w:tcW w:w="3127" w:type="dxa"/>
          </w:tcPr>
          <w:p w:rsidR="00DA4499" w:rsidRPr="00B03BDA" w:rsidRDefault="00621302" w:rsidP="003C7FBE">
            <w:pPr>
              <w:pStyle w:val="Doccode"/>
            </w:pPr>
            <w:r w:rsidRPr="00B03BDA">
              <w:t>T</w:t>
            </w:r>
            <w:r w:rsidR="00E70039" w:rsidRPr="00B03BDA">
              <w:t>W</w:t>
            </w:r>
            <w:r w:rsidR="00EE41AF" w:rsidRPr="00B03BDA">
              <w:t>O</w:t>
            </w:r>
            <w:r w:rsidR="00EB4E9C" w:rsidRPr="00B03BDA">
              <w:t>/</w:t>
            </w:r>
            <w:r w:rsidR="00805E12" w:rsidRPr="00B03BDA">
              <w:t>5</w:t>
            </w:r>
            <w:r w:rsidR="00EE41AF" w:rsidRPr="00B03BDA">
              <w:t>0</w:t>
            </w:r>
            <w:r w:rsidR="00EB4E9C" w:rsidRPr="00B03BDA">
              <w:t>/</w:t>
            </w:r>
            <w:r w:rsidR="00EC2968" w:rsidRPr="00B03BDA">
              <w:t>5</w:t>
            </w:r>
          </w:p>
          <w:p w:rsidR="00EB4E9C" w:rsidRPr="00B03BDA" w:rsidRDefault="00EB4E9C" w:rsidP="003C7FBE">
            <w:pPr>
              <w:pStyle w:val="Docoriginal"/>
            </w:pPr>
            <w:r w:rsidRPr="00B03BDA">
              <w:t>Original:</w:t>
            </w:r>
            <w:r w:rsidRPr="00B03BDA">
              <w:rPr>
                <w:b w:val="0"/>
                <w:spacing w:val="0"/>
              </w:rPr>
              <w:t xml:space="preserve">  English</w:t>
            </w:r>
          </w:p>
          <w:p w:rsidR="00EB4E9C" w:rsidRPr="00B03BDA" w:rsidRDefault="00EB4E9C" w:rsidP="00B03BDA">
            <w:pPr>
              <w:pStyle w:val="Docoriginal"/>
            </w:pPr>
            <w:r w:rsidRPr="00B03BDA">
              <w:t>Date:</w:t>
            </w:r>
            <w:r w:rsidRPr="00B03BDA">
              <w:rPr>
                <w:b w:val="0"/>
                <w:spacing w:val="0"/>
              </w:rPr>
              <w:t xml:space="preserve">  </w:t>
            </w:r>
            <w:r w:rsidR="00B53D01" w:rsidRPr="00B03BDA">
              <w:rPr>
                <w:b w:val="0"/>
                <w:spacing w:val="0"/>
              </w:rPr>
              <w:t>August 1</w:t>
            </w:r>
            <w:r w:rsidR="00B03BDA" w:rsidRPr="00B03BDA">
              <w:rPr>
                <w:b w:val="0"/>
                <w:spacing w:val="0"/>
              </w:rPr>
              <w:t>8</w:t>
            </w:r>
            <w:r w:rsidRPr="00B03BDA">
              <w:rPr>
                <w:b w:val="0"/>
                <w:spacing w:val="0"/>
              </w:rPr>
              <w:t>, 2017</w:t>
            </w:r>
          </w:p>
        </w:tc>
      </w:tr>
    </w:tbl>
    <w:p w:rsidR="000D7780" w:rsidRPr="006A644A" w:rsidRDefault="001163E9" w:rsidP="000F0606">
      <w:pPr>
        <w:pStyle w:val="Titleofdoc0"/>
      </w:pPr>
      <w:bookmarkStart w:id="0" w:name="TitleOfDoc"/>
      <w:bookmarkEnd w:id="0"/>
      <w:r>
        <w:rPr>
          <w:rFonts w:cs="Arial"/>
        </w:rPr>
        <w:t>Defining color groups for grouping of varie</w:t>
      </w:r>
      <w:r w:rsidR="000F0606">
        <w:rPr>
          <w:rFonts w:cs="Arial"/>
        </w:rPr>
        <w:t>ties and organizing the growing </w:t>
      </w:r>
      <w:r>
        <w:rPr>
          <w:rFonts w:cs="Arial"/>
        </w:rPr>
        <w:t>trial</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6815FB">
        <w:t>an expert from Germany</w:t>
      </w:r>
    </w:p>
    <w:p w:rsidR="00050E16" w:rsidRPr="006A644A" w:rsidRDefault="00050E16" w:rsidP="006A644A">
      <w:pPr>
        <w:pStyle w:val="Disclaimer"/>
      </w:pPr>
      <w:r w:rsidRPr="006A644A">
        <w:t>Disclaimer:  this document does not represent UPOV policies or guidance</w:t>
      </w:r>
    </w:p>
    <w:p w:rsidR="001163E9" w:rsidRPr="001163E9" w:rsidRDefault="001163E9" w:rsidP="001163E9">
      <w:pPr>
        <w:pStyle w:val="Heading1"/>
        <w:rPr>
          <w:rFonts w:cs="Arial"/>
        </w:rPr>
      </w:pPr>
      <w:r w:rsidRPr="001163E9">
        <w:rPr>
          <w:rFonts w:cs="Arial"/>
        </w:rPr>
        <w:t>Guidance on the factors to be considered for creating color groups for grouping of varieties and organizing the growing trial</w:t>
      </w:r>
    </w:p>
    <w:p w:rsidR="001163E9" w:rsidRPr="001163E9" w:rsidRDefault="001163E9" w:rsidP="001163E9">
      <w:pPr>
        <w:rPr>
          <w:rFonts w:cs="Arial"/>
          <w:b/>
        </w:rPr>
      </w:pPr>
    </w:p>
    <w:p w:rsidR="001163E9" w:rsidRPr="001163E9" w:rsidRDefault="009B56C3" w:rsidP="001163E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53D01">
        <w:rPr>
          <w:rFonts w:cs="Arial"/>
        </w:rPr>
        <w:t>At its forty-ninth session, held i</w:t>
      </w:r>
      <w:r w:rsidR="001163E9" w:rsidRPr="001163E9">
        <w:rPr>
          <w:rFonts w:cs="Arial"/>
        </w:rPr>
        <w:t>n 2016</w:t>
      </w:r>
      <w:r w:rsidR="00B53D01">
        <w:rPr>
          <w:rFonts w:cs="Arial"/>
        </w:rPr>
        <w:t>,</w:t>
      </w:r>
      <w:r w:rsidR="001163E9" w:rsidRPr="001163E9">
        <w:rPr>
          <w:rFonts w:cs="Arial"/>
        </w:rPr>
        <w:t xml:space="preserve"> the TWO considered document TWO/49/20 </w:t>
      </w:r>
      <w:r>
        <w:rPr>
          <w:rFonts w:cs="Arial"/>
        </w:rPr>
        <w:t>“</w:t>
      </w:r>
      <w:r w:rsidRPr="009B56C3">
        <w:rPr>
          <w:rFonts w:cs="Arial"/>
        </w:rPr>
        <w:t xml:space="preserve">Definition of color groups from RHS </w:t>
      </w:r>
      <w:r>
        <w:rPr>
          <w:rFonts w:cs="Arial"/>
        </w:rPr>
        <w:t>C</w:t>
      </w:r>
      <w:r w:rsidRPr="009B56C3">
        <w:rPr>
          <w:rFonts w:cs="Arial"/>
        </w:rPr>
        <w:t xml:space="preserve">olour </w:t>
      </w:r>
      <w:r>
        <w:rPr>
          <w:rFonts w:cs="Arial"/>
        </w:rPr>
        <w:t>C</w:t>
      </w:r>
      <w:r w:rsidRPr="009B56C3">
        <w:rPr>
          <w:rFonts w:cs="Arial"/>
        </w:rPr>
        <w:t>harts</w:t>
      </w:r>
      <w:r>
        <w:rPr>
          <w:rFonts w:cs="Arial"/>
        </w:rPr>
        <w:t xml:space="preserve">” </w:t>
      </w:r>
      <w:r w:rsidR="001163E9" w:rsidRPr="001163E9">
        <w:rPr>
          <w:rFonts w:cs="Arial"/>
        </w:rPr>
        <w:t>and agreed to request an expert from Germany to draft guidance on the factors to be considered for creating color groups for grouping of varieties and organizing the growing trial</w:t>
      </w:r>
      <w:r w:rsidR="00B53D01">
        <w:rPr>
          <w:rFonts w:cs="Arial"/>
        </w:rPr>
        <w:t xml:space="preserve"> (see document TWO/49/25 Rev. “Revised Report”, paragraph 62)</w:t>
      </w:r>
      <w:r w:rsidR="001163E9" w:rsidRPr="001163E9">
        <w:rPr>
          <w:rFonts w:cs="Arial"/>
        </w:rPr>
        <w:t>.</w:t>
      </w:r>
    </w:p>
    <w:p w:rsidR="001163E9" w:rsidRDefault="001163E9" w:rsidP="001163E9">
      <w:pPr>
        <w:rPr>
          <w:rFonts w:cs="Arial"/>
        </w:rPr>
      </w:pPr>
    </w:p>
    <w:p w:rsidR="00093AD1" w:rsidRPr="001163E9" w:rsidRDefault="00093AD1" w:rsidP="001163E9">
      <w:pPr>
        <w:rPr>
          <w:rFonts w:cs="Arial"/>
        </w:rPr>
      </w:pPr>
    </w:p>
    <w:p w:rsidR="001163E9" w:rsidRPr="001163E9" w:rsidRDefault="001163E9" w:rsidP="001163E9">
      <w:pPr>
        <w:rPr>
          <w:rFonts w:cs="Arial"/>
          <w:u w:val="single"/>
        </w:rPr>
      </w:pPr>
      <w:r w:rsidRPr="001163E9">
        <w:rPr>
          <w:rFonts w:cs="Arial"/>
          <w:u w:val="single"/>
        </w:rPr>
        <w:t>Introduction</w:t>
      </w:r>
    </w:p>
    <w:p w:rsidR="001163E9" w:rsidRPr="001163E9" w:rsidRDefault="001163E9" w:rsidP="001163E9">
      <w:pPr>
        <w:rPr>
          <w:rFonts w:cs="Arial"/>
        </w:rPr>
      </w:pPr>
    </w:p>
    <w:p w:rsidR="001163E9" w:rsidRPr="001163E9" w:rsidRDefault="009B56C3" w:rsidP="001163E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1163E9" w:rsidRPr="001163E9">
        <w:rPr>
          <w:rFonts w:cs="Arial"/>
        </w:rPr>
        <w:t>Grouping characteristics are characteristics in which the documented states of expression, even where recorded at different locations, can be used to exclude varieties of common knowledge from the growing trial. Furthermore they can be used to organize the growing trial so that similar varieties are grouped together</w:t>
      </w:r>
      <w:r w:rsidR="00B53D01">
        <w:rPr>
          <w:rFonts w:cs="Arial"/>
        </w:rPr>
        <w:t xml:space="preserve"> (see document TG/1/3 “</w:t>
      </w:r>
      <w:r w:rsidR="00647AEA" w:rsidRPr="00647AEA">
        <w:rPr>
          <w:rFonts w:cs="Arial"/>
        </w:rPr>
        <w:t>General Introduction to the Examination of Distinctness, Uniformity and Stability and the Development of Harmonized Descriptions of new Varieties of Plants</w:t>
      </w:r>
      <w:r w:rsidR="00647AEA">
        <w:rPr>
          <w:rFonts w:cs="Arial"/>
        </w:rPr>
        <w:t xml:space="preserve">”, Section 4.8) </w:t>
      </w:r>
      <w:r w:rsidR="001163E9" w:rsidRPr="001163E9">
        <w:rPr>
          <w:rFonts w:cs="Arial"/>
        </w:rPr>
        <w:t>.</w:t>
      </w:r>
    </w:p>
    <w:p w:rsidR="001163E9" w:rsidRPr="001163E9" w:rsidRDefault="001163E9" w:rsidP="001163E9">
      <w:pPr>
        <w:rPr>
          <w:rFonts w:cs="Arial"/>
        </w:rPr>
      </w:pPr>
    </w:p>
    <w:p w:rsidR="001163E9" w:rsidRPr="001163E9" w:rsidRDefault="009B56C3" w:rsidP="001163E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1163E9" w:rsidRPr="001163E9">
        <w:rPr>
          <w:rFonts w:cs="Arial"/>
        </w:rPr>
        <w:t xml:space="preserve">When a characteristic that is described by using the RHS Colour Chart </w:t>
      </w:r>
      <w:r w:rsidR="00E138F0">
        <w:rPr>
          <w:rFonts w:cs="Arial"/>
        </w:rPr>
        <w:t>is selected as</w:t>
      </w:r>
      <w:r w:rsidR="001163E9" w:rsidRPr="001163E9">
        <w:rPr>
          <w:rFonts w:cs="Arial"/>
        </w:rPr>
        <w:t xml:space="preserve"> a grouping characteristic, it is necessary to create color groups.</w:t>
      </w:r>
    </w:p>
    <w:p w:rsidR="001163E9" w:rsidRDefault="001163E9" w:rsidP="001163E9">
      <w:pPr>
        <w:rPr>
          <w:rFonts w:cs="Arial"/>
        </w:rPr>
      </w:pPr>
    </w:p>
    <w:p w:rsidR="00093AD1" w:rsidRPr="001163E9" w:rsidRDefault="00093AD1" w:rsidP="001163E9">
      <w:pPr>
        <w:rPr>
          <w:rFonts w:cs="Arial"/>
        </w:rPr>
      </w:pPr>
    </w:p>
    <w:p w:rsidR="001163E9" w:rsidRPr="001163E9" w:rsidRDefault="001163E9" w:rsidP="001163E9">
      <w:pPr>
        <w:rPr>
          <w:rFonts w:cs="Arial"/>
          <w:u w:val="single"/>
        </w:rPr>
      </w:pPr>
      <w:r w:rsidRPr="001163E9">
        <w:rPr>
          <w:rFonts w:cs="Arial"/>
          <w:u w:val="single"/>
        </w:rPr>
        <w:t>Factors to be considered for creating color groups</w:t>
      </w:r>
    </w:p>
    <w:p w:rsidR="001163E9" w:rsidRPr="001163E9" w:rsidRDefault="001163E9" w:rsidP="001163E9">
      <w:pPr>
        <w:rPr>
          <w:rFonts w:cs="Arial"/>
        </w:rPr>
      </w:pPr>
    </w:p>
    <w:p w:rsidR="001163E9" w:rsidRPr="001163E9" w:rsidRDefault="009B56C3" w:rsidP="001163E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1163E9" w:rsidRPr="001163E9">
        <w:rPr>
          <w:rFonts w:cs="Arial"/>
        </w:rPr>
        <w:t>When using the color of a plant part for grouping of varieties</w:t>
      </w:r>
      <w:r w:rsidR="00647AEA">
        <w:rPr>
          <w:rFonts w:cs="Arial"/>
        </w:rPr>
        <w:t>,</w:t>
      </w:r>
      <w:r w:rsidR="001163E9" w:rsidRPr="001163E9">
        <w:rPr>
          <w:rFonts w:cs="Arial"/>
        </w:rPr>
        <w:t xml:space="preserve"> a very clear and large difference between the colors is required. However, the colour groups are also used in the Technical Questionnaire for applicants who have no RHS Colour Chart. Therefore the groups need to be small enough so that applicants are able to give an adequate state of expression for the characteristic.</w:t>
      </w:r>
    </w:p>
    <w:p w:rsidR="001163E9" w:rsidRPr="001163E9" w:rsidRDefault="001163E9" w:rsidP="001163E9">
      <w:pPr>
        <w:rPr>
          <w:rFonts w:cs="Arial"/>
        </w:rPr>
      </w:pPr>
    </w:p>
    <w:p w:rsidR="001163E9" w:rsidRPr="001163E9" w:rsidRDefault="009B56C3" w:rsidP="001163E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1163E9" w:rsidRPr="001163E9">
        <w:rPr>
          <w:rFonts w:cs="Arial"/>
        </w:rPr>
        <w:t>The following factors have to be considered when creating color groups for grouping:</w:t>
      </w:r>
    </w:p>
    <w:p w:rsidR="001163E9" w:rsidRPr="001163E9" w:rsidRDefault="001163E9" w:rsidP="001163E9">
      <w:pPr>
        <w:rPr>
          <w:rFonts w:cs="Arial"/>
        </w:rPr>
      </w:pPr>
    </w:p>
    <w:p w:rsidR="001163E9" w:rsidRPr="001163E9" w:rsidRDefault="001163E9" w:rsidP="00E138F0">
      <w:pPr>
        <w:pStyle w:val="ListParagraph"/>
        <w:numPr>
          <w:ilvl w:val="0"/>
          <w:numId w:val="3"/>
        </w:numPr>
        <w:ind w:left="1134" w:hanging="567"/>
        <w:jc w:val="both"/>
        <w:rPr>
          <w:rFonts w:eastAsia="Times New Roman"/>
          <w:sz w:val="20"/>
          <w:szCs w:val="20"/>
          <w:lang w:val="en-US"/>
        </w:rPr>
      </w:pPr>
      <w:r w:rsidRPr="001163E9">
        <w:rPr>
          <w:rFonts w:eastAsia="Times New Roman"/>
          <w:sz w:val="20"/>
          <w:szCs w:val="20"/>
          <w:lang w:val="en-US"/>
        </w:rPr>
        <w:t>range of variation of the color of the plant part within the species</w:t>
      </w:r>
    </w:p>
    <w:p w:rsidR="001163E9" w:rsidRPr="001163E9" w:rsidRDefault="001163E9" w:rsidP="00E138F0">
      <w:pPr>
        <w:pStyle w:val="ListParagraph"/>
        <w:numPr>
          <w:ilvl w:val="0"/>
          <w:numId w:val="3"/>
        </w:numPr>
        <w:ind w:left="1134" w:hanging="567"/>
        <w:jc w:val="both"/>
        <w:rPr>
          <w:rFonts w:eastAsia="Times New Roman"/>
          <w:sz w:val="20"/>
          <w:szCs w:val="20"/>
          <w:lang w:val="en-US"/>
        </w:rPr>
      </w:pPr>
      <w:r w:rsidRPr="001163E9">
        <w:rPr>
          <w:rFonts w:eastAsia="Times New Roman"/>
          <w:sz w:val="20"/>
          <w:szCs w:val="20"/>
          <w:lang w:val="en-US"/>
        </w:rPr>
        <w:t>necessary difference between colors for varieties to be considered clearly distinct</w:t>
      </w:r>
    </w:p>
    <w:p w:rsidR="001163E9" w:rsidRPr="001163E9" w:rsidRDefault="001163E9" w:rsidP="00E138F0">
      <w:pPr>
        <w:pStyle w:val="ListParagraph"/>
        <w:numPr>
          <w:ilvl w:val="0"/>
          <w:numId w:val="3"/>
        </w:numPr>
        <w:ind w:left="1134" w:hanging="567"/>
        <w:jc w:val="both"/>
        <w:rPr>
          <w:rFonts w:eastAsia="Times New Roman"/>
          <w:sz w:val="20"/>
          <w:szCs w:val="20"/>
          <w:lang w:val="en-US"/>
        </w:rPr>
      </w:pPr>
      <w:r w:rsidRPr="001163E9">
        <w:rPr>
          <w:rFonts w:eastAsia="Times New Roman"/>
          <w:sz w:val="20"/>
          <w:szCs w:val="20"/>
          <w:lang w:val="en-US"/>
        </w:rPr>
        <w:t>possible influence of the environment on the color of the plant part.</w:t>
      </w:r>
    </w:p>
    <w:p w:rsidR="001163E9" w:rsidRPr="001163E9" w:rsidRDefault="001163E9" w:rsidP="001163E9">
      <w:pPr>
        <w:rPr>
          <w:rFonts w:cs="Arial"/>
        </w:rPr>
      </w:pPr>
    </w:p>
    <w:p w:rsidR="001163E9" w:rsidRPr="001163E9" w:rsidRDefault="009B56C3" w:rsidP="001163E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1163E9" w:rsidRPr="001163E9">
        <w:rPr>
          <w:rFonts w:cs="Arial"/>
        </w:rPr>
        <w:t xml:space="preserve">Depending on the species and the plant part observed the color groups for grouping can be different. Examples for color groups in grouping characteristics of different Test Guidelines are listed in the </w:t>
      </w:r>
      <w:r>
        <w:rPr>
          <w:rFonts w:cs="Arial"/>
        </w:rPr>
        <w:t>following</w:t>
      </w:r>
      <w:r w:rsidR="001163E9" w:rsidRPr="001163E9">
        <w:rPr>
          <w:rFonts w:cs="Arial"/>
        </w:rPr>
        <w:t xml:space="preserve"> table.</w:t>
      </w:r>
    </w:p>
    <w:p w:rsidR="00E8332C" w:rsidRDefault="00E8332C" w:rsidP="001163E9">
      <w:pPr>
        <w:rPr>
          <w:rFonts w:cs="Arial"/>
        </w:rPr>
      </w:pPr>
    </w:p>
    <w:p w:rsidR="001163E9" w:rsidRPr="00E8332C" w:rsidRDefault="001163E9" w:rsidP="00E8332C">
      <w:pPr>
        <w:tabs>
          <w:tab w:val="left" w:pos="8556"/>
        </w:tabs>
        <w:rPr>
          <w:rFonts w:cs="Arial"/>
        </w:rPr>
      </w:pP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1701"/>
        <w:gridCol w:w="1843"/>
        <w:gridCol w:w="2126"/>
        <w:gridCol w:w="1985"/>
        <w:gridCol w:w="1984"/>
      </w:tblGrid>
      <w:tr w:rsidR="006815FB" w:rsidRPr="006F1F96" w:rsidTr="006F1F96">
        <w:trPr>
          <w:cantSplit/>
          <w:trHeight w:val="397"/>
        </w:trPr>
        <w:tc>
          <w:tcPr>
            <w:tcW w:w="1701" w:type="dxa"/>
            <w:tcBorders>
              <w:top w:val="single" w:sz="4" w:space="0" w:color="auto"/>
              <w:left w:val="nil"/>
              <w:bottom w:val="single" w:sz="4" w:space="0" w:color="auto"/>
              <w:right w:val="single" w:sz="4" w:space="0" w:color="auto"/>
            </w:tcBorders>
          </w:tcPr>
          <w:p w:rsidR="001163E9" w:rsidRPr="006F1F96" w:rsidRDefault="001163E9" w:rsidP="006F1F96">
            <w:pPr>
              <w:keepNext/>
              <w:spacing w:before="20"/>
              <w:jc w:val="left"/>
              <w:rPr>
                <w:rFonts w:eastAsia="Times New Roman"/>
                <w:b/>
                <w:sz w:val="18"/>
                <w:szCs w:val="20"/>
                <w:lang w:val="en-US"/>
              </w:rPr>
            </w:pPr>
            <w:r w:rsidRPr="006F1F96">
              <w:rPr>
                <w:rFonts w:eastAsia="Times New Roman"/>
                <w:sz w:val="18"/>
                <w:szCs w:val="20"/>
                <w:lang w:val="en-US"/>
              </w:rPr>
              <w:lastRenderedPageBreak/>
              <w:t>Test Guideline</w:t>
            </w:r>
          </w:p>
        </w:tc>
        <w:tc>
          <w:tcPr>
            <w:tcW w:w="1843" w:type="dxa"/>
            <w:tcBorders>
              <w:top w:val="single" w:sz="4" w:space="0" w:color="auto"/>
              <w:left w:val="single" w:sz="4" w:space="0" w:color="auto"/>
              <w:bottom w:val="single" w:sz="4" w:space="0" w:color="auto"/>
              <w:right w:val="single" w:sz="4" w:space="0" w:color="auto"/>
            </w:tcBorders>
            <w:hideMark/>
          </w:tcPr>
          <w:p w:rsidR="001163E9" w:rsidRPr="006F1F96" w:rsidRDefault="001163E9" w:rsidP="006F1F96">
            <w:pPr>
              <w:keepNext/>
              <w:jc w:val="left"/>
              <w:rPr>
                <w:rFonts w:eastAsia="Times New Roman"/>
                <w:b/>
                <w:sz w:val="18"/>
                <w:szCs w:val="20"/>
                <w:lang w:val="en-US"/>
              </w:rPr>
            </w:pPr>
            <w:r w:rsidRPr="006F1F96">
              <w:rPr>
                <w:rFonts w:eastAsia="Times New Roman"/>
                <w:b/>
                <w:sz w:val="18"/>
                <w:szCs w:val="20"/>
                <w:lang w:val="en-US"/>
              </w:rPr>
              <w:t>Campanula</w:t>
            </w:r>
            <w:r w:rsidRPr="006F1F96">
              <w:rPr>
                <w:rFonts w:eastAsia="Times New Roman"/>
                <w:b/>
                <w:sz w:val="18"/>
                <w:szCs w:val="20"/>
                <w:lang w:val="en-US"/>
              </w:rPr>
              <w:br/>
            </w:r>
            <w:r w:rsidRPr="006F1F96">
              <w:rPr>
                <w:rFonts w:eastAsia="Times New Roman"/>
                <w:sz w:val="18"/>
                <w:szCs w:val="20"/>
                <w:lang w:val="en-US"/>
              </w:rPr>
              <w:t>(TG/305/1)</w:t>
            </w:r>
          </w:p>
        </w:tc>
        <w:tc>
          <w:tcPr>
            <w:tcW w:w="2126" w:type="dxa"/>
            <w:tcBorders>
              <w:top w:val="single" w:sz="4" w:space="0" w:color="auto"/>
              <w:left w:val="single" w:sz="4" w:space="0" w:color="auto"/>
              <w:bottom w:val="single" w:sz="4" w:space="0" w:color="auto"/>
              <w:right w:val="single" w:sz="4" w:space="0" w:color="auto"/>
            </w:tcBorders>
            <w:hideMark/>
          </w:tcPr>
          <w:p w:rsidR="001163E9" w:rsidRPr="006F1F96" w:rsidRDefault="001163E9" w:rsidP="006F1F96">
            <w:pPr>
              <w:keepNext/>
              <w:jc w:val="left"/>
              <w:rPr>
                <w:rFonts w:eastAsia="Times New Roman"/>
                <w:b/>
                <w:sz w:val="18"/>
                <w:szCs w:val="20"/>
                <w:lang w:val="en-US"/>
              </w:rPr>
            </w:pPr>
            <w:r w:rsidRPr="006F1F96">
              <w:rPr>
                <w:rFonts w:eastAsia="Times New Roman"/>
                <w:b/>
                <w:sz w:val="18"/>
                <w:szCs w:val="20"/>
                <w:lang w:val="en-US"/>
              </w:rPr>
              <w:t>Hosta</w:t>
            </w:r>
            <w:r w:rsidRPr="006F1F96">
              <w:rPr>
                <w:rFonts w:eastAsia="Times New Roman"/>
                <w:b/>
                <w:sz w:val="18"/>
                <w:szCs w:val="20"/>
                <w:lang w:val="en-US"/>
              </w:rPr>
              <w:br/>
            </w:r>
            <w:r w:rsidRPr="006F1F96">
              <w:rPr>
                <w:rFonts w:eastAsia="Times New Roman"/>
                <w:sz w:val="18"/>
                <w:szCs w:val="20"/>
                <w:lang w:val="en-US"/>
              </w:rPr>
              <w:t>(TG/299/1)</w:t>
            </w:r>
          </w:p>
        </w:tc>
        <w:tc>
          <w:tcPr>
            <w:tcW w:w="1985" w:type="dxa"/>
            <w:tcBorders>
              <w:top w:val="single" w:sz="4" w:space="0" w:color="auto"/>
              <w:left w:val="single" w:sz="4" w:space="0" w:color="auto"/>
              <w:bottom w:val="single" w:sz="4" w:space="0" w:color="auto"/>
              <w:right w:val="single" w:sz="4" w:space="0" w:color="auto"/>
            </w:tcBorders>
            <w:hideMark/>
          </w:tcPr>
          <w:p w:rsidR="001163E9" w:rsidRPr="006F1F96" w:rsidRDefault="001163E9" w:rsidP="006F1F96">
            <w:pPr>
              <w:keepNext/>
              <w:jc w:val="left"/>
              <w:rPr>
                <w:rFonts w:eastAsia="Times New Roman"/>
                <w:b/>
                <w:sz w:val="18"/>
                <w:szCs w:val="20"/>
                <w:lang w:val="en-US"/>
              </w:rPr>
            </w:pPr>
            <w:r w:rsidRPr="006F1F96">
              <w:rPr>
                <w:rFonts w:eastAsia="Times New Roman"/>
                <w:b/>
                <w:sz w:val="18"/>
                <w:szCs w:val="20"/>
                <w:lang w:val="en-US"/>
              </w:rPr>
              <w:t>Cordyline</w:t>
            </w:r>
            <w:r w:rsidRPr="006F1F96">
              <w:rPr>
                <w:rFonts w:eastAsia="Times New Roman"/>
                <w:b/>
                <w:sz w:val="18"/>
                <w:szCs w:val="20"/>
                <w:lang w:val="en-US"/>
              </w:rPr>
              <w:br/>
            </w:r>
            <w:r w:rsidRPr="006F1F96">
              <w:rPr>
                <w:rFonts w:eastAsia="Times New Roman"/>
                <w:sz w:val="18"/>
                <w:szCs w:val="20"/>
                <w:lang w:val="en-US"/>
              </w:rPr>
              <w:t>(TG/317/1)</w:t>
            </w:r>
          </w:p>
        </w:tc>
        <w:tc>
          <w:tcPr>
            <w:tcW w:w="1984" w:type="dxa"/>
            <w:tcBorders>
              <w:top w:val="single" w:sz="4" w:space="0" w:color="auto"/>
              <w:left w:val="single" w:sz="4" w:space="0" w:color="auto"/>
              <w:bottom w:val="single" w:sz="4" w:space="0" w:color="auto"/>
            </w:tcBorders>
            <w:hideMark/>
          </w:tcPr>
          <w:p w:rsidR="001163E9" w:rsidRPr="006F1F96" w:rsidRDefault="001163E9" w:rsidP="006F1F96">
            <w:pPr>
              <w:keepNext/>
              <w:jc w:val="left"/>
              <w:rPr>
                <w:rFonts w:eastAsia="Times New Roman"/>
                <w:b/>
                <w:sz w:val="18"/>
                <w:szCs w:val="20"/>
                <w:lang w:val="en-US"/>
              </w:rPr>
            </w:pPr>
            <w:r w:rsidRPr="006F1F96">
              <w:rPr>
                <w:rFonts w:eastAsia="Times New Roman"/>
                <w:b/>
                <w:sz w:val="18"/>
                <w:szCs w:val="20"/>
                <w:lang w:val="en-US"/>
              </w:rPr>
              <w:t>Osteospermum</w:t>
            </w:r>
            <w:r w:rsidRPr="006F1F96">
              <w:rPr>
                <w:rFonts w:eastAsia="Times New Roman"/>
                <w:b/>
                <w:sz w:val="18"/>
                <w:szCs w:val="20"/>
                <w:lang w:val="en-US"/>
              </w:rPr>
              <w:br/>
            </w:r>
            <w:r w:rsidRPr="006F1F96">
              <w:rPr>
                <w:rFonts w:eastAsia="Times New Roman"/>
                <w:sz w:val="18"/>
                <w:szCs w:val="20"/>
                <w:lang w:val="en-US"/>
              </w:rPr>
              <w:t>(TG/175/5)</w:t>
            </w:r>
          </w:p>
        </w:tc>
      </w:tr>
      <w:tr w:rsidR="006815FB" w:rsidRPr="006F1F96" w:rsidTr="006F1F96">
        <w:trPr>
          <w:cantSplit/>
        </w:trPr>
        <w:tc>
          <w:tcPr>
            <w:tcW w:w="1701" w:type="dxa"/>
            <w:tcBorders>
              <w:top w:val="nil"/>
              <w:left w:val="nil"/>
              <w:bottom w:val="single" w:sz="4" w:space="0" w:color="auto"/>
              <w:right w:val="single" w:sz="4" w:space="0" w:color="auto"/>
            </w:tcBorders>
          </w:tcPr>
          <w:p w:rsidR="001163E9" w:rsidRPr="006F1F96" w:rsidRDefault="001163E9" w:rsidP="006F1F96">
            <w:pPr>
              <w:keepNext/>
              <w:spacing w:before="60"/>
              <w:jc w:val="left"/>
              <w:rPr>
                <w:rFonts w:eastAsia="Times New Roman"/>
                <w:sz w:val="18"/>
                <w:szCs w:val="20"/>
                <w:lang w:val="en-US"/>
              </w:rPr>
            </w:pPr>
            <w:r w:rsidRPr="006F1F96">
              <w:rPr>
                <w:rFonts w:eastAsia="Times New Roman"/>
                <w:sz w:val="18"/>
                <w:szCs w:val="20"/>
                <w:lang w:val="en-US"/>
              </w:rPr>
              <w:t>Characteristic</w:t>
            </w:r>
          </w:p>
        </w:tc>
        <w:tc>
          <w:tcPr>
            <w:tcW w:w="1843" w:type="dxa"/>
            <w:tcBorders>
              <w:top w:val="nil"/>
              <w:left w:val="single" w:sz="4" w:space="0" w:color="auto"/>
              <w:bottom w:val="single" w:sz="4" w:space="0" w:color="auto"/>
              <w:right w:val="single" w:sz="4" w:space="0" w:color="auto"/>
            </w:tcBorders>
            <w:hideMark/>
          </w:tcPr>
          <w:p w:rsidR="001163E9" w:rsidRPr="006F1F96" w:rsidRDefault="001163E9" w:rsidP="006F1F96">
            <w:pPr>
              <w:keepNext/>
              <w:spacing w:before="60"/>
              <w:jc w:val="left"/>
              <w:rPr>
                <w:rFonts w:eastAsia="Times New Roman"/>
                <w:sz w:val="18"/>
                <w:szCs w:val="20"/>
                <w:lang w:val="en-US"/>
              </w:rPr>
            </w:pPr>
            <w:r w:rsidRPr="006F1F96">
              <w:rPr>
                <w:rFonts w:eastAsia="Times New Roman"/>
                <w:sz w:val="18"/>
                <w:szCs w:val="20"/>
                <w:lang w:val="en-US"/>
              </w:rPr>
              <w:t>Corolla: main color of inner side</w:t>
            </w:r>
          </w:p>
        </w:tc>
        <w:tc>
          <w:tcPr>
            <w:tcW w:w="2126" w:type="dxa"/>
            <w:tcBorders>
              <w:top w:val="nil"/>
              <w:left w:val="single" w:sz="4" w:space="0" w:color="auto"/>
              <w:bottom w:val="single" w:sz="4" w:space="0" w:color="auto"/>
              <w:right w:val="single" w:sz="4" w:space="0" w:color="auto"/>
            </w:tcBorders>
            <w:hideMark/>
          </w:tcPr>
          <w:p w:rsidR="001163E9" w:rsidRPr="006F1F96" w:rsidRDefault="001163E9" w:rsidP="006F1F96">
            <w:pPr>
              <w:keepNext/>
              <w:spacing w:before="60"/>
              <w:jc w:val="left"/>
              <w:rPr>
                <w:rFonts w:eastAsia="Times New Roman"/>
                <w:sz w:val="18"/>
                <w:szCs w:val="20"/>
                <w:lang w:val="en-US"/>
              </w:rPr>
            </w:pPr>
            <w:r w:rsidRPr="006F1F96">
              <w:rPr>
                <w:rFonts w:eastAsia="Times New Roman"/>
                <w:sz w:val="18"/>
                <w:szCs w:val="20"/>
                <w:lang w:val="en-US"/>
              </w:rPr>
              <w:t>Leaf blade: color covering the largest surface area</w:t>
            </w:r>
          </w:p>
        </w:tc>
        <w:tc>
          <w:tcPr>
            <w:tcW w:w="1985" w:type="dxa"/>
            <w:tcBorders>
              <w:top w:val="nil"/>
              <w:left w:val="single" w:sz="4" w:space="0" w:color="auto"/>
              <w:bottom w:val="single" w:sz="4" w:space="0" w:color="auto"/>
              <w:right w:val="single" w:sz="4" w:space="0" w:color="auto"/>
            </w:tcBorders>
            <w:hideMark/>
          </w:tcPr>
          <w:p w:rsidR="001163E9" w:rsidRPr="006F1F96" w:rsidRDefault="001163E9" w:rsidP="006F1F96">
            <w:pPr>
              <w:keepNext/>
              <w:spacing w:before="60"/>
              <w:jc w:val="left"/>
              <w:rPr>
                <w:rFonts w:eastAsia="Times New Roman"/>
                <w:sz w:val="18"/>
                <w:szCs w:val="20"/>
                <w:lang w:val="en-US"/>
              </w:rPr>
            </w:pPr>
            <w:r w:rsidRPr="006F1F96">
              <w:rPr>
                <w:rFonts w:eastAsia="Times New Roman"/>
                <w:sz w:val="18"/>
                <w:szCs w:val="20"/>
                <w:lang w:val="en-US"/>
              </w:rPr>
              <w:t>Leaf: secondary color</w:t>
            </w:r>
          </w:p>
        </w:tc>
        <w:tc>
          <w:tcPr>
            <w:tcW w:w="1984" w:type="dxa"/>
            <w:tcBorders>
              <w:top w:val="nil"/>
              <w:left w:val="single" w:sz="4" w:space="0" w:color="auto"/>
              <w:bottom w:val="single" w:sz="4" w:space="0" w:color="auto"/>
            </w:tcBorders>
            <w:hideMark/>
          </w:tcPr>
          <w:p w:rsidR="001163E9" w:rsidRPr="006F1F96" w:rsidRDefault="001163E9" w:rsidP="006F1F96">
            <w:pPr>
              <w:keepNext/>
              <w:spacing w:before="60"/>
              <w:jc w:val="left"/>
              <w:rPr>
                <w:rFonts w:eastAsia="Times New Roman"/>
                <w:sz w:val="18"/>
                <w:szCs w:val="20"/>
                <w:lang w:val="en-US"/>
              </w:rPr>
            </w:pPr>
            <w:r w:rsidRPr="006F1F96">
              <w:rPr>
                <w:rFonts w:eastAsia="Times New Roman"/>
                <w:sz w:val="18"/>
                <w:szCs w:val="20"/>
                <w:lang w:val="en-US"/>
              </w:rPr>
              <w:t>Ray floret: main color of middle part</w:t>
            </w:r>
          </w:p>
        </w:tc>
      </w:tr>
      <w:tr w:rsidR="00B25134" w:rsidRPr="006F1F96" w:rsidTr="00D56B00">
        <w:trPr>
          <w:cantSplit/>
        </w:trPr>
        <w:tc>
          <w:tcPr>
            <w:tcW w:w="1701" w:type="dxa"/>
            <w:vMerge w:val="restart"/>
            <w:tcBorders>
              <w:top w:val="nil"/>
              <w:left w:val="nil"/>
              <w:right w:val="single" w:sz="4" w:space="0" w:color="auto"/>
            </w:tcBorders>
            <w:hideMark/>
          </w:tcPr>
          <w:p w:rsidR="00B25134" w:rsidRPr="006F1F96" w:rsidRDefault="00B25134" w:rsidP="006F1F96">
            <w:pPr>
              <w:keepNext/>
              <w:spacing w:before="60"/>
              <w:jc w:val="left"/>
              <w:rPr>
                <w:rFonts w:eastAsia="Times New Roman"/>
                <w:sz w:val="18"/>
                <w:szCs w:val="20"/>
                <w:lang w:val="en-US"/>
              </w:rPr>
            </w:pPr>
            <w:r w:rsidRPr="006F1F96">
              <w:rPr>
                <w:rFonts w:eastAsia="Times New Roman"/>
                <w:sz w:val="18"/>
                <w:szCs w:val="20"/>
                <w:lang w:val="en-US"/>
              </w:rPr>
              <w:t>Color groups</w:t>
            </w:r>
          </w:p>
          <w:p w:rsidR="00B25134" w:rsidRPr="006F1F96" w:rsidRDefault="00B25134" w:rsidP="006F1F96">
            <w:pPr>
              <w:keepNext/>
              <w:jc w:val="left"/>
              <w:rPr>
                <w:rFonts w:eastAsia="Times New Roman"/>
                <w:sz w:val="18"/>
                <w:szCs w:val="20"/>
                <w:lang w:val="en-US"/>
              </w:rPr>
            </w:pPr>
            <w:r w:rsidRPr="006F1F96">
              <w:rPr>
                <w:rFonts w:eastAsia="Times New Roman"/>
                <w:sz w:val="18"/>
                <w:szCs w:val="20"/>
                <w:lang w:val="en-US"/>
              </w:rPr>
              <w:t>for grouping</w:t>
            </w:r>
          </w:p>
        </w:tc>
        <w:tc>
          <w:tcPr>
            <w:tcW w:w="1843" w:type="dxa"/>
            <w:tcBorders>
              <w:top w:val="nil"/>
              <w:left w:val="single" w:sz="4" w:space="0" w:color="auto"/>
              <w:bottom w:val="nil"/>
              <w:right w:val="single" w:sz="4" w:space="0" w:color="auto"/>
            </w:tcBorders>
            <w:hideMark/>
          </w:tcPr>
          <w:p w:rsidR="00B25134" w:rsidRPr="006F1F96" w:rsidRDefault="00B25134" w:rsidP="006F1F96">
            <w:pPr>
              <w:keepNext/>
              <w:spacing w:before="60"/>
              <w:jc w:val="left"/>
              <w:rPr>
                <w:rFonts w:eastAsia="Times New Roman"/>
                <w:sz w:val="18"/>
                <w:szCs w:val="20"/>
                <w:lang w:val="en-US"/>
              </w:rPr>
            </w:pPr>
            <w:r w:rsidRPr="006F1F96">
              <w:rPr>
                <w:rFonts w:eastAsia="Times New Roman"/>
                <w:sz w:val="18"/>
                <w:szCs w:val="20"/>
                <w:lang w:val="en-US"/>
              </w:rPr>
              <w:t>white</w:t>
            </w:r>
          </w:p>
        </w:tc>
        <w:tc>
          <w:tcPr>
            <w:tcW w:w="2126" w:type="dxa"/>
            <w:tcBorders>
              <w:top w:val="nil"/>
              <w:left w:val="single" w:sz="4" w:space="0" w:color="auto"/>
              <w:bottom w:val="nil"/>
              <w:right w:val="single" w:sz="4" w:space="0" w:color="auto"/>
            </w:tcBorders>
            <w:hideMark/>
          </w:tcPr>
          <w:p w:rsidR="00B25134" w:rsidRPr="006F1F96" w:rsidRDefault="00B25134" w:rsidP="006F1F96">
            <w:pPr>
              <w:keepNext/>
              <w:spacing w:before="60"/>
              <w:jc w:val="left"/>
              <w:rPr>
                <w:rFonts w:eastAsia="Times New Roman"/>
                <w:sz w:val="18"/>
                <w:szCs w:val="20"/>
                <w:lang w:val="en-US"/>
              </w:rPr>
            </w:pPr>
            <w:r w:rsidRPr="006F1F96">
              <w:rPr>
                <w:rFonts w:eastAsia="Times New Roman"/>
                <w:sz w:val="18"/>
                <w:szCs w:val="20"/>
                <w:lang w:val="en-US"/>
              </w:rPr>
              <w:t>white</w:t>
            </w:r>
          </w:p>
        </w:tc>
        <w:tc>
          <w:tcPr>
            <w:tcW w:w="1985" w:type="dxa"/>
            <w:tcBorders>
              <w:top w:val="nil"/>
              <w:left w:val="single" w:sz="4" w:space="0" w:color="auto"/>
              <w:bottom w:val="nil"/>
              <w:right w:val="single" w:sz="4" w:space="0" w:color="auto"/>
            </w:tcBorders>
            <w:hideMark/>
          </w:tcPr>
          <w:p w:rsidR="00B25134" w:rsidRPr="006F1F96" w:rsidRDefault="00B25134" w:rsidP="006F1F96">
            <w:pPr>
              <w:keepNext/>
              <w:spacing w:before="60"/>
              <w:jc w:val="left"/>
              <w:rPr>
                <w:rFonts w:eastAsia="Times New Roman"/>
                <w:sz w:val="18"/>
                <w:szCs w:val="20"/>
                <w:lang w:val="en-US"/>
              </w:rPr>
            </w:pPr>
            <w:r w:rsidRPr="006F1F96">
              <w:rPr>
                <w:rFonts w:eastAsia="Times New Roman"/>
                <w:sz w:val="18"/>
                <w:szCs w:val="20"/>
                <w:lang w:val="en-US"/>
              </w:rPr>
              <w:t>white</w:t>
            </w:r>
          </w:p>
        </w:tc>
        <w:tc>
          <w:tcPr>
            <w:tcW w:w="1984" w:type="dxa"/>
            <w:tcBorders>
              <w:top w:val="nil"/>
              <w:left w:val="single" w:sz="4" w:space="0" w:color="auto"/>
              <w:bottom w:val="nil"/>
            </w:tcBorders>
            <w:hideMark/>
          </w:tcPr>
          <w:p w:rsidR="00B25134" w:rsidRPr="006F1F96" w:rsidRDefault="00B25134" w:rsidP="006F1F96">
            <w:pPr>
              <w:keepNext/>
              <w:spacing w:before="60"/>
              <w:jc w:val="left"/>
              <w:rPr>
                <w:rFonts w:eastAsia="Times New Roman"/>
                <w:sz w:val="18"/>
                <w:szCs w:val="20"/>
                <w:lang w:val="en-US"/>
              </w:rPr>
            </w:pPr>
            <w:r w:rsidRPr="006F1F96">
              <w:rPr>
                <w:rFonts w:eastAsia="Times New Roman"/>
                <w:sz w:val="18"/>
                <w:szCs w:val="20"/>
                <w:lang w:val="en-US"/>
              </w:rPr>
              <w:t>white</w:t>
            </w:r>
          </w:p>
        </w:tc>
      </w:tr>
      <w:tr w:rsidR="00B25134" w:rsidRPr="006F1F96" w:rsidTr="00D56B00">
        <w:trPr>
          <w:cantSplit/>
        </w:trPr>
        <w:tc>
          <w:tcPr>
            <w:tcW w:w="1701" w:type="dxa"/>
            <w:vMerge/>
            <w:tcBorders>
              <w:left w:val="nil"/>
              <w:bottom w:val="nil"/>
              <w:right w:val="single" w:sz="4" w:space="0" w:color="auto"/>
            </w:tcBorders>
            <w:hideMark/>
          </w:tcPr>
          <w:p w:rsidR="00B25134" w:rsidRPr="006F1F96" w:rsidRDefault="00B25134" w:rsidP="006F1F96">
            <w:pPr>
              <w:keepNext/>
              <w:jc w:val="left"/>
              <w:rPr>
                <w:rFonts w:eastAsia="Times New Roman"/>
                <w:sz w:val="18"/>
                <w:szCs w:val="20"/>
                <w:lang w:val="en-US"/>
              </w:rPr>
            </w:pPr>
          </w:p>
        </w:tc>
        <w:tc>
          <w:tcPr>
            <w:tcW w:w="1843" w:type="dxa"/>
            <w:tcBorders>
              <w:top w:val="nil"/>
              <w:left w:val="single" w:sz="4" w:space="0" w:color="auto"/>
              <w:bottom w:val="nil"/>
              <w:right w:val="single" w:sz="4" w:space="0" w:color="auto"/>
            </w:tcBorders>
            <w:hideMark/>
          </w:tcPr>
          <w:p w:rsidR="00B25134" w:rsidRPr="006F1F96" w:rsidRDefault="00B25134" w:rsidP="006F1F96">
            <w:pPr>
              <w:keepNext/>
              <w:jc w:val="left"/>
              <w:rPr>
                <w:rFonts w:eastAsia="Times New Roman"/>
                <w:sz w:val="18"/>
                <w:szCs w:val="20"/>
                <w:lang w:val="en-US"/>
              </w:rPr>
            </w:pPr>
            <w:r w:rsidRPr="006F1F96">
              <w:rPr>
                <w:rFonts w:eastAsia="Times New Roman"/>
                <w:sz w:val="18"/>
                <w:szCs w:val="20"/>
                <w:lang w:val="en-US"/>
              </w:rPr>
              <w:t>pink</w:t>
            </w:r>
          </w:p>
        </w:tc>
        <w:tc>
          <w:tcPr>
            <w:tcW w:w="2126" w:type="dxa"/>
            <w:tcBorders>
              <w:top w:val="nil"/>
              <w:left w:val="single" w:sz="4" w:space="0" w:color="auto"/>
              <w:bottom w:val="nil"/>
              <w:right w:val="single" w:sz="4" w:space="0" w:color="auto"/>
            </w:tcBorders>
            <w:hideMark/>
          </w:tcPr>
          <w:p w:rsidR="00B25134" w:rsidRPr="006F1F96" w:rsidRDefault="00B25134" w:rsidP="006F1F96">
            <w:pPr>
              <w:keepNext/>
              <w:jc w:val="left"/>
              <w:rPr>
                <w:rFonts w:eastAsia="Times New Roman"/>
                <w:sz w:val="18"/>
                <w:szCs w:val="20"/>
                <w:lang w:val="en-US"/>
              </w:rPr>
            </w:pPr>
            <w:r w:rsidRPr="006F1F96">
              <w:rPr>
                <w:rFonts w:eastAsia="Times New Roman"/>
                <w:sz w:val="18"/>
                <w:szCs w:val="20"/>
                <w:lang w:val="en-US"/>
              </w:rPr>
              <w:t>light yellow</w:t>
            </w:r>
          </w:p>
        </w:tc>
        <w:tc>
          <w:tcPr>
            <w:tcW w:w="1985" w:type="dxa"/>
            <w:tcBorders>
              <w:top w:val="nil"/>
              <w:left w:val="single" w:sz="4" w:space="0" w:color="auto"/>
              <w:bottom w:val="nil"/>
              <w:right w:val="single" w:sz="4" w:space="0" w:color="auto"/>
            </w:tcBorders>
            <w:hideMark/>
          </w:tcPr>
          <w:p w:rsidR="00B25134" w:rsidRPr="006F1F96" w:rsidRDefault="00B25134" w:rsidP="006F1F96">
            <w:pPr>
              <w:keepNext/>
              <w:jc w:val="left"/>
              <w:rPr>
                <w:rFonts w:eastAsia="Times New Roman"/>
                <w:sz w:val="18"/>
                <w:szCs w:val="20"/>
                <w:lang w:val="en-US"/>
              </w:rPr>
            </w:pPr>
            <w:r w:rsidRPr="006F1F96">
              <w:rPr>
                <w:rFonts w:eastAsia="Times New Roman"/>
                <w:sz w:val="18"/>
                <w:szCs w:val="20"/>
                <w:lang w:val="en-US"/>
              </w:rPr>
              <w:t>yellow</w:t>
            </w:r>
          </w:p>
        </w:tc>
        <w:tc>
          <w:tcPr>
            <w:tcW w:w="1984" w:type="dxa"/>
            <w:tcBorders>
              <w:top w:val="nil"/>
              <w:left w:val="single" w:sz="4" w:space="0" w:color="auto"/>
              <w:bottom w:val="nil"/>
            </w:tcBorders>
            <w:hideMark/>
          </w:tcPr>
          <w:p w:rsidR="00B25134" w:rsidRPr="006F1F96" w:rsidRDefault="00B25134" w:rsidP="006F1F96">
            <w:pPr>
              <w:keepNext/>
              <w:jc w:val="left"/>
              <w:rPr>
                <w:rFonts w:eastAsia="Times New Roman"/>
                <w:sz w:val="18"/>
                <w:szCs w:val="20"/>
                <w:lang w:val="en-US"/>
              </w:rPr>
            </w:pPr>
            <w:r w:rsidRPr="006F1F96">
              <w:rPr>
                <w:rFonts w:eastAsia="Times New Roman"/>
                <w:sz w:val="18"/>
                <w:szCs w:val="20"/>
                <w:lang w:val="en-US"/>
              </w:rPr>
              <w:t>yellow</w:t>
            </w:r>
          </w:p>
        </w:tc>
      </w:tr>
      <w:tr w:rsidR="006815FB" w:rsidRPr="006F1F96" w:rsidTr="006F1F96">
        <w:trPr>
          <w:cantSplit/>
        </w:trPr>
        <w:tc>
          <w:tcPr>
            <w:tcW w:w="1701" w:type="dxa"/>
            <w:tcBorders>
              <w:top w:val="nil"/>
              <w:left w:val="nil"/>
              <w:bottom w:val="nil"/>
              <w:right w:val="single" w:sz="4" w:space="0" w:color="auto"/>
            </w:tcBorders>
          </w:tcPr>
          <w:p w:rsidR="001163E9" w:rsidRPr="006F1F96" w:rsidRDefault="001163E9" w:rsidP="006F1F96">
            <w:pPr>
              <w:keepNext/>
              <w:jc w:val="left"/>
              <w:rPr>
                <w:rFonts w:eastAsia="Times New Roman"/>
                <w:sz w:val="18"/>
                <w:szCs w:val="20"/>
                <w:lang w:val="en-US"/>
              </w:rPr>
            </w:pPr>
          </w:p>
        </w:tc>
        <w:tc>
          <w:tcPr>
            <w:tcW w:w="1843"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purple red</w:t>
            </w:r>
          </w:p>
        </w:tc>
        <w:tc>
          <w:tcPr>
            <w:tcW w:w="2126"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medium yellow</w:t>
            </w:r>
          </w:p>
        </w:tc>
        <w:tc>
          <w:tcPr>
            <w:tcW w:w="1985"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green</w:t>
            </w:r>
          </w:p>
        </w:tc>
        <w:tc>
          <w:tcPr>
            <w:tcW w:w="1984" w:type="dxa"/>
            <w:tcBorders>
              <w:top w:val="nil"/>
              <w:left w:val="single" w:sz="4" w:space="0" w:color="auto"/>
              <w:bottom w:val="nil"/>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orange</w:t>
            </w:r>
          </w:p>
        </w:tc>
      </w:tr>
      <w:tr w:rsidR="006815FB" w:rsidRPr="006F1F96" w:rsidTr="006F1F96">
        <w:trPr>
          <w:cantSplit/>
        </w:trPr>
        <w:tc>
          <w:tcPr>
            <w:tcW w:w="1701" w:type="dxa"/>
            <w:tcBorders>
              <w:top w:val="nil"/>
              <w:left w:val="nil"/>
              <w:bottom w:val="nil"/>
              <w:right w:val="single" w:sz="4" w:space="0" w:color="auto"/>
            </w:tcBorders>
          </w:tcPr>
          <w:p w:rsidR="001163E9" w:rsidRPr="006F1F96" w:rsidRDefault="001163E9" w:rsidP="006F1F96">
            <w:pPr>
              <w:keepNext/>
              <w:jc w:val="left"/>
              <w:rPr>
                <w:rFonts w:eastAsia="Times New Roman"/>
                <w:sz w:val="18"/>
                <w:szCs w:val="20"/>
                <w:lang w:val="en-US"/>
              </w:rPr>
            </w:pPr>
          </w:p>
        </w:tc>
        <w:tc>
          <w:tcPr>
            <w:tcW w:w="1843"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purple</w:t>
            </w:r>
          </w:p>
        </w:tc>
        <w:tc>
          <w:tcPr>
            <w:tcW w:w="2126"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dark yellow</w:t>
            </w:r>
          </w:p>
        </w:tc>
        <w:tc>
          <w:tcPr>
            <w:tcW w:w="1985"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red</w:t>
            </w:r>
          </w:p>
        </w:tc>
        <w:tc>
          <w:tcPr>
            <w:tcW w:w="1984" w:type="dxa"/>
            <w:tcBorders>
              <w:top w:val="nil"/>
              <w:left w:val="single" w:sz="4" w:space="0" w:color="auto"/>
              <w:bottom w:val="nil"/>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pink</w:t>
            </w:r>
          </w:p>
        </w:tc>
      </w:tr>
      <w:tr w:rsidR="006815FB" w:rsidRPr="006F1F96" w:rsidTr="006F1F96">
        <w:trPr>
          <w:cantSplit/>
        </w:trPr>
        <w:tc>
          <w:tcPr>
            <w:tcW w:w="1701" w:type="dxa"/>
            <w:tcBorders>
              <w:top w:val="nil"/>
              <w:left w:val="nil"/>
              <w:bottom w:val="nil"/>
              <w:right w:val="single" w:sz="4" w:space="0" w:color="auto"/>
            </w:tcBorders>
          </w:tcPr>
          <w:p w:rsidR="001163E9" w:rsidRPr="006F1F96" w:rsidRDefault="001163E9" w:rsidP="006F1F96">
            <w:pPr>
              <w:keepNext/>
              <w:jc w:val="left"/>
              <w:rPr>
                <w:rFonts w:eastAsia="Times New Roman"/>
                <w:sz w:val="18"/>
                <w:szCs w:val="20"/>
                <w:lang w:val="en-US"/>
              </w:rPr>
            </w:pPr>
          </w:p>
        </w:tc>
        <w:tc>
          <w:tcPr>
            <w:tcW w:w="1843"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blue</w:t>
            </w:r>
          </w:p>
        </w:tc>
        <w:tc>
          <w:tcPr>
            <w:tcW w:w="2126"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light green</w:t>
            </w:r>
          </w:p>
        </w:tc>
        <w:tc>
          <w:tcPr>
            <w:tcW w:w="1985"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purple</w:t>
            </w:r>
          </w:p>
        </w:tc>
        <w:tc>
          <w:tcPr>
            <w:tcW w:w="1984" w:type="dxa"/>
            <w:tcBorders>
              <w:top w:val="nil"/>
              <w:left w:val="single" w:sz="4" w:space="0" w:color="auto"/>
              <w:bottom w:val="nil"/>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red</w:t>
            </w:r>
          </w:p>
        </w:tc>
      </w:tr>
      <w:tr w:rsidR="006815FB" w:rsidRPr="006F1F96" w:rsidTr="006F1F96">
        <w:trPr>
          <w:cantSplit/>
        </w:trPr>
        <w:tc>
          <w:tcPr>
            <w:tcW w:w="1701" w:type="dxa"/>
            <w:tcBorders>
              <w:top w:val="nil"/>
              <w:left w:val="nil"/>
              <w:bottom w:val="nil"/>
              <w:right w:val="single" w:sz="4" w:space="0" w:color="auto"/>
            </w:tcBorders>
          </w:tcPr>
          <w:p w:rsidR="001163E9" w:rsidRPr="006F1F96" w:rsidRDefault="001163E9" w:rsidP="006F1F96">
            <w:pPr>
              <w:keepNext/>
              <w:jc w:val="left"/>
              <w:rPr>
                <w:rFonts w:eastAsia="Times New Roman"/>
                <w:sz w:val="18"/>
                <w:szCs w:val="20"/>
                <w:lang w:val="en-US"/>
              </w:rPr>
            </w:pPr>
          </w:p>
        </w:tc>
        <w:tc>
          <w:tcPr>
            <w:tcW w:w="1843" w:type="dxa"/>
            <w:tcBorders>
              <w:top w:val="nil"/>
              <w:left w:val="single" w:sz="4" w:space="0" w:color="auto"/>
              <w:bottom w:val="nil"/>
              <w:right w:val="single" w:sz="4" w:space="0" w:color="auto"/>
            </w:tcBorders>
          </w:tcPr>
          <w:p w:rsidR="001163E9" w:rsidRPr="006F1F96" w:rsidRDefault="001163E9" w:rsidP="006F1F96">
            <w:pPr>
              <w:keepNext/>
              <w:jc w:val="left"/>
              <w:rPr>
                <w:rFonts w:eastAsia="Times New Roman"/>
                <w:sz w:val="18"/>
                <w:szCs w:val="20"/>
                <w:lang w:val="en-US"/>
              </w:rPr>
            </w:pPr>
          </w:p>
        </w:tc>
        <w:tc>
          <w:tcPr>
            <w:tcW w:w="2126"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medium green</w:t>
            </w:r>
          </w:p>
        </w:tc>
        <w:tc>
          <w:tcPr>
            <w:tcW w:w="1985"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brown</w:t>
            </w:r>
          </w:p>
        </w:tc>
        <w:tc>
          <w:tcPr>
            <w:tcW w:w="1984" w:type="dxa"/>
            <w:tcBorders>
              <w:top w:val="nil"/>
              <w:left w:val="single" w:sz="4" w:space="0" w:color="auto"/>
              <w:bottom w:val="nil"/>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purple</w:t>
            </w:r>
          </w:p>
        </w:tc>
      </w:tr>
      <w:tr w:rsidR="006815FB" w:rsidRPr="006F1F96" w:rsidTr="006F1F96">
        <w:trPr>
          <w:cantSplit/>
        </w:trPr>
        <w:tc>
          <w:tcPr>
            <w:tcW w:w="1701" w:type="dxa"/>
            <w:tcBorders>
              <w:top w:val="nil"/>
              <w:left w:val="nil"/>
              <w:bottom w:val="nil"/>
              <w:right w:val="single" w:sz="4" w:space="0" w:color="auto"/>
            </w:tcBorders>
          </w:tcPr>
          <w:p w:rsidR="001163E9" w:rsidRPr="006F1F96" w:rsidRDefault="001163E9" w:rsidP="006F1F96">
            <w:pPr>
              <w:keepNext/>
              <w:jc w:val="left"/>
              <w:rPr>
                <w:rFonts w:eastAsia="Times New Roman"/>
                <w:sz w:val="18"/>
                <w:szCs w:val="20"/>
                <w:lang w:val="en-US"/>
              </w:rPr>
            </w:pPr>
            <w:bookmarkStart w:id="2" w:name="_GoBack"/>
            <w:bookmarkEnd w:id="2"/>
          </w:p>
        </w:tc>
        <w:tc>
          <w:tcPr>
            <w:tcW w:w="1843" w:type="dxa"/>
            <w:tcBorders>
              <w:top w:val="nil"/>
              <w:left w:val="single" w:sz="4" w:space="0" w:color="auto"/>
              <w:bottom w:val="nil"/>
              <w:right w:val="single" w:sz="4" w:space="0" w:color="auto"/>
            </w:tcBorders>
          </w:tcPr>
          <w:p w:rsidR="001163E9" w:rsidRPr="006F1F96" w:rsidRDefault="001163E9" w:rsidP="006F1F96">
            <w:pPr>
              <w:keepNext/>
              <w:jc w:val="left"/>
              <w:rPr>
                <w:rFonts w:eastAsia="Times New Roman"/>
                <w:sz w:val="18"/>
                <w:szCs w:val="20"/>
                <w:lang w:val="en-US"/>
              </w:rPr>
            </w:pPr>
          </w:p>
        </w:tc>
        <w:tc>
          <w:tcPr>
            <w:tcW w:w="2126"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dark green</w:t>
            </w:r>
          </w:p>
        </w:tc>
        <w:tc>
          <w:tcPr>
            <w:tcW w:w="1985"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blackish</w:t>
            </w:r>
          </w:p>
        </w:tc>
        <w:tc>
          <w:tcPr>
            <w:tcW w:w="1984" w:type="dxa"/>
            <w:tcBorders>
              <w:top w:val="nil"/>
              <w:left w:val="single" w:sz="4" w:space="0" w:color="auto"/>
              <w:bottom w:val="nil"/>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violet</w:t>
            </w:r>
          </w:p>
        </w:tc>
      </w:tr>
      <w:tr w:rsidR="006815FB" w:rsidRPr="006F1F96" w:rsidTr="006F1F96">
        <w:trPr>
          <w:cantSplit/>
        </w:trPr>
        <w:tc>
          <w:tcPr>
            <w:tcW w:w="1701" w:type="dxa"/>
            <w:tcBorders>
              <w:top w:val="nil"/>
              <w:left w:val="nil"/>
              <w:bottom w:val="nil"/>
              <w:right w:val="single" w:sz="4" w:space="0" w:color="auto"/>
            </w:tcBorders>
          </w:tcPr>
          <w:p w:rsidR="001163E9" w:rsidRPr="006F1F96" w:rsidRDefault="001163E9" w:rsidP="006F1F96">
            <w:pPr>
              <w:keepNext/>
              <w:jc w:val="left"/>
              <w:rPr>
                <w:rFonts w:eastAsia="Times New Roman"/>
                <w:sz w:val="18"/>
                <w:szCs w:val="20"/>
                <w:lang w:val="en-US"/>
              </w:rPr>
            </w:pPr>
          </w:p>
        </w:tc>
        <w:tc>
          <w:tcPr>
            <w:tcW w:w="1843" w:type="dxa"/>
            <w:tcBorders>
              <w:top w:val="nil"/>
              <w:left w:val="single" w:sz="4" w:space="0" w:color="auto"/>
              <w:bottom w:val="nil"/>
              <w:right w:val="single" w:sz="4" w:space="0" w:color="auto"/>
            </w:tcBorders>
          </w:tcPr>
          <w:p w:rsidR="001163E9" w:rsidRPr="006F1F96" w:rsidRDefault="001163E9" w:rsidP="006F1F96">
            <w:pPr>
              <w:keepNext/>
              <w:jc w:val="left"/>
              <w:rPr>
                <w:rFonts w:eastAsia="Times New Roman"/>
                <w:sz w:val="18"/>
                <w:szCs w:val="20"/>
                <w:lang w:val="en-US"/>
              </w:rPr>
            </w:pPr>
          </w:p>
        </w:tc>
        <w:tc>
          <w:tcPr>
            <w:tcW w:w="2126" w:type="dxa"/>
            <w:tcBorders>
              <w:top w:val="nil"/>
              <w:left w:val="single" w:sz="4" w:space="0" w:color="auto"/>
              <w:bottom w:val="nil"/>
              <w:right w:val="single" w:sz="4" w:space="0" w:color="auto"/>
            </w:tcBorders>
            <w:hideMark/>
          </w:tcPr>
          <w:p w:rsidR="001163E9" w:rsidRPr="006F1F96" w:rsidRDefault="001163E9" w:rsidP="006F1F96">
            <w:pPr>
              <w:keepNext/>
              <w:jc w:val="left"/>
              <w:rPr>
                <w:rFonts w:eastAsia="Times New Roman"/>
                <w:sz w:val="18"/>
                <w:szCs w:val="20"/>
                <w:lang w:val="en-US"/>
              </w:rPr>
            </w:pPr>
            <w:r w:rsidRPr="006F1F96">
              <w:rPr>
                <w:rFonts w:eastAsia="Times New Roman"/>
                <w:sz w:val="18"/>
                <w:szCs w:val="20"/>
                <w:lang w:val="en-US"/>
              </w:rPr>
              <w:t>blue green</w:t>
            </w:r>
          </w:p>
        </w:tc>
        <w:tc>
          <w:tcPr>
            <w:tcW w:w="1985" w:type="dxa"/>
            <w:tcBorders>
              <w:top w:val="nil"/>
              <w:left w:val="single" w:sz="4" w:space="0" w:color="auto"/>
              <w:bottom w:val="nil"/>
              <w:right w:val="single" w:sz="4" w:space="0" w:color="auto"/>
            </w:tcBorders>
          </w:tcPr>
          <w:p w:rsidR="001163E9" w:rsidRPr="006F1F96" w:rsidRDefault="001163E9" w:rsidP="006F1F96">
            <w:pPr>
              <w:keepNext/>
              <w:jc w:val="left"/>
              <w:rPr>
                <w:rFonts w:eastAsia="Times New Roman"/>
                <w:sz w:val="18"/>
                <w:szCs w:val="20"/>
                <w:lang w:val="en-US"/>
              </w:rPr>
            </w:pPr>
          </w:p>
        </w:tc>
        <w:tc>
          <w:tcPr>
            <w:tcW w:w="1984" w:type="dxa"/>
            <w:tcBorders>
              <w:top w:val="nil"/>
              <w:left w:val="single" w:sz="4" w:space="0" w:color="auto"/>
              <w:bottom w:val="nil"/>
            </w:tcBorders>
          </w:tcPr>
          <w:p w:rsidR="001163E9" w:rsidRPr="006F1F96" w:rsidRDefault="001163E9" w:rsidP="006F1F96">
            <w:pPr>
              <w:keepNext/>
              <w:jc w:val="left"/>
              <w:rPr>
                <w:rFonts w:eastAsia="Times New Roman"/>
                <w:sz w:val="18"/>
                <w:szCs w:val="20"/>
                <w:lang w:val="en-US"/>
              </w:rPr>
            </w:pPr>
          </w:p>
        </w:tc>
      </w:tr>
    </w:tbl>
    <w:p w:rsidR="001163E9" w:rsidRDefault="001163E9" w:rsidP="001163E9">
      <w:pPr>
        <w:rPr>
          <w:rFonts w:cs="Arial"/>
        </w:rPr>
      </w:pPr>
    </w:p>
    <w:p w:rsidR="00093AD1" w:rsidRPr="001163E9" w:rsidRDefault="00093AD1" w:rsidP="001163E9">
      <w:pPr>
        <w:rPr>
          <w:rFonts w:cs="Arial"/>
        </w:rPr>
      </w:pPr>
    </w:p>
    <w:p w:rsidR="001163E9" w:rsidRPr="001163E9" w:rsidRDefault="009B56C3" w:rsidP="001163E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1163E9" w:rsidRPr="001163E9">
        <w:rPr>
          <w:rFonts w:cs="Arial"/>
        </w:rPr>
        <w:t xml:space="preserve">It should be emphasized that not necessarily all groups are clearly distinct from each other when information is used that does not come from the same source (same location, same observer). E.g. in Cordyline for the characteristic "Leaf: secondary color" it might not be possible to clearly distinguish between "brown" and "blackish" when looking at photos on the internet or in a plant catalogue. </w:t>
      </w:r>
    </w:p>
    <w:p w:rsidR="00050E16" w:rsidRPr="004B1215" w:rsidRDefault="00050E16" w:rsidP="004B1215"/>
    <w:p w:rsidR="006F2211" w:rsidRDefault="006F2211" w:rsidP="006F2211">
      <w:pPr>
        <w:tabs>
          <w:tab w:val="left" w:pos="5387"/>
        </w:tabs>
        <w:ind w:left="4820"/>
        <w:rPr>
          <w:i/>
        </w:rPr>
      </w:pPr>
      <w:r w:rsidRPr="00093AD1">
        <w:rPr>
          <w:i/>
        </w:rPr>
        <w:fldChar w:fldCharType="begin"/>
      </w:r>
      <w:r w:rsidRPr="00093AD1">
        <w:rPr>
          <w:i/>
        </w:rPr>
        <w:instrText xml:space="preserve"> AUTONUM  </w:instrText>
      </w:r>
      <w:r w:rsidRPr="00093AD1">
        <w:rPr>
          <w:i/>
        </w:rPr>
        <w:fldChar w:fldCharType="end"/>
      </w:r>
      <w:r w:rsidRPr="00093AD1">
        <w:rPr>
          <w:i/>
        </w:rPr>
        <w:tab/>
        <w:t xml:space="preserve">The TWO is invited to consider whether to propose the revision of document TGP/14 “Glossary of terms used in UPOV documents” for the inclusion of </w:t>
      </w:r>
      <w:r w:rsidRPr="00093AD1">
        <w:rPr>
          <w:rFonts w:cs="Arial"/>
          <w:i/>
        </w:rPr>
        <w:t xml:space="preserve">guidance on the factors to be considered for creating color groups for grouping of varieties and organizing the growing trial, as </w:t>
      </w:r>
      <w:r w:rsidRPr="00093AD1">
        <w:rPr>
          <w:i/>
        </w:rPr>
        <w:t>set out in paragraphs 2 to 7 of this document.</w:t>
      </w:r>
      <w:r w:rsidRPr="006F2211">
        <w:rPr>
          <w:i/>
        </w:rPr>
        <w:t xml:space="preserve"> </w:t>
      </w:r>
    </w:p>
    <w:p w:rsidR="00093AD1" w:rsidRDefault="00093AD1" w:rsidP="006F2211">
      <w:pPr>
        <w:tabs>
          <w:tab w:val="left" w:pos="5387"/>
        </w:tabs>
        <w:ind w:left="4820"/>
        <w:rPr>
          <w:i/>
        </w:rPr>
      </w:pPr>
    </w:p>
    <w:p w:rsidR="00093AD1" w:rsidRDefault="00093AD1" w:rsidP="006F2211">
      <w:pPr>
        <w:tabs>
          <w:tab w:val="left" w:pos="5387"/>
        </w:tabs>
        <w:ind w:left="4820"/>
        <w:rPr>
          <w:i/>
        </w:rPr>
      </w:pPr>
    </w:p>
    <w:p w:rsidR="00093AD1" w:rsidRPr="006F2211" w:rsidRDefault="00093AD1" w:rsidP="006F2211">
      <w:pPr>
        <w:tabs>
          <w:tab w:val="left" w:pos="5387"/>
        </w:tabs>
        <w:ind w:left="4820"/>
        <w:rPr>
          <w:i/>
        </w:rPr>
      </w:pPr>
    </w:p>
    <w:p w:rsidR="009B440E" w:rsidRDefault="00050E16" w:rsidP="00050E16">
      <w:pPr>
        <w:jc w:val="right"/>
      </w:pPr>
      <w:r w:rsidRPr="00C5280D">
        <w:t xml:space="preserve"> [End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49" w:rsidRDefault="00B13649" w:rsidP="006655D3">
      <w:r>
        <w:separator/>
      </w:r>
    </w:p>
    <w:p w:rsidR="00B13649" w:rsidRDefault="00B13649" w:rsidP="006655D3"/>
    <w:p w:rsidR="00B13649" w:rsidRDefault="00B13649" w:rsidP="006655D3"/>
  </w:endnote>
  <w:endnote w:type="continuationSeparator" w:id="0">
    <w:p w:rsidR="00B13649" w:rsidRDefault="00B13649" w:rsidP="006655D3">
      <w:r>
        <w:separator/>
      </w:r>
    </w:p>
    <w:p w:rsidR="00B13649" w:rsidRPr="00294751" w:rsidRDefault="00B13649">
      <w:pPr>
        <w:pStyle w:val="Footer"/>
        <w:spacing w:after="60"/>
        <w:rPr>
          <w:sz w:val="18"/>
          <w:lang w:val="fr-FR"/>
        </w:rPr>
      </w:pPr>
      <w:r w:rsidRPr="00294751">
        <w:rPr>
          <w:sz w:val="18"/>
          <w:lang w:val="fr-FR"/>
        </w:rPr>
        <w:t>[Suite de la note de la page précédente]</w:t>
      </w:r>
    </w:p>
    <w:p w:rsidR="00B13649" w:rsidRPr="00294751" w:rsidRDefault="00B13649" w:rsidP="006655D3">
      <w:pPr>
        <w:rPr>
          <w:lang w:val="fr-FR"/>
        </w:rPr>
      </w:pPr>
    </w:p>
    <w:p w:rsidR="00B13649" w:rsidRPr="00294751" w:rsidRDefault="00B13649" w:rsidP="006655D3">
      <w:pPr>
        <w:rPr>
          <w:lang w:val="fr-FR"/>
        </w:rPr>
      </w:pPr>
    </w:p>
  </w:endnote>
  <w:endnote w:type="continuationNotice" w:id="1">
    <w:p w:rsidR="00B13649" w:rsidRPr="00294751" w:rsidRDefault="00B13649" w:rsidP="006655D3">
      <w:pPr>
        <w:rPr>
          <w:lang w:val="fr-FR"/>
        </w:rPr>
      </w:pPr>
      <w:r w:rsidRPr="00294751">
        <w:rPr>
          <w:lang w:val="fr-FR"/>
        </w:rPr>
        <w:t>[Suite de la note page suivante]</w:t>
      </w:r>
    </w:p>
    <w:p w:rsidR="00B13649" w:rsidRPr="00294751" w:rsidRDefault="00B13649" w:rsidP="006655D3">
      <w:pPr>
        <w:rPr>
          <w:lang w:val="fr-FR"/>
        </w:rPr>
      </w:pPr>
    </w:p>
    <w:p w:rsidR="00B13649" w:rsidRPr="00294751" w:rsidRDefault="00B1364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49" w:rsidRDefault="00B13649" w:rsidP="006655D3">
      <w:r>
        <w:separator/>
      </w:r>
    </w:p>
  </w:footnote>
  <w:footnote w:type="continuationSeparator" w:id="0">
    <w:p w:rsidR="00B13649" w:rsidRDefault="00B13649" w:rsidP="006655D3">
      <w:r>
        <w:separator/>
      </w:r>
    </w:p>
  </w:footnote>
  <w:footnote w:type="continuationNotice" w:id="1">
    <w:p w:rsidR="00B13649" w:rsidRPr="00AB530F" w:rsidRDefault="00B1364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6455EC">
      <w:rPr>
        <w:rStyle w:val="PageNumber"/>
        <w:lang w:val="en-US"/>
      </w:rPr>
      <w:t>O</w:t>
    </w:r>
    <w:r>
      <w:rPr>
        <w:rStyle w:val="PageNumber"/>
        <w:lang w:val="en-US"/>
      </w:rPr>
      <w:t>/</w:t>
    </w:r>
    <w:r w:rsidR="00805E12">
      <w:rPr>
        <w:rStyle w:val="PageNumber"/>
        <w:lang w:val="en-US"/>
      </w:rPr>
      <w:t>5</w:t>
    </w:r>
    <w:r w:rsidR="006455EC">
      <w:rPr>
        <w:rStyle w:val="PageNumber"/>
        <w:lang w:val="en-US"/>
      </w:rPr>
      <w:t>0</w:t>
    </w:r>
    <w:r w:rsidR="00667404">
      <w:rPr>
        <w:rStyle w:val="PageNumber"/>
        <w:lang w:val="en-US"/>
      </w:rPr>
      <w:t>/</w:t>
    </w:r>
    <w:r w:rsidR="001163E9">
      <w:rPr>
        <w:rStyle w:val="PageNumber"/>
        <w:lang w:val="en-US"/>
      </w:rPr>
      <w:t>5</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5134">
      <w:rPr>
        <w:rStyle w:val="PageNumber"/>
        <w:noProof/>
        <w:lang w:val="en-US"/>
      </w:rPr>
      <w:t>2</w:t>
    </w:r>
    <w:r w:rsidRPr="00C5280D">
      <w:rPr>
        <w:rStyle w:val="PageNumber"/>
        <w:lang w:val="en-US"/>
      </w:rPr>
      <w:fldChar w:fldCharType="end"/>
    </w:r>
  </w:p>
  <w:p w:rsidR="00182B99" w:rsidRDefault="00182B99" w:rsidP="006655D3"/>
  <w:p w:rsidR="00093AD1" w:rsidRPr="00C5280D" w:rsidRDefault="00093AD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54201B45"/>
    <w:multiLevelType w:val="hybridMultilevel"/>
    <w:tmpl w:val="6B88A1A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49"/>
    <w:rsid w:val="00010CF3"/>
    <w:rsid w:val="00011E27"/>
    <w:rsid w:val="000148BC"/>
    <w:rsid w:val="00024AB8"/>
    <w:rsid w:val="00030854"/>
    <w:rsid w:val="00036028"/>
    <w:rsid w:val="00044642"/>
    <w:rsid w:val="000446B9"/>
    <w:rsid w:val="00047E21"/>
    <w:rsid w:val="00050E16"/>
    <w:rsid w:val="00085505"/>
    <w:rsid w:val="00093AD1"/>
    <w:rsid w:val="000C4E25"/>
    <w:rsid w:val="000C7021"/>
    <w:rsid w:val="000D6BBC"/>
    <w:rsid w:val="000D7780"/>
    <w:rsid w:val="000E636A"/>
    <w:rsid w:val="000F0606"/>
    <w:rsid w:val="000F2F11"/>
    <w:rsid w:val="00105929"/>
    <w:rsid w:val="00110C36"/>
    <w:rsid w:val="001131D5"/>
    <w:rsid w:val="001132F2"/>
    <w:rsid w:val="001163E9"/>
    <w:rsid w:val="00141DB8"/>
    <w:rsid w:val="00172084"/>
    <w:rsid w:val="0017474A"/>
    <w:rsid w:val="001758C6"/>
    <w:rsid w:val="00182B99"/>
    <w:rsid w:val="001D6303"/>
    <w:rsid w:val="001F4FAA"/>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C7FBE"/>
    <w:rsid w:val="003D227C"/>
    <w:rsid w:val="003D2B4D"/>
    <w:rsid w:val="00444A88"/>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36CA6"/>
    <w:rsid w:val="00641200"/>
    <w:rsid w:val="006455EC"/>
    <w:rsid w:val="00647AEA"/>
    <w:rsid w:val="006655D3"/>
    <w:rsid w:val="00667404"/>
    <w:rsid w:val="006815FB"/>
    <w:rsid w:val="00687EB4"/>
    <w:rsid w:val="00695C56"/>
    <w:rsid w:val="006A5CDE"/>
    <w:rsid w:val="006A644A"/>
    <w:rsid w:val="006B17D2"/>
    <w:rsid w:val="006C224E"/>
    <w:rsid w:val="006D780A"/>
    <w:rsid w:val="006F1F96"/>
    <w:rsid w:val="006F2211"/>
    <w:rsid w:val="0071271E"/>
    <w:rsid w:val="00732A6C"/>
    <w:rsid w:val="00732DEC"/>
    <w:rsid w:val="00735BD5"/>
    <w:rsid w:val="00751613"/>
    <w:rsid w:val="007556F6"/>
    <w:rsid w:val="00760EEF"/>
    <w:rsid w:val="00777EE5"/>
    <w:rsid w:val="00784836"/>
    <w:rsid w:val="0079023E"/>
    <w:rsid w:val="007A2854"/>
    <w:rsid w:val="007C008F"/>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7AC1"/>
    <w:rsid w:val="00890DF8"/>
    <w:rsid w:val="00897A51"/>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B56C3"/>
    <w:rsid w:val="009D690D"/>
    <w:rsid w:val="009E65B6"/>
    <w:rsid w:val="00A06CF0"/>
    <w:rsid w:val="00A24C10"/>
    <w:rsid w:val="00A42AC3"/>
    <w:rsid w:val="00A430CF"/>
    <w:rsid w:val="00A54309"/>
    <w:rsid w:val="00AB2B93"/>
    <w:rsid w:val="00AB530F"/>
    <w:rsid w:val="00AB7E5B"/>
    <w:rsid w:val="00AC2883"/>
    <w:rsid w:val="00AE0EF1"/>
    <w:rsid w:val="00AE2937"/>
    <w:rsid w:val="00B03BDA"/>
    <w:rsid w:val="00B07301"/>
    <w:rsid w:val="00B11F3E"/>
    <w:rsid w:val="00B13649"/>
    <w:rsid w:val="00B224DE"/>
    <w:rsid w:val="00B25134"/>
    <w:rsid w:val="00B324D4"/>
    <w:rsid w:val="00B46575"/>
    <w:rsid w:val="00B53D01"/>
    <w:rsid w:val="00B560B3"/>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091D"/>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7D87"/>
    <w:rsid w:val="00E138F0"/>
    <w:rsid w:val="00E32F7E"/>
    <w:rsid w:val="00E5267B"/>
    <w:rsid w:val="00E70039"/>
    <w:rsid w:val="00E72D49"/>
    <w:rsid w:val="00E7593C"/>
    <w:rsid w:val="00E7678A"/>
    <w:rsid w:val="00E8332C"/>
    <w:rsid w:val="00E935F1"/>
    <w:rsid w:val="00E94A81"/>
    <w:rsid w:val="00EA1FFB"/>
    <w:rsid w:val="00EA6138"/>
    <w:rsid w:val="00EB048E"/>
    <w:rsid w:val="00EB4E9C"/>
    <w:rsid w:val="00EC2968"/>
    <w:rsid w:val="00EC481C"/>
    <w:rsid w:val="00EE1AFA"/>
    <w:rsid w:val="00EE34DF"/>
    <w:rsid w:val="00EE41A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163E9"/>
    <w:pPr>
      <w:ind w:left="720"/>
      <w:contextualSpacing/>
      <w:jc w:val="left"/>
    </w:pPr>
    <w:rPr>
      <w:rFonts w:eastAsiaTheme="minorHAnsi" w:cs="Arial"/>
      <w:sz w:val="22"/>
      <w:szCs w:val="22"/>
      <w:lang w:val="de-DE"/>
    </w:rPr>
  </w:style>
  <w:style w:type="table" w:styleId="TableGrid">
    <w:name w:val="Table Grid"/>
    <w:basedOn w:val="TableNormal"/>
    <w:uiPriority w:val="59"/>
    <w:rsid w:val="001163E9"/>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163E9"/>
    <w:pPr>
      <w:ind w:left="720"/>
      <w:contextualSpacing/>
      <w:jc w:val="left"/>
    </w:pPr>
    <w:rPr>
      <w:rFonts w:eastAsiaTheme="minorHAnsi" w:cs="Arial"/>
      <w:sz w:val="22"/>
      <w:szCs w:val="22"/>
      <w:lang w:val="de-DE"/>
    </w:rPr>
  </w:style>
  <w:style w:type="table" w:styleId="TableGrid">
    <w:name w:val="Table Grid"/>
    <w:basedOn w:val="TableNormal"/>
    <w:uiPriority w:val="59"/>
    <w:rsid w:val="001163E9"/>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0593">
      <w:bodyDiv w:val="1"/>
      <w:marLeft w:val="0"/>
      <w:marRight w:val="0"/>
      <w:marTop w:val="0"/>
      <w:marBottom w:val="0"/>
      <w:divBdr>
        <w:top w:val="none" w:sz="0" w:space="0" w:color="auto"/>
        <w:left w:val="none" w:sz="0" w:space="0" w:color="auto"/>
        <w:bottom w:val="none" w:sz="0" w:space="0" w:color="auto"/>
        <w:right w:val="none" w:sz="0" w:space="0" w:color="auto"/>
      </w:divBdr>
    </w:div>
    <w:div w:id="1982493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0\template\two_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two_50.dotx</Template>
  <TotalTime>220</TotalTime>
  <Pages>2</Pages>
  <Words>609</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TWO/50</vt:lpstr>
    </vt:vector>
  </TitlesOfParts>
  <Company>UPOV</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TWO/50</dc:title>
  <dc:creator>TAVEIRA Leontino</dc:creator>
  <cp:lastModifiedBy>BESSE Ariane</cp:lastModifiedBy>
  <cp:revision>17</cp:revision>
  <cp:lastPrinted>2017-08-15T09:22:00Z</cp:lastPrinted>
  <dcterms:created xsi:type="dcterms:W3CDTF">2017-07-31T09:46:00Z</dcterms:created>
  <dcterms:modified xsi:type="dcterms:W3CDTF">2017-08-18T09:38:00Z</dcterms:modified>
</cp:coreProperties>
</file>