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46520" w:rsidP="00DA4499">
            <w:pPr>
              <w:pStyle w:val="Sessiontc"/>
            </w:pPr>
            <w:r w:rsidRPr="00E70039">
              <w:t xml:space="preserve">Technical Working Party for </w:t>
            </w:r>
            <w:r w:rsidRPr="00EE41AF">
              <w:t>Ornamental Plants and Forest Trees</w:t>
            </w:r>
          </w:p>
          <w:p w:rsidR="00EB4E9C" w:rsidRPr="00DC3802" w:rsidRDefault="00246520" w:rsidP="00805E12">
            <w:pPr>
              <w:pStyle w:val="Sessiontcplacedate"/>
              <w:rPr>
                <w:sz w:val="22"/>
              </w:rPr>
            </w:pPr>
            <w:r>
              <w:t>Fiftieth</w:t>
            </w:r>
            <w:r w:rsidRPr="00DA4973">
              <w:t xml:space="preserve"> Session</w:t>
            </w:r>
            <w:r w:rsidR="00EB4E9C" w:rsidRPr="00DA4973">
              <w:br/>
            </w:r>
            <w:r w:rsidRPr="00EE41AF">
              <w:t>Victoria, British Columbia, Canada</w:t>
            </w:r>
            <w:r w:rsidRPr="00DA4973">
              <w:t xml:space="preserve">, </w:t>
            </w:r>
            <w:r>
              <w:t>September 11 to 15</w:t>
            </w:r>
            <w:r w:rsidRPr="00DA4973">
              <w:t>, 2017</w:t>
            </w:r>
          </w:p>
        </w:tc>
        <w:tc>
          <w:tcPr>
            <w:tcW w:w="3127" w:type="dxa"/>
          </w:tcPr>
          <w:p w:rsidR="00DA4499" w:rsidRPr="003C7FBE" w:rsidRDefault="00621302" w:rsidP="00246520">
            <w:pPr>
              <w:pStyle w:val="Doccode"/>
            </w:pPr>
            <w:r>
              <w:t>T</w:t>
            </w:r>
            <w:r w:rsidR="00E70039">
              <w:t>W</w:t>
            </w:r>
            <w:r w:rsidR="00246520">
              <w:t>O</w:t>
            </w:r>
            <w:r w:rsidR="00EB4E9C" w:rsidRPr="00AC2883">
              <w:t>/</w:t>
            </w:r>
            <w:r w:rsidR="00805E12">
              <w:t>5</w:t>
            </w:r>
            <w:r w:rsidR="00246520">
              <w:t>0</w:t>
            </w:r>
            <w:r w:rsidR="00EB4E9C" w:rsidRPr="00AC2883">
              <w:t>/</w:t>
            </w:r>
            <w:r w:rsidR="00356B40">
              <w:t>1</w:t>
            </w:r>
            <w:r w:rsidR="00246520">
              <w:t>1</w:t>
            </w:r>
          </w:p>
          <w:p w:rsidR="00EB4E9C" w:rsidRPr="0070340A" w:rsidRDefault="00EB4E9C" w:rsidP="003C7FBE">
            <w:pPr>
              <w:pStyle w:val="Docoriginal"/>
            </w:pPr>
            <w:bookmarkStart w:id="0" w:name="_GoBack"/>
            <w:bookmarkEnd w:id="0"/>
            <w:r w:rsidRPr="0070340A">
              <w:t>Original:</w:t>
            </w:r>
            <w:r w:rsidRPr="0070340A">
              <w:rPr>
                <w:b w:val="0"/>
                <w:spacing w:val="0"/>
              </w:rPr>
              <w:t xml:space="preserve">  English</w:t>
            </w:r>
          </w:p>
          <w:p w:rsidR="00EB4E9C" w:rsidRPr="007C1D92" w:rsidRDefault="00EB4E9C" w:rsidP="00377729">
            <w:pPr>
              <w:pStyle w:val="Docoriginal"/>
            </w:pPr>
            <w:r w:rsidRPr="0070340A">
              <w:t>Date:</w:t>
            </w:r>
            <w:r w:rsidRPr="0070340A">
              <w:rPr>
                <w:b w:val="0"/>
                <w:spacing w:val="0"/>
              </w:rPr>
              <w:t xml:space="preserve">  </w:t>
            </w:r>
            <w:r w:rsidR="00246520" w:rsidRPr="0070340A">
              <w:rPr>
                <w:b w:val="0"/>
                <w:spacing w:val="0"/>
              </w:rPr>
              <w:t xml:space="preserve">August </w:t>
            </w:r>
            <w:r w:rsidR="0070340A" w:rsidRPr="0070340A">
              <w:rPr>
                <w:b w:val="0"/>
                <w:spacing w:val="0"/>
              </w:rPr>
              <w:t>29</w:t>
            </w:r>
            <w:r w:rsidRPr="0070340A">
              <w:rPr>
                <w:b w:val="0"/>
                <w:spacing w:val="0"/>
              </w:rPr>
              <w:t>, 2017</w:t>
            </w:r>
          </w:p>
        </w:tc>
      </w:tr>
    </w:tbl>
    <w:p w:rsidR="000D7780" w:rsidRPr="006A644A" w:rsidRDefault="00356B40" w:rsidP="006A644A">
      <w:pPr>
        <w:pStyle w:val="Titleofdoc0"/>
      </w:pPr>
      <w:bookmarkStart w:id="1" w:name="TitleOfDoc"/>
      <w:bookmarkEnd w:id="1"/>
      <w:r>
        <w:t>Comments on TGP documents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56B40" w:rsidRPr="008E5149" w:rsidRDefault="00356B40" w:rsidP="00356B40">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purpose of this document is to report the comments on TGP documents made by the </w:t>
      </w:r>
      <w:r w:rsidRPr="00194DF5">
        <w:rPr>
          <w:snapToGrid w:val="0"/>
        </w:rPr>
        <w:t>Technical Working Party for Agricultural Crops (TWA)</w:t>
      </w:r>
      <w:r w:rsidRPr="008E5149">
        <w:rPr>
          <w:snapToGrid w:val="0"/>
        </w:rPr>
        <w:t xml:space="preserve">, at its </w:t>
      </w:r>
      <w:r>
        <w:rPr>
          <w:snapToGrid w:val="0"/>
        </w:rPr>
        <w:t>forty-</w:t>
      </w:r>
      <w:r w:rsidR="00377729">
        <w:rPr>
          <w:snapToGrid w:val="0"/>
        </w:rPr>
        <w:t>sixth</w:t>
      </w:r>
      <w:r>
        <w:rPr>
          <w:snapToGrid w:val="0"/>
        </w:rPr>
        <w:t xml:space="preserve"> </w:t>
      </w:r>
      <w:r w:rsidRPr="008E5149">
        <w:rPr>
          <w:snapToGrid w:val="0"/>
        </w:rPr>
        <w:t xml:space="preserve">session, held in </w:t>
      </w:r>
      <w:r>
        <w:rPr>
          <w:snapToGrid w:val="0"/>
        </w:rPr>
        <w:t>Hannover</w:t>
      </w:r>
      <w:r w:rsidRPr="008E5149">
        <w:rPr>
          <w:snapToGrid w:val="0"/>
        </w:rPr>
        <w:t xml:space="preserve">, </w:t>
      </w:r>
      <w:r>
        <w:rPr>
          <w:snapToGrid w:val="0"/>
        </w:rPr>
        <w:t>Germany</w:t>
      </w:r>
      <w:r w:rsidRPr="008E5149">
        <w:rPr>
          <w:snapToGrid w:val="0"/>
        </w:rPr>
        <w:t xml:space="preserve">, from </w:t>
      </w:r>
      <w:r>
        <w:rPr>
          <w:lang w:val="en"/>
        </w:rPr>
        <w:t>June 19</w:t>
      </w:r>
      <w:r w:rsidRPr="008E5149">
        <w:rPr>
          <w:lang w:val="en"/>
        </w:rPr>
        <w:t xml:space="preserve"> to </w:t>
      </w:r>
      <w:r>
        <w:rPr>
          <w:lang w:val="en"/>
        </w:rPr>
        <w:t>23</w:t>
      </w:r>
      <w:r w:rsidRPr="008E5149">
        <w:rPr>
          <w:lang w:val="en"/>
        </w:rPr>
        <w:t>, 201</w:t>
      </w:r>
      <w:r>
        <w:rPr>
          <w:lang w:val="en"/>
        </w:rPr>
        <w:t>7</w:t>
      </w:r>
      <w:r w:rsidR="00246520">
        <w:rPr>
          <w:lang w:val="en"/>
        </w:rPr>
        <w:t xml:space="preserve">, and the </w:t>
      </w:r>
      <w:r w:rsidR="00246520" w:rsidRPr="00246520">
        <w:rPr>
          <w:lang w:val="en"/>
        </w:rPr>
        <w:t>Technical Working Party for Vegetables (TWV)</w:t>
      </w:r>
      <w:r w:rsidR="00246520">
        <w:rPr>
          <w:lang w:val="en"/>
        </w:rPr>
        <w:t>, at its fifty-first session</w:t>
      </w:r>
      <w:r w:rsidR="008E2D14">
        <w:rPr>
          <w:lang w:val="en"/>
        </w:rPr>
        <w:t xml:space="preserve">, held in </w:t>
      </w:r>
      <w:r w:rsidR="008E2D14" w:rsidRPr="003D1592">
        <w:t xml:space="preserve">Roelofarendsveen, Netherlands, </w:t>
      </w:r>
      <w:r w:rsidR="008E2D14">
        <w:t xml:space="preserve">from </w:t>
      </w:r>
      <w:r w:rsidR="008E2D14" w:rsidRPr="003D1592">
        <w:t>July 3 to 7, 2017</w:t>
      </w:r>
      <w:r w:rsidRPr="008E5149">
        <w:rPr>
          <w:snapToGrid w:val="0"/>
        </w:rPr>
        <w:t>.</w:t>
      </w:r>
    </w:p>
    <w:p w:rsidR="00356B40" w:rsidRPr="008E5149" w:rsidRDefault="00356B40" w:rsidP="00356B40">
      <w:pPr>
        <w:rPr>
          <w:snapToGrid w:val="0"/>
        </w:rPr>
      </w:pPr>
    </w:p>
    <w:p w:rsidR="00356B40" w:rsidRPr="00111958" w:rsidRDefault="00356B40" w:rsidP="00356B40">
      <w:pPr>
        <w:spacing w:after="240"/>
        <w:rPr>
          <w:rFonts w:cs="Arial"/>
        </w:rPr>
      </w:pPr>
      <w:r w:rsidRPr="00111958">
        <w:rPr>
          <w:rFonts w:cs="Arial"/>
        </w:rPr>
        <w:fldChar w:fldCharType="begin"/>
      </w:r>
      <w:r w:rsidRPr="00111958">
        <w:rPr>
          <w:rFonts w:cs="Arial"/>
        </w:rPr>
        <w:instrText xml:space="preserve"> AUTONUM  </w:instrText>
      </w:r>
      <w:r w:rsidRPr="00111958">
        <w:rPr>
          <w:rFonts w:cs="Arial"/>
        </w:rPr>
        <w:fldChar w:fldCharType="end"/>
      </w:r>
      <w:r w:rsidRPr="00111958">
        <w:rPr>
          <w:rFonts w:cs="Arial"/>
        </w:rPr>
        <w:tab/>
        <w:t>The structure of this document is as follows:</w:t>
      </w:r>
    </w:p>
    <w:p w:rsidR="00405B33" w:rsidRDefault="00356B40">
      <w:pPr>
        <w:pStyle w:val="TOC2"/>
        <w:rPr>
          <w:rFonts w:asciiTheme="minorHAnsi" w:eastAsiaTheme="minorEastAsia" w:hAnsiTheme="minorHAnsi" w:cstheme="minorBidi"/>
          <w:sz w:val="22"/>
          <w:szCs w:val="22"/>
        </w:rPr>
      </w:pPr>
      <w:r w:rsidRPr="00194DF5">
        <w:rPr>
          <w:snapToGrid w:val="0"/>
        </w:rPr>
        <w:fldChar w:fldCharType="begin"/>
      </w:r>
      <w:r w:rsidRPr="00194DF5">
        <w:rPr>
          <w:snapToGrid w:val="0"/>
        </w:rPr>
        <w:instrText xml:space="preserve"> TOC \o "1-4" \h \z \u </w:instrText>
      </w:r>
      <w:r w:rsidRPr="00194DF5">
        <w:rPr>
          <w:snapToGrid w:val="0"/>
        </w:rPr>
        <w:fldChar w:fldCharType="separate"/>
      </w:r>
      <w:hyperlink w:anchor="_Toc491762664" w:history="1">
        <w:r w:rsidR="00405B33" w:rsidRPr="00861C7F">
          <w:rPr>
            <w:rStyle w:val="Hyperlink"/>
            <w:snapToGrid w:val="0"/>
          </w:rPr>
          <w:t>TGP/5:  Section 1: Model Administrative Agreement for International Cooperation in the Testing of Varieties</w:t>
        </w:r>
        <w:r w:rsidR="00405B33">
          <w:rPr>
            <w:webHidden/>
          </w:rPr>
          <w:tab/>
        </w:r>
        <w:r w:rsidR="00405B33">
          <w:rPr>
            <w:webHidden/>
          </w:rPr>
          <w:fldChar w:fldCharType="begin"/>
        </w:r>
        <w:r w:rsidR="00405B33">
          <w:rPr>
            <w:webHidden/>
          </w:rPr>
          <w:instrText xml:space="preserve"> PAGEREF _Toc491762664 \h </w:instrText>
        </w:r>
        <w:r w:rsidR="00405B33">
          <w:rPr>
            <w:webHidden/>
          </w:rPr>
        </w:r>
        <w:r w:rsidR="00405B33">
          <w:rPr>
            <w:webHidden/>
          </w:rPr>
          <w:fldChar w:fldCharType="separate"/>
        </w:r>
        <w:r w:rsidR="00405B33">
          <w:rPr>
            <w:webHidden/>
          </w:rPr>
          <w:t>1</w:t>
        </w:r>
        <w:r w:rsidR="00405B33">
          <w:rPr>
            <w:webHidden/>
          </w:rPr>
          <w:fldChar w:fldCharType="end"/>
        </w:r>
      </w:hyperlink>
    </w:p>
    <w:p w:rsidR="00405B33" w:rsidRDefault="0070340A">
      <w:pPr>
        <w:pStyle w:val="TOC3"/>
        <w:rPr>
          <w:rFonts w:asciiTheme="minorHAnsi" w:eastAsiaTheme="minorEastAsia" w:hAnsiTheme="minorHAnsi" w:cstheme="minorBidi"/>
          <w:i w:val="0"/>
          <w:sz w:val="22"/>
          <w:szCs w:val="22"/>
        </w:rPr>
      </w:pPr>
      <w:hyperlink w:anchor="_Toc491762665" w:history="1">
        <w:r w:rsidR="00405B33" w:rsidRPr="00861C7F">
          <w:rPr>
            <w:rStyle w:val="Hyperlink"/>
          </w:rPr>
          <w:t>Confidentiality of molecular information</w:t>
        </w:r>
        <w:r w:rsidR="00405B33">
          <w:rPr>
            <w:webHidden/>
          </w:rPr>
          <w:tab/>
        </w:r>
        <w:r w:rsidR="00405B33">
          <w:rPr>
            <w:webHidden/>
          </w:rPr>
          <w:fldChar w:fldCharType="begin"/>
        </w:r>
        <w:r w:rsidR="00405B33">
          <w:rPr>
            <w:webHidden/>
          </w:rPr>
          <w:instrText xml:space="preserve"> PAGEREF _Toc491762665 \h </w:instrText>
        </w:r>
        <w:r w:rsidR="00405B33">
          <w:rPr>
            <w:webHidden/>
          </w:rPr>
        </w:r>
        <w:r w:rsidR="00405B33">
          <w:rPr>
            <w:webHidden/>
          </w:rPr>
          <w:fldChar w:fldCharType="separate"/>
        </w:r>
        <w:r w:rsidR="00405B33">
          <w:rPr>
            <w:webHidden/>
          </w:rPr>
          <w:t>1</w:t>
        </w:r>
        <w:r w:rsidR="00405B33">
          <w:rPr>
            <w:webHidden/>
          </w:rPr>
          <w:fldChar w:fldCharType="end"/>
        </w:r>
      </w:hyperlink>
    </w:p>
    <w:p w:rsidR="00405B33" w:rsidRDefault="0070340A">
      <w:pPr>
        <w:pStyle w:val="TOC2"/>
        <w:rPr>
          <w:rFonts w:asciiTheme="minorHAnsi" w:eastAsiaTheme="minorEastAsia" w:hAnsiTheme="minorHAnsi" w:cstheme="minorBidi"/>
          <w:sz w:val="22"/>
          <w:szCs w:val="22"/>
        </w:rPr>
      </w:pPr>
      <w:hyperlink w:anchor="_Toc491762666" w:history="1">
        <w:r w:rsidR="00405B33" w:rsidRPr="00861C7F">
          <w:rPr>
            <w:rStyle w:val="Hyperlink"/>
          </w:rPr>
          <w:t>TGP/7: Development of Test Guidelines</w:t>
        </w:r>
        <w:r w:rsidR="00405B33">
          <w:rPr>
            <w:webHidden/>
          </w:rPr>
          <w:tab/>
        </w:r>
        <w:r w:rsidR="00405B33">
          <w:rPr>
            <w:webHidden/>
          </w:rPr>
          <w:fldChar w:fldCharType="begin"/>
        </w:r>
        <w:r w:rsidR="00405B33">
          <w:rPr>
            <w:webHidden/>
          </w:rPr>
          <w:instrText xml:space="preserve"> PAGEREF _Toc491762666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70340A">
      <w:pPr>
        <w:pStyle w:val="TOC3"/>
        <w:rPr>
          <w:rFonts w:asciiTheme="minorHAnsi" w:eastAsiaTheme="minorEastAsia" w:hAnsiTheme="minorHAnsi" w:cstheme="minorBidi"/>
          <w:i w:val="0"/>
          <w:sz w:val="22"/>
          <w:szCs w:val="22"/>
        </w:rPr>
      </w:pPr>
      <w:hyperlink w:anchor="_Toc491762667" w:history="1">
        <w:r w:rsidR="00405B33" w:rsidRPr="00861C7F">
          <w:rPr>
            <w:rStyle w:val="Hyperlink"/>
          </w:rPr>
          <w:t>Duration of DUS tests in the fruit sector</w:t>
        </w:r>
        <w:r w:rsidR="00405B33">
          <w:rPr>
            <w:webHidden/>
          </w:rPr>
          <w:tab/>
        </w:r>
        <w:r w:rsidR="00405B33">
          <w:rPr>
            <w:webHidden/>
          </w:rPr>
          <w:fldChar w:fldCharType="begin"/>
        </w:r>
        <w:r w:rsidR="00405B33">
          <w:rPr>
            <w:webHidden/>
          </w:rPr>
          <w:instrText xml:space="preserve"> PAGEREF _Toc491762667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70340A">
      <w:pPr>
        <w:pStyle w:val="TOC3"/>
        <w:rPr>
          <w:rFonts w:asciiTheme="minorHAnsi" w:eastAsiaTheme="minorEastAsia" w:hAnsiTheme="minorHAnsi" w:cstheme="minorBidi"/>
          <w:i w:val="0"/>
          <w:sz w:val="22"/>
          <w:szCs w:val="22"/>
        </w:rPr>
      </w:pPr>
      <w:hyperlink w:anchor="_Toc491762668" w:history="1">
        <w:r w:rsidR="00405B33" w:rsidRPr="00861C7F">
          <w:rPr>
            <w:rStyle w:val="Hyperlink"/>
          </w:rPr>
          <w:t>Characteristics which only apply to certain varieties</w:t>
        </w:r>
        <w:r w:rsidR="00405B33">
          <w:rPr>
            <w:webHidden/>
          </w:rPr>
          <w:tab/>
        </w:r>
        <w:r w:rsidR="00405B33">
          <w:rPr>
            <w:webHidden/>
          </w:rPr>
          <w:fldChar w:fldCharType="begin"/>
        </w:r>
        <w:r w:rsidR="00405B33">
          <w:rPr>
            <w:webHidden/>
          </w:rPr>
          <w:instrText xml:space="preserve"> PAGEREF _Toc491762668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70340A">
      <w:pPr>
        <w:pStyle w:val="TOC2"/>
        <w:rPr>
          <w:rFonts w:asciiTheme="minorHAnsi" w:eastAsiaTheme="minorEastAsia" w:hAnsiTheme="minorHAnsi" w:cstheme="minorBidi"/>
          <w:sz w:val="22"/>
          <w:szCs w:val="22"/>
        </w:rPr>
      </w:pPr>
      <w:hyperlink w:anchor="_Toc491762669" w:history="1">
        <w:r w:rsidR="00405B33" w:rsidRPr="00861C7F">
          <w:rPr>
            <w:rStyle w:val="Hyperlink"/>
          </w:rPr>
          <w:t>TGP/10: Examining uniformity</w:t>
        </w:r>
        <w:r w:rsidR="00405B33">
          <w:rPr>
            <w:webHidden/>
          </w:rPr>
          <w:tab/>
        </w:r>
        <w:r w:rsidR="00405B33">
          <w:rPr>
            <w:webHidden/>
          </w:rPr>
          <w:fldChar w:fldCharType="begin"/>
        </w:r>
        <w:r w:rsidR="00405B33">
          <w:rPr>
            <w:webHidden/>
          </w:rPr>
          <w:instrText xml:space="preserve"> PAGEREF _Toc491762669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70340A">
      <w:pPr>
        <w:pStyle w:val="TOC3"/>
        <w:rPr>
          <w:rFonts w:asciiTheme="minorHAnsi" w:eastAsiaTheme="minorEastAsia" w:hAnsiTheme="minorHAnsi" w:cstheme="minorBidi"/>
          <w:i w:val="0"/>
          <w:sz w:val="22"/>
          <w:szCs w:val="22"/>
        </w:rPr>
      </w:pPr>
      <w:hyperlink w:anchor="_Toc491762670" w:history="1">
        <w:r w:rsidR="00405B33" w:rsidRPr="00861C7F">
          <w:rPr>
            <w:rStyle w:val="Hyperlink"/>
          </w:rPr>
          <w:t>Assessing Uniformity by Off-Types on Basis of More than One Growing Cycle or on the Basis of Sub</w:t>
        </w:r>
        <w:r w:rsidR="00405B33" w:rsidRPr="00861C7F">
          <w:rPr>
            <w:rStyle w:val="Hyperlink"/>
          </w:rPr>
          <w:noBreakHyphen/>
          <w:t>Samples</w:t>
        </w:r>
        <w:r w:rsidR="00405B33">
          <w:rPr>
            <w:webHidden/>
          </w:rPr>
          <w:tab/>
        </w:r>
        <w:r w:rsidR="00405B33">
          <w:rPr>
            <w:webHidden/>
          </w:rPr>
          <w:fldChar w:fldCharType="begin"/>
        </w:r>
        <w:r w:rsidR="00405B33">
          <w:rPr>
            <w:webHidden/>
          </w:rPr>
          <w:instrText xml:space="preserve"> PAGEREF _Toc491762670 \h </w:instrText>
        </w:r>
        <w:r w:rsidR="00405B33">
          <w:rPr>
            <w:webHidden/>
          </w:rPr>
        </w:r>
        <w:r w:rsidR="00405B33">
          <w:rPr>
            <w:webHidden/>
          </w:rPr>
          <w:fldChar w:fldCharType="separate"/>
        </w:r>
        <w:r w:rsidR="00405B33">
          <w:rPr>
            <w:webHidden/>
          </w:rPr>
          <w:t>2</w:t>
        </w:r>
        <w:r w:rsidR="00405B33">
          <w:rPr>
            <w:webHidden/>
          </w:rPr>
          <w:fldChar w:fldCharType="end"/>
        </w:r>
      </w:hyperlink>
    </w:p>
    <w:p w:rsidR="00405B33" w:rsidRDefault="0070340A">
      <w:pPr>
        <w:pStyle w:val="TOC2"/>
        <w:rPr>
          <w:rFonts w:asciiTheme="minorHAnsi" w:eastAsiaTheme="minorEastAsia" w:hAnsiTheme="minorHAnsi" w:cstheme="minorBidi"/>
          <w:sz w:val="22"/>
          <w:szCs w:val="22"/>
        </w:rPr>
      </w:pPr>
      <w:hyperlink w:anchor="_Toc491762671" w:history="1">
        <w:r w:rsidR="00405B33" w:rsidRPr="00861C7F">
          <w:rPr>
            <w:rStyle w:val="Hyperlink"/>
          </w:rPr>
          <w:t>TGP/14: Glossary of Terms Used in UPOV Documents</w:t>
        </w:r>
        <w:r w:rsidR="00405B33">
          <w:rPr>
            <w:webHidden/>
          </w:rPr>
          <w:tab/>
        </w:r>
        <w:r w:rsidR="00405B33">
          <w:rPr>
            <w:webHidden/>
          </w:rPr>
          <w:fldChar w:fldCharType="begin"/>
        </w:r>
        <w:r w:rsidR="00405B33">
          <w:rPr>
            <w:webHidden/>
          </w:rPr>
          <w:instrText xml:space="preserve"> PAGEREF _Toc491762671 \h </w:instrText>
        </w:r>
        <w:r w:rsidR="00405B33">
          <w:rPr>
            <w:webHidden/>
          </w:rPr>
        </w:r>
        <w:r w:rsidR="00405B33">
          <w:rPr>
            <w:webHidden/>
          </w:rPr>
          <w:fldChar w:fldCharType="separate"/>
        </w:r>
        <w:r w:rsidR="00405B33">
          <w:rPr>
            <w:webHidden/>
          </w:rPr>
          <w:t>3</w:t>
        </w:r>
        <w:r w:rsidR="00405B33">
          <w:rPr>
            <w:webHidden/>
          </w:rPr>
          <w:fldChar w:fldCharType="end"/>
        </w:r>
      </w:hyperlink>
    </w:p>
    <w:p w:rsidR="00405B33" w:rsidRDefault="0070340A">
      <w:pPr>
        <w:pStyle w:val="TOC3"/>
        <w:rPr>
          <w:rFonts w:asciiTheme="minorHAnsi" w:eastAsiaTheme="minorEastAsia" w:hAnsiTheme="minorHAnsi" w:cstheme="minorBidi"/>
          <w:i w:val="0"/>
          <w:sz w:val="22"/>
          <w:szCs w:val="22"/>
        </w:rPr>
      </w:pPr>
      <w:hyperlink w:anchor="_Toc491762672" w:history="1">
        <w:r w:rsidR="00405B33" w:rsidRPr="00861C7F">
          <w:rPr>
            <w:rStyle w:val="Hyperlink"/>
          </w:rPr>
          <w:t>Illustrations for shape and ratio characteristics</w:t>
        </w:r>
        <w:r w:rsidR="00405B33">
          <w:rPr>
            <w:webHidden/>
          </w:rPr>
          <w:tab/>
        </w:r>
        <w:r w:rsidR="00405B33">
          <w:rPr>
            <w:webHidden/>
          </w:rPr>
          <w:fldChar w:fldCharType="begin"/>
        </w:r>
        <w:r w:rsidR="00405B33">
          <w:rPr>
            <w:webHidden/>
          </w:rPr>
          <w:instrText xml:space="preserve"> PAGEREF _Toc491762672 \h </w:instrText>
        </w:r>
        <w:r w:rsidR="00405B33">
          <w:rPr>
            <w:webHidden/>
          </w:rPr>
        </w:r>
        <w:r w:rsidR="00405B33">
          <w:rPr>
            <w:webHidden/>
          </w:rPr>
          <w:fldChar w:fldCharType="separate"/>
        </w:r>
        <w:r w:rsidR="00405B33">
          <w:rPr>
            <w:webHidden/>
          </w:rPr>
          <w:t>3</w:t>
        </w:r>
        <w:r w:rsidR="00405B33">
          <w:rPr>
            <w:webHidden/>
          </w:rPr>
          <w:fldChar w:fldCharType="end"/>
        </w:r>
      </w:hyperlink>
    </w:p>
    <w:p w:rsidR="00356B40" w:rsidRDefault="00356B40" w:rsidP="00356B40">
      <w:pPr>
        <w:rPr>
          <w:caps/>
          <w:noProof/>
          <w:snapToGrid w:val="0"/>
          <w:sz w:val="18"/>
          <w:szCs w:val="18"/>
        </w:rPr>
      </w:pPr>
      <w:r w:rsidRPr="00194DF5">
        <w:rPr>
          <w:caps/>
          <w:noProof/>
          <w:snapToGrid w:val="0"/>
          <w:sz w:val="18"/>
          <w:szCs w:val="18"/>
        </w:rPr>
        <w:fldChar w:fldCharType="end"/>
      </w:r>
    </w:p>
    <w:p w:rsidR="00CC6CB9" w:rsidRPr="008E5149" w:rsidRDefault="00356B40" w:rsidP="00BD16E7">
      <w:pPr>
        <w:rPr>
          <w:caps/>
        </w:rPr>
      </w:pPr>
      <w:r w:rsidRPr="00CE3579">
        <w:fldChar w:fldCharType="begin"/>
      </w:r>
      <w:r w:rsidRPr="00CE3579">
        <w:instrText xml:space="preserve"> AUTONUM  </w:instrText>
      </w:r>
      <w:r w:rsidRPr="00CE3579">
        <w:fldChar w:fldCharType="end"/>
      </w:r>
      <w:r w:rsidRPr="00CE3579">
        <w:tab/>
      </w:r>
      <w:r>
        <w:t>The TWA</w:t>
      </w:r>
      <w:r w:rsidRPr="00CE3579">
        <w:t xml:space="preserve"> </w:t>
      </w:r>
      <w:r w:rsidR="00377729">
        <w:t xml:space="preserve">and TWV </w:t>
      </w:r>
      <w:r w:rsidRPr="00CE3579">
        <w:t xml:space="preserve">considered TGP documents </w:t>
      </w:r>
      <w:r>
        <w:t>on the basis of document</w:t>
      </w:r>
      <w:r w:rsidR="00377729">
        <w:t>s</w:t>
      </w:r>
      <w:r>
        <w:t xml:space="preserve"> </w:t>
      </w:r>
      <w:r w:rsidR="008E2D14" w:rsidRPr="00CC6CB9">
        <w:t>TWP/1/1 </w:t>
      </w:r>
      <w:r w:rsidRPr="00CC6CB9">
        <w:t>Rev.</w:t>
      </w:r>
      <w:r w:rsidR="00377729">
        <w:t>,</w:t>
      </w:r>
      <w:r>
        <w:t xml:space="preserve"> </w:t>
      </w:r>
      <w:r w:rsidR="00377729" w:rsidRPr="00EE3D24">
        <w:t>TWP/1/9, TWP/1/11, TWP/1/12, TWP/1/13, TWP/1/15, TWP/1/17 Rev.</w:t>
      </w:r>
      <w:r w:rsidR="00377729">
        <w:t xml:space="preserve"> and</w:t>
      </w:r>
      <w:r w:rsidR="00377729" w:rsidRPr="00EE3D24">
        <w:t xml:space="preserve"> TWP/1/18</w:t>
      </w:r>
      <w:r w:rsidR="00377729">
        <w:t xml:space="preserve">.  </w:t>
      </w:r>
      <w:r w:rsidR="00CC6CB9">
        <w:t xml:space="preserve">The TWV </w:t>
      </w:r>
      <w:r w:rsidR="00377729">
        <w:t xml:space="preserve">also </w:t>
      </w:r>
      <w:r w:rsidR="00CC6CB9" w:rsidRPr="00CE3579">
        <w:t xml:space="preserve">considered </w:t>
      </w:r>
      <w:r w:rsidR="00CC6CB9">
        <w:t>document</w:t>
      </w:r>
      <w:r w:rsidR="00377729">
        <w:t> </w:t>
      </w:r>
      <w:r w:rsidR="00BD16E7" w:rsidRPr="00EE3D24">
        <w:t>TWV/51/15</w:t>
      </w:r>
      <w:r w:rsidR="00377729">
        <w:t xml:space="preserve"> “Comments on TGP documents”</w:t>
      </w:r>
      <w:r w:rsidR="00377729" w:rsidRPr="00377729">
        <w:t xml:space="preserve"> </w:t>
      </w:r>
      <w:r w:rsidR="00377729">
        <w:t xml:space="preserve">(see documents </w:t>
      </w:r>
      <w:hyperlink r:id="rId8" w:history="1">
        <w:r w:rsidR="00377729" w:rsidRPr="00400C85">
          <w:rPr>
            <w:rStyle w:val="Hyperlink"/>
          </w:rPr>
          <w:t>TWA/46/10</w:t>
        </w:r>
      </w:hyperlink>
      <w:r w:rsidR="00377729" w:rsidRPr="008E5149">
        <w:t xml:space="preserve"> “Report”, paragraph </w:t>
      </w:r>
      <w:r w:rsidR="00377729">
        <w:t xml:space="preserve">15 and </w:t>
      </w:r>
      <w:hyperlink r:id="rId9" w:history="1">
        <w:r w:rsidR="00377729" w:rsidRPr="00CC6CB9">
          <w:rPr>
            <w:rStyle w:val="Hyperlink"/>
          </w:rPr>
          <w:t>TWV/51/16</w:t>
        </w:r>
      </w:hyperlink>
      <w:r w:rsidR="00377729">
        <w:t xml:space="preserve"> “Report”, paragraph 18)</w:t>
      </w:r>
      <w:r w:rsidR="00377729" w:rsidRPr="008E5149">
        <w:t>.</w:t>
      </w:r>
    </w:p>
    <w:p w:rsidR="00356B40" w:rsidRDefault="00356B40" w:rsidP="00356B40">
      <w:pPr>
        <w:rPr>
          <w:snapToGrid w:val="0"/>
          <w:lang w:eastAsia="ja-JP"/>
        </w:rPr>
      </w:pPr>
    </w:p>
    <w:p w:rsidR="00BD16E7" w:rsidRDefault="00BD16E7" w:rsidP="00356B40">
      <w:pPr>
        <w:rPr>
          <w:snapToGrid w:val="0"/>
          <w:lang w:eastAsia="ja-JP"/>
        </w:rPr>
      </w:pPr>
    </w:p>
    <w:p w:rsidR="00356B40" w:rsidRPr="00540418" w:rsidRDefault="00356B40" w:rsidP="00356B40">
      <w:pPr>
        <w:pStyle w:val="Heading2"/>
        <w:rPr>
          <w:snapToGrid w:val="0"/>
        </w:rPr>
      </w:pPr>
      <w:bookmarkStart w:id="3" w:name="_Toc491762664"/>
      <w:bookmarkStart w:id="4" w:name="_Toc352678059"/>
      <w:bookmarkStart w:id="5" w:name="_Toc353797740"/>
      <w:bookmarkStart w:id="6" w:name="_Toc374385120"/>
      <w:bookmarkStart w:id="7" w:name="_Toc374631058"/>
      <w:bookmarkStart w:id="8" w:name="_Toc374632530"/>
      <w:bookmarkStart w:id="9" w:name="_Toc374635730"/>
      <w:bookmarkStart w:id="10" w:name="_Toc378251520"/>
      <w:bookmarkStart w:id="11" w:name="_Toc381279981"/>
      <w:bookmarkStart w:id="12" w:name="_Toc386185984"/>
      <w:r w:rsidRPr="00540418">
        <w:rPr>
          <w:snapToGrid w:val="0"/>
        </w:rPr>
        <w:t>TGP/5:  Section 1: Model Administrative Agreement for International Cooperation in the Testing of Varieties</w:t>
      </w:r>
      <w:bookmarkEnd w:id="3"/>
      <w:r w:rsidRPr="00540418">
        <w:rPr>
          <w:snapToGrid w:val="0"/>
        </w:rPr>
        <w:t xml:space="preserve"> </w:t>
      </w:r>
    </w:p>
    <w:p w:rsidR="00356B40" w:rsidRPr="00540418" w:rsidRDefault="00356B40" w:rsidP="00356B40">
      <w:pPr>
        <w:keepNext/>
      </w:pPr>
    </w:p>
    <w:p w:rsidR="00356B40" w:rsidRPr="00540418" w:rsidRDefault="00356B40" w:rsidP="00356B40">
      <w:pPr>
        <w:pStyle w:val="Heading3"/>
        <w:rPr>
          <w:rFonts w:cs="Arial"/>
        </w:rPr>
      </w:pPr>
      <w:bookmarkStart w:id="13" w:name="_Toc486430982"/>
      <w:bookmarkStart w:id="14" w:name="_Toc491762665"/>
      <w:r w:rsidRPr="00540418">
        <w:t>Confidentiality of molecular information</w:t>
      </w:r>
      <w:bookmarkEnd w:id="13"/>
      <w:bookmarkEnd w:id="14"/>
      <w:r w:rsidRPr="00540418">
        <w:t xml:space="preserve"> </w:t>
      </w:r>
    </w:p>
    <w:p w:rsidR="00356B40" w:rsidRPr="00540418" w:rsidRDefault="00356B40" w:rsidP="00356B40">
      <w:pPr>
        <w:keepNext/>
        <w:rPr>
          <w:snapToGrid w:val="0"/>
        </w:rPr>
      </w:pPr>
    </w:p>
    <w:p w:rsidR="00356B40" w:rsidRPr="00540418" w:rsidRDefault="00356B40" w:rsidP="00356B40">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BD16E7">
        <w:rPr>
          <w:snapToGrid w:val="0"/>
        </w:rPr>
        <w:t xml:space="preserve">and the TWV </w:t>
      </w:r>
      <w:r w:rsidRPr="00540418">
        <w:rPr>
          <w:snapToGrid w:val="0"/>
        </w:rPr>
        <w:t xml:space="preserve">considered </w:t>
      </w:r>
      <w:r w:rsidRPr="00540418">
        <w:t xml:space="preserve">document </w:t>
      </w:r>
      <w:hyperlink r:id="rId10" w:history="1">
        <w:r w:rsidRPr="00540418">
          <w:rPr>
            <w:rStyle w:val="Hyperlink"/>
          </w:rPr>
          <w:t>TWP/1/9</w:t>
        </w:r>
      </w:hyperlink>
      <w:r w:rsidRPr="00540418">
        <w:t>.</w:t>
      </w:r>
    </w:p>
    <w:p w:rsidR="00356B40" w:rsidRPr="00540418" w:rsidRDefault="00356B40" w:rsidP="00356B40">
      <w:pPr>
        <w:keepNext/>
      </w:pPr>
    </w:p>
    <w:p w:rsidR="00356B40" w:rsidRPr="00540418" w:rsidRDefault="00356B40" w:rsidP="005B2C4C">
      <w:r w:rsidRPr="00540418">
        <w:fldChar w:fldCharType="begin"/>
      </w:r>
      <w:r w:rsidRPr="00540418">
        <w:instrText xml:space="preserve"> AUTONUM  </w:instrText>
      </w:r>
      <w:r w:rsidRPr="00540418">
        <w:fldChar w:fldCharType="end"/>
      </w:r>
      <w:r w:rsidRPr="00540418">
        <w:tab/>
        <w:t xml:space="preserve">The TWA </w:t>
      </w:r>
      <w:r w:rsidR="00BD16E7">
        <w:t xml:space="preserve">and the TWV </w:t>
      </w:r>
      <w:r w:rsidRPr="00540418">
        <w:t xml:space="preserve">considered the proposed </w:t>
      </w:r>
      <w:r w:rsidRPr="00540418">
        <w:rPr>
          <w:snapToGrid w:val="0"/>
        </w:rPr>
        <w:t>guidance on confidentiality of molecular information for inclusion in document TGP/5, Section 1, as set out in document TWP/1/9, paragraph 4.  The TWA</w:t>
      </w:r>
      <w:r w:rsidR="00BD16E7">
        <w:rPr>
          <w:snapToGrid w:val="0"/>
        </w:rPr>
        <w:t xml:space="preserve"> and the TWV</w:t>
      </w:r>
      <w:r w:rsidRPr="00540418">
        <w:rPr>
          <w:snapToGrid w:val="0"/>
        </w:rPr>
        <w:t xml:space="preserve"> agreed that clarification was needed on whether the term “ma</w:t>
      </w:r>
      <w:r w:rsidR="005B2C4C">
        <w:rPr>
          <w:snapToGrid w:val="0"/>
        </w:rPr>
        <w:t>terial” would also include “DNA </w:t>
      </w:r>
      <w:r w:rsidRPr="00540418">
        <w:rPr>
          <w:snapToGrid w:val="0"/>
        </w:rPr>
        <w:t>material” and agreed to propose that Article 4(2) read as follows:</w:t>
      </w:r>
    </w:p>
    <w:p w:rsidR="00356B40" w:rsidRPr="00540418" w:rsidRDefault="00356B40" w:rsidP="00356B40">
      <w:pPr>
        <w:ind w:left="567" w:right="567"/>
        <w:rPr>
          <w:sz w:val="18"/>
        </w:rPr>
      </w:pPr>
    </w:p>
    <w:p w:rsidR="00356B40" w:rsidRPr="00540418" w:rsidRDefault="00356B40" w:rsidP="00356B40">
      <w:pPr>
        <w:ind w:left="567" w:right="567"/>
        <w:rPr>
          <w:sz w:val="18"/>
        </w:rPr>
      </w:pPr>
      <w:r w:rsidRPr="00540418">
        <w:rPr>
          <w:sz w:val="18"/>
        </w:rPr>
        <w:t>“(2)</w:t>
      </w:r>
      <w:r w:rsidRPr="00540418">
        <w:rPr>
          <w:sz w:val="18"/>
        </w:rPr>
        <w:tab/>
        <w:t>Except with the specific authorization of the Receiving Authority and the applicant, the Executing Authority shall refrain from passing on to a third person any material</w:t>
      </w:r>
      <w:r w:rsidRPr="00540418">
        <w:rPr>
          <w:sz w:val="18"/>
          <w:highlight w:val="lightGray"/>
        </w:rPr>
        <w:t xml:space="preserve">, </w:t>
      </w:r>
      <w:r w:rsidRPr="00540418">
        <w:rPr>
          <w:sz w:val="18"/>
          <w:highlight w:val="lightGray"/>
          <w:u w:val="single"/>
        </w:rPr>
        <w:t>including DNA, or molecular information</w:t>
      </w:r>
      <w:r w:rsidRPr="00540418">
        <w:rPr>
          <w:sz w:val="18"/>
        </w:rPr>
        <w:t xml:space="preserve"> of the varieties for which testing has been requested.”</w:t>
      </w:r>
    </w:p>
    <w:p w:rsidR="00356B40" w:rsidRDefault="00356B40" w:rsidP="00356B40"/>
    <w:p w:rsidR="005B2C4C" w:rsidRDefault="005B2C4C" w:rsidP="000B14CB">
      <w:pPr>
        <w:spacing w:after="480"/>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recalled the decision by the TC at its </w:t>
      </w:r>
      <w:r>
        <w:rPr>
          <w:snapToGrid w:val="0"/>
        </w:rPr>
        <w:t xml:space="preserve">fifty-third session </w:t>
      </w:r>
      <w:r w:rsidRPr="0095679A">
        <w:rPr>
          <w:snapToGrid w:val="0"/>
        </w:rPr>
        <w:t xml:space="preserve">(see document TC/53/31 “Report” paragraphs 180 and 182), and </w:t>
      </w:r>
      <w:r>
        <w:rPr>
          <w:snapToGrid w:val="0"/>
        </w:rPr>
        <w:t xml:space="preserve">invited </w:t>
      </w:r>
      <w:r w:rsidRPr="0095679A">
        <w:rPr>
          <w:snapToGrid w:val="0"/>
        </w:rPr>
        <w:t xml:space="preserve">the </w:t>
      </w:r>
      <w:r w:rsidRPr="003D1592">
        <w:rPr>
          <w:snapToGrid w:val="0"/>
        </w:rPr>
        <w:t>TC to clarify its view in relation to inviting members to make molecular information available for inclusion in publicly a</w:t>
      </w:r>
      <w:r>
        <w:rPr>
          <w:snapToGrid w:val="0"/>
        </w:rPr>
        <w:t>vailable databases (e.g. GENIE)</w:t>
      </w:r>
      <w:r w:rsidRPr="003D1592">
        <w:rPr>
          <w:snapToGrid w:val="0"/>
        </w:rPr>
        <w:t xml:space="preserve"> and</w:t>
      </w:r>
      <w:r>
        <w:rPr>
          <w:snapToGrid w:val="0"/>
        </w:rPr>
        <w:t>,</w:t>
      </w:r>
      <w:r w:rsidRPr="003D1592">
        <w:rPr>
          <w:snapToGrid w:val="0"/>
        </w:rPr>
        <w:t xml:space="preserve"> on the other hand</w:t>
      </w:r>
      <w:r>
        <w:rPr>
          <w:snapToGrid w:val="0"/>
        </w:rPr>
        <w:t>,</w:t>
      </w:r>
      <w:r w:rsidRPr="003D1592">
        <w:rPr>
          <w:snapToGrid w:val="0"/>
        </w:rPr>
        <w:t xml:space="preserve"> requesting to review existing guidance to increase the confidentiality of</w:t>
      </w:r>
      <w:r>
        <w:rPr>
          <w:snapToGrid w:val="0"/>
        </w:rPr>
        <w:t xml:space="preserve"> molecular information.</w:t>
      </w:r>
    </w:p>
    <w:p w:rsidR="00356B40" w:rsidRPr="00DF3B2E" w:rsidRDefault="00356B40" w:rsidP="00356B40">
      <w:pPr>
        <w:pStyle w:val="Heading2"/>
      </w:pPr>
      <w:bookmarkStart w:id="15" w:name="_Toc491762666"/>
      <w:r w:rsidRPr="00DF3B2E">
        <w:lastRenderedPageBreak/>
        <w:t>TGP/7: Development of Test Guidelines</w:t>
      </w:r>
      <w:bookmarkEnd w:id="15"/>
    </w:p>
    <w:p w:rsidR="00356B40" w:rsidRPr="00DF3B2E" w:rsidRDefault="00356B40" w:rsidP="00356B40">
      <w:pPr>
        <w:keepNext/>
      </w:pPr>
    </w:p>
    <w:p w:rsidR="00356B40" w:rsidRPr="00DF3B2E" w:rsidRDefault="00356B40" w:rsidP="00356B40">
      <w:pPr>
        <w:pStyle w:val="Heading3"/>
      </w:pPr>
      <w:bookmarkStart w:id="16" w:name="_Toc491762667"/>
      <w:r w:rsidRPr="00DF3B2E">
        <w:t>Duration of DUS tests in the fruit sector</w:t>
      </w:r>
      <w:bookmarkEnd w:id="16"/>
    </w:p>
    <w:p w:rsidR="00356B40" w:rsidRDefault="00356B40" w:rsidP="00356B40">
      <w:pPr>
        <w:keepNext/>
        <w:rPr>
          <w:snapToGrid w:val="0"/>
        </w:rPr>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5B2C4C">
        <w:rPr>
          <w:snapToGrid w:val="0"/>
        </w:rPr>
        <w:t xml:space="preserve">and the TWV </w:t>
      </w:r>
      <w:r w:rsidRPr="00540418">
        <w:rPr>
          <w:snapToGrid w:val="0"/>
        </w:rPr>
        <w:t xml:space="preserve">considered </w:t>
      </w:r>
      <w:r w:rsidRPr="00540418">
        <w:t xml:space="preserve">document </w:t>
      </w:r>
      <w:hyperlink r:id="rId11" w:history="1">
        <w:r w:rsidRPr="00540418">
          <w:rPr>
            <w:rStyle w:val="Hyperlink"/>
          </w:rPr>
          <w:t>TWP/1/</w:t>
        </w:r>
        <w:r w:rsidRPr="00540418">
          <w:rPr>
            <w:rStyle w:val="Hyperlink"/>
            <w:rFonts w:cs="Arial"/>
          </w:rPr>
          <w:t>11</w:t>
        </w:r>
      </w:hyperlink>
      <w:r w:rsidRPr="00540418">
        <w:rPr>
          <w:rFonts w:cs="Arial"/>
        </w:rPr>
        <w:t xml:space="preserve">. </w:t>
      </w:r>
    </w:p>
    <w:p w:rsidR="00356B40" w:rsidRPr="00540418" w:rsidRDefault="00356B40" w:rsidP="00356B40">
      <w:pPr>
        <w:keepNext/>
        <w:rPr>
          <w:rFonts w:cs="Arial"/>
        </w:rPr>
      </w:pPr>
    </w:p>
    <w:p w:rsidR="00356B40" w:rsidRPr="00540418" w:rsidRDefault="00356B40" w:rsidP="00356B40">
      <w:pPr>
        <w:rPr>
          <w:rFonts w:eastAsia="Cambria" w:cs="Arial"/>
        </w:rPr>
      </w:pPr>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t xml:space="preserve">The TWA </w:t>
      </w:r>
      <w:r w:rsidR="005B2C4C">
        <w:rPr>
          <w:rFonts w:cs="Arial"/>
          <w:snapToGrid w:val="0"/>
        </w:rPr>
        <w:t xml:space="preserve">and the TWV </w:t>
      </w:r>
      <w:r w:rsidRPr="00540418">
        <w:rPr>
          <w:rFonts w:cs="Arial"/>
          <w:snapToGrid w:val="0"/>
        </w:rPr>
        <w:t xml:space="preserve">considered the proposed revision of document TGP/7 to clarify the duration of DUS testing, as set out in document TWP/1/11, paragraph 11.  The TWA </w:t>
      </w:r>
      <w:r w:rsidR="005B2C4C">
        <w:rPr>
          <w:rFonts w:cs="Arial"/>
          <w:snapToGrid w:val="0"/>
        </w:rPr>
        <w:t xml:space="preserve">and the TWV </w:t>
      </w:r>
      <w:r w:rsidRPr="00540418">
        <w:rPr>
          <w:rFonts w:cs="Arial"/>
          <w:snapToGrid w:val="0"/>
        </w:rPr>
        <w:t xml:space="preserve">agreed that the term “normally” was preferred and should be used throughout the guidance in ASW 2. </w:t>
      </w:r>
    </w:p>
    <w:p w:rsidR="00356B40" w:rsidRPr="00540418" w:rsidRDefault="00356B40" w:rsidP="00356B40">
      <w:pPr>
        <w:rPr>
          <w:rFonts w:eastAsia="Cambria"/>
          <w:lang w:eastAsia="fr-FR"/>
        </w:rPr>
      </w:pPr>
    </w:p>
    <w:p w:rsidR="00B712A6" w:rsidRPr="0095679A" w:rsidRDefault="00B712A6" w:rsidP="00B712A6">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t xml:space="preserve">The TWV agreed that the reference to negative conclusion should be deleted as it remains exceptional cases, and that in most of the cases the testing of a variety may </w:t>
      </w:r>
      <w:r>
        <w:rPr>
          <w:rFonts w:cs="Arial"/>
          <w:snapToGrid w:val="0"/>
        </w:rPr>
        <w:t xml:space="preserve">be </w:t>
      </w:r>
      <w:r w:rsidRPr="0095679A">
        <w:rPr>
          <w:rFonts w:cs="Arial"/>
          <w:snapToGrid w:val="0"/>
        </w:rPr>
        <w:t>terminated with a positive conclusion on DUS.</w:t>
      </w:r>
      <w:r>
        <w:rPr>
          <w:rFonts w:cs="Arial"/>
          <w:snapToGrid w:val="0"/>
        </w:rPr>
        <w:t xml:space="preserve"> </w:t>
      </w:r>
      <w:r w:rsidRPr="0095679A">
        <w:rPr>
          <w:rFonts w:cs="Arial"/>
          <w:snapToGrid w:val="0"/>
        </w:rPr>
        <w:t xml:space="preserve"> In that respect the TWV agreed with the</w:t>
      </w:r>
      <w:r w:rsidRPr="0095679A">
        <w:t xml:space="preserve"> TWA that the current standard wording in Test</w:t>
      </w:r>
      <w:r w:rsidR="00E4022D">
        <w:t> </w:t>
      </w:r>
      <w:r w:rsidRPr="0095679A">
        <w:t xml:space="preserve">Guidelines allowed the examination of a candidate variety to be terminated earlier in case the differences observed between varieties were so clear that more than one growing cycle was not necessary.  </w:t>
      </w:r>
    </w:p>
    <w:p w:rsidR="00356B40" w:rsidRPr="00540418" w:rsidRDefault="00356B40" w:rsidP="00356B40"/>
    <w:p w:rsidR="00B712A6" w:rsidRPr="0095679A" w:rsidRDefault="00B712A6" w:rsidP="000B14CB">
      <w:pPr>
        <w:autoSpaceDE w:val="0"/>
        <w:autoSpaceDN w:val="0"/>
        <w:adjustRightInd w:val="0"/>
        <w:spacing w:after="360"/>
      </w:pPr>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r>
      <w:r w:rsidRPr="0095679A">
        <w:t>The TWV agreed with the TWA that it should be possible to terminate earlier the examination of a candidate variety (e.g. during the establishment period of the trial) and agreed to propose that particular situations should be addressed as Guidance Note in document TGP/7 instead of amending the standard wording, clarifying that it is the decision of the Authorities to decide whether or not to terminate earlier the examination.</w:t>
      </w:r>
    </w:p>
    <w:p w:rsidR="00356B40" w:rsidRPr="00DF3B2E" w:rsidRDefault="00356B40" w:rsidP="00356B40">
      <w:pPr>
        <w:pStyle w:val="Heading3"/>
      </w:pPr>
      <w:bookmarkStart w:id="17" w:name="_Toc491762668"/>
      <w:r w:rsidRPr="00DF3B2E">
        <w:t>Characteristics which only apply to certain varieties</w:t>
      </w:r>
      <w:bookmarkEnd w:id="17"/>
    </w:p>
    <w:p w:rsidR="00356B40" w:rsidRDefault="00356B40" w:rsidP="00356B40">
      <w:pPr>
        <w:keepNext/>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B712A6">
        <w:rPr>
          <w:snapToGrid w:val="0"/>
        </w:rPr>
        <w:t xml:space="preserve">and the TWV </w:t>
      </w:r>
      <w:r w:rsidRPr="00540418">
        <w:rPr>
          <w:snapToGrid w:val="0"/>
        </w:rPr>
        <w:t xml:space="preserve">considered </w:t>
      </w:r>
      <w:r w:rsidRPr="00540418">
        <w:t xml:space="preserve">document </w:t>
      </w:r>
      <w:hyperlink r:id="rId12" w:history="1">
        <w:r w:rsidRPr="00540418">
          <w:rPr>
            <w:rStyle w:val="Hyperlink"/>
          </w:rPr>
          <w:t>TWP/1/</w:t>
        </w:r>
        <w:r w:rsidRPr="00540418">
          <w:rPr>
            <w:rStyle w:val="Hyperlink"/>
            <w:rFonts w:cs="Arial"/>
          </w:rPr>
          <w:t>12</w:t>
        </w:r>
      </w:hyperlink>
      <w:r w:rsidRPr="00540418">
        <w:rPr>
          <w:rFonts w:cs="Arial"/>
        </w:rPr>
        <w:t>.</w:t>
      </w:r>
    </w:p>
    <w:p w:rsidR="00356B40" w:rsidRPr="00540418" w:rsidRDefault="00356B40" w:rsidP="00356B40">
      <w:pPr>
        <w:keepNext/>
        <w:rPr>
          <w:rFonts w:cs="Arial"/>
        </w:rPr>
      </w:pPr>
    </w:p>
    <w:p w:rsidR="00B712A6" w:rsidRPr="0095679A" w:rsidRDefault="00B712A6" w:rsidP="00B712A6">
      <w:r w:rsidRPr="0095679A">
        <w:fldChar w:fldCharType="begin"/>
      </w:r>
      <w:r w:rsidRPr="0095679A">
        <w:instrText xml:space="preserve"> AUTONUM  </w:instrText>
      </w:r>
      <w:r w:rsidRPr="0095679A">
        <w:fldChar w:fldCharType="end"/>
      </w:r>
      <w:r w:rsidRPr="0095679A">
        <w:tab/>
        <w:t>The TWV agreed with the TWA on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B712A6" w:rsidRPr="0095679A" w:rsidRDefault="00B712A6" w:rsidP="00B712A6"/>
    <w:p w:rsidR="00B712A6" w:rsidRPr="0095679A" w:rsidRDefault="00B712A6" w:rsidP="000B14CB">
      <w:pPr>
        <w:spacing w:after="480"/>
      </w:pPr>
      <w:r w:rsidRPr="0095679A">
        <w:fldChar w:fldCharType="begin"/>
      </w:r>
      <w:r w:rsidRPr="0095679A">
        <w:instrText xml:space="preserve"> AUTONUM  </w:instrText>
      </w:r>
      <w:r w:rsidRPr="0095679A">
        <w:fldChar w:fldCharType="end"/>
      </w:r>
      <w:r w:rsidRPr="0095679A">
        <w:tab/>
        <w:t>The TWV recalled the importance to refer to a table of grouping within a species, such as in the Test Guidelines for lettuce (see document TG/13/11(</w:t>
      </w:r>
      <w:r w:rsidR="00A70AB5" w:rsidRPr="0095679A">
        <w:t>proj</w:t>
      </w:r>
      <w:r w:rsidRPr="0095679A">
        <w:t>.5)</w:t>
      </w:r>
      <w:r>
        <w:t>,</w:t>
      </w:r>
      <w:r w:rsidRPr="0095679A">
        <w:t xml:space="preserve"> chapter 5.3). </w:t>
      </w:r>
      <w:r>
        <w:t xml:space="preserve"> </w:t>
      </w:r>
      <w:r w:rsidRPr="0095679A">
        <w:t>The TWV agreed that th</w:t>
      </w:r>
      <w:r>
        <w:t>e</w:t>
      </w:r>
      <w:r w:rsidRPr="0095679A">
        <w:t xml:space="preserve"> approach of excluding varieties from observation on the basis of preceding PQ or QN characteristic</w:t>
      </w:r>
      <w:r>
        <w:t>s</w:t>
      </w:r>
      <w:r w:rsidRPr="0095679A">
        <w:t xml:space="preserve"> should be used carefully and based on </w:t>
      </w:r>
      <w:r>
        <w:t xml:space="preserve">experience </w:t>
      </w:r>
      <w:r w:rsidRPr="0095679A">
        <w:t xml:space="preserve">and </w:t>
      </w:r>
      <w:r>
        <w:t>discussions</w:t>
      </w:r>
      <w:r w:rsidRPr="0095679A">
        <w:t xml:space="preserve"> during the drafting of Test Guidelines</w:t>
      </w:r>
      <w:r>
        <w:t>, in order to be fully aware on the consequences</w:t>
      </w:r>
      <w:r w:rsidRPr="0095679A">
        <w:t>.</w:t>
      </w:r>
    </w:p>
    <w:p w:rsidR="00356B40" w:rsidRPr="00DF3B2E" w:rsidRDefault="00356B40" w:rsidP="00356B40">
      <w:pPr>
        <w:pStyle w:val="Heading2"/>
      </w:pPr>
      <w:bookmarkStart w:id="18" w:name="_Toc491762669"/>
      <w:r w:rsidRPr="00DF3B2E">
        <w:t>TGP/10: Examining uniformity</w:t>
      </w:r>
      <w:bookmarkEnd w:id="18"/>
    </w:p>
    <w:p w:rsidR="00356B40" w:rsidRPr="00DF3B2E" w:rsidRDefault="00356B40" w:rsidP="00356B40">
      <w:pPr>
        <w:keepNext/>
        <w:rPr>
          <w:snapToGrid w:val="0"/>
        </w:rPr>
      </w:pPr>
    </w:p>
    <w:p w:rsidR="00356B40" w:rsidRPr="00DF3B2E" w:rsidRDefault="00356B40" w:rsidP="00356B40">
      <w:pPr>
        <w:pStyle w:val="Heading3"/>
      </w:pPr>
      <w:bookmarkStart w:id="19" w:name="_Toc491762670"/>
      <w:r w:rsidRPr="00DF3B2E">
        <w:t>Assessing Uniformity by Off-Types on Basis of More than One Growing Cycle or on the Basis of Sub</w:t>
      </w:r>
      <w:r w:rsidRPr="00DF3B2E">
        <w:noBreakHyphen/>
        <w:t>Samples</w:t>
      </w:r>
      <w:bookmarkEnd w:id="19"/>
      <w:r w:rsidRPr="00DF3B2E">
        <w:t xml:space="preserve"> </w:t>
      </w:r>
    </w:p>
    <w:bookmarkEnd w:id="4"/>
    <w:bookmarkEnd w:id="5"/>
    <w:bookmarkEnd w:id="6"/>
    <w:bookmarkEnd w:id="7"/>
    <w:bookmarkEnd w:id="8"/>
    <w:bookmarkEnd w:id="9"/>
    <w:bookmarkEnd w:id="10"/>
    <w:bookmarkEnd w:id="11"/>
    <w:bookmarkEnd w:id="12"/>
    <w:p w:rsidR="00356B40" w:rsidRDefault="00356B40" w:rsidP="00356B40">
      <w:pPr>
        <w:keepNext/>
      </w:pPr>
    </w:p>
    <w:p w:rsidR="00356B40" w:rsidRPr="00540418" w:rsidRDefault="00356B40" w:rsidP="00356B40">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B712A6">
        <w:rPr>
          <w:snapToGrid w:val="0"/>
        </w:rPr>
        <w:t xml:space="preserve">and the TWV </w:t>
      </w:r>
      <w:r w:rsidRPr="00540418">
        <w:rPr>
          <w:snapToGrid w:val="0"/>
        </w:rPr>
        <w:t xml:space="preserve">considered </w:t>
      </w:r>
      <w:r w:rsidRPr="00540418">
        <w:t xml:space="preserve">document </w:t>
      </w:r>
      <w:hyperlink r:id="rId13" w:history="1">
        <w:r w:rsidRPr="00540418">
          <w:rPr>
            <w:rStyle w:val="Hyperlink"/>
          </w:rPr>
          <w:t>TWP/1/17 Rev.</w:t>
        </w:r>
      </w:hyperlink>
    </w:p>
    <w:p w:rsidR="00356B40" w:rsidRPr="00540418" w:rsidRDefault="00356B40" w:rsidP="00356B40">
      <w:pPr>
        <w:keepNext/>
      </w:pPr>
    </w:p>
    <w:p w:rsidR="00356B40" w:rsidRPr="00540418" w:rsidRDefault="00356B40" w:rsidP="00356B40">
      <w:r w:rsidRPr="00540418">
        <w:fldChar w:fldCharType="begin"/>
      </w:r>
      <w:r w:rsidRPr="00540418">
        <w:instrText xml:space="preserve"> AUTONUM  </w:instrText>
      </w:r>
      <w:r w:rsidRPr="00540418">
        <w:fldChar w:fldCharType="end"/>
      </w:r>
      <w:r w:rsidRPr="00540418">
        <w:tab/>
        <w:t>The TWA</w:t>
      </w:r>
      <w:r w:rsidR="00B712A6">
        <w:t xml:space="preserve"> and the TWV</w:t>
      </w:r>
      <w:r w:rsidRPr="00540418">
        <w:t xml:space="preserve"> considered the draft guidance presented in Annexes I and II of document</w:t>
      </w:r>
      <w:r w:rsidR="00E4022D">
        <w:t> </w:t>
      </w:r>
      <w:r w:rsidRPr="00540418">
        <w:t>TWP/1/17 Rev. as amended by the TWPs, at their sessions in 2016, for inclusion in a future revision of document TGP/10</w:t>
      </w:r>
      <w:r w:rsidR="002E0EAB">
        <w:t xml:space="preserve"> “Examining Uniformity”</w:t>
      </w:r>
      <w:r w:rsidRPr="00540418">
        <w:t>.</w:t>
      </w:r>
    </w:p>
    <w:p w:rsidR="00356B40" w:rsidRPr="00540418" w:rsidRDefault="00356B40" w:rsidP="00356B40"/>
    <w:p w:rsidR="00A70AB5" w:rsidRPr="0095679A" w:rsidRDefault="00A70AB5" w:rsidP="00A70AB5">
      <w:r w:rsidRPr="0095679A">
        <w:fldChar w:fldCharType="begin"/>
      </w:r>
      <w:r w:rsidRPr="0095679A">
        <w:instrText xml:space="preserve"> AUTONUM  </w:instrText>
      </w:r>
      <w:r w:rsidRPr="0095679A">
        <w:fldChar w:fldCharType="end"/>
      </w:r>
      <w:r w:rsidRPr="0095679A">
        <w:tab/>
        <w:t xml:space="preserve">The </w:t>
      </w:r>
      <w:r>
        <w:t xml:space="preserve">TWA and the </w:t>
      </w:r>
      <w:r w:rsidRPr="0095679A">
        <w:t>TWV agreed to propose that the new sentence introduced in the draft guidance, Annex I, should be amended to read as follows:</w:t>
      </w:r>
    </w:p>
    <w:p w:rsidR="00A70AB5" w:rsidRPr="0095679A" w:rsidRDefault="00A70AB5" w:rsidP="00A70AB5"/>
    <w:p w:rsidR="00A70AB5" w:rsidRPr="0095679A" w:rsidRDefault="00A70AB5" w:rsidP="00A70AB5">
      <w:pPr>
        <w:ind w:left="567" w:right="567"/>
        <w:rPr>
          <w:sz w:val="18"/>
          <w:u w:val="single"/>
        </w:rPr>
      </w:pPr>
      <w:r w:rsidRPr="0095679A">
        <w:rPr>
          <w:sz w:val="18"/>
        </w:rPr>
        <w:t>“It is important to identify whether differences in number of off</w:t>
      </w:r>
      <w:r w:rsidRPr="0095679A">
        <w:rPr>
          <w:sz w:val="18"/>
        </w:rPr>
        <w:noBreakHyphen/>
        <w:t>types between growing cycles were due to</w:t>
      </w:r>
      <w:r w:rsidRPr="00BB27BD">
        <w:rPr>
          <w:sz w:val="18"/>
        </w:rPr>
        <w:t xml:space="preserve"> </w:t>
      </w:r>
      <w:r w:rsidRPr="00BB27BD">
        <w:rPr>
          <w:strike/>
          <w:sz w:val="18"/>
          <w:highlight w:val="lightGray"/>
        </w:rPr>
        <w:t>biological</w:t>
      </w:r>
      <w:r w:rsidRPr="00BB27BD">
        <w:rPr>
          <w:sz w:val="18"/>
          <w:highlight w:val="lightGray"/>
          <w:u w:val="single"/>
        </w:rPr>
        <w:t xml:space="preserve"> environmental</w:t>
      </w:r>
      <w:r w:rsidRPr="0095679A">
        <w:rPr>
          <w:sz w:val="18"/>
          <w:u w:val="single"/>
        </w:rPr>
        <w:t xml:space="preserve"> </w:t>
      </w:r>
      <w:r w:rsidRPr="0095679A">
        <w:rPr>
          <w:sz w:val="18"/>
        </w:rPr>
        <w:t>reasons or sampling variation.”</w:t>
      </w:r>
      <w:r w:rsidRPr="0095679A">
        <w:rPr>
          <w:sz w:val="18"/>
          <w:u w:val="single"/>
        </w:rPr>
        <w:t xml:space="preserve"> </w:t>
      </w:r>
    </w:p>
    <w:p w:rsidR="00A70AB5" w:rsidRPr="0095679A" w:rsidRDefault="00A70AB5" w:rsidP="00A70AB5"/>
    <w:p w:rsidR="00356B40" w:rsidRPr="00540418" w:rsidRDefault="00356B40" w:rsidP="00356B40">
      <w:pPr>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agreed to propose a more general criteria for a variety to be rejected after a single growing cycle for inclusion in the different approaches of the draft guidance to read as follows:</w:t>
      </w:r>
    </w:p>
    <w:p w:rsidR="00356B40" w:rsidRPr="00540418" w:rsidRDefault="00356B40" w:rsidP="00356B40"/>
    <w:p w:rsidR="00356B40" w:rsidRPr="00A70AB5" w:rsidRDefault="00356B40" w:rsidP="00A70AB5">
      <w:pPr>
        <w:ind w:left="567" w:right="567"/>
        <w:rPr>
          <w:sz w:val="18"/>
          <w:szCs w:val="18"/>
          <w:u w:val="single"/>
        </w:rPr>
      </w:pPr>
      <w:r w:rsidRPr="00A70AB5">
        <w:rPr>
          <w:rFonts w:eastAsia="SimSun"/>
          <w:sz w:val="18"/>
          <w:szCs w:val="22"/>
          <w:highlight w:val="lightGray"/>
          <w:u w:val="single"/>
          <w:lang w:eastAsia="zh-CN"/>
        </w:rPr>
        <w:t>“If in the first growing cycle a variety exceeds a predefined upper limit of off-types the</w:t>
      </w:r>
      <w:r w:rsidRPr="00A70AB5">
        <w:rPr>
          <w:sz w:val="18"/>
          <w:szCs w:val="18"/>
          <w:highlight w:val="lightGray"/>
          <w:u w:val="single"/>
        </w:rPr>
        <w:t xml:space="preserve"> variety may be rejected after a single growing cycle.</w:t>
      </w:r>
      <w:r w:rsidRPr="00A70AB5">
        <w:rPr>
          <w:sz w:val="18"/>
          <w:szCs w:val="18"/>
          <w:u w:val="single"/>
        </w:rPr>
        <w:t>”</w:t>
      </w:r>
    </w:p>
    <w:p w:rsidR="00356B40" w:rsidRPr="00540418" w:rsidRDefault="00356B40" w:rsidP="00356B40"/>
    <w:p w:rsidR="00356B40" w:rsidRPr="00540418" w:rsidRDefault="00356B40" w:rsidP="00356B40">
      <w:r w:rsidRPr="00540418">
        <w:rPr>
          <w:snapToGrid w:val="0"/>
        </w:rPr>
        <w:lastRenderedPageBreak/>
        <w:fldChar w:fldCharType="begin"/>
      </w:r>
      <w:r w:rsidRPr="00540418">
        <w:rPr>
          <w:snapToGrid w:val="0"/>
        </w:rPr>
        <w:instrText xml:space="preserve"> AUTONUM  </w:instrText>
      </w:r>
      <w:r w:rsidRPr="00540418">
        <w:rPr>
          <w:snapToGrid w:val="0"/>
        </w:rPr>
        <w:fldChar w:fldCharType="end"/>
      </w:r>
      <w:r w:rsidRPr="00540418">
        <w:rPr>
          <w:snapToGrid w:val="0"/>
        </w:rPr>
        <w:tab/>
      </w:r>
      <w:r w:rsidRPr="00540418">
        <w:t xml:space="preserve">The TWA agreed that the </w:t>
      </w:r>
      <w:r w:rsidRPr="00540418">
        <w:rPr>
          <w:rFonts w:eastAsia="SimSun"/>
          <w:szCs w:val="24"/>
          <w:lang w:eastAsia="zh-CN"/>
        </w:rPr>
        <w:t xml:space="preserve">upper limit </w:t>
      </w:r>
      <w:r w:rsidRPr="00863733">
        <w:rPr>
          <w:rFonts w:eastAsia="SimSun"/>
          <w:szCs w:val="24"/>
          <w:lang w:eastAsia="zh-CN"/>
        </w:rPr>
        <w:t>of off-types c</w:t>
      </w:r>
      <w:r w:rsidRPr="00540418">
        <w:rPr>
          <w:rFonts w:eastAsia="SimSun"/>
          <w:szCs w:val="24"/>
          <w:lang w:eastAsia="zh-CN"/>
        </w:rPr>
        <w:t>ould be defined by each authority according to the approaches used for the assessment of uniformity by off-types.</w:t>
      </w:r>
    </w:p>
    <w:p w:rsidR="00356B40" w:rsidRPr="00540418" w:rsidRDefault="00356B40" w:rsidP="00356B40"/>
    <w:p w:rsidR="00356B40" w:rsidRPr="00540418" w:rsidRDefault="00356B40" w:rsidP="00716DDD">
      <w:pPr>
        <w:spacing w:after="240"/>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guidance in document </w:t>
      </w:r>
      <w:r w:rsidRPr="00540418">
        <w:rPr>
          <w:snapToGrid w:val="0"/>
        </w:rPr>
        <w:t>TGP/8/2: Part II: Section 8: “The method of uniformity assessment on the basis of off</w:t>
      </w:r>
      <w:r w:rsidRPr="00540418">
        <w:rPr>
          <w:snapToGrid w:val="0"/>
        </w:rPr>
        <w:noBreakHyphen/>
        <w:t>types” would be revised in order to reflect the practice within members of the Union on the use of methods for more than one single test (year), in conjunction with the revision of document TGP/10 on “Assessing Uniformity by Off-Types on the Basis of More than One Growing Cycle or on the Basis of Sub-Samples”.</w:t>
      </w:r>
    </w:p>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received the following presentations </w:t>
      </w:r>
      <w:r w:rsidRPr="00540418">
        <w:t>comparing the possible effect on uniformity decisions between Approaches 1 and 3 in document TWP/1/17 Rev., as reproduced in the Annexes to documents </w:t>
      </w:r>
      <w:hyperlink r:id="rId14" w:history="1">
        <w:r w:rsidRPr="00194DF5">
          <w:rPr>
            <w:rStyle w:val="Hyperlink"/>
          </w:rPr>
          <w:t>TWA/46/4</w:t>
        </w:r>
      </w:hyperlink>
      <w:r w:rsidRPr="00540418">
        <w:t xml:space="preserve"> and </w:t>
      </w:r>
      <w:hyperlink r:id="rId15" w:history="1">
        <w:r w:rsidRPr="00194DF5">
          <w:rPr>
            <w:rStyle w:val="Hyperlink"/>
          </w:rPr>
          <w:t>TWA/46/4 Add.</w:t>
        </w:r>
      </w:hyperlink>
      <w:r w:rsidRPr="00540418">
        <w:t xml:space="preserve"> (in alphabetical order):</w:t>
      </w:r>
    </w:p>
    <w:p w:rsidR="00356B40" w:rsidRPr="00540418" w:rsidRDefault="00356B40" w:rsidP="00356B40"/>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z w:val="18"/>
              </w:rPr>
              <w:t>(a)</w:t>
            </w:r>
            <w:r w:rsidRPr="00194DF5">
              <w:rPr>
                <w:sz w:val="18"/>
              </w:rPr>
              <w:tab/>
              <w:t>“Effect of different approaches for the assessment of uniformity by off-types – examples for Barley”, prepared by an expert from Germany</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(b)</w:t>
            </w:r>
            <w:r w:rsidRPr="00194DF5">
              <w:rPr>
                <w:snapToGrid w:val="0"/>
                <w:sz w:val="18"/>
              </w:rPr>
              <w:tab/>
              <w:t>“Assessing Uniformity by Off-types on the basis of more than one Growing Cycle: examples from the Netherlands”, prepared by an expert from the Netherlands</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(c)</w:t>
            </w:r>
            <w:r w:rsidRPr="00194DF5">
              <w:rPr>
                <w:snapToGrid w:val="0"/>
                <w:sz w:val="18"/>
              </w:rPr>
              <w:tab/>
              <w:t>“Assessing uniformity by off-types on the basis of more than one growing cycle in wheat” prepared by an expert from Poland</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(d)</w:t>
            </w:r>
            <w:r w:rsidRPr="00194DF5">
              <w:rPr>
                <w:snapToGrid w:val="0"/>
                <w:sz w:val="18"/>
              </w:rPr>
              <w:tab/>
              <w:t>“The United Kingdom’s Experience with Winter Oilseed Rape (WOSR)” prepared by an expert from the United Kingdom</w:t>
            </w:r>
          </w:p>
        </w:tc>
      </w:tr>
    </w:tbl>
    <w:p w:rsidR="00356B40" w:rsidRPr="00540418" w:rsidRDefault="00356B40" w:rsidP="00356B40">
      <w:pPr>
        <w:spacing w:before="240"/>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the approaches used for the assessment of uniformity by off-types in Germany and Poland for cereals, in the Netherlands for </w:t>
      </w:r>
      <w:r>
        <w:rPr>
          <w:snapToGrid w:val="0"/>
        </w:rPr>
        <w:t>tomato</w:t>
      </w:r>
      <w:r w:rsidRPr="00540418">
        <w:rPr>
          <w:snapToGrid w:val="0"/>
        </w:rPr>
        <w:t xml:space="preserve"> and in the United Kingdom for oilseed rape.</w:t>
      </w:r>
    </w:p>
    <w:p w:rsidR="00356B40" w:rsidRDefault="00356B40" w:rsidP="00356B40"/>
    <w:p w:rsidR="00A70AB5" w:rsidRPr="0095679A" w:rsidRDefault="00A70AB5" w:rsidP="00A70AB5">
      <w:r>
        <w:fldChar w:fldCharType="begin"/>
      </w:r>
      <w:r>
        <w:instrText xml:space="preserve"> AUTONUM  </w:instrText>
      </w:r>
      <w:r>
        <w:fldChar w:fldCharType="end"/>
      </w:r>
      <w:r>
        <w:tab/>
        <w:t>T</w:t>
      </w:r>
      <w:r w:rsidRPr="0095679A">
        <w:t xml:space="preserve">he TWV agreed to propose a </w:t>
      </w:r>
      <w:r>
        <w:t xml:space="preserve">further </w:t>
      </w:r>
      <w:r w:rsidRPr="0095679A">
        <w:t>clarification to the new sentence introduced in the draft guidance, Annex I, for all approaches to read as follows:</w:t>
      </w:r>
    </w:p>
    <w:p w:rsidR="00A70AB5" w:rsidRPr="0095679A" w:rsidRDefault="00A70AB5" w:rsidP="00A70AB5"/>
    <w:p w:rsidR="00A70AB5" w:rsidRPr="00BB27BD" w:rsidRDefault="00A70AB5" w:rsidP="00A70AB5">
      <w:pPr>
        <w:ind w:left="567" w:right="567"/>
        <w:rPr>
          <w:sz w:val="18"/>
          <w:u w:val="single"/>
        </w:rPr>
      </w:pPr>
      <w:r w:rsidRPr="00BB27BD">
        <w:rPr>
          <w:sz w:val="18"/>
        </w:rPr>
        <w:t>“It is important to identify whether differences in number of off</w:t>
      </w:r>
      <w:r w:rsidRPr="00BB27BD">
        <w:rPr>
          <w:sz w:val="18"/>
        </w:rPr>
        <w:noBreakHyphen/>
        <w:t xml:space="preserve">types between growing cycles were </w:t>
      </w:r>
      <w:r w:rsidRPr="00BB27BD">
        <w:rPr>
          <w:sz w:val="18"/>
          <w:highlight w:val="lightGray"/>
          <w:u w:val="single"/>
        </w:rPr>
        <w:t>not</w:t>
      </w:r>
      <w:r w:rsidRPr="00BB27BD">
        <w:rPr>
          <w:sz w:val="18"/>
        </w:rPr>
        <w:t xml:space="preserve"> due to </w:t>
      </w:r>
      <w:r w:rsidRPr="00BB27BD">
        <w:rPr>
          <w:strike/>
          <w:sz w:val="18"/>
          <w:highlight w:val="lightGray"/>
        </w:rPr>
        <w:t>biological</w:t>
      </w:r>
      <w:r w:rsidRPr="00BB27BD">
        <w:rPr>
          <w:sz w:val="18"/>
          <w:highlight w:val="lightGray"/>
          <w:u w:val="single"/>
        </w:rPr>
        <w:t xml:space="preserve"> environmental</w:t>
      </w:r>
      <w:r w:rsidRPr="00BB27BD">
        <w:rPr>
          <w:sz w:val="18"/>
          <w:u w:val="single"/>
        </w:rPr>
        <w:t xml:space="preserve"> </w:t>
      </w:r>
      <w:r w:rsidRPr="00BB27BD">
        <w:rPr>
          <w:sz w:val="18"/>
        </w:rPr>
        <w:t>reasons or sampling variation.”</w:t>
      </w:r>
      <w:r w:rsidRPr="00BB27BD">
        <w:rPr>
          <w:sz w:val="18"/>
          <w:u w:val="single"/>
        </w:rPr>
        <w:t xml:space="preserve"> </w:t>
      </w:r>
    </w:p>
    <w:p w:rsidR="00A70AB5" w:rsidRPr="00540418" w:rsidRDefault="00A70AB5" w:rsidP="00356B40"/>
    <w:p w:rsidR="00031C0F" w:rsidRPr="0095679A" w:rsidRDefault="00031C0F" w:rsidP="00031C0F">
      <w:r w:rsidRPr="0095679A">
        <w:fldChar w:fldCharType="begin"/>
      </w:r>
      <w:r w:rsidRPr="0095679A">
        <w:instrText xml:space="preserve"> AUTONUM  </w:instrText>
      </w:r>
      <w:r w:rsidRPr="0095679A">
        <w:fldChar w:fldCharType="end"/>
      </w:r>
      <w:r w:rsidRPr="0095679A">
        <w:tab/>
        <w:t>The TWV agreed to propose to modify the sentence for Approach 1 as follows:</w:t>
      </w:r>
    </w:p>
    <w:p w:rsidR="00031C0F" w:rsidRPr="0095679A" w:rsidRDefault="00031C0F" w:rsidP="00031C0F">
      <w:pPr>
        <w:keepNext/>
        <w:keepLines/>
        <w:rPr>
          <w:rFonts w:eastAsia="SimSun"/>
          <w:szCs w:val="24"/>
          <w:lang w:eastAsia="zh-CN"/>
        </w:rPr>
      </w:pPr>
    </w:p>
    <w:p w:rsidR="00031C0F" w:rsidRPr="0095679A" w:rsidRDefault="00031C0F" w:rsidP="00031C0F">
      <w:pPr>
        <w:keepNext/>
        <w:keepLines/>
        <w:ind w:left="567" w:right="567"/>
        <w:rPr>
          <w:rFonts w:eastAsia="SimSun"/>
          <w:sz w:val="18"/>
          <w:szCs w:val="24"/>
          <w:lang w:eastAsia="zh-CN"/>
        </w:rPr>
      </w:pPr>
      <w:r w:rsidRPr="0095679A">
        <w:rPr>
          <w:rFonts w:eastAsia="SimSun"/>
          <w:sz w:val="18"/>
          <w:szCs w:val="24"/>
          <w:lang w:eastAsia="zh-CN"/>
        </w:rPr>
        <w:t xml:space="preserve">“Furthermore, </w:t>
      </w:r>
      <w:r w:rsidRPr="00BB27BD">
        <w:rPr>
          <w:rFonts w:eastAsia="SimSun"/>
          <w:strike/>
          <w:sz w:val="18"/>
          <w:szCs w:val="24"/>
          <w:highlight w:val="lightGray"/>
          <w:lang w:eastAsia="zh-CN"/>
        </w:rPr>
        <w:t>on the basis of a clear lack of uniformity, a</w:t>
      </w:r>
      <w:r w:rsidRPr="0095679A">
        <w:rPr>
          <w:rFonts w:eastAsia="SimSun"/>
          <w:sz w:val="18"/>
          <w:szCs w:val="24"/>
          <w:lang w:eastAsia="zh-CN"/>
        </w:rPr>
        <w:t xml:space="preserve"> if a variety </w:t>
      </w:r>
      <w:r w:rsidRPr="00BB27BD">
        <w:rPr>
          <w:rFonts w:eastAsia="SimSun"/>
          <w:sz w:val="18"/>
          <w:szCs w:val="24"/>
          <w:highlight w:val="lightGray"/>
          <w:u w:val="single"/>
          <w:lang w:eastAsia="zh-CN"/>
        </w:rPr>
        <w:t>clearly</w:t>
      </w:r>
      <w:r w:rsidRPr="0095679A">
        <w:rPr>
          <w:rFonts w:eastAsia="SimSun"/>
          <w:sz w:val="18"/>
          <w:szCs w:val="24"/>
          <w:lang w:eastAsia="zh-CN"/>
        </w:rPr>
        <w:t xml:space="preserve"> exceeds in the first growing cycle the allowed number of off-types in two growing cycles, the variety may be rejected after a single growing cycle.</w:t>
      </w:r>
    </w:p>
    <w:p w:rsidR="00031C0F" w:rsidRPr="0095679A" w:rsidRDefault="00031C0F" w:rsidP="00031C0F">
      <w:pPr>
        <w:rPr>
          <w:rFonts w:cs="Arial"/>
        </w:rPr>
      </w:pPr>
    </w:p>
    <w:p w:rsidR="00031C0F" w:rsidRPr="0095679A" w:rsidRDefault="00031C0F" w:rsidP="00031C0F">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TWV agreed to recall that in the vegetable sector, Approach 1 was the most commonly used.</w:t>
      </w:r>
    </w:p>
    <w:p w:rsidR="00031C0F" w:rsidRPr="0095679A" w:rsidRDefault="00031C0F" w:rsidP="00031C0F">
      <w:pPr>
        <w:rPr>
          <w:rFonts w:cs="Arial"/>
        </w:rPr>
      </w:pPr>
    </w:p>
    <w:p w:rsidR="00031C0F" w:rsidRPr="0095679A" w:rsidRDefault="00031C0F" w:rsidP="00031C0F">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that a proposal for revision of guidance in document </w:t>
      </w:r>
      <w:r w:rsidRPr="0095679A">
        <w:rPr>
          <w:snapToGrid w:val="0"/>
        </w:rPr>
        <w:t>TGP/8/2: Part II: Section 8: “The method of uniformity assessment on the basis of off</w:t>
      </w:r>
      <w:r w:rsidRPr="0095679A">
        <w:rPr>
          <w:snapToGrid w:val="0"/>
        </w:rPr>
        <w:noBreakHyphen/>
        <w:t>types”, would be considered in document TWP/1/1 Rev. “TGP Documents”.</w:t>
      </w:r>
    </w:p>
    <w:p w:rsidR="00031C0F" w:rsidRPr="0095679A" w:rsidRDefault="00031C0F" w:rsidP="00031C0F"/>
    <w:p w:rsidR="00031C0F" w:rsidRPr="0095679A" w:rsidRDefault="00031C0F" w:rsidP="00031C0F">
      <w:pPr>
        <w:rPr>
          <w:rFonts w:cs="Arial"/>
        </w:rPr>
      </w:pPr>
      <w:r w:rsidRPr="0095679A">
        <w:fldChar w:fldCharType="begin"/>
      </w:r>
      <w:r w:rsidRPr="0095679A">
        <w:instrText xml:space="preserve"> AUTONUM  </w:instrText>
      </w:r>
      <w:r w:rsidRPr="0095679A">
        <w:fldChar w:fldCharType="end"/>
      </w:r>
      <w:r w:rsidRPr="0095679A">
        <w:tab/>
        <w:t>The TWV received a presentation on “</w:t>
      </w:r>
      <w:r w:rsidRPr="0095679A">
        <w:rPr>
          <w:rFonts w:cs="Arial"/>
        </w:rPr>
        <w:t xml:space="preserve">Assessing Uniformity by Off-types on the Basis of More than One Growing Cycle:  examples from NL” by an expert from the Netherlands.  A copy of the presentation </w:t>
      </w:r>
      <w:r>
        <w:rPr>
          <w:rFonts w:cs="Arial"/>
        </w:rPr>
        <w:t>was</w:t>
      </w:r>
      <w:r w:rsidRPr="0095679A">
        <w:rPr>
          <w:rFonts w:cs="Arial"/>
        </w:rPr>
        <w:t xml:space="preserve"> provided in the Annex to document </w:t>
      </w:r>
      <w:hyperlink r:id="rId16" w:history="1">
        <w:r w:rsidRPr="0095679A">
          <w:rPr>
            <w:rStyle w:val="Hyperlink"/>
            <w:rFonts w:cs="Arial"/>
          </w:rPr>
          <w:t>TWV/51/5</w:t>
        </w:r>
      </w:hyperlink>
      <w:r w:rsidRPr="0095679A">
        <w:rPr>
          <w:rFonts w:cs="Arial"/>
        </w:rPr>
        <w:t>.</w:t>
      </w:r>
    </w:p>
    <w:p w:rsidR="00356B40" w:rsidRDefault="00356B40" w:rsidP="00356B40"/>
    <w:p w:rsidR="00031C0F" w:rsidRDefault="00031C0F" w:rsidP="00356B40"/>
    <w:p w:rsidR="00356B40" w:rsidRPr="00DF3B2E" w:rsidRDefault="00356B40" w:rsidP="00356B40">
      <w:pPr>
        <w:pStyle w:val="Heading2"/>
      </w:pPr>
      <w:bookmarkStart w:id="20" w:name="_Toc491762671"/>
      <w:r w:rsidRPr="00DF3B2E">
        <w:t>TGP/14: Glossary of Terms Used in UPOV Documents</w:t>
      </w:r>
      <w:bookmarkEnd w:id="20"/>
    </w:p>
    <w:p w:rsidR="00356B40" w:rsidRDefault="00356B40" w:rsidP="00356B40">
      <w:pPr>
        <w:keepNext/>
      </w:pPr>
    </w:p>
    <w:p w:rsidR="00356B40" w:rsidRDefault="00356B40" w:rsidP="00356B40">
      <w:pPr>
        <w:pStyle w:val="Heading3"/>
      </w:pPr>
      <w:bookmarkStart w:id="21" w:name="_Toc491762672"/>
      <w:r w:rsidRPr="00DF3B2E">
        <w:t>Illustrations for shape and ratio characteristics</w:t>
      </w:r>
      <w:bookmarkEnd w:id="21"/>
    </w:p>
    <w:p w:rsidR="00356B40" w:rsidRDefault="00356B40" w:rsidP="00356B40">
      <w:pPr>
        <w:keepNext/>
        <w:rPr>
          <w:snapToGrid w:val="0"/>
        </w:rPr>
      </w:pPr>
    </w:p>
    <w:p w:rsidR="00356B40" w:rsidRPr="00540418" w:rsidRDefault="00356B40" w:rsidP="000B14CB">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031C0F">
        <w:rPr>
          <w:snapToGrid w:val="0"/>
        </w:rPr>
        <w:t xml:space="preserve">and the TWV </w:t>
      </w:r>
      <w:r w:rsidRPr="00540418">
        <w:rPr>
          <w:snapToGrid w:val="0"/>
        </w:rPr>
        <w:t xml:space="preserve">considered </w:t>
      </w:r>
      <w:r w:rsidRPr="00540418">
        <w:t xml:space="preserve">document </w:t>
      </w:r>
      <w:hyperlink r:id="rId17" w:history="1">
        <w:r w:rsidRPr="00540418">
          <w:rPr>
            <w:rStyle w:val="Hyperlink"/>
          </w:rPr>
          <w:t>TWP/1/18</w:t>
        </w:r>
      </w:hyperlink>
      <w:r w:rsidRPr="00540418">
        <w:t>.</w:t>
      </w:r>
    </w:p>
    <w:p w:rsidR="00356B40" w:rsidRPr="00540418" w:rsidRDefault="00356B40" w:rsidP="000B14CB">
      <w:pPr>
        <w:keepNext/>
      </w:pPr>
    </w:p>
    <w:p w:rsidR="00356B40" w:rsidRPr="00540418" w:rsidRDefault="00356B40" w:rsidP="00031C0F">
      <w:r w:rsidRPr="00540418">
        <w:fldChar w:fldCharType="begin"/>
      </w:r>
      <w:r w:rsidRPr="00540418">
        <w:instrText xml:space="preserve"> AUTONUM  </w:instrText>
      </w:r>
      <w:r w:rsidRPr="00540418">
        <w:fldChar w:fldCharType="end"/>
      </w:r>
      <w:r w:rsidRPr="00540418">
        <w:tab/>
        <w:t>The TWA</w:t>
      </w:r>
      <w:r w:rsidR="00031C0F">
        <w:t xml:space="preserve"> and the TWV </w:t>
      </w:r>
      <w:r w:rsidRPr="00540418">
        <w:t>agreed that no additional examples were available at this time for improving the guidance on providing illustrations for shape and ratio characteristics in document TGP/14.</w:t>
      </w:r>
    </w:p>
    <w:p w:rsidR="00356B40" w:rsidRPr="00540418" w:rsidRDefault="00356B40" w:rsidP="00A70AB5"/>
    <w:p w:rsidR="00356B40" w:rsidRPr="00DF3B2E" w:rsidRDefault="00356B40" w:rsidP="00A70AB5">
      <w:pPr>
        <w:rPr>
          <w:snapToGrid w:val="0"/>
        </w:rPr>
      </w:pPr>
    </w:p>
    <w:p w:rsidR="00050E16" w:rsidRPr="00C5280D" w:rsidRDefault="00356B40" w:rsidP="000B14CB">
      <w:pPr>
        <w:jc w:val="right"/>
      </w:pPr>
      <w:r w:rsidRPr="00B763A7">
        <w:rPr>
          <w:snapToGrid w:val="0"/>
        </w:rPr>
        <w:t>[</w:t>
      </w:r>
      <w:r>
        <w:rPr>
          <w:snapToGrid w:val="0"/>
        </w:rPr>
        <w:t>End of document</w:t>
      </w:r>
      <w:r w:rsidRPr="00B763A7">
        <w:rPr>
          <w:snapToGrid w:val="0"/>
        </w:rPr>
        <w:t>]</w:t>
      </w:r>
    </w:p>
    <w:sectPr w:rsidR="00050E16" w:rsidRPr="00C5280D" w:rsidSect="00906DDC">
      <w:headerReference w:type="defaul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40" w:rsidRDefault="00356B40" w:rsidP="006655D3">
      <w:r>
        <w:separator/>
      </w:r>
    </w:p>
    <w:p w:rsidR="00356B40" w:rsidRDefault="00356B40" w:rsidP="006655D3"/>
    <w:p w:rsidR="00356B40" w:rsidRDefault="00356B40" w:rsidP="006655D3"/>
  </w:endnote>
  <w:endnote w:type="continuationSeparator" w:id="0">
    <w:p w:rsidR="00356B40" w:rsidRDefault="00356B40" w:rsidP="006655D3">
      <w:r>
        <w:separator/>
      </w:r>
    </w:p>
    <w:p w:rsidR="00356B40" w:rsidRPr="00294751" w:rsidRDefault="00356B40">
      <w:pPr>
        <w:pStyle w:val="Footer"/>
        <w:spacing w:after="60"/>
        <w:rPr>
          <w:sz w:val="18"/>
          <w:lang w:val="fr-FR"/>
        </w:rPr>
      </w:pPr>
      <w:r w:rsidRPr="00294751">
        <w:rPr>
          <w:sz w:val="18"/>
          <w:lang w:val="fr-FR"/>
        </w:rPr>
        <w:t>[Suite de la note de la page précédente]</w:t>
      </w:r>
    </w:p>
    <w:p w:rsidR="00356B40" w:rsidRPr="00294751" w:rsidRDefault="00356B40" w:rsidP="006655D3">
      <w:pPr>
        <w:rPr>
          <w:lang w:val="fr-FR"/>
        </w:rPr>
      </w:pPr>
    </w:p>
    <w:p w:rsidR="00356B40" w:rsidRPr="00294751" w:rsidRDefault="00356B40" w:rsidP="006655D3">
      <w:pPr>
        <w:rPr>
          <w:lang w:val="fr-FR"/>
        </w:rPr>
      </w:pPr>
    </w:p>
  </w:endnote>
  <w:endnote w:type="continuationNotice" w:id="1">
    <w:p w:rsidR="00356B40" w:rsidRPr="00294751" w:rsidRDefault="00356B40" w:rsidP="006655D3">
      <w:pPr>
        <w:rPr>
          <w:lang w:val="fr-FR"/>
        </w:rPr>
      </w:pPr>
      <w:r w:rsidRPr="00294751">
        <w:rPr>
          <w:lang w:val="fr-FR"/>
        </w:rPr>
        <w:t>[Suite de la note page suivante]</w:t>
      </w:r>
    </w:p>
    <w:p w:rsidR="00356B40" w:rsidRPr="00294751" w:rsidRDefault="00356B40" w:rsidP="006655D3">
      <w:pPr>
        <w:rPr>
          <w:lang w:val="fr-FR"/>
        </w:rPr>
      </w:pPr>
    </w:p>
    <w:p w:rsidR="00356B40" w:rsidRPr="00294751" w:rsidRDefault="00356B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40" w:rsidRDefault="00356B40" w:rsidP="006655D3">
      <w:r>
        <w:separator/>
      </w:r>
    </w:p>
  </w:footnote>
  <w:footnote w:type="continuationSeparator" w:id="0">
    <w:p w:rsidR="00356B40" w:rsidRDefault="00356B40" w:rsidP="006655D3">
      <w:r>
        <w:separator/>
      </w:r>
    </w:p>
  </w:footnote>
  <w:footnote w:type="continuationNotice" w:id="1">
    <w:p w:rsidR="00356B40" w:rsidRPr="00AB530F" w:rsidRDefault="00356B4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B712A6">
    <w:pPr>
      <w:pStyle w:val="Header"/>
      <w:rPr>
        <w:rStyle w:val="PageNumber"/>
        <w:lang w:val="en-US"/>
      </w:rPr>
    </w:pPr>
    <w:r>
      <w:rPr>
        <w:rStyle w:val="PageNumber"/>
        <w:lang w:val="en-US"/>
      </w:rPr>
      <w:t>T</w:t>
    </w:r>
    <w:r w:rsidR="00E70039">
      <w:rPr>
        <w:rStyle w:val="PageNumber"/>
        <w:lang w:val="en-US"/>
      </w:rPr>
      <w:t>W</w:t>
    </w:r>
    <w:r w:rsidR="00B712A6">
      <w:rPr>
        <w:rStyle w:val="PageNumber"/>
        <w:lang w:val="en-US"/>
      </w:rPr>
      <w:t>O</w:t>
    </w:r>
    <w:r>
      <w:rPr>
        <w:rStyle w:val="PageNumber"/>
        <w:lang w:val="en-US"/>
      </w:rPr>
      <w:t>/</w:t>
    </w:r>
    <w:r w:rsidR="00805E12">
      <w:rPr>
        <w:rStyle w:val="PageNumber"/>
        <w:lang w:val="en-US"/>
      </w:rPr>
      <w:t>5</w:t>
    </w:r>
    <w:r w:rsidR="00B712A6">
      <w:rPr>
        <w:rStyle w:val="PageNumber"/>
        <w:lang w:val="en-US"/>
      </w:rPr>
      <w:t>0</w:t>
    </w:r>
    <w:r w:rsidR="00667404">
      <w:rPr>
        <w:rStyle w:val="PageNumber"/>
        <w:lang w:val="en-US"/>
      </w:rPr>
      <w:t>/</w:t>
    </w:r>
    <w:r w:rsidR="00356B40">
      <w:rPr>
        <w:rStyle w:val="PageNumber"/>
        <w:lang w:val="en-US"/>
      </w:rPr>
      <w:t>1</w:t>
    </w:r>
    <w:r w:rsidR="00B712A6">
      <w:rPr>
        <w:rStyle w:val="PageNumber"/>
        <w:lang w:val="en-US"/>
      </w:rPr>
      <w:t>1</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340A">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40"/>
    <w:rsid w:val="00010CF3"/>
    <w:rsid w:val="00011E27"/>
    <w:rsid w:val="000148BC"/>
    <w:rsid w:val="00024AB8"/>
    <w:rsid w:val="00030854"/>
    <w:rsid w:val="00031C0F"/>
    <w:rsid w:val="00036028"/>
    <w:rsid w:val="00044642"/>
    <w:rsid w:val="000446B9"/>
    <w:rsid w:val="00047E21"/>
    <w:rsid w:val="00050E16"/>
    <w:rsid w:val="00085505"/>
    <w:rsid w:val="000B14CB"/>
    <w:rsid w:val="000C4E25"/>
    <w:rsid w:val="000C7021"/>
    <w:rsid w:val="000D6BBC"/>
    <w:rsid w:val="000D7780"/>
    <w:rsid w:val="000E636A"/>
    <w:rsid w:val="000F2F11"/>
    <w:rsid w:val="00105929"/>
    <w:rsid w:val="0010782D"/>
    <w:rsid w:val="00110C36"/>
    <w:rsid w:val="001131D5"/>
    <w:rsid w:val="001132F2"/>
    <w:rsid w:val="00141DB8"/>
    <w:rsid w:val="00172084"/>
    <w:rsid w:val="0017474A"/>
    <w:rsid w:val="001758C6"/>
    <w:rsid w:val="00182B99"/>
    <w:rsid w:val="001B532B"/>
    <w:rsid w:val="001D6303"/>
    <w:rsid w:val="0021332C"/>
    <w:rsid w:val="00213982"/>
    <w:rsid w:val="0024416D"/>
    <w:rsid w:val="00246520"/>
    <w:rsid w:val="00271911"/>
    <w:rsid w:val="002800A0"/>
    <w:rsid w:val="002801B3"/>
    <w:rsid w:val="00281060"/>
    <w:rsid w:val="002940E8"/>
    <w:rsid w:val="00294751"/>
    <w:rsid w:val="002A6E50"/>
    <w:rsid w:val="002B4298"/>
    <w:rsid w:val="002C256A"/>
    <w:rsid w:val="002E0EAB"/>
    <w:rsid w:val="00305A7F"/>
    <w:rsid w:val="003152FE"/>
    <w:rsid w:val="00327436"/>
    <w:rsid w:val="00335389"/>
    <w:rsid w:val="00344BD6"/>
    <w:rsid w:val="0035528D"/>
    <w:rsid w:val="00356B40"/>
    <w:rsid w:val="00361821"/>
    <w:rsid w:val="00361E9E"/>
    <w:rsid w:val="00377729"/>
    <w:rsid w:val="003C7FBE"/>
    <w:rsid w:val="003D227C"/>
    <w:rsid w:val="003D2B4D"/>
    <w:rsid w:val="00400038"/>
    <w:rsid w:val="00405B33"/>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B2C4C"/>
    <w:rsid w:val="005E6BC4"/>
    <w:rsid w:val="005F7B92"/>
    <w:rsid w:val="00607C3B"/>
    <w:rsid w:val="00612379"/>
    <w:rsid w:val="006153B6"/>
    <w:rsid w:val="0061555F"/>
    <w:rsid w:val="00621302"/>
    <w:rsid w:val="0063501D"/>
    <w:rsid w:val="00636CA6"/>
    <w:rsid w:val="00641200"/>
    <w:rsid w:val="006655D3"/>
    <w:rsid w:val="00667404"/>
    <w:rsid w:val="00687EB4"/>
    <w:rsid w:val="00695C56"/>
    <w:rsid w:val="006A5CDE"/>
    <w:rsid w:val="006A644A"/>
    <w:rsid w:val="006B17D2"/>
    <w:rsid w:val="006C224E"/>
    <w:rsid w:val="006D780A"/>
    <w:rsid w:val="0070340A"/>
    <w:rsid w:val="0071271E"/>
    <w:rsid w:val="00716DDD"/>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8E2D14"/>
    <w:rsid w:val="00900C26"/>
    <w:rsid w:val="0090197F"/>
    <w:rsid w:val="00906DDC"/>
    <w:rsid w:val="00934E09"/>
    <w:rsid w:val="00936253"/>
    <w:rsid w:val="00940D46"/>
    <w:rsid w:val="00952DD4"/>
    <w:rsid w:val="00961129"/>
    <w:rsid w:val="00965AE7"/>
    <w:rsid w:val="00970FED"/>
    <w:rsid w:val="00992D82"/>
    <w:rsid w:val="00997029"/>
    <w:rsid w:val="009A7339"/>
    <w:rsid w:val="009B440E"/>
    <w:rsid w:val="009D690D"/>
    <w:rsid w:val="009E65B6"/>
    <w:rsid w:val="00A24C10"/>
    <w:rsid w:val="00A42AC3"/>
    <w:rsid w:val="00A430CF"/>
    <w:rsid w:val="00A54309"/>
    <w:rsid w:val="00A70AB5"/>
    <w:rsid w:val="00AB2B93"/>
    <w:rsid w:val="00AB530F"/>
    <w:rsid w:val="00AB7E5B"/>
    <w:rsid w:val="00AC2883"/>
    <w:rsid w:val="00AE0EF1"/>
    <w:rsid w:val="00AE2937"/>
    <w:rsid w:val="00AE2F93"/>
    <w:rsid w:val="00B07301"/>
    <w:rsid w:val="00B11F3E"/>
    <w:rsid w:val="00B224DE"/>
    <w:rsid w:val="00B324D4"/>
    <w:rsid w:val="00B46575"/>
    <w:rsid w:val="00B61777"/>
    <w:rsid w:val="00B712A6"/>
    <w:rsid w:val="00B84BBD"/>
    <w:rsid w:val="00BA43FB"/>
    <w:rsid w:val="00BC127D"/>
    <w:rsid w:val="00BC1FE6"/>
    <w:rsid w:val="00BD16E7"/>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6CB9"/>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4022D"/>
    <w:rsid w:val="00E5267B"/>
    <w:rsid w:val="00E6162E"/>
    <w:rsid w:val="00E70039"/>
    <w:rsid w:val="00E72D49"/>
    <w:rsid w:val="00E7593C"/>
    <w:rsid w:val="00E7678A"/>
    <w:rsid w:val="00E935F1"/>
    <w:rsid w:val="00E94A81"/>
    <w:rsid w:val="00EA1FFB"/>
    <w:rsid w:val="00EB048E"/>
    <w:rsid w:val="00EB4E9C"/>
    <w:rsid w:val="00EC481C"/>
    <w:rsid w:val="00ED12F2"/>
    <w:rsid w:val="00EE1AFA"/>
    <w:rsid w:val="00EE34DF"/>
    <w:rsid w:val="00EF2F89"/>
    <w:rsid w:val="00F03E98"/>
    <w:rsid w:val="00F1237A"/>
    <w:rsid w:val="00F22CBD"/>
    <w:rsid w:val="00F272F1"/>
    <w:rsid w:val="00F45372"/>
    <w:rsid w:val="00F560F7"/>
    <w:rsid w:val="00F63030"/>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356B40"/>
    <w:rPr>
      <w:rFonts w:ascii="Arial" w:hAnsi="Arial"/>
      <w:i/>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CC6C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356B40"/>
    <w:rPr>
      <w:rFonts w:ascii="Arial" w:hAnsi="Arial"/>
      <w:i/>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 w:type="character" w:styleId="FollowedHyperlink">
    <w:name w:val="FollowedHyperlink"/>
    <w:basedOn w:val="DefaultParagraphFont"/>
    <w:rsid w:val="00CC6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en/details.jsp?meeting_id=42986" TargetMode="External"/><Relationship Id="rId13" Type="http://schemas.openxmlformats.org/officeDocument/2006/relationships/hyperlink" Target="http://www.upov.int/edocs/mdocs/upov/en/twa_46/twp_1_17_rev.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ov.int/edocs/mdocs/upov/en/twa_46/twp_1_12.pdf" TargetMode="External"/><Relationship Id="rId17" Type="http://schemas.openxmlformats.org/officeDocument/2006/relationships/hyperlink" Target="http://www.upov.int/edocs/mdocs/upov/en/twa_46/twp_1_18.pdf" TargetMode="External"/><Relationship Id="rId2" Type="http://schemas.microsoft.com/office/2007/relationships/stylesWithEffects" Target="stylesWithEffects.xml"/><Relationship Id="rId16" Type="http://schemas.openxmlformats.org/officeDocument/2006/relationships/hyperlink" Target="http://www.upov.int/edocs/mdocs/upov/en/twv_51/twv_51_5.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edocs/mdocs/upov/en/twa_46/twp_1_11.pdf" TargetMode="External"/><Relationship Id="rId5" Type="http://schemas.openxmlformats.org/officeDocument/2006/relationships/footnotes" Target="footnotes.xml"/><Relationship Id="rId15" Type="http://schemas.openxmlformats.org/officeDocument/2006/relationships/hyperlink" Target="http://www.upov.int/edocs/mdocs/upov/en/twa_46/twa_46_4_add.pdf" TargetMode="External"/><Relationship Id="rId10" Type="http://schemas.openxmlformats.org/officeDocument/2006/relationships/hyperlink" Target="http://www.upov.int/edocs/mdocs/upov/en/twa_46/twp_1_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pov.int/meetings/en/details.jsp?meeting_id=43705" TargetMode="External"/><Relationship Id="rId14" Type="http://schemas.openxmlformats.org/officeDocument/2006/relationships/hyperlink" Target="http://www.upov.int/edocs/mdocs/upov/en/twa_46/twa_46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twv_51.dotx</Template>
  <TotalTime>128</TotalTime>
  <Pages>3</Pages>
  <Words>1524</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TWV/51</vt:lpstr>
    </vt:vector>
  </TitlesOfParts>
  <Company>UPOV</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BESSE Ariane</dc:creator>
  <cp:lastModifiedBy>BESSE Ariane</cp:lastModifiedBy>
  <cp:revision>17</cp:revision>
  <cp:lastPrinted>2017-08-29T07:35:00Z</cp:lastPrinted>
  <dcterms:created xsi:type="dcterms:W3CDTF">2017-08-25T12:53:00Z</dcterms:created>
  <dcterms:modified xsi:type="dcterms:W3CDTF">2017-08-29T13:42:00Z</dcterms:modified>
</cp:coreProperties>
</file>