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880D12" w:rsidTr="0018780B">
        <w:trPr>
          <w:trHeight w:val="1760"/>
        </w:trPr>
        <w:tc>
          <w:tcPr>
            <w:tcW w:w="4243" w:type="dxa"/>
          </w:tcPr>
          <w:p w:rsidR="000D7780" w:rsidRPr="00880D12" w:rsidRDefault="000D7780" w:rsidP="006655D3"/>
        </w:tc>
        <w:tc>
          <w:tcPr>
            <w:tcW w:w="1646" w:type="dxa"/>
            <w:vAlign w:val="center"/>
          </w:tcPr>
          <w:p w:rsidR="000D7780" w:rsidRPr="00D3650A" w:rsidRDefault="008138C8" w:rsidP="006655D3">
            <w:pPr>
              <w:pStyle w:val="LogoUPOV"/>
            </w:pPr>
            <w:r w:rsidRPr="00D3650A">
              <w:rPr>
                <w:noProof/>
              </w:rPr>
              <w:drawing>
                <wp:inline distT="0" distB="0" distL="0" distR="0" wp14:anchorId="02C9DECC" wp14:editId="1574E7B1">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D3650A" w:rsidRDefault="0024416D" w:rsidP="006655D3">
            <w:pPr>
              <w:pStyle w:val="Lettrine"/>
            </w:pPr>
            <w:r w:rsidRPr="00D3650A">
              <w:t>E</w:t>
            </w:r>
          </w:p>
          <w:p w:rsidR="000D7780" w:rsidRPr="00D3650A" w:rsidRDefault="006B1726" w:rsidP="006655D3">
            <w:pPr>
              <w:pStyle w:val="Docoriginal"/>
            </w:pPr>
            <w:r>
              <w:t>TWO/49/2</w:t>
            </w:r>
            <w:r w:rsidR="00B905AD">
              <w:t>4</w:t>
            </w:r>
          </w:p>
          <w:p w:rsidR="000D7780" w:rsidRPr="00D3650A" w:rsidRDefault="0061555F" w:rsidP="006655D3">
            <w:pPr>
              <w:pStyle w:val="Docoriginal"/>
              <w:rPr>
                <w:b w:val="0"/>
                <w:spacing w:val="0"/>
              </w:rPr>
            </w:pPr>
            <w:r w:rsidRPr="00D3650A">
              <w:rPr>
                <w:rStyle w:val="StyleDoclangBold"/>
                <w:b/>
                <w:bCs/>
                <w:spacing w:val="0"/>
              </w:rPr>
              <w:t>ORIGINAL</w:t>
            </w:r>
            <w:r w:rsidR="000D7780" w:rsidRPr="00D3650A">
              <w:rPr>
                <w:rStyle w:val="StyleDoclangBold"/>
                <w:b/>
                <w:bCs/>
                <w:spacing w:val="0"/>
              </w:rPr>
              <w:t>:</w:t>
            </w:r>
            <w:r w:rsidRPr="00D3650A">
              <w:rPr>
                <w:rStyle w:val="StyleDocoriginalNotBold1"/>
                <w:spacing w:val="0"/>
              </w:rPr>
              <w:t xml:space="preserve"> </w:t>
            </w:r>
            <w:bookmarkStart w:id="0" w:name="Original"/>
            <w:bookmarkEnd w:id="0"/>
            <w:r w:rsidR="00876C58" w:rsidRPr="00D3650A">
              <w:rPr>
                <w:rStyle w:val="StyleDocoriginalNotBold1"/>
                <w:spacing w:val="0"/>
              </w:rPr>
              <w:t xml:space="preserve"> </w:t>
            </w:r>
            <w:r w:rsidR="0024416D" w:rsidRPr="00D3650A">
              <w:rPr>
                <w:b w:val="0"/>
                <w:spacing w:val="0"/>
              </w:rPr>
              <w:t>English</w:t>
            </w:r>
          </w:p>
          <w:p w:rsidR="000D7780" w:rsidRPr="00880D12" w:rsidRDefault="000D7780" w:rsidP="009A43E2">
            <w:pPr>
              <w:pStyle w:val="Docoriginal"/>
            </w:pPr>
            <w:r w:rsidRPr="00D3650A">
              <w:rPr>
                <w:spacing w:val="0"/>
              </w:rPr>
              <w:t>DATE:</w:t>
            </w:r>
            <w:r w:rsidR="002A08B1">
              <w:rPr>
                <w:spacing w:val="0"/>
              </w:rPr>
              <w:t xml:space="preserve"> </w:t>
            </w:r>
            <w:r w:rsidRPr="00D3650A">
              <w:rPr>
                <w:rStyle w:val="StyleDocoriginalNotBold1"/>
                <w:spacing w:val="0"/>
              </w:rPr>
              <w:t xml:space="preserve"> </w:t>
            </w:r>
            <w:bookmarkStart w:id="1" w:name="Date"/>
            <w:bookmarkEnd w:id="1"/>
            <w:r w:rsidR="006B1726" w:rsidRPr="005A3C91">
              <w:rPr>
                <w:rStyle w:val="StyleDocoriginalNotBold1"/>
                <w:spacing w:val="0"/>
              </w:rPr>
              <w:t xml:space="preserve">June </w:t>
            </w:r>
            <w:r w:rsidR="009A43E2">
              <w:rPr>
                <w:rStyle w:val="StyleDocoriginalNotBold1"/>
                <w:spacing w:val="0"/>
              </w:rPr>
              <w:t>9</w:t>
            </w:r>
            <w:bookmarkStart w:id="2" w:name="_GoBack"/>
            <w:bookmarkEnd w:id="2"/>
            <w:r w:rsidR="00BD3A48" w:rsidRPr="004F6253">
              <w:rPr>
                <w:rStyle w:val="StyleDocoriginalNotBold1"/>
                <w:spacing w:val="0"/>
              </w:rPr>
              <w:t>, 201</w:t>
            </w:r>
            <w:r w:rsidR="00E81A28" w:rsidRPr="004F6253">
              <w:rPr>
                <w:rStyle w:val="StyleDocoriginalNotBold1"/>
                <w:spacing w:val="0"/>
              </w:rPr>
              <w:t>6</w:t>
            </w:r>
            <w:r w:rsidR="00876C58" w:rsidRPr="00880D12">
              <w:rPr>
                <w:rStyle w:val="StyleDocoriginalNotBold1"/>
                <w:spacing w:val="0"/>
              </w:rPr>
              <w:t xml:space="preserve"> </w:t>
            </w:r>
          </w:p>
        </w:tc>
      </w:tr>
      <w:tr w:rsidR="000D7780" w:rsidRPr="00880D12" w:rsidTr="0018780B">
        <w:tc>
          <w:tcPr>
            <w:tcW w:w="10131" w:type="dxa"/>
            <w:gridSpan w:val="3"/>
          </w:tcPr>
          <w:p w:rsidR="000D7780" w:rsidRPr="00880D12" w:rsidRDefault="0024416D" w:rsidP="006655D3">
            <w:pPr>
              <w:pStyle w:val="upove"/>
              <w:rPr>
                <w:sz w:val="28"/>
              </w:rPr>
            </w:pPr>
            <w:r w:rsidRPr="00880D12">
              <w:rPr>
                <w:snapToGrid w:val="0"/>
              </w:rPr>
              <w:t xml:space="preserve">INTERNATIONAL UNION FOR THE PROTECTION OF NEW VARIETIES OF PLANTS </w:t>
            </w:r>
          </w:p>
        </w:tc>
      </w:tr>
      <w:tr w:rsidR="000D7780" w:rsidRPr="00880D12" w:rsidTr="0018780B">
        <w:tc>
          <w:tcPr>
            <w:tcW w:w="10131" w:type="dxa"/>
            <w:gridSpan w:val="3"/>
          </w:tcPr>
          <w:p w:rsidR="000D7780" w:rsidRPr="00880D12" w:rsidRDefault="00867AC1" w:rsidP="006655D3">
            <w:pPr>
              <w:pStyle w:val="Country"/>
            </w:pPr>
            <w:r w:rsidRPr="00880D12">
              <w:t>Gen</w:t>
            </w:r>
            <w:r w:rsidR="0061555F" w:rsidRPr="00880D12">
              <w:t>e</w:t>
            </w:r>
            <w:r w:rsidRPr="00880D12">
              <w:t>v</w:t>
            </w:r>
            <w:r w:rsidR="0061555F" w:rsidRPr="00880D12">
              <w:t>a</w:t>
            </w:r>
          </w:p>
        </w:tc>
      </w:tr>
    </w:tbl>
    <w:p w:rsidR="0018780B" w:rsidRPr="00880D12" w:rsidRDefault="0018780B" w:rsidP="0018780B">
      <w:pPr>
        <w:pStyle w:val="Sessiontc"/>
      </w:pPr>
      <w:r w:rsidRPr="00880D12">
        <w:t>Technical working party for ORNAMENTAL PLANTS AND FOREST TREES</w:t>
      </w:r>
    </w:p>
    <w:p w:rsidR="0018780B" w:rsidRPr="00880D12" w:rsidRDefault="0061555F" w:rsidP="0018780B">
      <w:pPr>
        <w:pStyle w:val="Sessiontcplacedate"/>
      </w:pPr>
      <w:r w:rsidRPr="00880D12">
        <w:t>Forty</w:t>
      </w:r>
      <w:r w:rsidR="00867AC1" w:rsidRPr="00880D12">
        <w:t>-</w:t>
      </w:r>
      <w:r w:rsidR="00E81A28" w:rsidRPr="00880D12">
        <w:t>Ninth</w:t>
      </w:r>
      <w:r w:rsidR="00A4583D" w:rsidRPr="00880D12">
        <w:t xml:space="preserve"> </w:t>
      </w:r>
      <w:r w:rsidRPr="00880D12">
        <w:t>S</w:t>
      </w:r>
      <w:r w:rsidR="00867AC1" w:rsidRPr="00880D12">
        <w:t>ession</w:t>
      </w:r>
      <w:r w:rsidR="00361821" w:rsidRPr="00880D12">
        <w:br/>
      </w:r>
      <w:r w:rsidR="00E81A28" w:rsidRPr="00880D12">
        <w:rPr>
          <w:rFonts w:cs="Arial"/>
        </w:rPr>
        <w:t>Gimcheon City</w:t>
      </w:r>
      <w:r w:rsidR="00A4583D" w:rsidRPr="00880D12">
        <w:rPr>
          <w:rFonts w:cs="Arial"/>
        </w:rPr>
        <w:t xml:space="preserve">, </w:t>
      </w:r>
      <w:r w:rsidR="00E81A28" w:rsidRPr="00880D12">
        <w:rPr>
          <w:rFonts w:cs="Arial"/>
        </w:rPr>
        <w:t>Republic of Korea</w:t>
      </w:r>
      <w:r w:rsidR="0018780B" w:rsidRPr="00880D12">
        <w:t xml:space="preserve">, </w:t>
      </w:r>
      <w:r w:rsidR="00E81A28" w:rsidRPr="00880D12">
        <w:t>June 13 to 17</w:t>
      </w:r>
      <w:r w:rsidR="00A4583D" w:rsidRPr="00880D12">
        <w:t>, 201</w:t>
      </w:r>
      <w:r w:rsidR="00E81A28" w:rsidRPr="00880D12">
        <w:t>6</w:t>
      </w:r>
    </w:p>
    <w:p w:rsidR="00B905AD" w:rsidRPr="00B905AD" w:rsidRDefault="00B905AD" w:rsidP="004F536F">
      <w:pPr>
        <w:pStyle w:val="Titleofdoc0"/>
        <w:rPr>
          <w:rFonts w:cs="Arial"/>
        </w:rPr>
      </w:pPr>
      <w:bookmarkStart w:id="3" w:name="TitleOfDoc"/>
      <w:bookmarkStart w:id="4" w:name="Prepared"/>
      <w:bookmarkEnd w:id="3"/>
      <w:bookmarkEnd w:id="4"/>
      <w:r w:rsidRPr="000B2FAF">
        <w:rPr>
          <w:rFonts w:cs="Arial"/>
        </w:rPr>
        <w:t>Matters to be reso</w:t>
      </w:r>
      <w:r>
        <w:rPr>
          <w:rFonts w:cs="Arial"/>
        </w:rPr>
        <w:t>lved concerning Test Guidelines</w:t>
      </w:r>
      <w:r>
        <w:rPr>
          <w:rFonts w:cs="Arial"/>
        </w:rPr>
        <w:br/>
      </w:r>
      <w:r w:rsidRPr="000B2FAF">
        <w:rPr>
          <w:rFonts w:cs="Arial"/>
        </w:rPr>
        <w:t>adopted by the Technical Committee</w:t>
      </w:r>
      <w:r>
        <w:rPr>
          <w:rFonts w:cs="Arial"/>
        </w:rPr>
        <w:br/>
      </w:r>
      <w:r>
        <w:rPr>
          <w:rFonts w:cs="Arial"/>
        </w:rPr>
        <w:br/>
        <w:t xml:space="preserve">test guidelines for </w:t>
      </w:r>
      <w:r w:rsidRPr="00C37C72">
        <w:rPr>
          <w:rFonts w:cs="Arial"/>
        </w:rPr>
        <w:t>Salvia</w:t>
      </w:r>
    </w:p>
    <w:p w:rsidR="00BD3A48" w:rsidRPr="004F536F" w:rsidRDefault="009D023D" w:rsidP="004F536F">
      <w:pPr>
        <w:pStyle w:val="preparedby1"/>
      </w:pPr>
      <w:r>
        <w:t>D</w:t>
      </w:r>
      <w:r w:rsidR="00627677">
        <w:t xml:space="preserve">ocument </w:t>
      </w:r>
      <w:r w:rsidR="00BD3A48" w:rsidRPr="00880D12">
        <w:t xml:space="preserve">prepared by </w:t>
      </w:r>
      <w:r w:rsidR="00214154">
        <w:t>the Office of the Union</w:t>
      </w:r>
      <w:r w:rsidR="004F536F">
        <w:br/>
      </w:r>
      <w:r w:rsidR="004F536F">
        <w:br/>
      </w:r>
      <w:r w:rsidR="00BD3A48" w:rsidRPr="00880D12">
        <w:rPr>
          <w:color w:val="A6A6A6"/>
        </w:rPr>
        <w:t>Disclaimer:  this document does not represent UPOV policies or guidance</w:t>
      </w:r>
    </w:p>
    <w:p w:rsidR="00B905AD" w:rsidRDefault="00B905AD" w:rsidP="00B905AD">
      <w:pPr>
        <w:rPr>
          <w:snapToGrid w:val="0"/>
        </w:rPr>
      </w:pPr>
      <w:r>
        <w:rPr>
          <w:snapToGrid w:val="0"/>
        </w:rPr>
        <w:t>EXECUTIVE SUMMARY</w:t>
      </w:r>
    </w:p>
    <w:p w:rsidR="00B905AD" w:rsidRDefault="00B905AD" w:rsidP="00B905AD">
      <w:pPr>
        <w:rPr>
          <w:snapToGrid w:val="0"/>
        </w:rPr>
      </w:pPr>
    </w:p>
    <w:p w:rsidR="00993C15" w:rsidRDefault="00B905AD" w:rsidP="00B905AD">
      <w:pPr>
        <w:rPr>
          <w:rFonts w:cs="Arial"/>
        </w:rPr>
      </w:pPr>
      <w:r>
        <w:rPr>
          <w:snapToGrid w:val="0"/>
        </w:rPr>
        <w:fldChar w:fldCharType="begin"/>
      </w:r>
      <w:r>
        <w:rPr>
          <w:snapToGrid w:val="0"/>
        </w:rPr>
        <w:instrText xml:space="preserve"> AUTONUM  </w:instrText>
      </w:r>
      <w:r>
        <w:rPr>
          <w:snapToGrid w:val="0"/>
        </w:rPr>
        <w:fldChar w:fldCharType="end"/>
      </w:r>
      <w:r>
        <w:rPr>
          <w:snapToGrid w:val="0"/>
        </w:rPr>
        <w:tab/>
        <w:t xml:space="preserve">The purpose of this document is to report </w:t>
      </w:r>
      <w:r w:rsidR="006F0C34">
        <w:rPr>
          <w:snapToGrid w:val="0"/>
        </w:rPr>
        <w:t xml:space="preserve">on </w:t>
      </w:r>
      <w:r w:rsidR="00993C15">
        <w:rPr>
          <w:snapToGrid w:val="0"/>
        </w:rPr>
        <w:t xml:space="preserve">developments concerning the </w:t>
      </w:r>
      <w:r w:rsidR="006F0C34">
        <w:rPr>
          <w:snapToGrid w:val="0"/>
        </w:rPr>
        <w:t>Test</w:t>
      </w:r>
      <w:r w:rsidR="003C7197">
        <w:rPr>
          <w:snapToGrid w:val="0"/>
        </w:rPr>
        <w:t> </w:t>
      </w:r>
      <w:r w:rsidR="006F0C34">
        <w:rPr>
          <w:snapToGrid w:val="0"/>
        </w:rPr>
        <w:t>Guidelines for Salvia (</w:t>
      </w:r>
      <w:r w:rsidR="006F0C34" w:rsidRPr="003C7197">
        <w:rPr>
          <w:i/>
          <w:snapToGrid w:val="0"/>
        </w:rPr>
        <w:t>Salvia</w:t>
      </w:r>
      <w:r w:rsidR="006F0C34">
        <w:rPr>
          <w:snapToGrid w:val="0"/>
        </w:rPr>
        <w:t xml:space="preserve"> L.), which </w:t>
      </w:r>
      <w:r w:rsidR="00993C15">
        <w:rPr>
          <w:snapToGrid w:val="0"/>
        </w:rPr>
        <w:t>were</w:t>
      </w:r>
      <w:r w:rsidR="006F0C34">
        <w:rPr>
          <w:snapToGrid w:val="0"/>
        </w:rPr>
        <w:t xml:space="preserve"> adopted by the </w:t>
      </w:r>
      <w:r w:rsidR="006F0C34" w:rsidRPr="006F0C34">
        <w:rPr>
          <w:snapToGrid w:val="0"/>
        </w:rPr>
        <w:t>Technical Committee (TC)</w:t>
      </w:r>
      <w:r w:rsidR="006F0C34">
        <w:rPr>
          <w:snapToGrid w:val="0"/>
        </w:rPr>
        <w:t xml:space="preserve"> at its fifty</w:t>
      </w:r>
      <w:r w:rsidR="00324C37">
        <w:rPr>
          <w:snapToGrid w:val="0"/>
        </w:rPr>
        <w:t xml:space="preserve">-second </w:t>
      </w:r>
      <w:r w:rsidR="006F0C34">
        <w:rPr>
          <w:snapToGrid w:val="0"/>
        </w:rPr>
        <w:t>session, held in G</w:t>
      </w:r>
      <w:r w:rsidR="00807713">
        <w:rPr>
          <w:snapToGrid w:val="0"/>
        </w:rPr>
        <w:t xml:space="preserve">eneva from March 14 to 16, 2016, </w:t>
      </w:r>
      <w:r w:rsidR="00807713" w:rsidRPr="009178F8">
        <w:rPr>
          <w:rFonts w:cs="Arial"/>
        </w:rPr>
        <w:t xml:space="preserve">subject to the </w:t>
      </w:r>
      <w:r w:rsidR="00807713">
        <w:rPr>
          <w:rFonts w:cs="Arial"/>
        </w:rPr>
        <w:t>deletion of MG from characteristics</w:t>
      </w:r>
      <w:r w:rsidR="00807713" w:rsidRPr="009178F8">
        <w:rPr>
          <w:rFonts w:cs="Arial"/>
        </w:rPr>
        <w:t xml:space="preserve"> </w:t>
      </w:r>
      <w:r w:rsidR="00807713">
        <w:rPr>
          <w:rFonts w:cs="Arial"/>
        </w:rPr>
        <w:t>23, 24, 29, 31, 34, 35, 36 and 41</w:t>
      </w:r>
      <w:r w:rsidR="00807713" w:rsidRPr="009178F8">
        <w:rPr>
          <w:rFonts w:cs="Arial"/>
        </w:rPr>
        <w:t xml:space="preserve"> being approved by the TW</w:t>
      </w:r>
      <w:r w:rsidR="00807713">
        <w:rPr>
          <w:rFonts w:cs="Arial"/>
        </w:rPr>
        <w:t>O</w:t>
      </w:r>
      <w:r w:rsidR="00807713" w:rsidRPr="009178F8">
        <w:rPr>
          <w:rFonts w:cs="Arial"/>
        </w:rPr>
        <w:t xml:space="preserve"> by correspondence</w:t>
      </w:r>
      <w:r w:rsidR="00807713">
        <w:rPr>
          <w:rFonts w:cs="Arial"/>
        </w:rPr>
        <w:t>.</w:t>
      </w:r>
    </w:p>
    <w:p w:rsidR="00807713" w:rsidRDefault="00807713" w:rsidP="00B905AD">
      <w:pPr>
        <w:rPr>
          <w:rFonts w:cs="Arial"/>
        </w:rPr>
      </w:pPr>
    </w:p>
    <w:p w:rsidR="00807713" w:rsidRDefault="00807713" w:rsidP="00B905AD">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807713">
        <w:rPr>
          <w:snapToGrid w:val="0"/>
        </w:rPr>
        <w:t>The TWO is invited to agree that the Test Guidelines for Salvia be adopted with VG/MS/MG indicated as methods of observation for characteristics 23, 24, 29, 31, 34, 35, 36 and 41.</w:t>
      </w:r>
    </w:p>
    <w:p w:rsidR="00B905AD" w:rsidRDefault="00B905AD" w:rsidP="00B905AD">
      <w:pPr>
        <w:rPr>
          <w:snapToGrid w:val="0"/>
        </w:rPr>
      </w:pPr>
    </w:p>
    <w:p w:rsidR="005A3C91" w:rsidRDefault="005A3C91" w:rsidP="00B905AD">
      <w:pPr>
        <w:rPr>
          <w:snapToGrid w:val="0"/>
        </w:rPr>
      </w:pPr>
    </w:p>
    <w:p w:rsidR="00B905AD" w:rsidRDefault="00B905AD" w:rsidP="00B905AD">
      <w:pPr>
        <w:rPr>
          <w:snapToGrid w:val="0"/>
        </w:rPr>
      </w:pPr>
      <w:r>
        <w:rPr>
          <w:snapToGrid w:val="0"/>
        </w:rPr>
        <w:t>BACKGROUND</w:t>
      </w:r>
    </w:p>
    <w:p w:rsidR="00B905AD" w:rsidRDefault="00B905AD" w:rsidP="00B905AD">
      <w:pPr>
        <w:rPr>
          <w:snapToGrid w:val="0"/>
        </w:rPr>
      </w:pPr>
    </w:p>
    <w:p w:rsidR="00324C37" w:rsidRDefault="00324C37" w:rsidP="00191E88">
      <w:pPr>
        <w:tabs>
          <w:tab w:val="left" w:pos="567"/>
        </w:tabs>
        <w:rPr>
          <w:rFonts w:cs="Arial"/>
        </w:rPr>
      </w:pPr>
      <w:r>
        <w:rPr>
          <w:lang w:val="en"/>
        </w:rPr>
        <w:fldChar w:fldCharType="begin"/>
      </w:r>
      <w:r>
        <w:rPr>
          <w:lang w:val="en"/>
        </w:rPr>
        <w:instrText xml:space="preserve"> AUTONUM  </w:instrText>
      </w:r>
      <w:r>
        <w:rPr>
          <w:lang w:val="en"/>
        </w:rPr>
        <w:fldChar w:fldCharType="end"/>
      </w:r>
      <w:r>
        <w:rPr>
          <w:lang w:val="en"/>
        </w:rPr>
        <w:tab/>
        <w:t>The TWO</w:t>
      </w:r>
      <w:r w:rsidRPr="00E67E8B">
        <w:rPr>
          <w:rFonts w:cs="Arial"/>
        </w:rPr>
        <w:t>, at its forty-</w:t>
      </w:r>
      <w:r>
        <w:rPr>
          <w:rFonts w:cs="Arial"/>
        </w:rPr>
        <w:t>eighth</w:t>
      </w:r>
      <w:r w:rsidRPr="00E67E8B">
        <w:rPr>
          <w:rFonts w:cs="Arial"/>
        </w:rPr>
        <w:t xml:space="preserve"> session</w:t>
      </w:r>
      <w:r>
        <w:rPr>
          <w:rFonts w:cs="Arial"/>
        </w:rPr>
        <w:t>,</w:t>
      </w:r>
      <w:r w:rsidRPr="00E67E8B">
        <w:rPr>
          <w:rFonts w:cs="Arial"/>
        </w:rPr>
        <w:t xml:space="preserve"> held in </w:t>
      </w:r>
      <w:r>
        <w:rPr>
          <w:rFonts w:cs="Arial"/>
        </w:rPr>
        <w:t>Cambridge</w:t>
      </w:r>
      <w:r w:rsidRPr="00E67E8B">
        <w:rPr>
          <w:rFonts w:cs="Arial"/>
        </w:rPr>
        <w:t xml:space="preserve">, </w:t>
      </w:r>
      <w:r>
        <w:rPr>
          <w:rFonts w:cs="Arial"/>
        </w:rPr>
        <w:t>United Kingdom</w:t>
      </w:r>
      <w:r w:rsidRPr="00E67E8B">
        <w:rPr>
          <w:rFonts w:cs="Arial"/>
        </w:rPr>
        <w:t xml:space="preserve">, </w:t>
      </w:r>
      <w:r>
        <w:rPr>
          <w:rFonts w:cs="Arial"/>
        </w:rPr>
        <w:t xml:space="preserve">from </w:t>
      </w:r>
      <w:r>
        <w:rPr>
          <w:lang w:val="en"/>
        </w:rPr>
        <w:t>September 14 to 18, 2015</w:t>
      </w:r>
      <w:r w:rsidRPr="00E67E8B">
        <w:rPr>
          <w:rFonts w:cs="Arial"/>
        </w:rPr>
        <w:t xml:space="preserve">, agreed that the draft Test Guidelines for </w:t>
      </w:r>
      <w:r>
        <w:rPr>
          <w:rFonts w:cs="Arial"/>
        </w:rPr>
        <w:t xml:space="preserve">Salvia </w:t>
      </w:r>
      <w:r w:rsidRPr="009C39C5">
        <w:rPr>
          <w:rFonts w:cs="Arial"/>
        </w:rPr>
        <w:t>(</w:t>
      </w:r>
      <w:r>
        <w:rPr>
          <w:rFonts w:cs="Arial"/>
          <w:i/>
        </w:rPr>
        <w:t>Salvia</w:t>
      </w:r>
      <w:r w:rsidRPr="00320DF5">
        <w:rPr>
          <w:rFonts w:cs="Arial"/>
          <w:i/>
        </w:rPr>
        <w:t xml:space="preserve"> </w:t>
      </w:r>
      <w:r w:rsidRPr="00320DF5">
        <w:rPr>
          <w:rFonts w:cs="Arial"/>
        </w:rPr>
        <w:t>L.</w:t>
      </w:r>
      <w:r w:rsidRPr="009C39C5">
        <w:rPr>
          <w:rFonts w:cs="Arial"/>
        </w:rPr>
        <w:t>)</w:t>
      </w:r>
      <w:r>
        <w:rPr>
          <w:rFonts w:cs="Arial"/>
          <w:sz w:val="16"/>
          <w:szCs w:val="16"/>
        </w:rPr>
        <w:t xml:space="preserve"> </w:t>
      </w:r>
      <w:r w:rsidRPr="00E67E8B">
        <w:rPr>
          <w:rFonts w:cs="Arial"/>
        </w:rPr>
        <w:t>should be sent to the TC for adoption at its fift</w:t>
      </w:r>
      <w:r>
        <w:rPr>
          <w:rFonts w:cs="Arial"/>
        </w:rPr>
        <w:t>y</w:t>
      </w:r>
      <w:r>
        <w:rPr>
          <w:rFonts w:cs="Arial"/>
        </w:rPr>
        <w:noBreakHyphen/>
        <w:t>second</w:t>
      </w:r>
      <w:r w:rsidRPr="00E67E8B">
        <w:rPr>
          <w:rFonts w:cs="Arial"/>
        </w:rPr>
        <w:t xml:space="preserve"> session,</w:t>
      </w:r>
      <w:r>
        <w:rPr>
          <w:rFonts w:cs="Arial"/>
        </w:rPr>
        <w:t xml:space="preserve"> to</w:t>
      </w:r>
      <w:r w:rsidRPr="00E67E8B">
        <w:rPr>
          <w:rFonts w:cs="Arial"/>
        </w:rPr>
        <w:t xml:space="preserve"> be held in Geneva, from </w:t>
      </w:r>
      <w:r>
        <w:rPr>
          <w:rFonts w:cs="Arial"/>
        </w:rPr>
        <w:t>March 14 to 16</w:t>
      </w:r>
      <w:r w:rsidRPr="00E67E8B">
        <w:rPr>
          <w:rFonts w:cs="Arial"/>
        </w:rPr>
        <w:t>, 201</w:t>
      </w:r>
      <w:r>
        <w:rPr>
          <w:rFonts w:cs="Arial"/>
        </w:rPr>
        <w:t>6,</w:t>
      </w:r>
      <w:r w:rsidRPr="00E67E8B">
        <w:rPr>
          <w:rFonts w:cs="Arial"/>
        </w:rPr>
        <w:t xml:space="preserve"> on the basis of document </w:t>
      </w:r>
      <w:r w:rsidRPr="00E67E8B">
        <w:rPr>
          <w:rFonts w:eastAsiaTheme="minorHAnsi" w:cs="Arial"/>
        </w:rPr>
        <w:t>TG</w:t>
      </w:r>
      <w:r>
        <w:rPr>
          <w:rFonts w:eastAsiaTheme="minorHAnsi" w:cs="Arial"/>
        </w:rPr>
        <w:t>/Salvi</w:t>
      </w:r>
      <w:r w:rsidRPr="00E67E8B">
        <w:rPr>
          <w:rFonts w:eastAsiaTheme="minorHAnsi" w:cs="Arial"/>
        </w:rPr>
        <w:t>(proj.</w:t>
      </w:r>
      <w:r>
        <w:rPr>
          <w:rFonts w:eastAsiaTheme="minorHAnsi" w:cs="Arial"/>
        </w:rPr>
        <w:t>3</w:t>
      </w:r>
      <w:r w:rsidRPr="00E67E8B">
        <w:rPr>
          <w:rFonts w:eastAsiaTheme="minorHAnsi" w:cs="Arial"/>
        </w:rPr>
        <w:t xml:space="preserve">), </w:t>
      </w:r>
      <w:r w:rsidRPr="00E67E8B">
        <w:rPr>
          <w:rFonts w:cs="Arial"/>
        </w:rPr>
        <w:t>and the comments of the Subgroup (see document TW</w:t>
      </w:r>
      <w:r>
        <w:rPr>
          <w:rFonts w:cs="Arial"/>
        </w:rPr>
        <w:t>O</w:t>
      </w:r>
      <w:r w:rsidRPr="00E67E8B">
        <w:rPr>
          <w:rFonts w:cs="Arial"/>
        </w:rPr>
        <w:t>/4</w:t>
      </w:r>
      <w:r>
        <w:rPr>
          <w:rFonts w:cs="Arial"/>
        </w:rPr>
        <w:t>8</w:t>
      </w:r>
      <w:r w:rsidRPr="00E67E8B">
        <w:rPr>
          <w:rFonts w:cs="Arial"/>
        </w:rPr>
        <w:t>/</w:t>
      </w:r>
      <w:r>
        <w:rPr>
          <w:rFonts w:cs="Arial"/>
        </w:rPr>
        <w:t>26</w:t>
      </w:r>
      <w:r w:rsidRPr="00E67E8B">
        <w:rPr>
          <w:rFonts w:cs="Arial"/>
        </w:rPr>
        <w:t xml:space="preserve"> “Report”, paragraph</w:t>
      </w:r>
      <w:r>
        <w:rPr>
          <w:rFonts w:cs="Arial"/>
        </w:rPr>
        <w:t xml:space="preserve"> 105</w:t>
      </w:r>
      <w:r w:rsidRPr="00E67E8B">
        <w:rPr>
          <w:rFonts w:cs="Arial"/>
        </w:rPr>
        <w:t>).</w:t>
      </w:r>
    </w:p>
    <w:p w:rsidR="00324C37" w:rsidRDefault="00324C37" w:rsidP="00191E88">
      <w:pPr>
        <w:tabs>
          <w:tab w:val="left" w:pos="567"/>
        </w:tabs>
        <w:rPr>
          <w:rFonts w:cs="Arial"/>
        </w:rPr>
      </w:pPr>
    </w:p>
    <w:p w:rsidR="00324C37" w:rsidRDefault="00324C37" w:rsidP="00324C37">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993C15">
        <w:rPr>
          <w:rFonts w:cs="Arial"/>
        </w:rPr>
        <w:t>T</w:t>
      </w:r>
      <w:r>
        <w:rPr>
          <w:rFonts w:cs="Arial"/>
        </w:rPr>
        <w:t xml:space="preserve">he Enlarged Editorial Committee (TC-EDC), at its meeting </w:t>
      </w:r>
      <w:r w:rsidR="00D33FA9">
        <w:rPr>
          <w:rFonts w:cs="Arial"/>
        </w:rPr>
        <w:t xml:space="preserve">in March 2016, </w:t>
      </w:r>
      <w:r>
        <w:rPr>
          <w:rFonts w:cs="Arial"/>
        </w:rPr>
        <w:t xml:space="preserve">requested the Leading Expert to check </w:t>
      </w:r>
      <w:r w:rsidR="00CC000B">
        <w:rPr>
          <w:rFonts w:cs="Arial"/>
        </w:rPr>
        <w:t>whether for c</w:t>
      </w:r>
      <w:r>
        <w:rPr>
          <w:rFonts w:cs="Arial"/>
        </w:rPr>
        <w:t xml:space="preserve">haracteristics 23, 24, 29, 31, 34, 35, 36 and 41 the indicated method of observation MG was correct, or whether the characteristics should be indicated as VG/MS only. </w:t>
      </w:r>
    </w:p>
    <w:p w:rsidR="00324C37" w:rsidRDefault="00324C37" w:rsidP="00324C37">
      <w:pPr>
        <w:rPr>
          <w:rFonts w:cs="Arial"/>
        </w:rPr>
      </w:pPr>
    </w:p>
    <w:p w:rsidR="00324C37" w:rsidRDefault="00324C37" w:rsidP="00324C37">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Leading Expert, Mr. </w:t>
      </w:r>
      <w:r w:rsidRPr="00481362">
        <w:rPr>
          <w:rFonts w:cs="Arial"/>
        </w:rPr>
        <w:t>Tetsuya Takahashi</w:t>
      </w:r>
      <w:r>
        <w:rPr>
          <w:rFonts w:cs="Arial"/>
        </w:rPr>
        <w:t xml:space="preserve"> (Japan), confirmed that MG be deleted from the characteristics listed below:</w:t>
      </w:r>
    </w:p>
    <w:p w:rsidR="00324C37" w:rsidRDefault="00324C37" w:rsidP="00324C37">
      <w:pPr>
        <w:rPr>
          <w:rFonts w:cs="Arial"/>
        </w:rPr>
      </w:pPr>
    </w:p>
    <w:p w:rsidR="00324C37" w:rsidRPr="00AE2B8D" w:rsidRDefault="00324C37" w:rsidP="00324C37">
      <w:pPr>
        <w:ind w:left="567"/>
        <w:rPr>
          <w:rFonts w:cs="Arial"/>
        </w:rPr>
      </w:pPr>
      <w:r w:rsidRPr="00AE2B8D">
        <w:rPr>
          <w:szCs w:val="16"/>
        </w:rPr>
        <w:t>Inflorescence: length (characteristic 23)</w:t>
      </w:r>
      <w:r>
        <w:rPr>
          <w:szCs w:val="16"/>
        </w:rPr>
        <w:t xml:space="preserve">: </w:t>
      </w:r>
      <w:r w:rsidRPr="00E717F0">
        <w:t>VG/MS</w:t>
      </w:r>
      <w:r w:rsidRPr="00481362">
        <w:rPr>
          <w:strike/>
          <w:highlight w:val="lightGray"/>
        </w:rPr>
        <w:t>/MG</w:t>
      </w:r>
    </w:p>
    <w:p w:rsidR="00324C37" w:rsidRPr="00AE2B8D" w:rsidRDefault="00324C37" w:rsidP="00324C37">
      <w:pPr>
        <w:ind w:left="567"/>
        <w:rPr>
          <w:szCs w:val="16"/>
        </w:rPr>
      </w:pPr>
      <w:r w:rsidRPr="00AE2B8D">
        <w:rPr>
          <w:szCs w:val="16"/>
        </w:rPr>
        <w:t>Inflorescence: length of internode (characteristic 24)</w:t>
      </w:r>
      <w:r>
        <w:rPr>
          <w:szCs w:val="16"/>
        </w:rPr>
        <w:t xml:space="preserve">: </w:t>
      </w:r>
      <w:r w:rsidRPr="00E717F0">
        <w:t>VG/MS</w:t>
      </w:r>
      <w:r w:rsidRPr="00481362">
        <w:rPr>
          <w:strike/>
          <w:highlight w:val="lightGray"/>
        </w:rPr>
        <w:t>/MG</w:t>
      </w:r>
    </w:p>
    <w:p w:rsidR="00324C37" w:rsidRPr="00AE2B8D" w:rsidRDefault="00324C37" w:rsidP="00324C37">
      <w:pPr>
        <w:ind w:left="567"/>
        <w:rPr>
          <w:szCs w:val="16"/>
        </w:rPr>
      </w:pPr>
      <w:r w:rsidRPr="00AE2B8D">
        <w:rPr>
          <w:szCs w:val="16"/>
        </w:rPr>
        <w:t>Bract: length (characteristic 29)</w:t>
      </w:r>
      <w:r>
        <w:rPr>
          <w:szCs w:val="16"/>
        </w:rPr>
        <w:t xml:space="preserve">: </w:t>
      </w:r>
      <w:r w:rsidRPr="00E717F0">
        <w:t>VG/</w:t>
      </w:r>
      <w:r w:rsidRPr="00481362">
        <w:rPr>
          <w:strike/>
          <w:highlight w:val="lightGray"/>
        </w:rPr>
        <w:t>MG/</w:t>
      </w:r>
      <w:r w:rsidRPr="00E717F0">
        <w:t>MS</w:t>
      </w:r>
    </w:p>
    <w:p w:rsidR="00324C37" w:rsidRPr="00AE2B8D" w:rsidRDefault="00324C37" w:rsidP="00324C37">
      <w:pPr>
        <w:ind w:left="567"/>
        <w:rPr>
          <w:szCs w:val="16"/>
        </w:rPr>
      </w:pPr>
      <w:r w:rsidRPr="00AE2B8D">
        <w:rPr>
          <w:szCs w:val="16"/>
        </w:rPr>
        <w:t>Calyx: length (characteristic 31)</w:t>
      </w:r>
      <w:r>
        <w:rPr>
          <w:szCs w:val="16"/>
        </w:rPr>
        <w:t xml:space="preserve">: </w:t>
      </w:r>
      <w:r w:rsidRPr="00E717F0">
        <w:t>VG/</w:t>
      </w:r>
      <w:r w:rsidRPr="00481362">
        <w:rPr>
          <w:strike/>
          <w:highlight w:val="lightGray"/>
        </w:rPr>
        <w:t>MG/</w:t>
      </w:r>
      <w:r w:rsidRPr="00E717F0">
        <w:t>MS</w:t>
      </w:r>
    </w:p>
    <w:p w:rsidR="00324C37" w:rsidRPr="00AE2B8D" w:rsidRDefault="00324C37" w:rsidP="00324C37">
      <w:pPr>
        <w:ind w:left="567"/>
        <w:rPr>
          <w:szCs w:val="16"/>
        </w:rPr>
      </w:pPr>
      <w:r w:rsidRPr="00AE2B8D">
        <w:rPr>
          <w:szCs w:val="16"/>
        </w:rPr>
        <w:t>Corolla: length (characteristic 34)</w:t>
      </w:r>
      <w:r>
        <w:rPr>
          <w:szCs w:val="16"/>
        </w:rPr>
        <w:t xml:space="preserve">: </w:t>
      </w:r>
      <w:r w:rsidRPr="00E717F0">
        <w:t>VG/</w:t>
      </w:r>
      <w:r w:rsidRPr="00481362">
        <w:rPr>
          <w:strike/>
          <w:highlight w:val="lightGray"/>
        </w:rPr>
        <w:t>MG/</w:t>
      </w:r>
      <w:r w:rsidRPr="00E717F0">
        <w:t>MS</w:t>
      </w:r>
    </w:p>
    <w:p w:rsidR="00324C37" w:rsidRPr="00AE2B8D" w:rsidRDefault="00324C37" w:rsidP="00324C37">
      <w:pPr>
        <w:ind w:left="567"/>
        <w:rPr>
          <w:szCs w:val="16"/>
        </w:rPr>
      </w:pPr>
      <w:r w:rsidRPr="00AE2B8D">
        <w:rPr>
          <w:szCs w:val="16"/>
        </w:rPr>
        <w:t>Corolla: height (characteristic 35)</w:t>
      </w:r>
      <w:r>
        <w:rPr>
          <w:szCs w:val="16"/>
        </w:rPr>
        <w:t xml:space="preserve">: </w:t>
      </w:r>
      <w:r w:rsidRPr="00E717F0">
        <w:t>VG/</w:t>
      </w:r>
      <w:r w:rsidRPr="00481362">
        <w:rPr>
          <w:strike/>
          <w:highlight w:val="lightGray"/>
        </w:rPr>
        <w:t>MG/</w:t>
      </w:r>
      <w:r w:rsidRPr="00E717F0">
        <w:t>MS</w:t>
      </w:r>
    </w:p>
    <w:p w:rsidR="00324C37" w:rsidRPr="00AE2B8D" w:rsidRDefault="00324C37" w:rsidP="00324C37">
      <w:pPr>
        <w:ind w:left="567"/>
        <w:rPr>
          <w:szCs w:val="16"/>
        </w:rPr>
      </w:pPr>
      <w:r w:rsidRPr="00AE2B8D">
        <w:rPr>
          <w:szCs w:val="16"/>
        </w:rPr>
        <w:t>Corolla tube: length (characteristic 36)</w:t>
      </w:r>
      <w:r>
        <w:rPr>
          <w:szCs w:val="16"/>
        </w:rPr>
        <w:t xml:space="preserve">: </w:t>
      </w:r>
      <w:r w:rsidRPr="00E717F0">
        <w:t>VG/</w:t>
      </w:r>
      <w:r w:rsidRPr="00481362">
        <w:rPr>
          <w:strike/>
          <w:highlight w:val="lightGray"/>
        </w:rPr>
        <w:t>MG/</w:t>
      </w:r>
      <w:r w:rsidRPr="00E717F0">
        <w:t>MS</w:t>
      </w:r>
    </w:p>
    <w:p w:rsidR="00324C37" w:rsidRPr="00AE2B8D" w:rsidRDefault="00324C37" w:rsidP="00324C37">
      <w:pPr>
        <w:ind w:left="567"/>
        <w:rPr>
          <w:rFonts w:eastAsiaTheme="minorHAnsi" w:cs="Arial"/>
        </w:rPr>
      </w:pPr>
      <w:r w:rsidRPr="00AE2B8D">
        <w:rPr>
          <w:szCs w:val="16"/>
        </w:rPr>
        <w:t>Lower lip: width (characteristic 41)</w:t>
      </w:r>
      <w:r>
        <w:rPr>
          <w:szCs w:val="16"/>
        </w:rPr>
        <w:t xml:space="preserve">: </w:t>
      </w:r>
      <w:r w:rsidRPr="00E717F0">
        <w:t>VG/MS</w:t>
      </w:r>
      <w:r w:rsidRPr="00481362">
        <w:rPr>
          <w:strike/>
          <w:highlight w:val="lightGray"/>
        </w:rPr>
        <w:t>/MG</w:t>
      </w:r>
    </w:p>
    <w:p w:rsidR="00324C37" w:rsidRDefault="00324C37" w:rsidP="00324C37">
      <w:pPr>
        <w:rPr>
          <w:rFonts w:cs="Arial"/>
        </w:rPr>
      </w:pPr>
    </w:p>
    <w:p w:rsidR="00324C37" w:rsidRPr="00E67E8B" w:rsidRDefault="00324C37" w:rsidP="00324C37">
      <w:pPr>
        <w:rPr>
          <w:rFonts w:cs="Arial"/>
        </w:rPr>
      </w:pPr>
      <w:r>
        <w:rPr>
          <w:rFonts w:cs="Arial"/>
        </w:rPr>
        <w:lastRenderedPageBreak/>
        <w:fldChar w:fldCharType="begin"/>
      </w:r>
      <w:r>
        <w:rPr>
          <w:rFonts w:cs="Arial"/>
        </w:rPr>
        <w:instrText xml:space="preserve"> AUTONUM  </w:instrText>
      </w:r>
      <w:r>
        <w:rPr>
          <w:rFonts w:cs="Arial"/>
        </w:rPr>
        <w:fldChar w:fldCharType="end"/>
      </w:r>
      <w:r>
        <w:rPr>
          <w:rFonts w:cs="Arial"/>
        </w:rPr>
        <w:tab/>
        <w:t xml:space="preserve">The TC </w:t>
      </w:r>
      <w:r w:rsidRPr="009178F8">
        <w:rPr>
          <w:rFonts w:cs="Arial"/>
        </w:rPr>
        <w:t xml:space="preserve">adopted the Test Guidelines for </w:t>
      </w:r>
      <w:r>
        <w:rPr>
          <w:rFonts w:cs="Arial"/>
        </w:rPr>
        <w:t>Salvia</w:t>
      </w:r>
      <w:r w:rsidRPr="009178F8">
        <w:rPr>
          <w:rFonts w:cs="Arial"/>
        </w:rPr>
        <w:t xml:space="preserve">, subject to the </w:t>
      </w:r>
      <w:r>
        <w:rPr>
          <w:rFonts w:cs="Arial"/>
        </w:rPr>
        <w:t>deletion of MG from characteristics</w:t>
      </w:r>
      <w:r w:rsidRPr="009178F8">
        <w:rPr>
          <w:rFonts w:cs="Arial"/>
        </w:rPr>
        <w:t xml:space="preserve"> </w:t>
      </w:r>
      <w:r>
        <w:rPr>
          <w:rFonts w:cs="Arial"/>
        </w:rPr>
        <w:t>23, 24, 29, 31, 34, 35, 36 and 41</w:t>
      </w:r>
      <w:r w:rsidRPr="009178F8">
        <w:rPr>
          <w:rFonts w:cs="Arial"/>
        </w:rPr>
        <w:t xml:space="preserve"> being approved by the TW</w:t>
      </w:r>
      <w:r>
        <w:rPr>
          <w:rFonts w:cs="Arial"/>
        </w:rPr>
        <w:t>O</w:t>
      </w:r>
      <w:r w:rsidRPr="009178F8">
        <w:rPr>
          <w:rFonts w:cs="Arial"/>
        </w:rPr>
        <w:t xml:space="preserve"> by correspondence</w:t>
      </w:r>
      <w:r>
        <w:rPr>
          <w:rFonts w:cs="Arial"/>
        </w:rPr>
        <w:t xml:space="preserve">, </w:t>
      </w:r>
      <w:r w:rsidRPr="009178F8">
        <w:rPr>
          <w:rFonts w:cs="Arial"/>
        </w:rPr>
        <w:t xml:space="preserve">as set out </w:t>
      </w:r>
      <w:r>
        <w:rPr>
          <w:rFonts w:cs="Arial"/>
        </w:rPr>
        <w:t xml:space="preserve">document TC/52/29 Rev. “Revised Report”, Annex II, </w:t>
      </w:r>
      <w:r w:rsidR="00993C15">
        <w:rPr>
          <w:rFonts w:cs="Arial"/>
        </w:rPr>
        <w:t xml:space="preserve">as </w:t>
      </w:r>
      <w:r>
        <w:rPr>
          <w:rFonts w:cs="Arial"/>
        </w:rPr>
        <w:t xml:space="preserve">reproduced in the Annex to this document. </w:t>
      </w:r>
      <w:r w:rsidRPr="00E67E8B">
        <w:rPr>
          <w:rFonts w:cs="Arial"/>
        </w:rPr>
        <w:t xml:space="preserve"> </w:t>
      </w:r>
      <w:r w:rsidR="00010261">
        <w:rPr>
          <w:rFonts w:cs="Arial"/>
        </w:rPr>
        <w:t>UPOV circular E</w:t>
      </w:r>
      <w:r w:rsidR="00010261">
        <w:rPr>
          <w:rFonts w:cs="Arial"/>
        </w:rPr>
        <w:noBreakHyphen/>
        <w:t>16/117</w:t>
      </w:r>
      <w:r w:rsidR="00AE65DF">
        <w:rPr>
          <w:rFonts w:cs="Arial"/>
        </w:rPr>
        <w:t xml:space="preserve">, </w:t>
      </w:r>
      <w:r w:rsidR="00010261">
        <w:rPr>
          <w:rFonts w:cs="Arial"/>
        </w:rPr>
        <w:t>o</w:t>
      </w:r>
      <w:r w:rsidR="00AE65DF">
        <w:rPr>
          <w:rFonts w:cs="Arial"/>
        </w:rPr>
        <w:t>f</w:t>
      </w:r>
      <w:r w:rsidR="00010261">
        <w:rPr>
          <w:rFonts w:cs="Arial"/>
        </w:rPr>
        <w:t xml:space="preserve"> May 12, 2016</w:t>
      </w:r>
      <w:r w:rsidR="00AE65DF">
        <w:rPr>
          <w:rFonts w:cs="Arial"/>
        </w:rPr>
        <w:t>,</w:t>
      </w:r>
      <w:r w:rsidR="00010261">
        <w:rPr>
          <w:rFonts w:cs="Arial"/>
        </w:rPr>
        <w:t xml:space="preserve"> </w:t>
      </w:r>
      <w:r w:rsidR="00AE65DF">
        <w:rPr>
          <w:rFonts w:cs="Arial"/>
        </w:rPr>
        <w:t xml:space="preserve">was sent to </w:t>
      </w:r>
      <w:r w:rsidR="00010261">
        <w:rPr>
          <w:rFonts w:cs="Arial"/>
        </w:rPr>
        <w:t xml:space="preserve">the relevant experts </w:t>
      </w:r>
      <w:r w:rsidR="00AE65DF">
        <w:rPr>
          <w:rFonts w:cs="Arial"/>
        </w:rPr>
        <w:t>for their approval of the proposed modification.</w:t>
      </w:r>
    </w:p>
    <w:p w:rsidR="00324C37" w:rsidRPr="00E67E8B" w:rsidRDefault="00324C37" w:rsidP="00324C37">
      <w:pPr>
        <w:rPr>
          <w:rFonts w:cs="Arial"/>
        </w:rPr>
      </w:pPr>
    </w:p>
    <w:p w:rsidR="00B905AD" w:rsidRDefault="00B905AD" w:rsidP="00B905AD">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In response to </w:t>
      </w:r>
      <w:r w:rsidR="00010261">
        <w:rPr>
          <w:snapToGrid w:val="0"/>
        </w:rPr>
        <w:t xml:space="preserve">circular E-16/117, </w:t>
      </w:r>
      <w:r w:rsidR="00AF06A4">
        <w:rPr>
          <w:snapToGrid w:val="0"/>
        </w:rPr>
        <w:t>the Office of the Union</w:t>
      </w:r>
      <w:r w:rsidR="003C7197">
        <w:rPr>
          <w:snapToGrid w:val="0"/>
        </w:rPr>
        <w:t xml:space="preserve"> was informed that MG was used and should be retained as a </w:t>
      </w:r>
      <w:r w:rsidR="00AE65DF">
        <w:rPr>
          <w:snapToGrid w:val="0"/>
        </w:rPr>
        <w:t>method of observation</w:t>
      </w:r>
      <w:r w:rsidR="003C7197">
        <w:rPr>
          <w:snapToGrid w:val="0"/>
        </w:rPr>
        <w:t xml:space="preserve"> for those characteristics</w:t>
      </w:r>
      <w:r w:rsidR="00AF06A4">
        <w:rPr>
          <w:snapToGrid w:val="0"/>
        </w:rPr>
        <w:t>.</w:t>
      </w:r>
    </w:p>
    <w:p w:rsidR="00AF06A4" w:rsidRDefault="00AF06A4" w:rsidP="00B905AD">
      <w:pPr>
        <w:rPr>
          <w:rFonts w:cs="Arial"/>
        </w:rPr>
      </w:pPr>
    </w:p>
    <w:p w:rsidR="005E2139" w:rsidRPr="005E2139" w:rsidRDefault="00993C15" w:rsidP="005E2139">
      <w:pPr>
        <w:tabs>
          <w:tab w:val="left" w:pos="5387"/>
        </w:tabs>
        <w:ind w:left="4820"/>
        <w:rPr>
          <w:i/>
          <w:snapToGrid w:val="0"/>
        </w:rPr>
      </w:pPr>
      <w:r w:rsidRPr="005E2139">
        <w:rPr>
          <w:i/>
          <w:snapToGrid w:val="0"/>
        </w:rPr>
        <w:fldChar w:fldCharType="begin"/>
      </w:r>
      <w:r w:rsidRPr="005E2139">
        <w:rPr>
          <w:i/>
          <w:snapToGrid w:val="0"/>
        </w:rPr>
        <w:instrText xml:space="preserve"> AUTONUM  </w:instrText>
      </w:r>
      <w:r w:rsidRPr="005E2139">
        <w:rPr>
          <w:i/>
          <w:snapToGrid w:val="0"/>
        </w:rPr>
        <w:fldChar w:fldCharType="end"/>
      </w:r>
      <w:r w:rsidRPr="005E2139">
        <w:rPr>
          <w:i/>
          <w:snapToGrid w:val="0"/>
        </w:rPr>
        <w:tab/>
      </w:r>
      <w:r w:rsidRPr="005E2139">
        <w:rPr>
          <w:i/>
        </w:rPr>
        <w:t xml:space="preserve">The TWO is invited to </w:t>
      </w:r>
      <w:r>
        <w:rPr>
          <w:i/>
        </w:rPr>
        <w:t>agree</w:t>
      </w:r>
      <w:r w:rsidRPr="005E2139">
        <w:rPr>
          <w:i/>
        </w:rPr>
        <w:t xml:space="preserve"> that the </w:t>
      </w:r>
      <w:r>
        <w:rPr>
          <w:i/>
        </w:rPr>
        <w:t xml:space="preserve">Test Guidelines for Salvia be adopted with </w:t>
      </w:r>
      <w:r w:rsidRPr="003C7197">
        <w:rPr>
          <w:i/>
        </w:rPr>
        <w:t>VG/MS/MG</w:t>
      </w:r>
      <w:r>
        <w:rPr>
          <w:i/>
        </w:rPr>
        <w:t xml:space="preserve"> indicated as methods of observation for </w:t>
      </w:r>
      <w:r w:rsidRPr="00CC000B">
        <w:rPr>
          <w:i/>
        </w:rPr>
        <w:t>characteristics 23, 24, 29, 31, 34, 35, 36 and 41</w:t>
      </w:r>
      <w:r>
        <w:rPr>
          <w:i/>
        </w:rPr>
        <w:t>.</w:t>
      </w:r>
    </w:p>
    <w:p w:rsidR="00B905AD" w:rsidRDefault="00B905AD" w:rsidP="00B905AD">
      <w:pPr>
        <w:tabs>
          <w:tab w:val="left" w:pos="5387"/>
        </w:tabs>
        <w:ind w:left="4820"/>
        <w:rPr>
          <w:i/>
        </w:rPr>
      </w:pPr>
    </w:p>
    <w:p w:rsidR="00B905AD" w:rsidRPr="005F6952" w:rsidRDefault="00B905AD" w:rsidP="00B905AD">
      <w:pPr>
        <w:pStyle w:val="Header"/>
      </w:pPr>
    </w:p>
    <w:p w:rsidR="00B905AD" w:rsidRDefault="00B905AD" w:rsidP="00B905AD">
      <w:pPr>
        <w:pStyle w:val="endofdoc"/>
        <w:rPr>
          <w:snapToGrid w:val="0"/>
        </w:rPr>
        <w:sectPr w:rsidR="00B905AD" w:rsidSect="00906DDC">
          <w:headerReference w:type="default" r:id="rId10"/>
          <w:pgSz w:w="11907" w:h="16840" w:code="9"/>
          <w:pgMar w:top="510" w:right="1134" w:bottom="1134" w:left="1134" w:header="510" w:footer="680" w:gutter="0"/>
          <w:cols w:space="720"/>
          <w:titlePg/>
        </w:sectPr>
      </w:pPr>
      <w:r>
        <w:rPr>
          <w:snapToGrid w:val="0"/>
        </w:rPr>
        <w:t>[Annex follows]</w:t>
      </w:r>
    </w:p>
    <w:p w:rsidR="00B905AD" w:rsidRDefault="00B905AD" w:rsidP="00B905AD">
      <w:pPr>
        <w:jc w:val="center"/>
        <w:rPr>
          <w:snapToGrid w:val="0"/>
        </w:rPr>
      </w:pPr>
      <w:r>
        <w:rPr>
          <w:snapToGrid w:val="0"/>
        </w:rPr>
        <w:lastRenderedPageBreak/>
        <w:t>TWO/49/24</w:t>
      </w:r>
    </w:p>
    <w:p w:rsidR="00B905AD" w:rsidRDefault="00B905AD" w:rsidP="00B905AD">
      <w:pPr>
        <w:jc w:val="center"/>
        <w:rPr>
          <w:snapToGrid w:val="0"/>
        </w:rPr>
      </w:pPr>
    </w:p>
    <w:p w:rsidR="00B905AD" w:rsidRDefault="00B905AD" w:rsidP="00B905AD">
      <w:pPr>
        <w:jc w:val="center"/>
        <w:rPr>
          <w:snapToGrid w:val="0"/>
        </w:rPr>
      </w:pPr>
      <w:r>
        <w:rPr>
          <w:snapToGrid w:val="0"/>
        </w:rPr>
        <w:t>ANNEX</w:t>
      </w:r>
    </w:p>
    <w:p w:rsidR="00B905AD" w:rsidRDefault="00B905AD" w:rsidP="00B905AD">
      <w:pPr>
        <w:jc w:val="center"/>
        <w:rPr>
          <w:snapToGrid w:val="0"/>
        </w:rPr>
      </w:pPr>
    </w:p>
    <w:p w:rsidR="00B905AD" w:rsidRDefault="00B905AD" w:rsidP="00B905AD">
      <w:pPr>
        <w:pStyle w:val="Header"/>
        <w:jc w:val="both"/>
      </w:pPr>
    </w:p>
    <w:p w:rsidR="00B905AD" w:rsidRDefault="00B905AD" w:rsidP="00B905AD">
      <w:pPr>
        <w:pStyle w:val="Header"/>
      </w:pPr>
      <w:r>
        <w:t>EXTRACT OF DOCUMENT TC/52/29 Rev. “REPORT”, ANNEX II</w:t>
      </w:r>
    </w:p>
    <w:p w:rsidR="00B905AD" w:rsidRDefault="00B905AD" w:rsidP="00B905AD">
      <w:pPr>
        <w:pStyle w:val="Header"/>
      </w:pPr>
    </w:p>
    <w:p w:rsidR="00B905AD" w:rsidRPr="00605D19" w:rsidRDefault="00B905AD" w:rsidP="00B905AD">
      <w:pPr>
        <w:jc w:val="left"/>
        <w:rPr>
          <w:rFonts w:cs="Arial"/>
          <w:u w:val="single"/>
        </w:rPr>
      </w:pPr>
    </w:p>
    <w:tbl>
      <w:tblPr>
        <w:tblW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00"/>
        <w:gridCol w:w="2268"/>
      </w:tblGrid>
      <w:tr w:rsidR="00B905AD" w:rsidRPr="005D60B9" w:rsidTr="00DA1869">
        <w:trPr>
          <w:cantSplit/>
          <w:trHeight w:val="310"/>
        </w:trPr>
        <w:tc>
          <w:tcPr>
            <w:tcW w:w="3600" w:type="dxa"/>
            <w:vMerge w:val="restart"/>
            <w:shd w:val="clear" w:color="auto" w:fill="D9D9D9"/>
            <w:vAlign w:val="center"/>
          </w:tcPr>
          <w:p w:rsidR="00B905AD" w:rsidRPr="005D60B9" w:rsidRDefault="00B905AD" w:rsidP="00DA1869">
            <w:pPr>
              <w:pStyle w:val="TitleofDoc"/>
              <w:keepNext/>
              <w:tabs>
                <w:tab w:val="left" w:pos="5245"/>
                <w:tab w:val="left" w:pos="7008"/>
              </w:tabs>
              <w:spacing w:before="80" w:after="80"/>
              <w:jc w:val="left"/>
              <w:rPr>
                <w:rFonts w:cs="Arial"/>
                <w:caps w:val="0"/>
                <w:lang w:val="fr-CH"/>
              </w:rPr>
            </w:pPr>
            <w:r w:rsidRPr="005D60B9">
              <w:rPr>
                <w:rFonts w:cs="Arial"/>
                <w:caps w:val="0"/>
              </w:rPr>
              <w:t>Salvia (</w:t>
            </w:r>
            <w:r w:rsidRPr="005D60B9">
              <w:rPr>
                <w:rFonts w:cs="Arial"/>
                <w:i/>
                <w:caps w:val="0"/>
              </w:rPr>
              <w:t>Salvia</w:t>
            </w:r>
            <w:r w:rsidRPr="005D60B9">
              <w:rPr>
                <w:rFonts w:cs="Arial"/>
                <w:caps w:val="0"/>
              </w:rPr>
              <w:t xml:space="preserve"> L.)</w:t>
            </w:r>
          </w:p>
        </w:tc>
        <w:tc>
          <w:tcPr>
            <w:tcW w:w="2268" w:type="dxa"/>
            <w:vMerge w:val="restart"/>
            <w:shd w:val="clear" w:color="auto" w:fill="D9D9D9"/>
            <w:vAlign w:val="center"/>
          </w:tcPr>
          <w:p w:rsidR="00B905AD" w:rsidRPr="005D60B9" w:rsidRDefault="00B905AD" w:rsidP="00DA1869">
            <w:pPr>
              <w:rPr>
                <w:iCs/>
                <w:snapToGrid w:val="0"/>
              </w:rPr>
            </w:pPr>
            <w:r w:rsidRPr="005D60B9">
              <w:rPr>
                <w:rFonts w:cs="Arial"/>
                <w:caps/>
              </w:rPr>
              <w:t>TG/SALVI(</w:t>
            </w:r>
            <w:r w:rsidRPr="005D60B9">
              <w:rPr>
                <w:rFonts w:cs="Arial"/>
              </w:rPr>
              <w:t>proj</w:t>
            </w:r>
            <w:r w:rsidRPr="005D60B9">
              <w:rPr>
                <w:rFonts w:cs="Arial"/>
                <w:caps/>
              </w:rPr>
              <w:t>.4)</w:t>
            </w:r>
          </w:p>
        </w:tc>
      </w:tr>
      <w:tr w:rsidR="00B905AD" w:rsidRPr="005D60B9" w:rsidTr="00DA1869">
        <w:trPr>
          <w:cantSplit/>
          <w:trHeight w:hRule="exact" w:val="74"/>
        </w:trPr>
        <w:tc>
          <w:tcPr>
            <w:tcW w:w="3600" w:type="dxa"/>
            <w:vMerge/>
            <w:shd w:val="clear" w:color="auto" w:fill="D9D9D9"/>
            <w:vAlign w:val="center"/>
          </w:tcPr>
          <w:p w:rsidR="00B905AD" w:rsidRPr="005D60B9" w:rsidRDefault="00B905AD" w:rsidP="00DA1869">
            <w:pPr>
              <w:pStyle w:val="TitleofDoc"/>
              <w:keepNext/>
              <w:tabs>
                <w:tab w:val="left" w:pos="5245"/>
                <w:tab w:val="left" w:pos="7008"/>
              </w:tabs>
              <w:spacing w:before="0"/>
              <w:jc w:val="left"/>
              <w:rPr>
                <w:rFonts w:cs="Arial"/>
                <w:caps w:val="0"/>
              </w:rPr>
            </w:pPr>
          </w:p>
        </w:tc>
        <w:tc>
          <w:tcPr>
            <w:tcW w:w="2268" w:type="dxa"/>
            <w:vMerge/>
            <w:shd w:val="clear" w:color="auto" w:fill="D9D9D9"/>
            <w:vAlign w:val="center"/>
          </w:tcPr>
          <w:p w:rsidR="00B905AD" w:rsidRPr="005D60B9" w:rsidRDefault="00B905AD" w:rsidP="00DA1869">
            <w:pPr>
              <w:pStyle w:val="BodyText"/>
              <w:keepNext/>
              <w:jc w:val="left"/>
              <w:rPr>
                <w:rFonts w:cs="Arial"/>
                <w:iCs/>
                <w:snapToGrid w:val="0"/>
              </w:rPr>
            </w:pPr>
          </w:p>
        </w:tc>
      </w:tr>
    </w:tbl>
    <w:p w:rsidR="00B905AD" w:rsidRPr="005D60B9" w:rsidRDefault="00B905AD" w:rsidP="00B905AD">
      <w:pPr>
        <w:keepNext/>
        <w:jc w:val="left"/>
        <w:rPr>
          <w:rFonts w:cs="Arial"/>
          <w:lang w:val="de-DE"/>
        </w:rPr>
      </w:pPr>
    </w:p>
    <w:p w:rsidR="00191E88" w:rsidRPr="005D60B9" w:rsidRDefault="00191E88" w:rsidP="00191E88">
      <w:pPr>
        <w:autoSpaceDE w:val="0"/>
        <w:autoSpaceDN w:val="0"/>
        <w:adjustRightInd w:val="0"/>
        <w:ind w:firstLine="567"/>
        <w:rPr>
          <w:rFonts w:cs="Arial"/>
        </w:rPr>
      </w:pPr>
      <w:r w:rsidRPr="005D60B9">
        <w:rPr>
          <w:rFonts w:cs="Arial"/>
        </w:rPr>
        <w:t>(a)</w:t>
      </w:r>
      <w:r w:rsidRPr="005D60B9">
        <w:rPr>
          <w:rFonts w:cs="Arial"/>
        </w:rPr>
        <w:tab/>
        <w:t xml:space="preserve">The following table contains the comments by the Enlarged Editorial Committee at its meeting on January 6 and 7, 2016. </w:t>
      </w:r>
      <w:r>
        <w:rPr>
          <w:rFonts w:cs="Arial"/>
        </w:rPr>
        <w:t>A</w:t>
      </w:r>
      <w:r w:rsidRPr="005D60B9">
        <w:rPr>
          <w:rFonts w:cs="Arial"/>
        </w:rPr>
        <w:t xml:space="preserve">ll comments are already incorporated in the draft Test Guidelines </w:t>
      </w:r>
      <w:r w:rsidRPr="005D60B9">
        <w:rPr>
          <w:rFonts w:cs="Arial"/>
          <w:caps/>
        </w:rPr>
        <w:t>TG/SALVI(</w:t>
      </w:r>
      <w:r w:rsidRPr="005D60B9">
        <w:rPr>
          <w:rFonts w:cs="Arial"/>
        </w:rPr>
        <w:t>proj</w:t>
      </w:r>
      <w:r w:rsidRPr="005D60B9">
        <w:rPr>
          <w:rFonts w:cs="Arial"/>
          <w:caps/>
        </w:rPr>
        <w:t>.4)</w:t>
      </w:r>
      <w:r w:rsidRPr="005D60B9">
        <w:t>,</w:t>
      </w:r>
      <w:r w:rsidRPr="005D60B9">
        <w:rPr>
          <w:rFonts w:cs="Arial"/>
        </w:rPr>
        <w:t xml:space="preserve"> submitted to the TC:</w:t>
      </w:r>
    </w:p>
    <w:p w:rsidR="00191E88" w:rsidRPr="005D60B9" w:rsidRDefault="00191E88" w:rsidP="00191E88">
      <w:pPr>
        <w:keepNext/>
        <w:jc w:val="left"/>
        <w:rPr>
          <w:rFonts w:cs="Arial"/>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350"/>
      </w:tblGrid>
      <w:tr w:rsidR="00191E88" w:rsidRPr="005D60B9" w:rsidTr="00191E88">
        <w:tc>
          <w:tcPr>
            <w:tcW w:w="1573" w:type="dxa"/>
          </w:tcPr>
          <w:p w:rsidR="00191E88" w:rsidRPr="005D60B9" w:rsidRDefault="00191E88" w:rsidP="00CD3E56">
            <w:pPr>
              <w:jc w:val="left"/>
              <w:rPr>
                <w:rFonts w:cs="Arial"/>
              </w:rPr>
            </w:pPr>
            <w:r w:rsidRPr="005D60B9">
              <w:rPr>
                <w:rFonts w:cs="Arial"/>
              </w:rPr>
              <w:t>cover page</w:t>
            </w:r>
          </w:p>
        </w:tc>
        <w:tc>
          <w:tcPr>
            <w:tcW w:w="8350" w:type="dxa"/>
          </w:tcPr>
          <w:p w:rsidR="00191E88" w:rsidRPr="005D60B9" w:rsidRDefault="00191E88" w:rsidP="00CD3E56">
            <w:pPr>
              <w:keepNext/>
              <w:rPr>
                <w:rFonts w:cs="Arial"/>
              </w:rPr>
            </w:pPr>
            <w:r w:rsidRPr="005D60B9">
              <w:rPr>
                <w:rFonts w:cs="Arial"/>
              </w:rPr>
              <w:t>to add German common name “Salvie”</w:t>
            </w:r>
          </w:p>
        </w:tc>
      </w:tr>
      <w:tr w:rsidR="00191E88" w:rsidRPr="005D60B9" w:rsidTr="00191E88">
        <w:tc>
          <w:tcPr>
            <w:tcW w:w="1573" w:type="dxa"/>
          </w:tcPr>
          <w:p w:rsidR="00191E88" w:rsidRPr="005D60B9" w:rsidRDefault="00191E88" w:rsidP="00CD3E56">
            <w:pPr>
              <w:jc w:val="left"/>
              <w:rPr>
                <w:rFonts w:cs="Arial"/>
              </w:rPr>
            </w:pPr>
            <w:r w:rsidRPr="005D60B9">
              <w:rPr>
                <w:rFonts w:cs="Arial"/>
              </w:rPr>
              <w:t>1.</w:t>
            </w:r>
          </w:p>
        </w:tc>
        <w:tc>
          <w:tcPr>
            <w:tcW w:w="8350" w:type="dxa"/>
          </w:tcPr>
          <w:p w:rsidR="00191E88" w:rsidRPr="005D60B9" w:rsidRDefault="00191E88" w:rsidP="00CD3E56">
            <w:pPr>
              <w:keepNext/>
              <w:rPr>
                <w:rFonts w:cs="Arial"/>
              </w:rPr>
            </w:pPr>
            <w:r w:rsidRPr="005D60B9">
              <w:rPr>
                <w:rFonts w:cs="Arial"/>
              </w:rPr>
              <w:t>- to read “… to examine herbal types of varieties…”</w:t>
            </w:r>
          </w:p>
          <w:p w:rsidR="00191E88" w:rsidRPr="005D60B9" w:rsidRDefault="00191E88" w:rsidP="00CD3E56">
            <w:pPr>
              <w:rPr>
                <w:rFonts w:cs="Arial"/>
              </w:rPr>
            </w:pPr>
            <w:r w:rsidRPr="005D60B9">
              <w:rPr>
                <w:rFonts w:cs="Arial"/>
              </w:rPr>
              <w:t>- second paragraph to read “</w:t>
            </w:r>
            <w:r w:rsidRPr="005D60B9">
              <w:t>The characteristics in these Test Guidelines have been developed to distinguish between ornamental varieties.  It may also be used to distinguish herbal varieties and additional characteristics and states of expression may be needed.”</w:t>
            </w:r>
          </w:p>
        </w:tc>
      </w:tr>
      <w:tr w:rsidR="00191E88" w:rsidRPr="005D60B9" w:rsidTr="00191E88">
        <w:tc>
          <w:tcPr>
            <w:tcW w:w="1573" w:type="dxa"/>
          </w:tcPr>
          <w:p w:rsidR="00191E88" w:rsidRPr="005D60B9" w:rsidRDefault="00191E88" w:rsidP="00CD3E56">
            <w:pPr>
              <w:jc w:val="left"/>
              <w:rPr>
                <w:rFonts w:cs="Arial"/>
              </w:rPr>
            </w:pPr>
            <w:r w:rsidRPr="005D60B9">
              <w:rPr>
                <w:rFonts w:cs="Arial"/>
              </w:rPr>
              <w:t>2.2</w:t>
            </w:r>
          </w:p>
        </w:tc>
        <w:tc>
          <w:tcPr>
            <w:tcW w:w="8350" w:type="dxa"/>
          </w:tcPr>
          <w:p w:rsidR="00191E88" w:rsidRPr="005D60B9" w:rsidRDefault="00191E88" w:rsidP="00CD3E56">
            <w:pPr>
              <w:rPr>
                <w:rFonts w:cs="Arial"/>
              </w:rPr>
            </w:pPr>
            <w:r w:rsidRPr="005D60B9">
              <w:rPr>
                <w:rFonts w:cs="Arial"/>
              </w:rPr>
              <w:t>to delete comma after “…plants…”</w:t>
            </w:r>
          </w:p>
        </w:tc>
      </w:tr>
      <w:tr w:rsidR="00191E88" w:rsidRPr="005D60B9" w:rsidTr="00191E88">
        <w:tc>
          <w:tcPr>
            <w:tcW w:w="1573" w:type="dxa"/>
          </w:tcPr>
          <w:p w:rsidR="00191E88" w:rsidRPr="005D60B9" w:rsidRDefault="00191E88" w:rsidP="00CD3E56">
            <w:pPr>
              <w:jc w:val="left"/>
              <w:rPr>
                <w:rFonts w:cs="Arial"/>
              </w:rPr>
            </w:pPr>
            <w:r w:rsidRPr="005D60B9">
              <w:rPr>
                <w:rFonts w:cs="Arial"/>
              </w:rPr>
              <w:t>2.3, 3.4.2</w:t>
            </w:r>
          </w:p>
        </w:tc>
        <w:tc>
          <w:tcPr>
            <w:tcW w:w="8350" w:type="dxa"/>
          </w:tcPr>
          <w:p w:rsidR="00191E88" w:rsidRPr="005D60B9" w:rsidRDefault="00191E88" w:rsidP="00CD3E56">
            <w:pPr>
              <w:rPr>
                <w:rFonts w:cs="Arial"/>
              </w:rPr>
            </w:pPr>
            <w:r w:rsidRPr="005D60B9">
              <w:rPr>
                <w:rFonts w:cs="Arial"/>
              </w:rPr>
              <w:t>to add hyphen to read “seed-propagated varieties”</w:t>
            </w:r>
          </w:p>
        </w:tc>
      </w:tr>
      <w:tr w:rsidR="00191E88" w:rsidRPr="005D60B9" w:rsidTr="00191E88">
        <w:tc>
          <w:tcPr>
            <w:tcW w:w="1573" w:type="dxa"/>
          </w:tcPr>
          <w:p w:rsidR="00191E88" w:rsidRPr="005D60B9" w:rsidRDefault="00191E88" w:rsidP="00CD3E56">
            <w:pPr>
              <w:jc w:val="left"/>
              <w:rPr>
                <w:rFonts w:cs="Arial"/>
              </w:rPr>
            </w:pPr>
            <w:r w:rsidRPr="005D60B9">
              <w:rPr>
                <w:rFonts w:cs="Arial"/>
              </w:rPr>
              <w:t>4.2.3</w:t>
            </w:r>
          </w:p>
        </w:tc>
        <w:tc>
          <w:tcPr>
            <w:tcW w:w="8350" w:type="dxa"/>
          </w:tcPr>
          <w:p w:rsidR="00191E88" w:rsidRPr="005D60B9" w:rsidRDefault="00191E88" w:rsidP="00CD3E56">
            <w:pPr>
              <w:rPr>
                <w:rFonts w:cs="Arial"/>
              </w:rPr>
            </w:pPr>
            <w:r w:rsidRPr="005D60B9">
              <w:rPr>
                <w:rFonts w:cs="Arial"/>
              </w:rPr>
              <w:t xml:space="preserve">to check with Leading Expert whether there are self-pollinating </w:t>
            </w:r>
            <w:r w:rsidRPr="005D60B9">
              <w:rPr>
                <w:rFonts w:cs="Arial"/>
                <w:u w:val="single"/>
              </w:rPr>
              <w:t>and</w:t>
            </w:r>
            <w:r w:rsidRPr="005D60B9">
              <w:rPr>
                <w:rFonts w:cs="Arial"/>
              </w:rPr>
              <w:t xml:space="preserve"> cross-pollinating species in the genus</w:t>
            </w:r>
          </w:p>
          <w:p w:rsidR="00191E88" w:rsidRPr="005D60B9" w:rsidRDefault="00191E88" w:rsidP="00CD3E56">
            <w:pPr>
              <w:rPr>
                <w:rFonts w:cs="Arial"/>
                <w:i/>
              </w:rPr>
            </w:pPr>
            <w:r w:rsidRPr="005D60B9">
              <w:rPr>
                <w:rFonts w:cs="Arial"/>
                <w:i/>
              </w:rPr>
              <w:t>Leading Expert: The following text was in the technical book of the salvia.</w:t>
            </w:r>
          </w:p>
          <w:p w:rsidR="00191E88" w:rsidRPr="005D60B9" w:rsidRDefault="00191E88" w:rsidP="00CD3E56">
            <w:pPr>
              <w:rPr>
                <w:rFonts w:cs="Arial"/>
              </w:rPr>
            </w:pPr>
            <w:r w:rsidRPr="005D60B9">
              <w:rPr>
                <w:rFonts w:cs="Arial"/>
                <w:i/>
              </w:rPr>
              <w:t xml:space="preserve">“Those species with large flowers mainly cross pollinate and those with small flowers are mainly </w:t>
            </w:r>
            <w:r w:rsidRPr="00800112">
              <w:rPr>
                <w:rFonts w:cs="Arial"/>
                <w:i/>
              </w:rPr>
              <w:t>self</w:t>
            </w:r>
            <w:r w:rsidRPr="00800112">
              <w:rPr>
                <w:rFonts w:cs="Arial"/>
                <w:i/>
              </w:rPr>
              <w:noBreakHyphen/>
              <w:t>pollinated</w:t>
            </w:r>
            <w:r w:rsidRPr="005D60B9">
              <w:rPr>
                <w:rFonts w:cs="Arial"/>
                <w:i/>
              </w:rPr>
              <w:t>.” (Yeo, C., 1995: Salvias. Pleasant View Nursery. Newton Abbot, Devon, GB, p.8).  So, both 4.2.3 self-pollinated and 4.2.4 cross-pollinated were listed.</w:t>
            </w:r>
          </w:p>
        </w:tc>
      </w:tr>
      <w:tr w:rsidR="00191E88" w:rsidRPr="005D60B9" w:rsidTr="00191E88">
        <w:tc>
          <w:tcPr>
            <w:tcW w:w="1573" w:type="dxa"/>
          </w:tcPr>
          <w:p w:rsidR="00191E88" w:rsidRPr="005D60B9" w:rsidRDefault="00191E88" w:rsidP="00CD3E56">
            <w:pPr>
              <w:jc w:val="left"/>
              <w:rPr>
                <w:rFonts w:cs="Arial"/>
              </w:rPr>
            </w:pPr>
            <w:r w:rsidRPr="005D60B9">
              <w:rPr>
                <w:rFonts w:cs="Arial"/>
              </w:rPr>
              <w:t>Char. 4</w:t>
            </w:r>
          </w:p>
        </w:tc>
        <w:tc>
          <w:tcPr>
            <w:tcW w:w="8350" w:type="dxa"/>
          </w:tcPr>
          <w:p w:rsidR="00191E88" w:rsidRPr="005D60B9" w:rsidRDefault="00191E88" w:rsidP="00CD3E56">
            <w:pPr>
              <w:rPr>
                <w:rFonts w:cs="Arial"/>
              </w:rPr>
            </w:pPr>
            <w:r w:rsidRPr="005D60B9">
              <w:rPr>
                <w:rFonts w:cs="Arial"/>
              </w:rPr>
              <w:t>to check whether to add example varieties for states 1 and 5</w:t>
            </w:r>
          </w:p>
          <w:p w:rsidR="00191E88" w:rsidRPr="005D60B9" w:rsidRDefault="00191E88" w:rsidP="00CD3E56">
            <w:pPr>
              <w:rPr>
                <w:rFonts w:cs="Arial"/>
                <w:i/>
              </w:rPr>
            </w:pPr>
            <w:r w:rsidRPr="005D60B9">
              <w:rPr>
                <w:rFonts w:cs="Arial"/>
                <w:i/>
              </w:rPr>
              <w:t>provided by Leading Expert</w:t>
            </w:r>
          </w:p>
        </w:tc>
      </w:tr>
      <w:tr w:rsidR="00191E88" w:rsidRPr="005D60B9" w:rsidTr="00191E88">
        <w:tc>
          <w:tcPr>
            <w:tcW w:w="1573" w:type="dxa"/>
          </w:tcPr>
          <w:p w:rsidR="00191E88" w:rsidRPr="005D60B9" w:rsidRDefault="00191E88" w:rsidP="00CD3E56">
            <w:pPr>
              <w:jc w:val="left"/>
              <w:rPr>
                <w:rFonts w:cs="Arial"/>
              </w:rPr>
            </w:pPr>
            <w:r w:rsidRPr="005D60B9">
              <w:rPr>
                <w:rFonts w:cs="Arial"/>
              </w:rPr>
              <w:t>Char. 5</w:t>
            </w:r>
          </w:p>
        </w:tc>
        <w:tc>
          <w:tcPr>
            <w:tcW w:w="8350" w:type="dxa"/>
          </w:tcPr>
          <w:p w:rsidR="00191E88" w:rsidRPr="005D60B9" w:rsidRDefault="00191E88" w:rsidP="00CD3E56">
            <w:pPr>
              <w:ind w:left="786" w:hanging="786"/>
              <w:rPr>
                <w:rFonts w:cs="Arial"/>
              </w:rPr>
            </w:pPr>
            <w:r w:rsidRPr="005D60B9">
              <w:rPr>
                <w:rFonts w:cs="Arial"/>
              </w:rPr>
              <w:t>to provide example varieties</w:t>
            </w:r>
          </w:p>
          <w:p w:rsidR="00191E88" w:rsidRPr="005D60B9" w:rsidRDefault="00191E88" w:rsidP="00CD3E56">
            <w:pPr>
              <w:ind w:left="786" w:hanging="786"/>
              <w:rPr>
                <w:rFonts w:cs="Arial"/>
              </w:rPr>
            </w:pPr>
            <w:r w:rsidRPr="005D60B9">
              <w:rPr>
                <w:rFonts w:cs="Arial"/>
                <w:i/>
              </w:rPr>
              <w:t>provided by Leading Expert</w:t>
            </w:r>
          </w:p>
        </w:tc>
      </w:tr>
      <w:tr w:rsidR="00191E88" w:rsidRPr="005D60B9" w:rsidTr="00191E88">
        <w:tc>
          <w:tcPr>
            <w:tcW w:w="1573" w:type="dxa"/>
          </w:tcPr>
          <w:p w:rsidR="00191E88" w:rsidRPr="005D60B9" w:rsidRDefault="00191E88" w:rsidP="00CD3E56">
            <w:pPr>
              <w:jc w:val="left"/>
              <w:rPr>
                <w:rFonts w:cs="Arial"/>
              </w:rPr>
            </w:pPr>
            <w:r w:rsidRPr="005D60B9">
              <w:rPr>
                <w:rFonts w:cs="Arial"/>
              </w:rPr>
              <w:t>Chars. 16 to 19</w:t>
            </w:r>
          </w:p>
        </w:tc>
        <w:tc>
          <w:tcPr>
            <w:tcW w:w="8350" w:type="dxa"/>
          </w:tcPr>
          <w:p w:rsidR="00191E88" w:rsidRPr="005D60B9" w:rsidRDefault="00191E88" w:rsidP="00CD3E56">
            <w:pPr>
              <w:rPr>
                <w:rFonts w:cs="Arial"/>
              </w:rPr>
            </w:pPr>
            <w:r w:rsidRPr="005D60B9">
              <w:rPr>
                <w:rFonts w:cs="Arial"/>
              </w:rPr>
              <w:t>to delete “of upper side”, see (b)</w:t>
            </w:r>
          </w:p>
        </w:tc>
      </w:tr>
      <w:tr w:rsidR="00191E88" w:rsidRPr="005D60B9" w:rsidTr="00191E88">
        <w:tc>
          <w:tcPr>
            <w:tcW w:w="1573" w:type="dxa"/>
          </w:tcPr>
          <w:p w:rsidR="00191E88" w:rsidRPr="005D60B9" w:rsidRDefault="00191E88" w:rsidP="00CD3E56">
            <w:pPr>
              <w:jc w:val="left"/>
              <w:rPr>
                <w:rFonts w:cs="Arial"/>
              </w:rPr>
            </w:pPr>
            <w:r w:rsidRPr="005D60B9">
              <w:rPr>
                <w:rFonts w:cs="Arial"/>
              </w:rPr>
              <w:t>Char. 27</w:t>
            </w:r>
          </w:p>
        </w:tc>
        <w:tc>
          <w:tcPr>
            <w:tcW w:w="8350" w:type="dxa"/>
          </w:tcPr>
          <w:p w:rsidR="00191E88" w:rsidRPr="005D60B9" w:rsidRDefault="00191E88" w:rsidP="00CD3E56">
            <w:pPr>
              <w:rPr>
                <w:rFonts w:cs="Arial"/>
              </w:rPr>
            </w:pPr>
            <w:r w:rsidRPr="005D60B9">
              <w:rPr>
                <w:rFonts w:cs="Arial"/>
              </w:rPr>
              <w:t>- state 1 to read “erect”</w:t>
            </w:r>
          </w:p>
          <w:p w:rsidR="00191E88" w:rsidRPr="005D60B9" w:rsidRDefault="00191E88" w:rsidP="00CD3E56">
            <w:pPr>
              <w:rPr>
                <w:rFonts w:cs="Arial"/>
              </w:rPr>
            </w:pPr>
            <w:r w:rsidRPr="005D60B9">
              <w:rPr>
                <w:rFonts w:cs="Arial"/>
              </w:rPr>
              <w:t>- state 2 to read “semi-erect”</w:t>
            </w:r>
          </w:p>
        </w:tc>
      </w:tr>
      <w:tr w:rsidR="00191E88" w:rsidRPr="005D60B9" w:rsidTr="00191E88">
        <w:tc>
          <w:tcPr>
            <w:tcW w:w="1573" w:type="dxa"/>
          </w:tcPr>
          <w:p w:rsidR="00191E88" w:rsidRPr="005D60B9" w:rsidRDefault="00191E88" w:rsidP="00CD3E56">
            <w:pPr>
              <w:jc w:val="left"/>
              <w:rPr>
                <w:rFonts w:cs="Arial"/>
              </w:rPr>
            </w:pPr>
            <w:r w:rsidRPr="005D60B9">
              <w:rPr>
                <w:rFonts w:cs="Arial"/>
              </w:rPr>
              <w:t>Char. 28</w:t>
            </w:r>
          </w:p>
        </w:tc>
        <w:tc>
          <w:tcPr>
            <w:tcW w:w="8350" w:type="dxa"/>
          </w:tcPr>
          <w:p w:rsidR="00191E88" w:rsidRPr="005D60B9" w:rsidRDefault="00191E88" w:rsidP="00CD3E56">
            <w:pPr>
              <w:rPr>
                <w:rFonts w:cs="Arial"/>
              </w:rPr>
            </w:pPr>
            <w:r w:rsidRPr="005D60B9">
              <w:rPr>
                <w:rFonts w:cs="Arial"/>
              </w:rPr>
              <w:t>to add explanation/illustration to clarify “persistence”</w:t>
            </w:r>
          </w:p>
          <w:p w:rsidR="00191E88" w:rsidRPr="005D60B9" w:rsidRDefault="00191E88" w:rsidP="00CD3E56">
            <w:pPr>
              <w:rPr>
                <w:rFonts w:cs="Arial"/>
              </w:rPr>
            </w:pPr>
            <w:r w:rsidRPr="005D60B9">
              <w:rPr>
                <w:rFonts w:cs="Arial"/>
                <w:i/>
              </w:rPr>
              <w:t>provided by Leading Expert</w:t>
            </w:r>
          </w:p>
        </w:tc>
      </w:tr>
      <w:tr w:rsidR="00191E88" w:rsidRPr="005D60B9" w:rsidTr="00191E88">
        <w:tc>
          <w:tcPr>
            <w:tcW w:w="1573" w:type="dxa"/>
          </w:tcPr>
          <w:p w:rsidR="00191E88" w:rsidRPr="005D60B9" w:rsidRDefault="00191E88" w:rsidP="00CD3E56">
            <w:pPr>
              <w:jc w:val="left"/>
              <w:rPr>
                <w:rFonts w:cs="Arial"/>
              </w:rPr>
            </w:pPr>
            <w:r w:rsidRPr="005D60B9">
              <w:rPr>
                <w:rFonts w:cs="Arial"/>
              </w:rPr>
              <w:t>Chars. 38 to 46</w:t>
            </w:r>
          </w:p>
        </w:tc>
        <w:tc>
          <w:tcPr>
            <w:tcW w:w="8350" w:type="dxa"/>
          </w:tcPr>
          <w:p w:rsidR="00191E88" w:rsidRPr="005D60B9" w:rsidRDefault="00191E88" w:rsidP="00CD3E56">
            <w:pPr>
              <w:rPr>
                <w:rFonts w:cs="Arial"/>
              </w:rPr>
            </w:pPr>
            <w:r w:rsidRPr="005D60B9">
              <w:rPr>
                <w:rFonts w:cs="Arial"/>
              </w:rPr>
              <w:t xml:space="preserve">to replace “Corolla upper/lower lip” by “Upper/Lower lip” </w:t>
            </w:r>
          </w:p>
        </w:tc>
      </w:tr>
      <w:tr w:rsidR="00191E88" w:rsidRPr="005D60B9" w:rsidTr="00191E88">
        <w:tc>
          <w:tcPr>
            <w:tcW w:w="1573" w:type="dxa"/>
          </w:tcPr>
          <w:p w:rsidR="00191E88" w:rsidRPr="005D60B9" w:rsidRDefault="00191E88" w:rsidP="00CD3E56">
            <w:pPr>
              <w:jc w:val="left"/>
              <w:rPr>
                <w:rFonts w:cs="Arial"/>
              </w:rPr>
            </w:pPr>
            <w:r w:rsidRPr="005D60B9">
              <w:rPr>
                <w:rFonts w:cs="Arial"/>
              </w:rPr>
              <w:t>Char. 45</w:t>
            </w:r>
          </w:p>
        </w:tc>
        <w:tc>
          <w:tcPr>
            <w:tcW w:w="8350" w:type="dxa"/>
          </w:tcPr>
          <w:p w:rsidR="00191E88" w:rsidRPr="005D60B9" w:rsidRDefault="00191E88" w:rsidP="00CD3E56">
            <w:pPr>
              <w:rPr>
                <w:rFonts w:cs="Arial"/>
              </w:rPr>
            </w:pPr>
            <w:r w:rsidRPr="005D60B9">
              <w:rPr>
                <w:rFonts w:cs="Arial"/>
              </w:rPr>
              <w:t>state 5 to read “throughout”</w:t>
            </w:r>
          </w:p>
        </w:tc>
      </w:tr>
      <w:tr w:rsidR="00191E88" w:rsidRPr="005D60B9" w:rsidTr="00191E88">
        <w:tc>
          <w:tcPr>
            <w:tcW w:w="1573" w:type="dxa"/>
          </w:tcPr>
          <w:p w:rsidR="00191E88" w:rsidRPr="005D60B9" w:rsidRDefault="00191E88" w:rsidP="00CD3E56">
            <w:pPr>
              <w:jc w:val="left"/>
              <w:rPr>
                <w:rFonts w:cs="Arial"/>
              </w:rPr>
            </w:pPr>
            <w:r w:rsidRPr="005D60B9">
              <w:rPr>
                <w:rFonts w:cs="Arial"/>
              </w:rPr>
              <w:t>8.1 (a)</w:t>
            </w:r>
          </w:p>
        </w:tc>
        <w:tc>
          <w:tcPr>
            <w:tcW w:w="8350" w:type="dxa"/>
          </w:tcPr>
          <w:p w:rsidR="00191E88" w:rsidRPr="005D60B9" w:rsidRDefault="00191E88" w:rsidP="00CD3E56">
            <w:pPr>
              <w:rPr>
                <w:rFonts w:cs="Arial"/>
              </w:rPr>
            </w:pPr>
            <w:r w:rsidRPr="005D60B9">
              <w:rPr>
                <w:rFonts w:cs="Arial"/>
              </w:rPr>
              <w:t>The explanation is applicable for all characteristics. (a) should be deleted and a sentence should be added at the beginning of 8.1</w:t>
            </w:r>
          </w:p>
        </w:tc>
      </w:tr>
      <w:tr w:rsidR="00191E88" w:rsidRPr="005D60B9" w:rsidTr="00191E88">
        <w:tc>
          <w:tcPr>
            <w:tcW w:w="1573" w:type="dxa"/>
          </w:tcPr>
          <w:p w:rsidR="00191E88" w:rsidRPr="005D60B9" w:rsidRDefault="00191E88" w:rsidP="00CD3E56">
            <w:pPr>
              <w:jc w:val="left"/>
              <w:rPr>
                <w:rFonts w:cs="Arial"/>
              </w:rPr>
            </w:pPr>
            <w:r w:rsidRPr="005D60B9">
              <w:rPr>
                <w:rFonts w:cs="Arial"/>
              </w:rPr>
              <w:t>Ad. 22</w:t>
            </w:r>
          </w:p>
        </w:tc>
        <w:tc>
          <w:tcPr>
            <w:tcW w:w="8350" w:type="dxa"/>
          </w:tcPr>
          <w:p w:rsidR="00191E88" w:rsidRPr="005D60B9" w:rsidRDefault="00191E88" w:rsidP="00CD3E56">
            <w:pPr>
              <w:rPr>
                <w:rFonts w:cs="Arial"/>
              </w:rPr>
            </w:pPr>
            <w:r w:rsidRPr="005D60B9">
              <w:rPr>
                <w:rFonts w:cs="Arial"/>
              </w:rPr>
              <w:t>to delete illustration for state 2 (unclear and not necessary to show state 2)</w:t>
            </w:r>
          </w:p>
        </w:tc>
      </w:tr>
      <w:tr w:rsidR="00191E88" w:rsidRPr="005D60B9" w:rsidTr="00191E88">
        <w:tc>
          <w:tcPr>
            <w:tcW w:w="1573" w:type="dxa"/>
          </w:tcPr>
          <w:p w:rsidR="00191E88" w:rsidRPr="005D60B9" w:rsidRDefault="00191E88" w:rsidP="00CD3E56">
            <w:pPr>
              <w:jc w:val="left"/>
              <w:rPr>
                <w:rFonts w:cs="Arial"/>
              </w:rPr>
            </w:pPr>
            <w:r w:rsidRPr="005D60B9">
              <w:rPr>
                <w:rFonts w:cs="Arial"/>
              </w:rPr>
              <w:t>Ad. 42</w:t>
            </w:r>
          </w:p>
        </w:tc>
        <w:tc>
          <w:tcPr>
            <w:tcW w:w="8350" w:type="dxa"/>
          </w:tcPr>
          <w:p w:rsidR="00191E88" w:rsidRPr="005D60B9" w:rsidRDefault="00191E88" w:rsidP="00CD3E56">
            <w:pPr>
              <w:rPr>
                <w:rFonts w:cs="Arial"/>
              </w:rPr>
            </w:pPr>
            <w:r w:rsidRPr="005D60B9">
              <w:rPr>
                <w:rFonts w:cs="Arial"/>
              </w:rPr>
              <w:t>if possible, to replace photo for note 1</w:t>
            </w:r>
          </w:p>
          <w:p w:rsidR="00191E88" w:rsidRPr="005D60B9" w:rsidRDefault="00191E88" w:rsidP="00CD3E56">
            <w:pPr>
              <w:rPr>
                <w:rFonts w:cs="Arial"/>
                <w:b/>
              </w:rPr>
            </w:pPr>
            <w:r w:rsidRPr="005D60B9">
              <w:rPr>
                <w:rFonts w:cs="Arial"/>
                <w:i/>
              </w:rPr>
              <w:t>provided by Leading Expert</w:t>
            </w:r>
          </w:p>
        </w:tc>
      </w:tr>
    </w:tbl>
    <w:p w:rsidR="00191E88" w:rsidRPr="005D60B9" w:rsidRDefault="00191E88" w:rsidP="00191E88">
      <w:pPr>
        <w:jc w:val="left"/>
        <w:rPr>
          <w:rFonts w:cs="Arial"/>
          <w:u w:val="single"/>
        </w:rPr>
      </w:pPr>
    </w:p>
    <w:p w:rsidR="00B905AD" w:rsidRPr="005D60B9" w:rsidRDefault="00B905AD" w:rsidP="00191E88">
      <w:pPr>
        <w:autoSpaceDE w:val="0"/>
        <w:autoSpaceDN w:val="0"/>
        <w:adjustRightInd w:val="0"/>
        <w:ind w:firstLine="567"/>
        <w:rPr>
          <w:rFonts w:cs="Arial"/>
          <w:u w:val="single"/>
        </w:rPr>
      </w:pPr>
      <w:r w:rsidRPr="005D60B9">
        <w:rPr>
          <w:rFonts w:cs="Arial"/>
        </w:rPr>
        <w:t>(b)</w:t>
      </w:r>
      <w:r w:rsidRPr="005D60B9">
        <w:rPr>
          <w:rFonts w:cs="Arial"/>
        </w:rPr>
        <w:tab/>
        <w:t>Changes proposed by the TC-EDC in March 2016, which are to be included in the document submitted to the TC:</w:t>
      </w:r>
    </w:p>
    <w:p w:rsidR="00B905AD" w:rsidRPr="005D60B9" w:rsidRDefault="00B905AD" w:rsidP="00B905AD">
      <w:pPr>
        <w:jc w:val="left"/>
        <w:rPr>
          <w:rFonts w:cs="Arial"/>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350"/>
      </w:tblGrid>
      <w:tr w:rsidR="00B905AD" w:rsidRPr="005D60B9" w:rsidTr="00B905AD">
        <w:trPr>
          <w:cantSplit/>
        </w:trPr>
        <w:tc>
          <w:tcPr>
            <w:tcW w:w="1573" w:type="dxa"/>
          </w:tcPr>
          <w:p w:rsidR="00B905AD" w:rsidRPr="005D60B9" w:rsidRDefault="00B905AD" w:rsidP="00DA1869">
            <w:pPr>
              <w:jc w:val="left"/>
              <w:rPr>
                <w:rFonts w:cs="Arial"/>
              </w:rPr>
            </w:pPr>
            <w:r w:rsidRPr="005D60B9">
              <w:rPr>
                <w:rFonts w:cs="Arial"/>
              </w:rPr>
              <w:t>1.</w:t>
            </w:r>
          </w:p>
        </w:tc>
        <w:tc>
          <w:tcPr>
            <w:tcW w:w="8350" w:type="dxa"/>
          </w:tcPr>
          <w:p w:rsidR="00B905AD" w:rsidRPr="005D60B9" w:rsidRDefault="00B905AD" w:rsidP="00DA1869">
            <w:pPr>
              <w:rPr>
                <w:rFonts w:cs="Arial"/>
              </w:rPr>
            </w:pPr>
            <w:r w:rsidRPr="005D60B9">
              <w:rPr>
                <w:rFonts w:cs="Arial"/>
              </w:rPr>
              <w:t xml:space="preserve">to read “The characteristics in these Test Guidelines have been developed to distinguish between ornamental varieties.  It may also be used to distinguish herbal types of varieties </w:t>
            </w:r>
            <w:r>
              <w:rPr>
                <w:rFonts w:cs="Arial"/>
              </w:rPr>
              <w:t>although</w:t>
            </w:r>
            <w:r w:rsidRPr="005D60B9">
              <w:rPr>
                <w:rFonts w:cs="Arial"/>
              </w:rPr>
              <w:t xml:space="preserve"> additional characteristics </w:t>
            </w:r>
            <w:r w:rsidRPr="00800112">
              <w:rPr>
                <w:rFonts w:cs="Arial"/>
              </w:rPr>
              <w:t>and</w:t>
            </w:r>
            <w:r w:rsidRPr="005D60B9">
              <w:rPr>
                <w:rFonts w:cs="Arial"/>
              </w:rPr>
              <w:t xml:space="preserve"> states of expression may be needed.”</w:t>
            </w:r>
          </w:p>
        </w:tc>
      </w:tr>
      <w:tr w:rsidR="00B905AD" w:rsidRPr="005D60B9" w:rsidTr="00B905AD">
        <w:trPr>
          <w:cantSplit/>
        </w:trPr>
        <w:tc>
          <w:tcPr>
            <w:tcW w:w="1573" w:type="dxa"/>
          </w:tcPr>
          <w:p w:rsidR="00B905AD" w:rsidRPr="005D60B9" w:rsidRDefault="00B905AD" w:rsidP="00DA1869">
            <w:pPr>
              <w:jc w:val="left"/>
              <w:rPr>
                <w:rFonts w:cs="Arial"/>
              </w:rPr>
            </w:pPr>
            <w:r w:rsidRPr="005D60B9">
              <w:rPr>
                <w:rFonts w:cs="Arial"/>
              </w:rPr>
              <w:t>Char. 18</w:t>
            </w:r>
          </w:p>
        </w:tc>
        <w:tc>
          <w:tcPr>
            <w:tcW w:w="8350" w:type="dxa"/>
          </w:tcPr>
          <w:p w:rsidR="00B905AD" w:rsidRPr="005D60B9" w:rsidRDefault="00B905AD" w:rsidP="00DA1869">
            <w:pPr>
              <w:rPr>
                <w:rFonts w:cs="Arial"/>
              </w:rPr>
            </w:pPr>
            <w:r w:rsidRPr="005D60B9">
              <w:rPr>
                <w:rFonts w:cs="Arial"/>
              </w:rPr>
              <w:t>to add (b)</w:t>
            </w:r>
          </w:p>
        </w:tc>
      </w:tr>
      <w:tr w:rsidR="00B905AD" w:rsidRPr="005D60B9" w:rsidTr="00B905AD">
        <w:trPr>
          <w:cantSplit/>
        </w:trPr>
        <w:tc>
          <w:tcPr>
            <w:tcW w:w="1573" w:type="dxa"/>
          </w:tcPr>
          <w:p w:rsidR="00B905AD" w:rsidRPr="005D60B9" w:rsidRDefault="00B905AD" w:rsidP="00DA1869">
            <w:pPr>
              <w:jc w:val="left"/>
              <w:rPr>
                <w:rFonts w:cs="Arial"/>
              </w:rPr>
            </w:pPr>
            <w:r w:rsidRPr="005D60B9">
              <w:rPr>
                <w:rFonts w:cs="Arial"/>
              </w:rPr>
              <w:t>Chars. 23, 24, 29, 31, 34 to 36, 41</w:t>
            </w:r>
          </w:p>
        </w:tc>
        <w:tc>
          <w:tcPr>
            <w:tcW w:w="8350" w:type="dxa"/>
          </w:tcPr>
          <w:p w:rsidR="005E2139" w:rsidRDefault="00B905AD" w:rsidP="00DA1869">
            <w:pPr>
              <w:rPr>
                <w:rFonts w:cs="Arial"/>
              </w:rPr>
            </w:pPr>
            <w:r w:rsidRPr="005D60B9">
              <w:rPr>
                <w:rFonts w:cs="Arial"/>
              </w:rPr>
              <w:t>To check if MG is appropriate. Should probably be indicated as VG/MS.</w:t>
            </w:r>
          </w:p>
          <w:p w:rsidR="00B905AD" w:rsidRPr="005D60B9" w:rsidRDefault="00B905AD" w:rsidP="00DA1869">
            <w:pPr>
              <w:rPr>
                <w:rFonts w:cs="Arial"/>
              </w:rPr>
            </w:pPr>
            <w:r w:rsidRPr="005D60B9">
              <w:rPr>
                <w:rFonts w:cs="Arial"/>
              </w:rPr>
              <w:t>Leading Expert:  to be indicated as VG/MS</w:t>
            </w:r>
          </w:p>
          <w:p w:rsidR="00B905AD" w:rsidRPr="005D60B9" w:rsidRDefault="00B905AD" w:rsidP="00DA1869">
            <w:pPr>
              <w:rPr>
                <w:rFonts w:cs="Arial"/>
                <w:i/>
              </w:rPr>
            </w:pPr>
            <w:r w:rsidRPr="00B225D1">
              <w:rPr>
                <w:rFonts w:cs="Arial"/>
                <w:i/>
              </w:rPr>
              <w:t>Approval by correspondence by TWO required</w:t>
            </w:r>
          </w:p>
        </w:tc>
      </w:tr>
      <w:tr w:rsidR="00B905AD" w:rsidRPr="005D60B9" w:rsidTr="00B905AD">
        <w:trPr>
          <w:cantSplit/>
        </w:trPr>
        <w:tc>
          <w:tcPr>
            <w:tcW w:w="1573" w:type="dxa"/>
          </w:tcPr>
          <w:p w:rsidR="00B905AD" w:rsidRPr="005D60B9" w:rsidRDefault="00B905AD" w:rsidP="00DA1869">
            <w:pPr>
              <w:jc w:val="left"/>
              <w:rPr>
                <w:rFonts w:cs="Arial"/>
              </w:rPr>
            </w:pPr>
            <w:r w:rsidRPr="005D60B9">
              <w:rPr>
                <w:rFonts w:cs="Arial"/>
              </w:rPr>
              <w:t>Ad. 28</w:t>
            </w:r>
          </w:p>
        </w:tc>
        <w:tc>
          <w:tcPr>
            <w:tcW w:w="8350" w:type="dxa"/>
          </w:tcPr>
          <w:p w:rsidR="00B905AD" w:rsidRPr="005D60B9" w:rsidRDefault="00B905AD" w:rsidP="00DA1869">
            <w:pPr>
              <w:rPr>
                <w:rFonts w:cs="Arial"/>
              </w:rPr>
            </w:pPr>
            <w:r w:rsidRPr="005D60B9">
              <w:rPr>
                <w:rFonts w:cs="Arial"/>
              </w:rPr>
              <w:t xml:space="preserve">to read “Bract persistence should be observed at </w:t>
            </w:r>
            <w:r w:rsidRPr="005D60B9">
              <w:rPr>
                <w:lang w:val="en-AU"/>
              </w:rPr>
              <w:t xml:space="preserve">the stage of flowering when the bract </w:t>
            </w:r>
            <w:r w:rsidRPr="005D60B9">
              <w:rPr>
                <w:strike/>
                <w:lang w:val="en-AU"/>
              </w:rPr>
              <w:t>comes off</w:t>
            </w:r>
            <w:r w:rsidRPr="005D60B9">
              <w:rPr>
                <w:lang w:val="en-AU"/>
              </w:rPr>
              <w:t xml:space="preserve"> </w:t>
            </w:r>
            <w:r w:rsidRPr="005D60B9">
              <w:rPr>
                <w:u w:val="single"/>
                <w:lang w:val="en-AU"/>
              </w:rPr>
              <w:t>detaches from</w:t>
            </w:r>
            <w:r w:rsidRPr="005D60B9">
              <w:rPr>
                <w:lang w:val="en-AU"/>
              </w:rPr>
              <w:t xml:space="preserve"> the inflorescence. …</w:t>
            </w:r>
            <w:r w:rsidRPr="005D60B9">
              <w:rPr>
                <w:rFonts w:cs="Arial"/>
              </w:rPr>
              <w:t>”</w:t>
            </w:r>
          </w:p>
        </w:tc>
      </w:tr>
    </w:tbl>
    <w:p w:rsidR="00B905AD" w:rsidRPr="005D60B9" w:rsidRDefault="00B905AD" w:rsidP="00B905AD">
      <w:pPr>
        <w:jc w:val="left"/>
        <w:rPr>
          <w:rFonts w:cs="Arial"/>
          <w:u w:val="single"/>
        </w:rPr>
      </w:pPr>
    </w:p>
    <w:p w:rsidR="00B905AD" w:rsidRPr="005E2139" w:rsidRDefault="00B905AD" w:rsidP="00B905AD">
      <w:pPr>
        <w:jc w:val="left"/>
        <w:rPr>
          <w:rFonts w:cs="Arial"/>
          <w:u w:val="single"/>
        </w:rPr>
      </w:pPr>
    </w:p>
    <w:p w:rsidR="00B905AD" w:rsidRPr="005E2139" w:rsidRDefault="00B905AD" w:rsidP="00B905AD">
      <w:pPr>
        <w:pStyle w:val="Header"/>
      </w:pPr>
    </w:p>
    <w:p w:rsidR="00D40048" w:rsidRPr="005E2139" w:rsidRDefault="00B905AD" w:rsidP="005E2139">
      <w:pPr>
        <w:pStyle w:val="Default"/>
        <w:jc w:val="right"/>
        <w:rPr>
          <w:sz w:val="20"/>
          <w:szCs w:val="20"/>
        </w:rPr>
      </w:pPr>
      <w:r w:rsidRPr="005E2139">
        <w:rPr>
          <w:snapToGrid w:val="0"/>
          <w:sz w:val="20"/>
          <w:szCs w:val="20"/>
        </w:rPr>
        <w:t>[End of document]</w:t>
      </w:r>
    </w:p>
    <w:sectPr w:rsidR="00D40048" w:rsidRPr="005E2139" w:rsidSect="002C3F5B">
      <w:headerReference w:type="default" r:id="rId11"/>
      <w:pgSz w:w="11907" w:h="16840" w:code="9"/>
      <w:pgMar w:top="510" w:right="1134" w:bottom="567"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12C" w:rsidRDefault="00DE512C" w:rsidP="006655D3">
      <w:r>
        <w:separator/>
      </w:r>
    </w:p>
    <w:p w:rsidR="00DE512C" w:rsidRDefault="00DE512C" w:rsidP="006655D3"/>
    <w:p w:rsidR="00DE512C" w:rsidRDefault="00DE512C" w:rsidP="006655D3"/>
  </w:endnote>
  <w:endnote w:type="continuationSeparator" w:id="0">
    <w:p w:rsidR="00DE512C" w:rsidRDefault="00DE512C" w:rsidP="006655D3">
      <w:r>
        <w:separator/>
      </w:r>
    </w:p>
    <w:p w:rsidR="00DE512C" w:rsidRPr="008065D2" w:rsidRDefault="00DE512C">
      <w:pPr>
        <w:pStyle w:val="Footer"/>
        <w:spacing w:after="60"/>
        <w:rPr>
          <w:sz w:val="18"/>
          <w:lang w:val="fr-FR"/>
        </w:rPr>
      </w:pPr>
      <w:r w:rsidRPr="008065D2">
        <w:rPr>
          <w:sz w:val="18"/>
          <w:lang w:val="fr-FR"/>
        </w:rPr>
        <w:t>[Suite de la note de la page précédente]</w:t>
      </w:r>
    </w:p>
    <w:p w:rsidR="00DE512C" w:rsidRPr="008065D2" w:rsidRDefault="00DE512C" w:rsidP="006655D3">
      <w:pPr>
        <w:rPr>
          <w:lang w:val="fr-FR"/>
        </w:rPr>
      </w:pPr>
    </w:p>
    <w:p w:rsidR="00DE512C" w:rsidRPr="008065D2" w:rsidRDefault="00DE512C" w:rsidP="006655D3">
      <w:pPr>
        <w:rPr>
          <w:lang w:val="fr-FR"/>
        </w:rPr>
      </w:pPr>
    </w:p>
  </w:endnote>
  <w:endnote w:type="continuationNotice" w:id="1">
    <w:p w:rsidR="00DE512C" w:rsidRPr="008065D2" w:rsidRDefault="00DE512C" w:rsidP="006655D3">
      <w:pPr>
        <w:rPr>
          <w:lang w:val="fr-FR"/>
        </w:rPr>
      </w:pPr>
      <w:r w:rsidRPr="008065D2">
        <w:rPr>
          <w:lang w:val="fr-FR"/>
        </w:rPr>
        <w:t>[Suite de la note page suivante]</w:t>
      </w:r>
    </w:p>
    <w:p w:rsidR="00DE512C" w:rsidRPr="008065D2" w:rsidRDefault="00DE512C" w:rsidP="006655D3">
      <w:pPr>
        <w:rPr>
          <w:lang w:val="fr-FR"/>
        </w:rPr>
      </w:pPr>
    </w:p>
    <w:p w:rsidR="00DE512C" w:rsidRPr="008065D2" w:rsidRDefault="00DE512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12C" w:rsidRDefault="00DE512C" w:rsidP="006655D3">
      <w:r>
        <w:separator/>
      </w:r>
    </w:p>
  </w:footnote>
  <w:footnote w:type="continuationSeparator" w:id="0">
    <w:p w:rsidR="00DE512C" w:rsidRDefault="00DE512C" w:rsidP="006655D3">
      <w:r>
        <w:separator/>
      </w:r>
    </w:p>
  </w:footnote>
  <w:footnote w:type="continuationNotice" w:id="1">
    <w:p w:rsidR="00DE512C" w:rsidRPr="00AB530F" w:rsidRDefault="00DE512C"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5AD" w:rsidRPr="00832298" w:rsidRDefault="00B905AD" w:rsidP="00832298">
    <w:pPr>
      <w:pStyle w:val="Header"/>
    </w:pPr>
    <w:r w:rsidRPr="00832298">
      <w:t>T</w:t>
    </w:r>
    <w:r>
      <w:t>WO/48</w:t>
    </w:r>
    <w:r w:rsidRPr="00832298">
      <w:t>/</w:t>
    </w:r>
    <w:r>
      <w:t>24</w:t>
    </w:r>
  </w:p>
  <w:p w:rsidR="00B905AD" w:rsidRPr="00C5280D" w:rsidRDefault="00B905AD" w:rsidP="00EB048E">
    <w:pPr>
      <w:pStyle w:val="Header"/>
    </w:pPr>
    <w:r w:rsidRPr="00C5280D">
      <w:t xml:space="preserve">page </w:t>
    </w:r>
    <w:r w:rsidRPr="00832298">
      <w:fldChar w:fldCharType="begin"/>
    </w:r>
    <w:r w:rsidRPr="00832298">
      <w:instrText xml:space="preserve"> PAGE </w:instrText>
    </w:r>
    <w:r w:rsidRPr="00832298">
      <w:fldChar w:fldCharType="separate"/>
    </w:r>
    <w:r w:rsidR="009A43E2">
      <w:rPr>
        <w:noProof/>
      </w:rPr>
      <w:t>2</w:t>
    </w:r>
    <w:r w:rsidRPr="00832298">
      <w:fldChar w:fldCharType="end"/>
    </w:r>
  </w:p>
  <w:p w:rsidR="00B905AD" w:rsidRPr="00C5280D" w:rsidRDefault="00B905AD"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846" w:rsidRPr="00832298" w:rsidRDefault="006B1726" w:rsidP="00832298">
    <w:pPr>
      <w:pStyle w:val="Header"/>
    </w:pPr>
    <w:r>
      <w:t>TWO/49/23</w:t>
    </w:r>
  </w:p>
  <w:p w:rsidR="00780846" w:rsidRPr="00C5280D" w:rsidRDefault="002C3F5B" w:rsidP="00EB048E">
    <w:pPr>
      <w:pStyle w:val="Header"/>
    </w:pPr>
    <w:r>
      <w:t>Annex</w:t>
    </w:r>
    <w:r w:rsidR="00780846">
      <w:t xml:space="preserve">, </w:t>
    </w:r>
    <w:r w:rsidR="00780846" w:rsidRPr="00C5280D">
      <w:t xml:space="preserve">page </w:t>
    </w:r>
    <w:r w:rsidR="00780846" w:rsidRPr="00832298">
      <w:fldChar w:fldCharType="begin"/>
    </w:r>
    <w:r w:rsidR="00780846" w:rsidRPr="00832298">
      <w:instrText xml:space="preserve"> PAGE </w:instrText>
    </w:r>
    <w:r w:rsidR="00780846" w:rsidRPr="00832298">
      <w:fldChar w:fldCharType="separate"/>
    </w:r>
    <w:r w:rsidR="00201385">
      <w:rPr>
        <w:noProof/>
      </w:rPr>
      <w:t>2</w:t>
    </w:r>
    <w:r w:rsidR="00780846" w:rsidRPr="00832298">
      <w:fldChar w:fldCharType="end"/>
    </w:r>
  </w:p>
  <w:p w:rsidR="00780846" w:rsidRPr="00C5280D" w:rsidRDefault="0078084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11">
    <w:nsid w:val="26152A2F"/>
    <w:multiLevelType w:val="singleLevel"/>
    <w:tmpl w:val="04090019"/>
    <w:lvl w:ilvl="0">
      <w:start w:val="1"/>
      <w:numFmt w:val="lowerLetter"/>
      <w:lvlText w:val="(%1)"/>
      <w:lvlJc w:val="left"/>
      <w:pPr>
        <w:tabs>
          <w:tab w:val="num" w:pos="360"/>
        </w:tabs>
        <w:ind w:left="360" w:hanging="360"/>
      </w:pPr>
    </w:lvl>
  </w:abstractNum>
  <w:abstractNum w:abstractNumId="12">
    <w:nsid w:val="2C4933B5"/>
    <w:multiLevelType w:val="hybridMultilevel"/>
    <w:tmpl w:val="D63A03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D3D47C0"/>
    <w:multiLevelType w:val="hybridMultilevel"/>
    <w:tmpl w:val="A8C8AD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34A4B92"/>
    <w:multiLevelType w:val="singleLevel"/>
    <w:tmpl w:val="72EC4BDA"/>
    <w:lvl w:ilvl="0">
      <w:start w:val="1"/>
      <w:numFmt w:val="decimal"/>
      <w:lvlText w:val="%1."/>
      <w:lvlJc w:val="left"/>
      <w:pPr>
        <w:tabs>
          <w:tab w:val="num" w:pos="360"/>
        </w:tabs>
        <w:ind w:left="360" w:hanging="360"/>
      </w:pPr>
      <w:rPr>
        <w:i w:val="0"/>
      </w:rPr>
    </w:lvl>
  </w:abstractNum>
  <w:abstractNum w:abstractNumId="15">
    <w:nsid w:val="359373E2"/>
    <w:multiLevelType w:val="hybridMultilevel"/>
    <w:tmpl w:val="16865A44"/>
    <w:lvl w:ilvl="0" w:tplc="C4B6094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9981043"/>
    <w:multiLevelType w:val="hybridMultilevel"/>
    <w:tmpl w:val="03DC5120"/>
    <w:lvl w:ilvl="0" w:tplc="F13E91C0">
      <w:start w:val="1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7">
    <w:nsid w:val="5A041B62"/>
    <w:multiLevelType w:val="hybridMultilevel"/>
    <w:tmpl w:val="BA5A9C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5C90D86"/>
    <w:multiLevelType w:val="hybridMultilevel"/>
    <w:tmpl w:val="262EF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7D7B03"/>
    <w:multiLevelType w:val="hybridMultilevel"/>
    <w:tmpl w:val="E2544EB4"/>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5A0361"/>
    <w:multiLevelType w:val="hybridMultilevel"/>
    <w:tmpl w:val="B3346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1"/>
  </w:num>
  <w:num w:numId="14">
    <w:abstractNumId w:val="16"/>
  </w:num>
  <w:num w:numId="15">
    <w:abstractNumId w:val="15"/>
  </w:num>
  <w:num w:numId="16">
    <w:abstractNumId w:val="18"/>
  </w:num>
  <w:num w:numId="17">
    <w:abstractNumId w:val="19"/>
  </w:num>
  <w:num w:numId="18">
    <w:abstractNumId w:val="12"/>
  </w:num>
  <w:num w:numId="19">
    <w:abstractNumId w:val="13"/>
  </w:num>
  <w:num w:numId="20">
    <w:abstractNumId w:val="2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A48"/>
    <w:rsid w:val="00010261"/>
    <w:rsid w:val="00010CF3"/>
    <w:rsid w:val="00011E27"/>
    <w:rsid w:val="000148BC"/>
    <w:rsid w:val="00016F6B"/>
    <w:rsid w:val="00024AB8"/>
    <w:rsid w:val="00030854"/>
    <w:rsid w:val="00031CEA"/>
    <w:rsid w:val="00036028"/>
    <w:rsid w:val="000374FC"/>
    <w:rsid w:val="00044642"/>
    <w:rsid w:val="000446B9"/>
    <w:rsid w:val="00047E21"/>
    <w:rsid w:val="00085505"/>
    <w:rsid w:val="000866FE"/>
    <w:rsid w:val="000A5B57"/>
    <w:rsid w:val="000A7585"/>
    <w:rsid w:val="000B2FAF"/>
    <w:rsid w:val="000C7021"/>
    <w:rsid w:val="000D6BBC"/>
    <w:rsid w:val="000D7780"/>
    <w:rsid w:val="000E1D87"/>
    <w:rsid w:val="000E2337"/>
    <w:rsid w:val="000E3F16"/>
    <w:rsid w:val="000E40EE"/>
    <w:rsid w:val="001023F7"/>
    <w:rsid w:val="001057FF"/>
    <w:rsid w:val="00105895"/>
    <w:rsid w:val="00105929"/>
    <w:rsid w:val="001131D5"/>
    <w:rsid w:val="001322D2"/>
    <w:rsid w:val="00141DB8"/>
    <w:rsid w:val="001675E8"/>
    <w:rsid w:val="0017474A"/>
    <w:rsid w:val="001758C6"/>
    <w:rsid w:val="00181E09"/>
    <w:rsid w:val="00182B99"/>
    <w:rsid w:val="00184803"/>
    <w:rsid w:val="00186067"/>
    <w:rsid w:val="0018780B"/>
    <w:rsid w:val="00191E88"/>
    <w:rsid w:val="001C28B7"/>
    <w:rsid w:val="00201385"/>
    <w:rsid w:val="0021332C"/>
    <w:rsid w:val="00213982"/>
    <w:rsid w:val="00214154"/>
    <w:rsid w:val="0024416D"/>
    <w:rsid w:val="002552F5"/>
    <w:rsid w:val="00271365"/>
    <w:rsid w:val="00274880"/>
    <w:rsid w:val="002800A0"/>
    <w:rsid w:val="002801B3"/>
    <w:rsid w:val="00281060"/>
    <w:rsid w:val="002940E8"/>
    <w:rsid w:val="002A08B1"/>
    <w:rsid w:val="002A6E50"/>
    <w:rsid w:val="002C256A"/>
    <w:rsid w:val="002C3F5B"/>
    <w:rsid w:val="002E1320"/>
    <w:rsid w:val="002E74DB"/>
    <w:rsid w:val="00305A7F"/>
    <w:rsid w:val="00313EE7"/>
    <w:rsid w:val="003152FE"/>
    <w:rsid w:val="00323E5C"/>
    <w:rsid w:val="00324C37"/>
    <w:rsid w:val="00327436"/>
    <w:rsid w:val="00344BD6"/>
    <w:rsid w:val="0034685A"/>
    <w:rsid w:val="0035528D"/>
    <w:rsid w:val="00356710"/>
    <w:rsid w:val="00361821"/>
    <w:rsid w:val="003701BC"/>
    <w:rsid w:val="003951E9"/>
    <w:rsid w:val="003B3894"/>
    <w:rsid w:val="003C7197"/>
    <w:rsid w:val="003D227C"/>
    <w:rsid w:val="003D22FE"/>
    <w:rsid w:val="003D2B4D"/>
    <w:rsid w:val="0041216D"/>
    <w:rsid w:val="0042112F"/>
    <w:rsid w:val="00434467"/>
    <w:rsid w:val="00444A88"/>
    <w:rsid w:val="0045316A"/>
    <w:rsid w:val="00466FA7"/>
    <w:rsid w:val="00474DA4"/>
    <w:rsid w:val="00476B4D"/>
    <w:rsid w:val="004805FA"/>
    <w:rsid w:val="00490EE7"/>
    <w:rsid w:val="00492017"/>
    <w:rsid w:val="004932AC"/>
    <w:rsid w:val="004B1163"/>
    <w:rsid w:val="004B3A12"/>
    <w:rsid w:val="004D047D"/>
    <w:rsid w:val="004F305A"/>
    <w:rsid w:val="004F5252"/>
    <w:rsid w:val="004F536F"/>
    <w:rsid w:val="004F6253"/>
    <w:rsid w:val="00512164"/>
    <w:rsid w:val="00514284"/>
    <w:rsid w:val="00520297"/>
    <w:rsid w:val="00521151"/>
    <w:rsid w:val="005338F9"/>
    <w:rsid w:val="00541FEE"/>
    <w:rsid w:val="0054281C"/>
    <w:rsid w:val="0055268D"/>
    <w:rsid w:val="00576BE4"/>
    <w:rsid w:val="0057736E"/>
    <w:rsid w:val="005A3C91"/>
    <w:rsid w:val="005A400A"/>
    <w:rsid w:val="005B09D0"/>
    <w:rsid w:val="005B2104"/>
    <w:rsid w:val="005C4292"/>
    <w:rsid w:val="005E2139"/>
    <w:rsid w:val="005F052F"/>
    <w:rsid w:val="00612379"/>
    <w:rsid w:val="0061555F"/>
    <w:rsid w:val="00627677"/>
    <w:rsid w:val="00641200"/>
    <w:rsid w:val="006506FC"/>
    <w:rsid w:val="006655D3"/>
    <w:rsid w:val="00667404"/>
    <w:rsid w:val="00685222"/>
    <w:rsid w:val="00687EB4"/>
    <w:rsid w:val="006B1726"/>
    <w:rsid w:val="006B17D2"/>
    <w:rsid w:val="006C224E"/>
    <w:rsid w:val="006C50B3"/>
    <w:rsid w:val="006D2EB8"/>
    <w:rsid w:val="006D39DF"/>
    <w:rsid w:val="006D780A"/>
    <w:rsid w:val="006E1436"/>
    <w:rsid w:val="006F0C34"/>
    <w:rsid w:val="0071237A"/>
    <w:rsid w:val="007167AE"/>
    <w:rsid w:val="00732DEC"/>
    <w:rsid w:val="00735BD5"/>
    <w:rsid w:val="007556F6"/>
    <w:rsid w:val="00760EEF"/>
    <w:rsid w:val="00777EE5"/>
    <w:rsid w:val="00780846"/>
    <w:rsid w:val="00784836"/>
    <w:rsid w:val="00787E77"/>
    <w:rsid w:val="0079023E"/>
    <w:rsid w:val="007A23E6"/>
    <w:rsid w:val="007A2854"/>
    <w:rsid w:val="007B5573"/>
    <w:rsid w:val="007C26ED"/>
    <w:rsid w:val="007D0B9D"/>
    <w:rsid w:val="007D19B0"/>
    <w:rsid w:val="007F498F"/>
    <w:rsid w:val="00804683"/>
    <w:rsid w:val="008065D2"/>
    <w:rsid w:val="0080679D"/>
    <w:rsid w:val="00807713"/>
    <w:rsid w:val="008108B0"/>
    <w:rsid w:val="00811B20"/>
    <w:rsid w:val="008138C8"/>
    <w:rsid w:val="0082296E"/>
    <w:rsid w:val="0082372D"/>
    <w:rsid w:val="00824099"/>
    <w:rsid w:val="00832298"/>
    <w:rsid w:val="0085155E"/>
    <w:rsid w:val="00867AC1"/>
    <w:rsid w:val="00876C58"/>
    <w:rsid w:val="00880D12"/>
    <w:rsid w:val="008A743F"/>
    <w:rsid w:val="008C0970"/>
    <w:rsid w:val="008C70A9"/>
    <w:rsid w:val="008C7C0B"/>
    <w:rsid w:val="008D2CF7"/>
    <w:rsid w:val="008E036E"/>
    <w:rsid w:val="008E7D54"/>
    <w:rsid w:val="00900C26"/>
    <w:rsid w:val="0090197F"/>
    <w:rsid w:val="00902C3C"/>
    <w:rsid w:val="00903656"/>
    <w:rsid w:val="00906DDC"/>
    <w:rsid w:val="0092496E"/>
    <w:rsid w:val="00934E09"/>
    <w:rsid w:val="00936253"/>
    <w:rsid w:val="00952691"/>
    <w:rsid w:val="00952DD4"/>
    <w:rsid w:val="0095417D"/>
    <w:rsid w:val="00970FED"/>
    <w:rsid w:val="00972AE0"/>
    <w:rsid w:val="00985F23"/>
    <w:rsid w:val="00993C15"/>
    <w:rsid w:val="00997029"/>
    <w:rsid w:val="009A43E2"/>
    <w:rsid w:val="009A65FC"/>
    <w:rsid w:val="009C0A7F"/>
    <w:rsid w:val="009D023D"/>
    <w:rsid w:val="009D0C06"/>
    <w:rsid w:val="009D41F0"/>
    <w:rsid w:val="009D690D"/>
    <w:rsid w:val="009E65B6"/>
    <w:rsid w:val="00A24C10"/>
    <w:rsid w:val="00A3491E"/>
    <w:rsid w:val="00A42AC3"/>
    <w:rsid w:val="00A430CF"/>
    <w:rsid w:val="00A436DA"/>
    <w:rsid w:val="00A4478A"/>
    <w:rsid w:val="00A4583D"/>
    <w:rsid w:val="00A54309"/>
    <w:rsid w:val="00A771DE"/>
    <w:rsid w:val="00AB2B93"/>
    <w:rsid w:val="00AB465E"/>
    <w:rsid w:val="00AB530F"/>
    <w:rsid w:val="00AB7E5B"/>
    <w:rsid w:val="00AC319A"/>
    <w:rsid w:val="00AE0EF1"/>
    <w:rsid w:val="00AE2937"/>
    <w:rsid w:val="00AE65DF"/>
    <w:rsid w:val="00AF06A4"/>
    <w:rsid w:val="00AF2F0E"/>
    <w:rsid w:val="00B07301"/>
    <w:rsid w:val="00B10CF2"/>
    <w:rsid w:val="00B224DE"/>
    <w:rsid w:val="00B36FAB"/>
    <w:rsid w:val="00B44D78"/>
    <w:rsid w:val="00B46575"/>
    <w:rsid w:val="00B71144"/>
    <w:rsid w:val="00B7349A"/>
    <w:rsid w:val="00B84BBD"/>
    <w:rsid w:val="00B905AD"/>
    <w:rsid w:val="00B948DF"/>
    <w:rsid w:val="00BA33ED"/>
    <w:rsid w:val="00BA43FB"/>
    <w:rsid w:val="00BB0967"/>
    <w:rsid w:val="00BC01B3"/>
    <w:rsid w:val="00BC127D"/>
    <w:rsid w:val="00BC1FE6"/>
    <w:rsid w:val="00BC40A0"/>
    <w:rsid w:val="00BD3A48"/>
    <w:rsid w:val="00BE41ED"/>
    <w:rsid w:val="00BF5613"/>
    <w:rsid w:val="00C00576"/>
    <w:rsid w:val="00C061B6"/>
    <w:rsid w:val="00C2446C"/>
    <w:rsid w:val="00C36AE5"/>
    <w:rsid w:val="00C41F17"/>
    <w:rsid w:val="00C5280D"/>
    <w:rsid w:val="00C5791C"/>
    <w:rsid w:val="00C66290"/>
    <w:rsid w:val="00C71914"/>
    <w:rsid w:val="00C72B7A"/>
    <w:rsid w:val="00C973F2"/>
    <w:rsid w:val="00CA0AA9"/>
    <w:rsid w:val="00CA304C"/>
    <w:rsid w:val="00CA774A"/>
    <w:rsid w:val="00CB4D64"/>
    <w:rsid w:val="00CC000B"/>
    <w:rsid w:val="00CC11B0"/>
    <w:rsid w:val="00CE1930"/>
    <w:rsid w:val="00CF7E36"/>
    <w:rsid w:val="00D02F55"/>
    <w:rsid w:val="00D033FE"/>
    <w:rsid w:val="00D131C1"/>
    <w:rsid w:val="00D16652"/>
    <w:rsid w:val="00D33FA9"/>
    <w:rsid w:val="00D3650A"/>
    <w:rsid w:val="00D3708D"/>
    <w:rsid w:val="00D40048"/>
    <w:rsid w:val="00D40426"/>
    <w:rsid w:val="00D4260B"/>
    <w:rsid w:val="00D51A2D"/>
    <w:rsid w:val="00D57C96"/>
    <w:rsid w:val="00D7083C"/>
    <w:rsid w:val="00D81017"/>
    <w:rsid w:val="00D91203"/>
    <w:rsid w:val="00D95174"/>
    <w:rsid w:val="00D95650"/>
    <w:rsid w:val="00DA6F36"/>
    <w:rsid w:val="00DB596E"/>
    <w:rsid w:val="00DB7773"/>
    <w:rsid w:val="00DC00EA"/>
    <w:rsid w:val="00DD62B2"/>
    <w:rsid w:val="00DE512C"/>
    <w:rsid w:val="00DF474C"/>
    <w:rsid w:val="00E252A5"/>
    <w:rsid w:val="00E26855"/>
    <w:rsid w:val="00E32F7E"/>
    <w:rsid w:val="00E51D46"/>
    <w:rsid w:val="00E6478C"/>
    <w:rsid w:val="00E704B9"/>
    <w:rsid w:val="00E72D49"/>
    <w:rsid w:val="00E744B6"/>
    <w:rsid w:val="00E7593C"/>
    <w:rsid w:val="00E7678A"/>
    <w:rsid w:val="00E81A28"/>
    <w:rsid w:val="00E935F1"/>
    <w:rsid w:val="00E94A81"/>
    <w:rsid w:val="00EA1FFB"/>
    <w:rsid w:val="00EB048E"/>
    <w:rsid w:val="00EC5BE4"/>
    <w:rsid w:val="00EE34DF"/>
    <w:rsid w:val="00EF19ED"/>
    <w:rsid w:val="00EF2F89"/>
    <w:rsid w:val="00F02091"/>
    <w:rsid w:val="00F1237A"/>
    <w:rsid w:val="00F22CBD"/>
    <w:rsid w:val="00F45372"/>
    <w:rsid w:val="00F560F7"/>
    <w:rsid w:val="00F6334D"/>
    <w:rsid w:val="00F8178C"/>
    <w:rsid w:val="00F958D9"/>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indentpara">
    <w:name w:val="indentpara"/>
    <w:basedOn w:val="Normal"/>
    <w:rsid w:val="00BD3A48"/>
    <w:pPr>
      <w:numPr>
        <w:numId w:val="11"/>
      </w:numPr>
    </w:pPr>
    <w:rPr>
      <w:rFonts w:ascii="Times New Roman" w:hAnsi="Times New Roman"/>
      <w:sz w:val="24"/>
    </w:rPr>
  </w:style>
  <w:style w:type="paragraph" w:styleId="ListParagraph">
    <w:name w:val="List Paragraph"/>
    <w:basedOn w:val="Normal"/>
    <w:uiPriority w:val="34"/>
    <w:qFormat/>
    <w:rsid w:val="00BD3A48"/>
    <w:pPr>
      <w:ind w:left="720"/>
      <w:contextualSpacing/>
    </w:pPr>
    <w:rPr>
      <w:rFonts w:eastAsia="MS Mincho"/>
    </w:rPr>
  </w:style>
  <w:style w:type="paragraph" w:customStyle="1" w:styleId="Default">
    <w:name w:val="Default"/>
    <w:rsid w:val="0042112F"/>
    <w:pPr>
      <w:autoSpaceDE w:val="0"/>
      <w:autoSpaceDN w:val="0"/>
      <w:adjustRightInd w:val="0"/>
    </w:pPr>
    <w:rPr>
      <w:rFonts w:ascii="Arial" w:hAnsi="Arial" w:cs="Arial"/>
      <w:color w:val="000000"/>
      <w:sz w:val="24"/>
      <w:szCs w:val="24"/>
    </w:rPr>
  </w:style>
  <w:style w:type="paragraph" w:customStyle="1" w:styleId="Normalt">
    <w:name w:val="Normalt"/>
    <w:basedOn w:val="Normal"/>
    <w:rsid w:val="00D02F55"/>
    <w:pPr>
      <w:spacing w:before="80" w:after="80"/>
      <w:jc w:val="left"/>
    </w:pPr>
    <w:rPr>
      <w:sz w:val="16"/>
    </w:rPr>
  </w:style>
  <w:style w:type="paragraph" w:customStyle="1" w:styleId="Normaltb">
    <w:name w:val="Normaltb"/>
    <w:basedOn w:val="Normalt"/>
    <w:rsid w:val="00D02F55"/>
    <w:pPr>
      <w:keepNext/>
    </w:pPr>
    <w:rPr>
      <w:b/>
      <w:bCs/>
    </w:rPr>
  </w:style>
  <w:style w:type="table" w:styleId="TableGrid">
    <w:name w:val="Table Grid"/>
    <w:basedOn w:val="TableNormal"/>
    <w:rsid w:val="000E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1726"/>
    <w:pPr>
      <w:spacing w:before="100" w:beforeAutospacing="1" w:after="100" w:afterAutospacing="1"/>
      <w:jc w:val="left"/>
    </w:pPr>
    <w:rPr>
      <w:rFonts w:ascii="Times New Roman" w:eastAsiaTheme="minorHAnsi" w:hAnsi="Times New Roman"/>
      <w:sz w:val="24"/>
      <w:szCs w:val="24"/>
    </w:rPr>
  </w:style>
  <w:style w:type="character" w:customStyle="1" w:styleId="BodyTextChar">
    <w:name w:val="Body Text Char"/>
    <w:link w:val="BodyText"/>
    <w:locked/>
    <w:rsid w:val="00B905AD"/>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indentpara">
    <w:name w:val="indentpara"/>
    <w:basedOn w:val="Normal"/>
    <w:rsid w:val="00BD3A48"/>
    <w:pPr>
      <w:numPr>
        <w:numId w:val="11"/>
      </w:numPr>
    </w:pPr>
    <w:rPr>
      <w:rFonts w:ascii="Times New Roman" w:hAnsi="Times New Roman"/>
      <w:sz w:val="24"/>
    </w:rPr>
  </w:style>
  <w:style w:type="paragraph" w:styleId="ListParagraph">
    <w:name w:val="List Paragraph"/>
    <w:basedOn w:val="Normal"/>
    <w:uiPriority w:val="34"/>
    <w:qFormat/>
    <w:rsid w:val="00BD3A48"/>
    <w:pPr>
      <w:ind w:left="720"/>
      <w:contextualSpacing/>
    </w:pPr>
    <w:rPr>
      <w:rFonts w:eastAsia="MS Mincho"/>
    </w:rPr>
  </w:style>
  <w:style w:type="paragraph" w:customStyle="1" w:styleId="Default">
    <w:name w:val="Default"/>
    <w:rsid w:val="0042112F"/>
    <w:pPr>
      <w:autoSpaceDE w:val="0"/>
      <w:autoSpaceDN w:val="0"/>
      <w:adjustRightInd w:val="0"/>
    </w:pPr>
    <w:rPr>
      <w:rFonts w:ascii="Arial" w:hAnsi="Arial" w:cs="Arial"/>
      <w:color w:val="000000"/>
      <w:sz w:val="24"/>
      <w:szCs w:val="24"/>
    </w:rPr>
  </w:style>
  <w:style w:type="paragraph" w:customStyle="1" w:styleId="Normalt">
    <w:name w:val="Normalt"/>
    <w:basedOn w:val="Normal"/>
    <w:rsid w:val="00D02F55"/>
    <w:pPr>
      <w:spacing w:before="80" w:after="80"/>
      <w:jc w:val="left"/>
    </w:pPr>
    <w:rPr>
      <w:sz w:val="16"/>
    </w:rPr>
  </w:style>
  <w:style w:type="paragraph" w:customStyle="1" w:styleId="Normaltb">
    <w:name w:val="Normaltb"/>
    <w:basedOn w:val="Normalt"/>
    <w:rsid w:val="00D02F55"/>
    <w:pPr>
      <w:keepNext/>
    </w:pPr>
    <w:rPr>
      <w:b/>
      <w:bCs/>
    </w:rPr>
  </w:style>
  <w:style w:type="table" w:styleId="TableGrid">
    <w:name w:val="Table Grid"/>
    <w:basedOn w:val="TableNormal"/>
    <w:rsid w:val="000E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1726"/>
    <w:pPr>
      <w:spacing w:before="100" w:beforeAutospacing="1" w:after="100" w:afterAutospacing="1"/>
      <w:jc w:val="left"/>
    </w:pPr>
    <w:rPr>
      <w:rFonts w:ascii="Times New Roman" w:eastAsiaTheme="minorHAnsi" w:hAnsi="Times New Roman"/>
      <w:sz w:val="24"/>
      <w:szCs w:val="24"/>
    </w:rPr>
  </w:style>
  <w:style w:type="character" w:customStyle="1" w:styleId="BodyTextChar">
    <w:name w:val="Body Text Char"/>
    <w:link w:val="BodyText"/>
    <w:locked/>
    <w:rsid w:val="00B905A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517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8\template\two_4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46ABA-4EF1-45FB-ADE5-6427BDC74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two_48.dotx</Template>
  <TotalTime>9</TotalTime>
  <Pages>3</Pages>
  <Words>939</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BESSE Ariane</cp:lastModifiedBy>
  <cp:revision>6</cp:revision>
  <cp:lastPrinted>2016-06-08T07:02:00Z</cp:lastPrinted>
  <dcterms:created xsi:type="dcterms:W3CDTF">2016-06-07T16:08:00Z</dcterms:created>
  <dcterms:modified xsi:type="dcterms:W3CDTF">2016-06-09T06:27:00Z</dcterms:modified>
</cp:coreProperties>
</file>