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8526DC" w:rsidRPr="00C5280D" w:rsidTr="00EC681D">
        <w:trPr>
          <w:trHeight w:val="1760"/>
        </w:trPr>
        <w:tc>
          <w:tcPr>
            <w:tcW w:w="4243" w:type="dxa"/>
          </w:tcPr>
          <w:p w:rsidR="008526DC" w:rsidRPr="00C5280D" w:rsidRDefault="008526DC" w:rsidP="005000EB">
            <w:bookmarkStart w:id="0" w:name="TitleOfDoc"/>
            <w:bookmarkStart w:id="1" w:name="_GoBack"/>
            <w:bookmarkEnd w:id="0"/>
            <w:bookmarkEnd w:id="1"/>
          </w:p>
        </w:tc>
        <w:tc>
          <w:tcPr>
            <w:tcW w:w="1646" w:type="dxa"/>
            <w:vAlign w:val="center"/>
          </w:tcPr>
          <w:p w:rsidR="008526DC" w:rsidRPr="00C5280D" w:rsidRDefault="00DC0C5E" w:rsidP="005000EB">
            <w:pPr>
              <w:pStyle w:val="LogoUPOV"/>
            </w:pPr>
            <w:r w:rsidRPr="0079538F">
              <w:rPr>
                <w:noProof/>
              </w:rPr>
              <w:drawing>
                <wp:inline distT="0" distB="0" distL="0" distR="0" wp14:anchorId="4A2D7746" wp14:editId="4D459484">
                  <wp:extent cx="981710" cy="481330"/>
                  <wp:effectExtent l="0" t="0" r="8890" b="0"/>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8526DC" w:rsidRPr="00A76CDD" w:rsidRDefault="008526DC" w:rsidP="005000EB">
            <w:pPr>
              <w:pStyle w:val="Lettrine"/>
            </w:pPr>
            <w:r w:rsidRPr="00A76CDD">
              <w:t>E</w:t>
            </w:r>
          </w:p>
          <w:p w:rsidR="008526DC" w:rsidRPr="00A76CDD" w:rsidRDefault="008526DC" w:rsidP="005000EB">
            <w:pPr>
              <w:pStyle w:val="Docoriginal"/>
            </w:pPr>
            <w:r w:rsidRPr="00A76CDD">
              <w:t>T</w:t>
            </w:r>
            <w:r w:rsidR="00074E3C" w:rsidRPr="00A76CDD">
              <w:t>WO</w:t>
            </w:r>
            <w:r w:rsidRPr="00A76CDD">
              <w:t>/</w:t>
            </w:r>
            <w:r w:rsidRPr="00A76CDD">
              <w:rPr>
                <w:lang w:eastAsia="ja-JP"/>
              </w:rPr>
              <w:t>4</w:t>
            </w:r>
            <w:r w:rsidR="00074E3C" w:rsidRPr="00A76CDD">
              <w:rPr>
                <w:lang w:eastAsia="ja-JP"/>
              </w:rPr>
              <w:t>9</w:t>
            </w:r>
            <w:r w:rsidRPr="00A76CDD">
              <w:t>/</w:t>
            </w:r>
            <w:bookmarkStart w:id="2" w:name="Code"/>
            <w:bookmarkEnd w:id="2"/>
            <w:r w:rsidRPr="00A76CDD">
              <w:t>13</w:t>
            </w:r>
          </w:p>
          <w:p w:rsidR="008526DC" w:rsidRPr="00A76CDD" w:rsidRDefault="008526DC" w:rsidP="005000EB">
            <w:pPr>
              <w:pStyle w:val="Docoriginal"/>
              <w:rPr>
                <w:b w:val="0"/>
                <w:spacing w:val="0"/>
              </w:rPr>
            </w:pPr>
            <w:r w:rsidRPr="00A76CDD">
              <w:rPr>
                <w:rStyle w:val="StyleDoclangBold"/>
                <w:b/>
                <w:bCs/>
                <w:spacing w:val="0"/>
              </w:rPr>
              <w:t>ORIGINAL:</w:t>
            </w:r>
            <w:r w:rsidRPr="00A76CDD">
              <w:rPr>
                <w:rStyle w:val="StyleDocoriginalNotBold1"/>
                <w:spacing w:val="0"/>
              </w:rPr>
              <w:t xml:space="preserve"> </w:t>
            </w:r>
            <w:r w:rsidRPr="00A76CDD">
              <w:rPr>
                <w:spacing w:val="0"/>
              </w:rPr>
              <w:t xml:space="preserve"> </w:t>
            </w:r>
            <w:bookmarkStart w:id="3" w:name="Original"/>
            <w:bookmarkEnd w:id="3"/>
            <w:r w:rsidRPr="00A76CDD">
              <w:rPr>
                <w:b w:val="0"/>
                <w:spacing w:val="0"/>
              </w:rPr>
              <w:t>English</w:t>
            </w:r>
          </w:p>
          <w:p w:rsidR="008526DC" w:rsidRPr="00A76CDD" w:rsidRDefault="008526DC" w:rsidP="00074E3C">
            <w:pPr>
              <w:pStyle w:val="Docoriginal"/>
              <w:rPr>
                <w:lang w:eastAsia="ja-JP"/>
              </w:rPr>
            </w:pPr>
            <w:r w:rsidRPr="00A76CDD">
              <w:rPr>
                <w:spacing w:val="0"/>
              </w:rPr>
              <w:t xml:space="preserve">DATE: </w:t>
            </w:r>
            <w:r w:rsidRPr="00A76CDD">
              <w:rPr>
                <w:rStyle w:val="StyleDocoriginalNotBold1"/>
                <w:spacing w:val="0"/>
              </w:rPr>
              <w:t xml:space="preserve"> </w:t>
            </w:r>
            <w:bookmarkStart w:id="4" w:name="Date"/>
            <w:bookmarkEnd w:id="4"/>
            <w:r w:rsidR="00DC0C5E" w:rsidRPr="00A76CDD">
              <w:rPr>
                <w:b w:val="0"/>
                <w:spacing w:val="0"/>
              </w:rPr>
              <w:t>May</w:t>
            </w:r>
            <w:r w:rsidRPr="00A76CDD">
              <w:rPr>
                <w:b w:val="0"/>
                <w:spacing w:val="0"/>
              </w:rPr>
              <w:t xml:space="preserve"> </w:t>
            </w:r>
            <w:r w:rsidR="00A76CDD" w:rsidRPr="00A76CDD">
              <w:rPr>
                <w:b w:val="0"/>
                <w:spacing w:val="0"/>
              </w:rPr>
              <w:t>16</w:t>
            </w:r>
            <w:r w:rsidRPr="00A76CDD">
              <w:rPr>
                <w:b w:val="0"/>
                <w:spacing w:val="0"/>
              </w:rPr>
              <w:t>, 2016</w:t>
            </w:r>
          </w:p>
        </w:tc>
      </w:tr>
      <w:tr w:rsidR="008526DC" w:rsidRPr="00C5280D" w:rsidTr="00EC681D">
        <w:tc>
          <w:tcPr>
            <w:tcW w:w="10131" w:type="dxa"/>
            <w:gridSpan w:val="3"/>
          </w:tcPr>
          <w:p w:rsidR="008526DC" w:rsidRPr="00C5280D" w:rsidRDefault="008526DC" w:rsidP="005000EB">
            <w:pPr>
              <w:pStyle w:val="upove"/>
              <w:rPr>
                <w:sz w:val="28"/>
              </w:rPr>
            </w:pPr>
            <w:r w:rsidRPr="00C5280D">
              <w:rPr>
                <w:snapToGrid w:val="0"/>
              </w:rPr>
              <w:t xml:space="preserve">INTERNATIONAL </w:t>
            </w:r>
            <w:smartTag w:uri="urn:schemas-microsoft-com:office:smarttags" w:element="place">
              <w:r w:rsidRPr="00C5280D">
                <w:rPr>
                  <w:snapToGrid w:val="0"/>
                </w:rPr>
                <w:t>UNION</w:t>
              </w:r>
            </w:smartTag>
            <w:r w:rsidRPr="00C5280D">
              <w:rPr>
                <w:snapToGrid w:val="0"/>
              </w:rPr>
              <w:t xml:space="preserve"> FOR THE PROTECTION OF NEW VARIETIES OF PLANTS </w:t>
            </w:r>
          </w:p>
        </w:tc>
      </w:tr>
      <w:tr w:rsidR="008526DC" w:rsidRPr="00C5280D" w:rsidTr="00EC681D">
        <w:tc>
          <w:tcPr>
            <w:tcW w:w="10131" w:type="dxa"/>
            <w:gridSpan w:val="3"/>
          </w:tcPr>
          <w:p w:rsidR="008526DC" w:rsidRPr="00C5280D" w:rsidRDefault="008526DC" w:rsidP="005000EB">
            <w:pPr>
              <w:pStyle w:val="Country"/>
            </w:pPr>
            <w:smartTag w:uri="urn:schemas-microsoft-com:office:smarttags" w:element="City">
              <w:smartTag w:uri="urn:schemas-microsoft-com:office:smarttags" w:element="place">
                <w:r w:rsidRPr="00C5280D">
                  <w:t>Geneva</w:t>
                </w:r>
              </w:smartTag>
            </w:smartTag>
          </w:p>
        </w:tc>
      </w:tr>
    </w:tbl>
    <w:p w:rsidR="008526DC" w:rsidRPr="00C5280D" w:rsidRDefault="00EC681D" w:rsidP="008526DC">
      <w:pPr>
        <w:pStyle w:val="Sessiontc"/>
      </w:pPr>
      <w:r w:rsidRPr="00C5280D">
        <w:t xml:space="preserve">Technical </w:t>
      </w:r>
      <w:r>
        <w:t>working party for ORNAMENTAL PLANTS AND FOREST TREES</w:t>
      </w:r>
    </w:p>
    <w:p w:rsidR="008526DC" w:rsidRDefault="00EC681D" w:rsidP="008526DC">
      <w:pPr>
        <w:pStyle w:val="Sessiontcplacedate"/>
        <w:rPr>
          <w:lang w:eastAsia="ja-JP"/>
        </w:rPr>
      </w:pPr>
      <w:r>
        <w:t>Forty-N</w:t>
      </w:r>
      <w:r w:rsidR="00074E3C">
        <w:t xml:space="preserve">inth </w:t>
      </w:r>
      <w:r w:rsidR="00074E3C" w:rsidRPr="00C5280D">
        <w:t>Session</w:t>
      </w:r>
      <w:r w:rsidR="008526DC">
        <w:t xml:space="preserve"> </w:t>
      </w:r>
      <w:r w:rsidR="008526DC">
        <w:br/>
      </w:r>
      <w:r w:rsidR="00074E3C">
        <w:t>Gimcheon City</w:t>
      </w:r>
      <w:r w:rsidR="00074E3C" w:rsidRPr="00C5280D">
        <w:t>,</w:t>
      </w:r>
      <w:r w:rsidR="00074E3C">
        <w:t xml:space="preserve"> Republic of Korea, June 13 to 17, 2016</w:t>
      </w:r>
    </w:p>
    <w:p w:rsidR="00BF4661" w:rsidRPr="00C5280D" w:rsidRDefault="00BF4661" w:rsidP="00BF4661">
      <w:pPr>
        <w:pStyle w:val="Titleofdoc0"/>
      </w:pPr>
      <w:r w:rsidRPr="00BA47C9">
        <w:t>Revision of document TGP/10:</w:t>
      </w:r>
      <w:r>
        <w:t xml:space="preserve"> </w:t>
      </w:r>
      <w:r w:rsidRPr="00BA47C9">
        <w:t xml:space="preserve"> New section: </w:t>
      </w:r>
      <w:r>
        <w:t xml:space="preserve"> </w:t>
      </w:r>
      <w:r w:rsidRPr="00BA47C9">
        <w:t>As</w:t>
      </w:r>
      <w:r>
        <w:t>sessing Uniformity by Off-Types</w:t>
      </w:r>
      <w:r>
        <w:br/>
      </w:r>
      <w:r w:rsidRPr="00BA47C9">
        <w:t xml:space="preserve">on </w:t>
      </w:r>
      <w:r w:rsidR="00C91251">
        <w:t xml:space="preserve">the </w:t>
      </w:r>
      <w:r w:rsidRPr="00BA47C9">
        <w:t xml:space="preserve">Basis of More than One </w:t>
      </w:r>
      <w:r>
        <w:t>growing cycle</w:t>
      </w:r>
      <w:r w:rsidRPr="00BA47C9">
        <w:t xml:space="preserve"> or </w:t>
      </w:r>
      <w:r>
        <w:t xml:space="preserve">on the basis of </w:t>
      </w:r>
      <w:r w:rsidRPr="00BA47C9">
        <w:t>Sub-Samples</w:t>
      </w:r>
    </w:p>
    <w:p w:rsidR="00050E16" w:rsidRPr="00C5280D" w:rsidRDefault="00AE0EF1" w:rsidP="00050E16">
      <w:pPr>
        <w:pStyle w:val="preparedby1"/>
      </w:pPr>
      <w:bookmarkStart w:id="5" w:name="Prepared"/>
      <w:bookmarkEnd w:id="5"/>
      <w:r w:rsidRPr="00BF4661">
        <w:t>Document</w:t>
      </w:r>
      <w:r w:rsidRPr="00C5280D">
        <w:t xml:space="preserve"> </w:t>
      </w:r>
      <w:r w:rsidR="0061555F" w:rsidRPr="00C5280D">
        <w:t>prepared by the Office of the Union</w:t>
      </w:r>
      <w:r w:rsidR="00050E16">
        <w:br/>
      </w:r>
      <w:r w:rsidR="00050E16">
        <w:br/>
      </w:r>
      <w:r w:rsidR="00050E16">
        <w:rPr>
          <w:color w:val="A6A6A6" w:themeColor="background1" w:themeShade="A6"/>
        </w:rPr>
        <w:t>Disclaimer:  this document does not represent UPOV policies or guidance</w:t>
      </w:r>
    </w:p>
    <w:p w:rsidR="00BF4661" w:rsidRDefault="00BF4661" w:rsidP="00BF4661">
      <w:pPr>
        <w:autoSpaceDE w:val="0"/>
        <w:autoSpaceDN w:val="0"/>
        <w:adjustRightInd w:val="0"/>
        <w:rPr>
          <w:szCs w:val="24"/>
        </w:rPr>
      </w:pPr>
      <w:r>
        <w:rPr>
          <w:szCs w:val="24"/>
        </w:rPr>
        <w:t>EXECUTIVE SUMMARY</w:t>
      </w:r>
    </w:p>
    <w:p w:rsidR="00BF4661" w:rsidRDefault="00BF4661" w:rsidP="00BF4661">
      <w:pPr>
        <w:autoSpaceDE w:val="0"/>
        <w:autoSpaceDN w:val="0"/>
        <w:adjustRightInd w:val="0"/>
        <w:rPr>
          <w:szCs w:val="24"/>
        </w:rPr>
      </w:pPr>
    </w:p>
    <w:p w:rsidR="00BF4661" w:rsidRPr="00ED3415" w:rsidRDefault="00BF4661" w:rsidP="00BF4661">
      <w:pPr>
        <w:autoSpaceDE w:val="0"/>
        <w:autoSpaceDN w:val="0"/>
        <w:adjustRightInd w:val="0"/>
        <w:rPr>
          <w:rFonts w:eastAsia="MS Mincho"/>
          <w:color w:val="000000"/>
          <w:szCs w:val="24"/>
          <w:lang w:eastAsia="ja-JP"/>
        </w:rPr>
      </w:pPr>
      <w:r w:rsidRPr="005D7A1E">
        <w:rPr>
          <w:szCs w:val="24"/>
        </w:rPr>
        <w:fldChar w:fldCharType="begin"/>
      </w:r>
      <w:r w:rsidRPr="005D7A1E">
        <w:rPr>
          <w:szCs w:val="24"/>
        </w:rPr>
        <w:instrText xml:space="preserve"> AUTONUM  </w:instrText>
      </w:r>
      <w:r w:rsidRPr="005D7A1E">
        <w:rPr>
          <w:szCs w:val="24"/>
        </w:rPr>
        <w:fldChar w:fldCharType="end"/>
      </w:r>
      <w:r w:rsidRPr="005D7A1E">
        <w:rPr>
          <w:szCs w:val="24"/>
        </w:rPr>
        <w:tab/>
      </w:r>
      <w:r w:rsidRPr="005D7A1E">
        <w:rPr>
          <w:rFonts w:eastAsia="MS Mincho"/>
          <w:color w:val="000000"/>
          <w:szCs w:val="24"/>
          <w:lang w:eastAsia="ja-JP"/>
        </w:rPr>
        <w:t xml:space="preserve">The purpose of this document is to present a proposal for revision of document TGP/10 </w:t>
      </w:r>
      <w:r w:rsidRPr="00C46A16">
        <w:rPr>
          <w:rFonts w:eastAsia="MS Mincho"/>
          <w:color w:val="000000"/>
          <w:szCs w:val="24"/>
          <w:lang w:eastAsia="ja-JP"/>
        </w:rPr>
        <w:t>“Examining uniformity” to provide guidance on assessing uniformity by off-types on the basis of more than one growing cycle or on the basis of sub-samples.</w:t>
      </w:r>
      <w:r>
        <w:rPr>
          <w:rFonts w:eastAsia="MS Mincho"/>
          <w:color w:val="000000"/>
          <w:szCs w:val="24"/>
          <w:lang w:eastAsia="ja-JP"/>
        </w:rPr>
        <w:t xml:space="preserve"> </w:t>
      </w:r>
      <w:r w:rsidRPr="00ED3415">
        <w:rPr>
          <w:rFonts w:eastAsia="MS Mincho"/>
          <w:color w:val="000000"/>
          <w:szCs w:val="24"/>
          <w:lang w:eastAsia="ja-JP"/>
        </w:rPr>
        <w:t xml:space="preserve"> </w:t>
      </w:r>
    </w:p>
    <w:p w:rsidR="00BF4661" w:rsidRDefault="00BF4661" w:rsidP="00BF4661">
      <w:pPr>
        <w:autoSpaceDE w:val="0"/>
        <w:autoSpaceDN w:val="0"/>
        <w:adjustRightInd w:val="0"/>
        <w:rPr>
          <w:rFonts w:eastAsia="MS Mincho"/>
          <w:color w:val="000000"/>
          <w:szCs w:val="24"/>
          <w:lang w:eastAsia="ja-JP"/>
        </w:rPr>
      </w:pPr>
    </w:p>
    <w:p w:rsidR="00021088" w:rsidRPr="00424BCA" w:rsidRDefault="00021088" w:rsidP="00021088">
      <w:pPr>
        <w:pStyle w:val="DecisionParagraphs"/>
        <w:tabs>
          <w:tab w:val="clear" w:pos="5387"/>
          <w:tab w:val="left" w:pos="567"/>
        </w:tabs>
        <w:ind w:left="0"/>
        <w:rPr>
          <w:i w:val="0"/>
        </w:rPr>
      </w:pPr>
      <w:r w:rsidRPr="00424BCA">
        <w:rPr>
          <w:i w:val="0"/>
        </w:rPr>
        <w:fldChar w:fldCharType="begin"/>
      </w:r>
      <w:r w:rsidRPr="00424BCA">
        <w:rPr>
          <w:i w:val="0"/>
        </w:rPr>
        <w:instrText xml:space="preserve"> AUTONUM  </w:instrText>
      </w:r>
      <w:r w:rsidRPr="00424BCA">
        <w:rPr>
          <w:i w:val="0"/>
        </w:rPr>
        <w:fldChar w:fldCharType="end"/>
      </w:r>
      <w:r w:rsidRPr="00424BCA">
        <w:rPr>
          <w:i w:val="0"/>
        </w:rPr>
        <w:tab/>
        <w:t>The TW</w:t>
      </w:r>
      <w:r w:rsidR="00EC681D">
        <w:rPr>
          <w:i w:val="0"/>
        </w:rPr>
        <w:t>O</w:t>
      </w:r>
      <w:r w:rsidRPr="00424BCA">
        <w:rPr>
          <w:i w:val="0"/>
        </w:rPr>
        <w:t xml:space="preserve"> is invited to: </w:t>
      </w:r>
    </w:p>
    <w:p w:rsidR="00021088" w:rsidRPr="00424BCA" w:rsidRDefault="00021088" w:rsidP="00021088">
      <w:pPr>
        <w:pStyle w:val="DecisionParagraphs"/>
        <w:keepLines/>
        <w:tabs>
          <w:tab w:val="clear" w:pos="5387"/>
          <w:tab w:val="left" w:pos="5954"/>
        </w:tabs>
        <w:ind w:left="0" w:firstLine="567"/>
        <w:rPr>
          <w:i w:val="0"/>
        </w:rPr>
      </w:pPr>
    </w:p>
    <w:p w:rsidR="00D26237" w:rsidRPr="00D26237" w:rsidRDefault="00D26237" w:rsidP="00D26237">
      <w:pPr>
        <w:pStyle w:val="DecisionParagraphs"/>
        <w:keepLines/>
        <w:tabs>
          <w:tab w:val="clear" w:pos="5387"/>
          <w:tab w:val="left" w:pos="1134"/>
          <w:tab w:val="left" w:pos="5954"/>
        </w:tabs>
        <w:ind w:left="0" w:firstLine="567"/>
        <w:rPr>
          <w:i w:val="0"/>
        </w:rPr>
      </w:pPr>
      <w:r w:rsidRPr="00D26237">
        <w:rPr>
          <w:i w:val="0"/>
        </w:rPr>
        <w:t>(a)</w:t>
      </w:r>
      <w:r w:rsidRPr="00D26237">
        <w:rPr>
          <w:i w:val="0"/>
        </w:rPr>
        <w:tab/>
        <w:t>note that the TWA agreed to request a video link with the experts from the TWC to discuss the new proposed “Approach 3: Combining the results of two growing cycles” at its forty-fifth session, to be held in 2016; and</w:t>
      </w:r>
    </w:p>
    <w:p w:rsidR="00D26237" w:rsidRPr="00D26237" w:rsidRDefault="00D26237" w:rsidP="00D26237">
      <w:pPr>
        <w:pStyle w:val="DecisionParagraphs"/>
        <w:tabs>
          <w:tab w:val="clear" w:pos="5387"/>
          <w:tab w:val="left" w:pos="1134"/>
          <w:tab w:val="left" w:pos="5954"/>
        </w:tabs>
        <w:ind w:left="0" w:firstLine="567"/>
        <w:rPr>
          <w:i w:val="0"/>
        </w:rPr>
      </w:pPr>
    </w:p>
    <w:p w:rsidR="00D26237" w:rsidRPr="00D26237" w:rsidRDefault="00D26237" w:rsidP="00D26237">
      <w:pPr>
        <w:pStyle w:val="DecisionParagraphs"/>
        <w:keepLines/>
        <w:tabs>
          <w:tab w:val="clear" w:pos="5387"/>
          <w:tab w:val="left" w:pos="1134"/>
          <w:tab w:val="left" w:pos="5954"/>
        </w:tabs>
        <w:ind w:left="0" w:firstLine="567"/>
        <w:rPr>
          <w:i w:val="0"/>
        </w:rPr>
      </w:pPr>
      <w:r w:rsidRPr="00D26237">
        <w:rPr>
          <w:i w:val="0"/>
        </w:rPr>
        <w:t>(b)</w:t>
      </w:r>
      <w:r w:rsidRPr="00D26237">
        <w:rPr>
          <w:i w:val="0"/>
        </w:rPr>
        <w:tab/>
        <w:t>consider the draft guidance as presented in Annexes I and II for inclusion in a future revision of document TGP/10.</w:t>
      </w:r>
    </w:p>
    <w:p w:rsidR="00C10BB3" w:rsidRDefault="00C10BB3" w:rsidP="00C10BB3">
      <w:pPr>
        <w:tabs>
          <w:tab w:val="left" w:pos="1701"/>
        </w:tabs>
        <w:autoSpaceDE w:val="0"/>
        <w:autoSpaceDN w:val="0"/>
        <w:adjustRightInd w:val="0"/>
        <w:ind w:left="1276" w:hanging="1276"/>
        <w:jc w:val="left"/>
        <w:rPr>
          <w:rFonts w:eastAsia="MS Mincho"/>
          <w:color w:val="000000"/>
          <w:szCs w:val="24"/>
          <w:lang w:eastAsia="ja-JP"/>
        </w:rPr>
      </w:pPr>
    </w:p>
    <w:p w:rsidR="008454A6" w:rsidRDefault="008454A6" w:rsidP="00BF4661">
      <w:pPr>
        <w:autoSpaceDE w:val="0"/>
        <w:autoSpaceDN w:val="0"/>
        <w:adjustRightInd w:val="0"/>
        <w:rPr>
          <w:rFonts w:eastAsia="MS Mincho"/>
          <w:color w:val="000000"/>
          <w:szCs w:val="24"/>
          <w:lang w:eastAsia="ja-JP"/>
        </w:rPr>
      </w:pPr>
      <w:r>
        <w:rPr>
          <w:rFonts w:eastAsia="MS Mincho"/>
          <w:color w:val="000000"/>
          <w:szCs w:val="24"/>
          <w:lang w:eastAsia="ja-JP"/>
        </w:rPr>
        <w:fldChar w:fldCharType="begin"/>
      </w:r>
      <w:r>
        <w:rPr>
          <w:rFonts w:eastAsia="MS Mincho"/>
          <w:color w:val="000000"/>
          <w:szCs w:val="24"/>
          <w:lang w:eastAsia="ja-JP"/>
        </w:rPr>
        <w:instrText xml:space="preserve"> AUTONUM  </w:instrText>
      </w:r>
      <w:r>
        <w:rPr>
          <w:rFonts w:eastAsia="MS Mincho"/>
          <w:color w:val="000000"/>
          <w:szCs w:val="24"/>
          <w:lang w:eastAsia="ja-JP"/>
        </w:rPr>
        <w:fldChar w:fldCharType="end"/>
      </w:r>
      <w:r>
        <w:rPr>
          <w:rFonts w:eastAsia="MS Mincho"/>
          <w:color w:val="000000"/>
          <w:szCs w:val="24"/>
          <w:lang w:eastAsia="ja-JP"/>
        </w:rPr>
        <w:tab/>
      </w:r>
      <w:r w:rsidR="00BF4661">
        <w:rPr>
          <w:rFonts w:eastAsia="MS Mincho"/>
          <w:color w:val="000000"/>
          <w:szCs w:val="24"/>
          <w:lang w:eastAsia="ja-JP"/>
        </w:rPr>
        <w:t>The structure of this document is as follows:</w:t>
      </w:r>
    </w:p>
    <w:p w:rsidR="00485551" w:rsidRDefault="00BF4661">
      <w:pPr>
        <w:pStyle w:val="TOC1"/>
        <w:rPr>
          <w:rFonts w:asciiTheme="minorHAnsi" w:eastAsiaTheme="minorEastAsia" w:hAnsiTheme="minorHAnsi" w:cstheme="minorBidi"/>
          <w:caps w:val="0"/>
          <w:noProof/>
          <w:sz w:val="22"/>
          <w:szCs w:val="22"/>
        </w:rPr>
      </w:pPr>
      <w:r>
        <w:rPr>
          <w:noProof/>
          <w:snapToGrid w:val="0"/>
        </w:rPr>
        <w:fldChar w:fldCharType="begin"/>
      </w:r>
      <w:r>
        <w:rPr>
          <w:snapToGrid w:val="0"/>
        </w:rPr>
        <w:instrText xml:space="preserve"> TOC \o "1-3" \h \z \u </w:instrText>
      </w:r>
      <w:r>
        <w:rPr>
          <w:noProof/>
          <w:snapToGrid w:val="0"/>
        </w:rPr>
        <w:fldChar w:fldCharType="separate"/>
      </w:r>
      <w:hyperlink w:anchor="_Toc449715850" w:history="1">
        <w:r w:rsidR="00485551" w:rsidRPr="004B64E9">
          <w:rPr>
            <w:rStyle w:val="Hyperlink"/>
            <w:noProof/>
          </w:rPr>
          <w:t>DEVELOPMENTS IN 2015</w:t>
        </w:r>
        <w:r w:rsidR="00485551">
          <w:rPr>
            <w:noProof/>
            <w:webHidden/>
          </w:rPr>
          <w:tab/>
        </w:r>
        <w:r w:rsidR="00485551">
          <w:rPr>
            <w:noProof/>
            <w:webHidden/>
          </w:rPr>
          <w:fldChar w:fldCharType="begin"/>
        </w:r>
        <w:r w:rsidR="00485551">
          <w:rPr>
            <w:noProof/>
            <w:webHidden/>
          </w:rPr>
          <w:instrText xml:space="preserve"> PAGEREF _Toc449715850 \h </w:instrText>
        </w:r>
        <w:r w:rsidR="00485551">
          <w:rPr>
            <w:noProof/>
            <w:webHidden/>
          </w:rPr>
        </w:r>
        <w:r w:rsidR="00485551">
          <w:rPr>
            <w:noProof/>
            <w:webHidden/>
          </w:rPr>
          <w:fldChar w:fldCharType="separate"/>
        </w:r>
        <w:r w:rsidR="00A76CDD">
          <w:rPr>
            <w:noProof/>
            <w:webHidden/>
          </w:rPr>
          <w:t>2</w:t>
        </w:r>
        <w:r w:rsidR="00485551">
          <w:rPr>
            <w:noProof/>
            <w:webHidden/>
          </w:rPr>
          <w:fldChar w:fldCharType="end"/>
        </w:r>
      </w:hyperlink>
    </w:p>
    <w:p w:rsidR="00485551" w:rsidRDefault="00A76CDD">
      <w:pPr>
        <w:pStyle w:val="TOC2"/>
        <w:rPr>
          <w:rFonts w:asciiTheme="minorHAnsi" w:eastAsiaTheme="minorEastAsia" w:hAnsiTheme="minorHAnsi" w:cstheme="minorBidi"/>
          <w:smallCaps w:val="0"/>
          <w:noProof/>
          <w:sz w:val="22"/>
          <w:szCs w:val="22"/>
        </w:rPr>
      </w:pPr>
      <w:hyperlink w:anchor="_Toc449715851" w:history="1">
        <w:r w:rsidR="00485551" w:rsidRPr="004B64E9">
          <w:rPr>
            <w:rStyle w:val="Hyperlink"/>
            <w:noProof/>
            <w:snapToGrid w:val="0"/>
          </w:rPr>
          <w:t>Technical Working Parties</w:t>
        </w:r>
        <w:r w:rsidR="00485551">
          <w:rPr>
            <w:noProof/>
            <w:webHidden/>
          </w:rPr>
          <w:tab/>
        </w:r>
        <w:r w:rsidR="00485551">
          <w:rPr>
            <w:noProof/>
            <w:webHidden/>
          </w:rPr>
          <w:fldChar w:fldCharType="begin"/>
        </w:r>
        <w:r w:rsidR="00485551">
          <w:rPr>
            <w:noProof/>
            <w:webHidden/>
          </w:rPr>
          <w:instrText xml:space="preserve"> PAGEREF _Toc449715851 \h </w:instrText>
        </w:r>
        <w:r w:rsidR="00485551">
          <w:rPr>
            <w:noProof/>
            <w:webHidden/>
          </w:rPr>
        </w:r>
        <w:r w:rsidR="00485551">
          <w:rPr>
            <w:noProof/>
            <w:webHidden/>
          </w:rPr>
          <w:fldChar w:fldCharType="separate"/>
        </w:r>
        <w:r>
          <w:rPr>
            <w:noProof/>
            <w:webHidden/>
          </w:rPr>
          <w:t>2</w:t>
        </w:r>
        <w:r w:rsidR="00485551">
          <w:rPr>
            <w:noProof/>
            <w:webHidden/>
          </w:rPr>
          <w:fldChar w:fldCharType="end"/>
        </w:r>
      </w:hyperlink>
    </w:p>
    <w:p w:rsidR="00485551" w:rsidRDefault="00A76CDD">
      <w:pPr>
        <w:pStyle w:val="TOC3"/>
        <w:rPr>
          <w:rFonts w:asciiTheme="minorHAnsi" w:eastAsiaTheme="minorEastAsia" w:hAnsiTheme="minorHAnsi" w:cstheme="minorBidi"/>
          <w:sz w:val="22"/>
          <w:szCs w:val="22"/>
          <w:lang w:val="en-US"/>
        </w:rPr>
      </w:pPr>
      <w:hyperlink w:anchor="_Toc449715852" w:history="1">
        <w:r w:rsidR="00485551" w:rsidRPr="004B64E9">
          <w:rPr>
            <w:rStyle w:val="Hyperlink"/>
            <w:snapToGrid w:val="0"/>
          </w:rPr>
          <w:t>Technical Working Party for Vegetables</w:t>
        </w:r>
        <w:r w:rsidR="00485551">
          <w:rPr>
            <w:webHidden/>
          </w:rPr>
          <w:tab/>
        </w:r>
        <w:r w:rsidR="00485551">
          <w:rPr>
            <w:webHidden/>
          </w:rPr>
          <w:fldChar w:fldCharType="begin"/>
        </w:r>
        <w:r w:rsidR="00485551">
          <w:rPr>
            <w:webHidden/>
          </w:rPr>
          <w:instrText xml:space="preserve"> PAGEREF _Toc449715852 \h </w:instrText>
        </w:r>
        <w:r w:rsidR="00485551">
          <w:rPr>
            <w:webHidden/>
          </w:rPr>
        </w:r>
        <w:r w:rsidR="00485551">
          <w:rPr>
            <w:webHidden/>
          </w:rPr>
          <w:fldChar w:fldCharType="separate"/>
        </w:r>
        <w:r>
          <w:rPr>
            <w:webHidden/>
          </w:rPr>
          <w:t>2</w:t>
        </w:r>
        <w:r w:rsidR="00485551">
          <w:rPr>
            <w:webHidden/>
          </w:rPr>
          <w:fldChar w:fldCharType="end"/>
        </w:r>
      </w:hyperlink>
    </w:p>
    <w:p w:rsidR="00485551" w:rsidRDefault="00A76CDD">
      <w:pPr>
        <w:pStyle w:val="TOC3"/>
        <w:rPr>
          <w:rFonts w:asciiTheme="minorHAnsi" w:eastAsiaTheme="minorEastAsia" w:hAnsiTheme="minorHAnsi" w:cstheme="minorBidi"/>
          <w:sz w:val="22"/>
          <w:szCs w:val="22"/>
          <w:lang w:val="en-US"/>
        </w:rPr>
      </w:pPr>
      <w:hyperlink w:anchor="_Toc449715853" w:history="1">
        <w:r w:rsidR="00485551" w:rsidRPr="004B64E9">
          <w:rPr>
            <w:rStyle w:val="Hyperlink"/>
            <w:rFonts w:eastAsia="PMingLiU"/>
          </w:rPr>
          <w:t>Technical Working Party on Automation and Computer Programs</w:t>
        </w:r>
        <w:r w:rsidR="00485551">
          <w:rPr>
            <w:webHidden/>
          </w:rPr>
          <w:tab/>
        </w:r>
        <w:r w:rsidR="00485551">
          <w:rPr>
            <w:webHidden/>
          </w:rPr>
          <w:fldChar w:fldCharType="begin"/>
        </w:r>
        <w:r w:rsidR="00485551">
          <w:rPr>
            <w:webHidden/>
          </w:rPr>
          <w:instrText xml:space="preserve"> PAGEREF _Toc449715853 \h </w:instrText>
        </w:r>
        <w:r w:rsidR="00485551">
          <w:rPr>
            <w:webHidden/>
          </w:rPr>
        </w:r>
        <w:r w:rsidR="00485551">
          <w:rPr>
            <w:webHidden/>
          </w:rPr>
          <w:fldChar w:fldCharType="separate"/>
        </w:r>
        <w:r>
          <w:rPr>
            <w:webHidden/>
          </w:rPr>
          <w:t>2</w:t>
        </w:r>
        <w:r w:rsidR="00485551">
          <w:rPr>
            <w:webHidden/>
          </w:rPr>
          <w:fldChar w:fldCharType="end"/>
        </w:r>
      </w:hyperlink>
    </w:p>
    <w:p w:rsidR="00485551" w:rsidRDefault="00A76CDD">
      <w:pPr>
        <w:pStyle w:val="TOC3"/>
        <w:rPr>
          <w:rFonts w:asciiTheme="minorHAnsi" w:eastAsiaTheme="minorEastAsia" w:hAnsiTheme="minorHAnsi" w:cstheme="minorBidi"/>
          <w:sz w:val="22"/>
          <w:szCs w:val="22"/>
          <w:lang w:val="en-US"/>
        </w:rPr>
      </w:pPr>
      <w:hyperlink w:anchor="_Toc449715854" w:history="1">
        <w:r w:rsidR="00485551" w:rsidRPr="004B64E9">
          <w:rPr>
            <w:rStyle w:val="Hyperlink"/>
          </w:rPr>
          <w:t>Technical Working Party for Agricultural Crops</w:t>
        </w:r>
        <w:r w:rsidR="00485551">
          <w:rPr>
            <w:webHidden/>
          </w:rPr>
          <w:tab/>
        </w:r>
        <w:r w:rsidR="00485551">
          <w:rPr>
            <w:webHidden/>
          </w:rPr>
          <w:fldChar w:fldCharType="begin"/>
        </w:r>
        <w:r w:rsidR="00485551">
          <w:rPr>
            <w:webHidden/>
          </w:rPr>
          <w:instrText xml:space="preserve"> PAGEREF _Toc449715854 \h </w:instrText>
        </w:r>
        <w:r w:rsidR="00485551">
          <w:rPr>
            <w:webHidden/>
          </w:rPr>
        </w:r>
        <w:r w:rsidR="00485551">
          <w:rPr>
            <w:webHidden/>
          </w:rPr>
          <w:fldChar w:fldCharType="separate"/>
        </w:r>
        <w:r>
          <w:rPr>
            <w:webHidden/>
          </w:rPr>
          <w:t>3</w:t>
        </w:r>
        <w:r w:rsidR="00485551">
          <w:rPr>
            <w:webHidden/>
          </w:rPr>
          <w:fldChar w:fldCharType="end"/>
        </w:r>
      </w:hyperlink>
    </w:p>
    <w:p w:rsidR="00485551" w:rsidRDefault="00A76CDD">
      <w:pPr>
        <w:pStyle w:val="TOC3"/>
        <w:rPr>
          <w:rFonts w:asciiTheme="minorHAnsi" w:eastAsiaTheme="minorEastAsia" w:hAnsiTheme="minorHAnsi" w:cstheme="minorBidi"/>
          <w:sz w:val="22"/>
          <w:szCs w:val="22"/>
          <w:lang w:val="en-US"/>
        </w:rPr>
      </w:pPr>
      <w:hyperlink w:anchor="_Toc449715855" w:history="1">
        <w:r w:rsidR="00485551" w:rsidRPr="004B64E9">
          <w:rPr>
            <w:rStyle w:val="Hyperlink"/>
          </w:rPr>
          <w:t>Technical Working Party for Fruit Crops</w:t>
        </w:r>
        <w:r w:rsidR="00485551">
          <w:rPr>
            <w:webHidden/>
          </w:rPr>
          <w:tab/>
        </w:r>
        <w:r w:rsidR="00485551">
          <w:rPr>
            <w:webHidden/>
          </w:rPr>
          <w:fldChar w:fldCharType="begin"/>
        </w:r>
        <w:r w:rsidR="00485551">
          <w:rPr>
            <w:webHidden/>
          </w:rPr>
          <w:instrText xml:space="preserve"> PAGEREF _Toc449715855 \h </w:instrText>
        </w:r>
        <w:r w:rsidR="00485551">
          <w:rPr>
            <w:webHidden/>
          </w:rPr>
        </w:r>
        <w:r w:rsidR="00485551">
          <w:rPr>
            <w:webHidden/>
          </w:rPr>
          <w:fldChar w:fldCharType="separate"/>
        </w:r>
        <w:r>
          <w:rPr>
            <w:webHidden/>
          </w:rPr>
          <w:t>3</w:t>
        </w:r>
        <w:r w:rsidR="00485551">
          <w:rPr>
            <w:webHidden/>
          </w:rPr>
          <w:fldChar w:fldCharType="end"/>
        </w:r>
      </w:hyperlink>
    </w:p>
    <w:p w:rsidR="00485551" w:rsidRDefault="00A76CDD">
      <w:pPr>
        <w:pStyle w:val="TOC3"/>
        <w:rPr>
          <w:rFonts w:asciiTheme="minorHAnsi" w:eastAsiaTheme="minorEastAsia" w:hAnsiTheme="minorHAnsi" w:cstheme="minorBidi"/>
          <w:sz w:val="22"/>
          <w:szCs w:val="22"/>
          <w:lang w:val="en-US"/>
        </w:rPr>
      </w:pPr>
      <w:hyperlink w:anchor="_Toc449715856" w:history="1">
        <w:r w:rsidR="00485551" w:rsidRPr="004B64E9">
          <w:rPr>
            <w:rStyle w:val="Hyperlink"/>
          </w:rPr>
          <w:t>Technical Working Party on Ornamental Plants</w:t>
        </w:r>
        <w:r w:rsidR="00485551">
          <w:rPr>
            <w:webHidden/>
          </w:rPr>
          <w:tab/>
        </w:r>
        <w:r w:rsidR="00485551">
          <w:rPr>
            <w:webHidden/>
          </w:rPr>
          <w:fldChar w:fldCharType="begin"/>
        </w:r>
        <w:r w:rsidR="00485551">
          <w:rPr>
            <w:webHidden/>
          </w:rPr>
          <w:instrText xml:space="preserve"> PAGEREF _Toc449715856 \h </w:instrText>
        </w:r>
        <w:r w:rsidR="00485551">
          <w:rPr>
            <w:webHidden/>
          </w:rPr>
        </w:r>
        <w:r w:rsidR="00485551">
          <w:rPr>
            <w:webHidden/>
          </w:rPr>
          <w:fldChar w:fldCharType="separate"/>
        </w:r>
        <w:r>
          <w:rPr>
            <w:webHidden/>
          </w:rPr>
          <w:t>3</w:t>
        </w:r>
        <w:r w:rsidR="00485551">
          <w:rPr>
            <w:webHidden/>
          </w:rPr>
          <w:fldChar w:fldCharType="end"/>
        </w:r>
      </w:hyperlink>
    </w:p>
    <w:p w:rsidR="00485551" w:rsidRDefault="00A76CDD">
      <w:pPr>
        <w:pStyle w:val="TOC1"/>
        <w:rPr>
          <w:rFonts w:asciiTheme="minorHAnsi" w:eastAsiaTheme="minorEastAsia" w:hAnsiTheme="minorHAnsi" w:cstheme="minorBidi"/>
          <w:caps w:val="0"/>
          <w:noProof/>
          <w:sz w:val="22"/>
          <w:szCs w:val="22"/>
        </w:rPr>
      </w:pPr>
      <w:hyperlink w:anchor="_Toc449715857" w:history="1">
        <w:r w:rsidR="00485551" w:rsidRPr="004B64E9">
          <w:rPr>
            <w:rStyle w:val="Hyperlink"/>
            <w:noProof/>
          </w:rPr>
          <w:t>DEVELOPMENTS IN 2016</w:t>
        </w:r>
        <w:r w:rsidR="00485551">
          <w:rPr>
            <w:noProof/>
            <w:webHidden/>
          </w:rPr>
          <w:tab/>
        </w:r>
        <w:r w:rsidR="00485551">
          <w:rPr>
            <w:noProof/>
            <w:webHidden/>
          </w:rPr>
          <w:fldChar w:fldCharType="begin"/>
        </w:r>
        <w:r w:rsidR="00485551">
          <w:rPr>
            <w:noProof/>
            <w:webHidden/>
          </w:rPr>
          <w:instrText xml:space="preserve"> PAGEREF _Toc449715857 \h </w:instrText>
        </w:r>
        <w:r w:rsidR="00485551">
          <w:rPr>
            <w:noProof/>
            <w:webHidden/>
          </w:rPr>
        </w:r>
        <w:r w:rsidR="00485551">
          <w:rPr>
            <w:noProof/>
            <w:webHidden/>
          </w:rPr>
          <w:fldChar w:fldCharType="separate"/>
        </w:r>
        <w:r>
          <w:rPr>
            <w:noProof/>
            <w:webHidden/>
          </w:rPr>
          <w:t>4</w:t>
        </w:r>
        <w:r w:rsidR="00485551">
          <w:rPr>
            <w:noProof/>
            <w:webHidden/>
          </w:rPr>
          <w:fldChar w:fldCharType="end"/>
        </w:r>
      </w:hyperlink>
    </w:p>
    <w:p w:rsidR="00485551" w:rsidRDefault="00A76CDD">
      <w:pPr>
        <w:pStyle w:val="TOC2"/>
        <w:rPr>
          <w:rFonts w:asciiTheme="minorHAnsi" w:eastAsiaTheme="minorEastAsia" w:hAnsiTheme="minorHAnsi" w:cstheme="minorBidi"/>
          <w:smallCaps w:val="0"/>
          <w:noProof/>
          <w:sz w:val="22"/>
          <w:szCs w:val="22"/>
        </w:rPr>
      </w:pPr>
      <w:hyperlink w:anchor="_Toc449715858" w:history="1">
        <w:r w:rsidR="00485551" w:rsidRPr="004B64E9">
          <w:rPr>
            <w:rStyle w:val="Hyperlink"/>
            <w:noProof/>
          </w:rPr>
          <w:t>Technical Committee</w:t>
        </w:r>
        <w:r w:rsidR="00485551">
          <w:rPr>
            <w:noProof/>
            <w:webHidden/>
          </w:rPr>
          <w:tab/>
        </w:r>
        <w:r w:rsidR="00485551">
          <w:rPr>
            <w:noProof/>
            <w:webHidden/>
          </w:rPr>
          <w:fldChar w:fldCharType="begin"/>
        </w:r>
        <w:r w:rsidR="00485551">
          <w:rPr>
            <w:noProof/>
            <w:webHidden/>
          </w:rPr>
          <w:instrText xml:space="preserve"> PAGEREF _Toc449715858 \h </w:instrText>
        </w:r>
        <w:r w:rsidR="00485551">
          <w:rPr>
            <w:noProof/>
            <w:webHidden/>
          </w:rPr>
        </w:r>
        <w:r w:rsidR="00485551">
          <w:rPr>
            <w:noProof/>
            <w:webHidden/>
          </w:rPr>
          <w:fldChar w:fldCharType="separate"/>
        </w:r>
        <w:r>
          <w:rPr>
            <w:noProof/>
            <w:webHidden/>
          </w:rPr>
          <w:t>4</w:t>
        </w:r>
        <w:r w:rsidR="00485551">
          <w:rPr>
            <w:noProof/>
            <w:webHidden/>
          </w:rPr>
          <w:fldChar w:fldCharType="end"/>
        </w:r>
      </w:hyperlink>
    </w:p>
    <w:p w:rsidR="00485551" w:rsidRDefault="00A76CDD">
      <w:pPr>
        <w:pStyle w:val="TOC1"/>
        <w:rPr>
          <w:rFonts w:asciiTheme="minorHAnsi" w:eastAsiaTheme="minorEastAsia" w:hAnsiTheme="minorHAnsi" w:cstheme="minorBidi"/>
          <w:caps w:val="0"/>
          <w:noProof/>
          <w:sz w:val="22"/>
          <w:szCs w:val="22"/>
        </w:rPr>
      </w:pPr>
      <w:hyperlink w:anchor="_Toc449715859" w:history="1">
        <w:r w:rsidR="00485551" w:rsidRPr="004B64E9">
          <w:rPr>
            <w:rStyle w:val="Hyperlink"/>
            <w:noProof/>
          </w:rPr>
          <w:t>Summary of approaches</w:t>
        </w:r>
        <w:r w:rsidR="00485551">
          <w:rPr>
            <w:noProof/>
            <w:webHidden/>
          </w:rPr>
          <w:tab/>
        </w:r>
        <w:r w:rsidR="00485551">
          <w:rPr>
            <w:noProof/>
            <w:webHidden/>
          </w:rPr>
          <w:fldChar w:fldCharType="begin"/>
        </w:r>
        <w:r w:rsidR="00485551">
          <w:rPr>
            <w:noProof/>
            <w:webHidden/>
          </w:rPr>
          <w:instrText xml:space="preserve"> PAGEREF _Toc449715859 \h </w:instrText>
        </w:r>
        <w:r w:rsidR="00485551">
          <w:rPr>
            <w:noProof/>
            <w:webHidden/>
          </w:rPr>
        </w:r>
        <w:r w:rsidR="00485551">
          <w:rPr>
            <w:noProof/>
            <w:webHidden/>
          </w:rPr>
          <w:fldChar w:fldCharType="separate"/>
        </w:r>
        <w:r>
          <w:rPr>
            <w:noProof/>
            <w:webHidden/>
          </w:rPr>
          <w:t>4</w:t>
        </w:r>
        <w:r w:rsidR="00485551">
          <w:rPr>
            <w:noProof/>
            <w:webHidden/>
          </w:rPr>
          <w:fldChar w:fldCharType="end"/>
        </w:r>
      </w:hyperlink>
    </w:p>
    <w:p w:rsidR="00BF4661" w:rsidRDefault="00BF4661" w:rsidP="0012490F">
      <w:pPr>
        <w:spacing w:before="120"/>
        <w:ind w:left="1276" w:hanging="1276"/>
        <w:rPr>
          <w:rFonts w:eastAsia="MS Mincho"/>
          <w:color w:val="000000"/>
          <w:szCs w:val="24"/>
          <w:lang w:eastAsia="ja-JP"/>
        </w:rPr>
      </w:pPr>
      <w:r>
        <w:rPr>
          <w:snapToGrid w:val="0"/>
        </w:rPr>
        <w:fldChar w:fldCharType="end"/>
      </w:r>
      <w:r>
        <w:rPr>
          <w:rFonts w:eastAsia="MS Mincho"/>
          <w:color w:val="000000"/>
          <w:szCs w:val="24"/>
          <w:lang w:eastAsia="ja-JP"/>
        </w:rPr>
        <w:t xml:space="preserve">ANNEX I: </w:t>
      </w:r>
      <w:r>
        <w:rPr>
          <w:rFonts w:eastAsia="MS Mincho"/>
          <w:color w:val="000000"/>
          <w:szCs w:val="24"/>
          <w:lang w:eastAsia="ja-JP"/>
        </w:rPr>
        <w:tab/>
        <w:t>Assessing uniformity by off-types on basis of more than one growing cycle</w:t>
      </w:r>
    </w:p>
    <w:p w:rsidR="00BF4661" w:rsidRDefault="00BF4661" w:rsidP="0012490F">
      <w:pPr>
        <w:tabs>
          <w:tab w:val="left" w:pos="1701"/>
        </w:tabs>
        <w:autoSpaceDE w:val="0"/>
        <w:autoSpaceDN w:val="0"/>
        <w:adjustRightInd w:val="0"/>
        <w:ind w:left="1276" w:hanging="1276"/>
        <w:rPr>
          <w:rFonts w:eastAsia="MS Mincho"/>
          <w:color w:val="000000"/>
          <w:szCs w:val="24"/>
          <w:lang w:eastAsia="ja-JP"/>
        </w:rPr>
      </w:pPr>
      <w:r>
        <w:rPr>
          <w:rFonts w:eastAsia="MS Mincho"/>
          <w:color w:val="000000"/>
          <w:szCs w:val="24"/>
          <w:lang w:eastAsia="ja-JP"/>
        </w:rPr>
        <w:t>ANNEX II:</w:t>
      </w:r>
      <w:r>
        <w:rPr>
          <w:rFonts w:eastAsia="MS Mincho"/>
          <w:color w:val="000000"/>
          <w:szCs w:val="24"/>
          <w:lang w:eastAsia="ja-JP"/>
        </w:rPr>
        <w:tab/>
        <w:t xml:space="preserve">Assessing uniformity by off-types </w:t>
      </w:r>
      <w:r w:rsidRPr="00C46A16">
        <w:rPr>
          <w:rFonts w:eastAsia="MS Mincho"/>
          <w:color w:val="000000"/>
          <w:szCs w:val="24"/>
          <w:lang w:eastAsia="ja-JP"/>
        </w:rPr>
        <w:t>on the basis of sub-samples</w:t>
      </w:r>
      <w:r>
        <w:rPr>
          <w:rFonts w:eastAsia="MS Mincho"/>
          <w:color w:val="000000"/>
          <w:szCs w:val="24"/>
          <w:lang w:eastAsia="ja-JP"/>
        </w:rPr>
        <w:t xml:space="preserve"> within a single test/trial</w:t>
      </w:r>
    </w:p>
    <w:p w:rsidR="00BF4661" w:rsidRDefault="00D4034F" w:rsidP="00021088">
      <w:pPr>
        <w:tabs>
          <w:tab w:val="left" w:pos="1701"/>
        </w:tabs>
        <w:autoSpaceDE w:val="0"/>
        <w:autoSpaceDN w:val="0"/>
        <w:adjustRightInd w:val="0"/>
        <w:ind w:left="1276" w:hanging="1276"/>
        <w:jc w:val="left"/>
      </w:pPr>
      <w:r>
        <w:rPr>
          <w:rFonts w:eastAsia="MS Mincho"/>
          <w:color w:val="000000"/>
          <w:szCs w:val="24"/>
          <w:lang w:eastAsia="ja-JP"/>
        </w:rPr>
        <w:t>ANNEX III:</w:t>
      </w:r>
      <w:r>
        <w:rPr>
          <w:rFonts w:eastAsia="MS Mincho"/>
          <w:color w:val="000000"/>
          <w:szCs w:val="24"/>
          <w:lang w:eastAsia="ja-JP"/>
        </w:rPr>
        <w:tab/>
        <w:t xml:space="preserve">Assessing uniformity by off-types </w:t>
      </w:r>
      <w:r w:rsidRPr="00C46A16">
        <w:rPr>
          <w:rFonts w:eastAsia="MS Mincho"/>
          <w:color w:val="000000"/>
          <w:szCs w:val="24"/>
          <w:lang w:eastAsia="ja-JP"/>
        </w:rPr>
        <w:t xml:space="preserve">on the basis of </w:t>
      </w:r>
      <w:r>
        <w:rPr>
          <w:rFonts w:eastAsia="MS Mincho"/>
          <w:color w:val="000000"/>
          <w:szCs w:val="24"/>
          <w:lang w:eastAsia="ja-JP"/>
        </w:rPr>
        <w:t>more than one growing cycle: risks benefits and costs (Presentation by the experts from the United Kingdom</w:t>
      </w:r>
      <w:r w:rsidR="008454A6">
        <w:rPr>
          <w:rFonts w:eastAsia="MS Mincho"/>
          <w:color w:val="000000"/>
          <w:szCs w:val="24"/>
          <w:lang w:eastAsia="ja-JP"/>
        </w:rPr>
        <w:t>)</w:t>
      </w:r>
      <w:r>
        <w:rPr>
          <w:rFonts w:eastAsia="MS Mincho"/>
          <w:color w:val="000000"/>
          <w:szCs w:val="24"/>
          <w:lang w:eastAsia="ja-JP"/>
        </w:rPr>
        <w:t xml:space="preserve"> during the </w:t>
      </w:r>
      <w:r w:rsidR="0099574A">
        <w:rPr>
          <w:rFonts w:eastAsia="MS Mincho"/>
          <w:color w:val="000000"/>
          <w:szCs w:val="24"/>
          <w:lang w:eastAsia="ja-JP"/>
        </w:rPr>
        <w:t xml:space="preserve">fifty-second session of the </w:t>
      </w:r>
      <w:r>
        <w:rPr>
          <w:rFonts w:eastAsia="MS Mincho"/>
          <w:color w:val="000000"/>
          <w:szCs w:val="24"/>
          <w:lang w:eastAsia="ja-JP"/>
        </w:rPr>
        <w:t xml:space="preserve">TC, held </w:t>
      </w:r>
      <w:r w:rsidR="0099574A">
        <w:rPr>
          <w:rFonts w:eastAsia="MS Mincho"/>
          <w:color w:val="000000"/>
          <w:szCs w:val="24"/>
          <w:lang w:eastAsia="ja-JP"/>
        </w:rPr>
        <w:t>in Geneva from March 14 to 16, 2016</w:t>
      </w:r>
      <w:r>
        <w:rPr>
          <w:rFonts w:eastAsia="MS Mincho"/>
          <w:color w:val="000000"/>
          <w:szCs w:val="24"/>
          <w:lang w:eastAsia="ja-JP"/>
        </w:rPr>
        <w:t>)</w:t>
      </w:r>
      <w:r w:rsidR="00666F98">
        <w:rPr>
          <w:rFonts w:eastAsia="MS Mincho"/>
          <w:color w:val="000000"/>
          <w:szCs w:val="24"/>
          <w:lang w:eastAsia="ja-JP"/>
        </w:rPr>
        <w:t xml:space="preserve"> </w:t>
      </w:r>
      <w:r w:rsidR="0012490F">
        <w:rPr>
          <w:rFonts w:eastAsia="MS Mincho"/>
          <w:color w:val="000000"/>
          <w:szCs w:val="24"/>
          <w:lang w:eastAsia="ja-JP"/>
        </w:rPr>
        <w:br/>
      </w:r>
      <w:bookmarkStart w:id="6" w:name="_Toc380150989"/>
    </w:p>
    <w:p w:rsidR="00957503" w:rsidRDefault="00957503" w:rsidP="00BF4661"/>
    <w:p w:rsidR="007F508B" w:rsidRDefault="007F508B" w:rsidP="00BF4661"/>
    <w:p w:rsidR="007F508B" w:rsidRDefault="007F508B" w:rsidP="00A76CDD">
      <w:pPr>
        <w:autoSpaceDE w:val="0"/>
        <w:autoSpaceDN w:val="0"/>
        <w:adjustRightInd w:val="0"/>
        <w:ind w:left="567" w:hanging="567"/>
        <w:rPr>
          <w:rFonts w:cs="Arial"/>
          <w:color w:val="000000"/>
        </w:rPr>
      </w:pPr>
      <w:r w:rsidRPr="005623A7">
        <w:lastRenderedPageBreak/>
        <w:fldChar w:fldCharType="begin"/>
      </w:r>
      <w:r w:rsidRPr="005623A7">
        <w:instrText xml:space="preserve"> AUTONUM  </w:instrText>
      </w:r>
      <w:r w:rsidRPr="005623A7">
        <w:fldChar w:fldCharType="end"/>
      </w:r>
      <w:r>
        <w:tab/>
      </w:r>
      <w:r w:rsidRPr="00322838">
        <w:rPr>
          <w:rFonts w:cs="Arial"/>
          <w:color w:val="000000"/>
        </w:rPr>
        <w:t>The following abbreviations are used in this document:</w:t>
      </w:r>
    </w:p>
    <w:p w:rsidR="007F508B" w:rsidRDefault="007F508B" w:rsidP="007F508B">
      <w:pPr>
        <w:keepNext/>
        <w:rPr>
          <w:rFonts w:cs="Arial"/>
          <w:color w:val="000000"/>
        </w:rPr>
      </w:pPr>
    </w:p>
    <w:p w:rsidR="007F508B" w:rsidRPr="00322838" w:rsidRDefault="007F508B" w:rsidP="007F508B">
      <w:pPr>
        <w:keepNext/>
        <w:rPr>
          <w:rFonts w:cs="Arial"/>
        </w:rPr>
      </w:pPr>
      <w:r w:rsidRPr="00322838">
        <w:rPr>
          <w:rFonts w:cs="Arial"/>
        </w:rPr>
        <w:tab/>
        <w:t>TC:</w:t>
      </w:r>
      <w:r w:rsidRPr="00322838">
        <w:rPr>
          <w:rFonts w:cs="Arial"/>
        </w:rPr>
        <w:tab/>
      </w:r>
      <w:r w:rsidRPr="00322838">
        <w:rPr>
          <w:rFonts w:cs="Arial"/>
        </w:rPr>
        <w:tab/>
        <w:t>Technical Committee</w:t>
      </w:r>
    </w:p>
    <w:p w:rsidR="007F508B" w:rsidRPr="00322838" w:rsidRDefault="007F508B" w:rsidP="007F508B">
      <w:pPr>
        <w:rPr>
          <w:rFonts w:eastAsia="PMingLiU" w:cs="Arial"/>
          <w:szCs w:val="24"/>
        </w:rPr>
      </w:pPr>
      <w:r w:rsidRPr="00322838">
        <w:rPr>
          <w:rFonts w:eastAsia="PMingLiU" w:cs="Arial"/>
          <w:szCs w:val="24"/>
        </w:rPr>
        <w:tab/>
        <w:t>TC-EDC:</w:t>
      </w:r>
      <w:r w:rsidRPr="00322838">
        <w:rPr>
          <w:rFonts w:eastAsia="PMingLiU" w:cs="Arial"/>
          <w:szCs w:val="24"/>
        </w:rPr>
        <w:tab/>
        <w:t>Enlarged Editorial Committee</w:t>
      </w:r>
    </w:p>
    <w:p w:rsidR="007F508B" w:rsidRPr="00322838" w:rsidRDefault="007F508B" w:rsidP="007F508B">
      <w:pPr>
        <w:rPr>
          <w:rFonts w:eastAsia="PMingLiU" w:cs="Arial"/>
          <w:szCs w:val="24"/>
        </w:rPr>
      </w:pPr>
      <w:r w:rsidRPr="00322838">
        <w:rPr>
          <w:rFonts w:eastAsia="PMingLiU" w:cs="Arial"/>
          <w:szCs w:val="24"/>
        </w:rPr>
        <w:tab/>
        <w:t>TWA:</w:t>
      </w:r>
      <w:r w:rsidRPr="00322838">
        <w:rPr>
          <w:rFonts w:eastAsia="PMingLiU" w:cs="Arial"/>
          <w:szCs w:val="24"/>
        </w:rPr>
        <w:tab/>
      </w:r>
      <w:r w:rsidRPr="00322838">
        <w:rPr>
          <w:rFonts w:eastAsia="PMingLiU" w:cs="Arial"/>
          <w:szCs w:val="24"/>
        </w:rPr>
        <w:tab/>
        <w:t>Technical Working Party for Agricultural Crops</w:t>
      </w:r>
    </w:p>
    <w:p w:rsidR="007F508B" w:rsidRPr="00322838" w:rsidRDefault="007F508B" w:rsidP="007F508B">
      <w:pPr>
        <w:rPr>
          <w:rFonts w:eastAsia="PMingLiU" w:cs="Arial"/>
          <w:szCs w:val="24"/>
        </w:rPr>
      </w:pPr>
      <w:r w:rsidRPr="00322838">
        <w:rPr>
          <w:rFonts w:eastAsia="PMingLiU" w:cs="Arial"/>
          <w:szCs w:val="24"/>
        </w:rPr>
        <w:tab/>
        <w:t>TWC:</w:t>
      </w:r>
      <w:r w:rsidRPr="00322838">
        <w:rPr>
          <w:rFonts w:eastAsia="PMingLiU" w:cs="Arial"/>
          <w:szCs w:val="24"/>
        </w:rPr>
        <w:tab/>
      </w:r>
      <w:r w:rsidRPr="00322838">
        <w:rPr>
          <w:rFonts w:eastAsia="PMingLiU" w:cs="Arial"/>
          <w:szCs w:val="24"/>
        </w:rPr>
        <w:tab/>
        <w:t>Technical Working Party on Automation and Computer Programs</w:t>
      </w:r>
    </w:p>
    <w:p w:rsidR="007F508B" w:rsidRPr="00322838" w:rsidRDefault="007F508B" w:rsidP="007F508B">
      <w:pPr>
        <w:rPr>
          <w:rFonts w:eastAsia="PMingLiU" w:cs="Arial"/>
          <w:szCs w:val="24"/>
        </w:rPr>
      </w:pPr>
      <w:r w:rsidRPr="00322838">
        <w:rPr>
          <w:rFonts w:eastAsia="PMingLiU" w:cs="Arial"/>
          <w:szCs w:val="24"/>
        </w:rPr>
        <w:tab/>
        <w:t xml:space="preserve">TWF: </w:t>
      </w:r>
      <w:r w:rsidRPr="00322838">
        <w:rPr>
          <w:rFonts w:eastAsia="PMingLiU" w:cs="Arial"/>
          <w:szCs w:val="24"/>
        </w:rPr>
        <w:tab/>
      </w:r>
      <w:r w:rsidRPr="00322838">
        <w:rPr>
          <w:rFonts w:eastAsia="PMingLiU" w:cs="Arial"/>
          <w:szCs w:val="24"/>
        </w:rPr>
        <w:tab/>
        <w:t>Technical Working Party for Fruit Crops</w:t>
      </w:r>
    </w:p>
    <w:p w:rsidR="007F508B" w:rsidRPr="00322838" w:rsidRDefault="007F508B" w:rsidP="007F508B">
      <w:pPr>
        <w:rPr>
          <w:rFonts w:eastAsia="PMingLiU" w:cs="Arial"/>
          <w:szCs w:val="24"/>
        </w:rPr>
      </w:pPr>
      <w:r w:rsidRPr="00322838">
        <w:rPr>
          <w:rFonts w:eastAsia="PMingLiU" w:cs="Arial"/>
          <w:szCs w:val="24"/>
        </w:rPr>
        <w:tab/>
        <w:t>TWO:</w:t>
      </w:r>
      <w:r w:rsidRPr="00322838">
        <w:rPr>
          <w:rFonts w:eastAsia="PMingLiU" w:cs="Arial"/>
          <w:szCs w:val="24"/>
        </w:rPr>
        <w:tab/>
      </w:r>
      <w:r w:rsidRPr="00322838">
        <w:rPr>
          <w:rFonts w:eastAsia="PMingLiU" w:cs="Arial"/>
          <w:szCs w:val="24"/>
        </w:rPr>
        <w:tab/>
        <w:t xml:space="preserve">Technical Working Party for Ornamental Plants and </w:t>
      </w:r>
      <w:smartTag w:uri="urn:schemas-microsoft-com:office:smarttags" w:element="place">
        <w:r w:rsidRPr="00322838">
          <w:rPr>
            <w:rFonts w:eastAsia="PMingLiU" w:cs="Arial"/>
            <w:szCs w:val="24"/>
          </w:rPr>
          <w:t>Forest</w:t>
        </w:r>
      </w:smartTag>
      <w:r w:rsidRPr="00322838">
        <w:rPr>
          <w:rFonts w:eastAsia="PMingLiU" w:cs="Arial"/>
          <w:szCs w:val="24"/>
        </w:rPr>
        <w:t xml:space="preserve"> Trees</w:t>
      </w:r>
    </w:p>
    <w:p w:rsidR="007F508B" w:rsidRPr="00322838" w:rsidRDefault="007F508B" w:rsidP="007F508B">
      <w:pPr>
        <w:rPr>
          <w:rFonts w:eastAsia="PMingLiU" w:cs="Arial"/>
          <w:szCs w:val="24"/>
        </w:rPr>
      </w:pPr>
      <w:r w:rsidRPr="00322838">
        <w:rPr>
          <w:rFonts w:eastAsia="PMingLiU" w:cs="Arial"/>
          <w:szCs w:val="24"/>
        </w:rPr>
        <w:tab/>
        <w:t>TWPs:</w:t>
      </w:r>
      <w:r w:rsidRPr="00322838">
        <w:rPr>
          <w:rFonts w:eastAsia="PMingLiU" w:cs="Arial"/>
          <w:szCs w:val="24"/>
        </w:rPr>
        <w:tab/>
        <w:t>Technical Working Parties</w:t>
      </w:r>
    </w:p>
    <w:p w:rsidR="007F508B" w:rsidRDefault="007F508B" w:rsidP="007F508B">
      <w:pPr>
        <w:rPr>
          <w:rFonts w:eastAsia="PMingLiU" w:cs="Arial"/>
          <w:szCs w:val="24"/>
        </w:rPr>
      </w:pPr>
      <w:r w:rsidRPr="00322838">
        <w:rPr>
          <w:rFonts w:eastAsia="PMingLiU" w:cs="Arial"/>
          <w:szCs w:val="24"/>
        </w:rPr>
        <w:tab/>
        <w:t>TWV:</w:t>
      </w:r>
      <w:r w:rsidRPr="00322838">
        <w:rPr>
          <w:rFonts w:eastAsia="PMingLiU" w:cs="Arial"/>
          <w:szCs w:val="24"/>
        </w:rPr>
        <w:tab/>
      </w:r>
      <w:r w:rsidRPr="00322838">
        <w:rPr>
          <w:rFonts w:eastAsia="PMingLiU" w:cs="Arial"/>
          <w:szCs w:val="24"/>
        </w:rPr>
        <w:tab/>
        <w:t>Technical Working Party for Vegetables</w:t>
      </w:r>
    </w:p>
    <w:p w:rsidR="007F508B" w:rsidRDefault="007F508B" w:rsidP="007F508B">
      <w:pPr>
        <w:autoSpaceDE w:val="0"/>
        <w:autoSpaceDN w:val="0"/>
        <w:adjustRightInd w:val="0"/>
      </w:pPr>
    </w:p>
    <w:p w:rsidR="007F508B" w:rsidRDefault="007F508B" w:rsidP="00BF4661"/>
    <w:p w:rsidR="00BF4661" w:rsidRPr="00D65E68" w:rsidRDefault="00BF4661" w:rsidP="00BF4661">
      <w:pPr>
        <w:rPr>
          <w:rFonts w:eastAsia="MS Mincho"/>
          <w:lang w:eastAsia="ja-JP"/>
        </w:rPr>
      </w:pPr>
      <w:r w:rsidRPr="00D65E68">
        <w:rPr>
          <w:rFonts w:eastAsia="MS Mincho"/>
          <w:lang w:eastAsia="ja-JP"/>
        </w:rPr>
        <w:t>BAC</w:t>
      </w:r>
      <w:r>
        <w:rPr>
          <w:rFonts w:eastAsia="MS Mincho"/>
          <w:lang w:eastAsia="ja-JP"/>
        </w:rPr>
        <w:t>K</w:t>
      </w:r>
      <w:r w:rsidRPr="00D65E68">
        <w:rPr>
          <w:rFonts w:eastAsia="MS Mincho"/>
          <w:lang w:eastAsia="ja-JP"/>
        </w:rPr>
        <w:t>GROUND</w:t>
      </w:r>
      <w:bookmarkEnd w:id="6"/>
    </w:p>
    <w:p w:rsidR="00BF4661" w:rsidRPr="00D65E68" w:rsidRDefault="00BF4661" w:rsidP="00BF4661">
      <w:pPr>
        <w:rPr>
          <w:rFonts w:eastAsia="MS Mincho"/>
          <w:lang w:eastAsia="ja-JP"/>
        </w:rPr>
      </w:pPr>
    </w:p>
    <w:p w:rsidR="00BF4661" w:rsidRDefault="00BF4661" w:rsidP="00BF4661">
      <w:r w:rsidRPr="005623A7">
        <w:fldChar w:fldCharType="begin"/>
      </w:r>
      <w:r w:rsidRPr="005623A7">
        <w:instrText xml:space="preserve"> AUTONUM  </w:instrText>
      </w:r>
      <w:r w:rsidRPr="005623A7">
        <w:fldChar w:fldCharType="end"/>
      </w:r>
      <w:r>
        <w:tab/>
      </w:r>
      <w:r>
        <w:rPr>
          <w:szCs w:val="24"/>
        </w:rPr>
        <w:t>The background to this matter is provided in document</w:t>
      </w:r>
      <w:r w:rsidR="00830374">
        <w:rPr>
          <w:szCs w:val="24"/>
        </w:rPr>
        <w:t xml:space="preserve"> </w:t>
      </w:r>
      <w:r>
        <w:t>TC/</w:t>
      </w:r>
      <w:r w:rsidR="006D0EBA">
        <w:t>5</w:t>
      </w:r>
      <w:r w:rsidR="00F1043E">
        <w:t>2</w:t>
      </w:r>
      <w:r>
        <w:t>/</w:t>
      </w:r>
      <w:r w:rsidR="00F1043E">
        <w:t>20</w:t>
      </w:r>
      <w:r>
        <w:t xml:space="preserve"> “Assessing Uniformity by Off-Types on the Basis of More than One Sample or Sub-Sample</w:t>
      </w:r>
      <w:r w:rsidR="006D0EBA">
        <w:t>s</w:t>
      </w:r>
      <w:r>
        <w:t>”</w:t>
      </w:r>
      <w:r w:rsidR="00F1043E">
        <w:t xml:space="preserve"> and TC/52/20 Add. “Addendum to document</w:t>
      </w:r>
      <w:r w:rsidR="00D95432">
        <w:t> </w:t>
      </w:r>
      <w:r w:rsidR="00F1043E">
        <w:t>TC/52/20”</w:t>
      </w:r>
      <w:r>
        <w:t>.</w:t>
      </w:r>
    </w:p>
    <w:p w:rsidR="00BF4661" w:rsidRPr="00287CD1" w:rsidRDefault="00BF4661" w:rsidP="00287CD1">
      <w:bookmarkStart w:id="7" w:name="_Toc380151005"/>
    </w:p>
    <w:p w:rsidR="00957503" w:rsidRPr="00287CD1" w:rsidRDefault="00957503" w:rsidP="00287CD1"/>
    <w:p w:rsidR="00BF4661" w:rsidRDefault="00BF4661" w:rsidP="00BF4661">
      <w:pPr>
        <w:pStyle w:val="Heading1"/>
      </w:pPr>
      <w:bookmarkStart w:id="8" w:name="_Toc449715850"/>
      <w:r>
        <w:t>DEVELOPMENTS IN 2015</w:t>
      </w:r>
      <w:bookmarkEnd w:id="8"/>
    </w:p>
    <w:p w:rsidR="00BF4661" w:rsidRPr="00287CD1" w:rsidRDefault="00BF4661" w:rsidP="00287CD1"/>
    <w:p w:rsidR="00EB33EB" w:rsidRPr="00DA27CC" w:rsidRDefault="00EB33EB" w:rsidP="00EB33EB">
      <w:pPr>
        <w:pStyle w:val="Heading2"/>
        <w:rPr>
          <w:snapToGrid w:val="0"/>
        </w:rPr>
      </w:pPr>
      <w:bookmarkStart w:id="9" w:name="_Toc449715851"/>
      <w:r>
        <w:rPr>
          <w:snapToGrid w:val="0"/>
        </w:rPr>
        <w:t>Technical Working Parties</w:t>
      </w:r>
      <w:bookmarkEnd w:id="9"/>
    </w:p>
    <w:p w:rsidR="00EB33EB" w:rsidRDefault="00EB33EB" w:rsidP="00EB33EB">
      <w:pPr>
        <w:rPr>
          <w:snapToGrid w:val="0"/>
        </w:rPr>
      </w:pPr>
    </w:p>
    <w:p w:rsidR="00693839" w:rsidRPr="008E5149" w:rsidRDefault="00693839" w:rsidP="00693839">
      <w:pPr>
        <w:autoSpaceDE w:val="0"/>
        <w:autoSpaceDN w:val="0"/>
        <w:adjustRightInd w:val="0"/>
        <w:rPr>
          <w:snapToGrid w:val="0"/>
        </w:rPr>
      </w:pPr>
      <w:r>
        <w:rPr>
          <w:snapToGrid w:val="0"/>
        </w:rPr>
        <w:fldChar w:fldCharType="begin"/>
      </w:r>
      <w:r>
        <w:rPr>
          <w:snapToGrid w:val="0"/>
        </w:rPr>
        <w:instrText xml:space="preserve"> AUTONUM  </w:instrText>
      </w:r>
      <w:r>
        <w:rPr>
          <w:snapToGrid w:val="0"/>
        </w:rPr>
        <w:fldChar w:fldCharType="end"/>
      </w:r>
      <w:r>
        <w:rPr>
          <w:snapToGrid w:val="0"/>
        </w:rPr>
        <w:tab/>
        <w:t>At their sessions in 2015, t</w:t>
      </w:r>
      <w:r w:rsidRPr="008E5149">
        <w:rPr>
          <w:snapToGrid w:val="0"/>
        </w:rPr>
        <w:t>he TWV</w:t>
      </w:r>
      <w:r>
        <w:rPr>
          <w:snapToGrid w:val="0"/>
        </w:rPr>
        <w:t>,</w:t>
      </w:r>
      <w:r w:rsidRPr="008E5149">
        <w:rPr>
          <w:snapToGrid w:val="0"/>
        </w:rPr>
        <w:t xml:space="preserve"> TWC</w:t>
      </w:r>
      <w:r>
        <w:rPr>
          <w:snapToGrid w:val="0"/>
        </w:rPr>
        <w:t>, TWA, TWF</w:t>
      </w:r>
      <w:r w:rsidRPr="008E5149">
        <w:rPr>
          <w:snapToGrid w:val="0"/>
        </w:rPr>
        <w:t xml:space="preserve"> </w:t>
      </w:r>
      <w:r>
        <w:rPr>
          <w:snapToGrid w:val="0"/>
        </w:rPr>
        <w:t xml:space="preserve">and TWO </w:t>
      </w:r>
      <w:r w:rsidRPr="008E5149">
        <w:rPr>
          <w:snapToGrid w:val="0"/>
        </w:rPr>
        <w:t>considered documents TWV/49/</w:t>
      </w:r>
      <w:r>
        <w:rPr>
          <w:snapToGrid w:val="0"/>
        </w:rPr>
        <w:t xml:space="preserve">9, </w:t>
      </w:r>
      <w:r w:rsidRPr="008E5149">
        <w:rPr>
          <w:snapToGrid w:val="0"/>
        </w:rPr>
        <w:t>TWC/33/</w:t>
      </w:r>
      <w:r>
        <w:rPr>
          <w:snapToGrid w:val="0"/>
        </w:rPr>
        <w:t>9, TWA/44/9</w:t>
      </w:r>
      <w:r w:rsidRPr="008E5149">
        <w:rPr>
          <w:snapToGrid w:val="0"/>
        </w:rPr>
        <w:t>,</w:t>
      </w:r>
      <w:r>
        <w:rPr>
          <w:snapToGrid w:val="0"/>
        </w:rPr>
        <w:t xml:space="preserve"> TWF/46/9 and TWO/48/9 </w:t>
      </w:r>
      <w:r>
        <w:t>“</w:t>
      </w:r>
      <w:r w:rsidRPr="000B03FD">
        <w:t xml:space="preserve">Revision of document TGP/10: New section: Assessing Uniformity by Off-Types on Basis of More than One </w:t>
      </w:r>
      <w:r>
        <w:t>Growing Cycle or on the Basis of</w:t>
      </w:r>
      <w:r w:rsidRPr="000B03FD">
        <w:t xml:space="preserve"> Sub-Samples</w:t>
      </w:r>
      <w:r>
        <w:t>”,</w:t>
      </w:r>
      <w:r w:rsidRPr="008E5149">
        <w:rPr>
          <w:snapToGrid w:val="0"/>
        </w:rPr>
        <w:t xml:space="preserve"> respectively</w:t>
      </w:r>
      <w:r>
        <w:rPr>
          <w:snapToGrid w:val="0"/>
        </w:rPr>
        <w:t xml:space="preserve"> </w:t>
      </w:r>
      <w:r>
        <w:rPr>
          <w:rFonts w:cs="Arial"/>
        </w:rPr>
        <w:t>(see documents TWV/49/32 “Revised Report”, paragraphs 62 and 63;</w:t>
      </w:r>
      <w:r w:rsidRPr="004A6A70">
        <w:rPr>
          <w:rFonts w:cs="Arial"/>
        </w:rPr>
        <w:t xml:space="preserve"> </w:t>
      </w:r>
      <w:r>
        <w:rPr>
          <w:rFonts w:cs="Arial"/>
        </w:rPr>
        <w:t xml:space="preserve">TWC/33/30 “Report”, </w:t>
      </w:r>
      <w:r>
        <w:t>paragraphs 57 to 61</w:t>
      </w:r>
      <w:r>
        <w:rPr>
          <w:rFonts w:cs="Arial"/>
        </w:rPr>
        <w:t>; TWA/44/23 “Report”,</w:t>
      </w:r>
      <w:r w:rsidRPr="00693839">
        <w:rPr>
          <w:rFonts w:eastAsia="SimSun"/>
          <w:lang w:eastAsia="zh-CN"/>
        </w:rPr>
        <w:t xml:space="preserve"> </w:t>
      </w:r>
      <w:r>
        <w:rPr>
          <w:rFonts w:eastAsia="SimSun"/>
          <w:lang w:eastAsia="zh-CN"/>
        </w:rPr>
        <w:t>paragraphs 52 to 55</w:t>
      </w:r>
      <w:r>
        <w:rPr>
          <w:rFonts w:cs="Arial"/>
        </w:rPr>
        <w:t>; TWF/46/29 Rev. “Revised Report”,</w:t>
      </w:r>
      <w:r w:rsidRPr="00693839">
        <w:rPr>
          <w:rFonts w:cs="Arial"/>
          <w:color w:val="000000"/>
        </w:rPr>
        <w:t xml:space="preserve"> </w:t>
      </w:r>
      <w:r>
        <w:rPr>
          <w:rFonts w:cs="Arial"/>
          <w:color w:val="000000"/>
        </w:rPr>
        <w:t>paragraphs 55 to 60</w:t>
      </w:r>
      <w:r>
        <w:rPr>
          <w:rFonts w:cs="Arial"/>
        </w:rPr>
        <w:t>; and TWO/48/26 “Report”,</w:t>
      </w:r>
      <w:r w:rsidRPr="00693839">
        <w:t xml:space="preserve"> </w:t>
      </w:r>
      <w:r>
        <w:t>paragraphs 51 to 53</w:t>
      </w:r>
      <w:r>
        <w:rPr>
          <w:rFonts w:cs="Arial"/>
        </w:rPr>
        <w:t>)</w:t>
      </w:r>
      <w:r w:rsidRPr="008E5149">
        <w:rPr>
          <w:snapToGrid w:val="0"/>
        </w:rPr>
        <w:t>.</w:t>
      </w:r>
    </w:p>
    <w:p w:rsidR="00693839" w:rsidRDefault="00693839" w:rsidP="00EB33EB">
      <w:pPr>
        <w:rPr>
          <w:snapToGrid w:val="0"/>
        </w:rPr>
      </w:pPr>
    </w:p>
    <w:p w:rsidR="00EB33EB" w:rsidRDefault="00EB33EB" w:rsidP="00EB33EB">
      <w:pPr>
        <w:pStyle w:val="Heading3"/>
        <w:rPr>
          <w:snapToGrid w:val="0"/>
        </w:rPr>
      </w:pPr>
      <w:bookmarkStart w:id="10" w:name="_Toc449715852"/>
      <w:r>
        <w:rPr>
          <w:snapToGrid w:val="0"/>
        </w:rPr>
        <w:t>Technical Working Party for Vegetables</w:t>
      </w:r>
      <w:bookmarkEnd w:id="10"/>
    </w:p>
    <w:p w:rsidR="00EB33EB" w:rsidRPr="00EB33EB" w:rsidRDefault="00EB33EB" w:rsidP="00EB33EB"/>
    <w:p w:rsidR="00EB33EB" w:rsidRDefault="00EB33EB" w:rsidP="00EB33EB">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8E5149">
        <w:rPr>
          <w:snapToGrid w:val="0"/>
        </w:rPr>
        <w:t>The TWV agreed with the draft guidance for inclusion in a future revision of document TGP/10, as presented in Annexes I and II to document TWV/49/9.</w:t>
      </w:r>
    </w:p>
    <w:p w:rsidR="0099574A" w:rsidRPr="008E5149" w:rsidRDefault="0099574A" w:rsidP="00EB33EB">
      <w:pPr>
        <w:rPr>
          <w:snapToGrid w:val="0"/>
        </w:rPr>
      </w:pPr>
    </w:p>
    <w:p w:rsidR="00EB33EB" w:rsidRDefault="003C0A78" w:rsidP="00287CD1">
      <w:pPr>
        <w:pStyle w:val="Heading3"/>
        <w:rPr>
          <w:rFonts w:eastAsia="PMingLiU"/>
        </w:rPr>
      </w:pPr>
      <w:bookmarkStart w:id="11" w:name="_Toc449715853"/>
      <w:r w:rsidRPr="00322838">
        <w:rPr>
          <w:rFonts w:eastAsia="PMingLiU"/>
        </w:rPr>
        <w:t>Technical Working Party on Automation and Computer Programs</w:t>
      </w:r>
      <w:bookmarkEnd w:id="11"/>
    </w:p>
    <w:p w:rsidR="003C0A78" w:rsidRPr="008E5149" w:rsidRDefault="003C0A78" w:rsidP="00287CD1">
      <w:pPr>
        <w:keepNext/>
        <w:rPr>
          <w:iCs/>
          <w:spacing w:val="-4"/>
        </w:rPr>
      </w:pPr>
    </w:p>
    <w:p w:rsidR="00EB33EB" w:rsidRPr="008E5149" w:rsidRDefault="003C0A78" w:rsidP="00EB33EB">
      <w:r w:rsidRPr="00CA7332">
        <w:rPr>
          <w:snapToGrid w:val="0"/>
        </w:rPr>
        <w:fldChar w:fldCharType="begin"/>
      </w:r>
      <w:r w:rsidRPr="00CA7332">
        <w:rPr>
          <w:snapToGrid w:val="0"/>
        </w:rPr>
        <w:instrText xml:space="preserve"> AUTONUM  </w:instrText>
      </w:r>
      <w:r w:rsidRPr="00CA7332">
        <w:rPr>
          <w:snapToGrid w:val="0"/>
        </w:rPr>
        <w:fldChar w:fldCharType="end"/>
      </w:r>
      <w:r w:rsidRPr="00CA7332">
        <w:rPr>
          <w:snapToGrid w:val="0"/>
        </w:rPr>
        <w:tab/>
      </w:r>
      <w:r w:rsidR="009738EA" w:rsidRPr="00CA7332">
        <w:t>The TWC considered the draft guidance in document TWC/33/9, Annex I, and agreed to propose</w:t>
      </w:r>
      <w:r w:rsidR="009738EA">
        <w:t xml:space="preserve"> amending the title of Approach 2 to read “Combining the results of two growing cycles </w:t>
      </w:r>
      <w:r w:rsidR="009738EA" w:rsidRPr="009738EA">
        <w:rPr>
          <w:highlight w:val="lightGray"/>
          <w:u w:val="single"/>
        </w:rPr>
        <w:t>in the case of inconsistent results</w:t>
      </w:r>
      <w:r w:rsidR="009738EA">
        <w:t xml:space="preserve">”. </w:t>
      </w:r>
    </w:p>
    <w:p w:rsidR="00EB33EB" w:rsidRPr="008E5149" w:rsidRDefault="00EB33EB" w:rsidP="00EB33EB"/>
    <w:p w:rsidR="00EB33EB" w:rsidRPr="008E5149" w:rsidRDefault="009738EA" w:rsidP="00EB33EB">
      <w:r w:rsidRPr="00CA7332">
        <w:rPr>
          <w:snapToGrid w:val="0"/>
        </w:rPr>
        <w:fldChar w:fldCharType="begin"/>
      </w:r>
      <w:r w:rsidRPr="00CA7332">
        <w:rPr>
          <w:snapToGrid w:val="0"/>
        </w:rPr>
        <w:instrText xml:space="preserve"> AUTONUM  </w:instrText>
      </w:r>
      <w:r w:rsidRPr="00CA7332">
        <w:rPr>
          <w:snapToGrid w:val="0"/>
        </w:rPr>
        <w:fldChar w:fldCharType="end"/>
      </w:r>
      <w:r w:rsidRPr="00CA7332">
        <w:rPr>
          <w:snapToGrid w:val="0"/>
        </w:rPr>
        <w:tab/>
      </w:r>
      <w:r w:rsidR="00EB33EB" w:rsidRPr="00CA7332">
        <w:rPr>
          <w:snapToGrid w:val="0"/>
        </w:rPr>
        <w:t xml:space="preserve">The TWC </w:t>
      </w:r>
      <w:r w:rsidR="00EB33EB" w:rsidRPr="00CA7332">
        <w:t xml:space="preserve">received a presentation by the experts from Germany and the United Kingdom, as reproduced in </w:t>
      </w:r>
      <w:r w:rsidR="00666F98">
        <w:t>Annex III of this document (English only)</w:t>
      </w:r>
      <w:r w:rsidR="00EB33EB" w:rsidRPr="00CA7332">
        <w:t xml:space="preserve">, and </w:t>
      </w:r>
      <w:r w:rsidR="00EB33EB" w:rsidRPr="00CA7332">
        <w:rPr>
          <w:snapToGrid w:val="0"/>
        </w:rPr>
        <w:t>agreed to propose the addition of the third approach to the draft guidance as follows:</w:t>
      </w:r>
      <w:r w:rsidR="00EB33EB" w:rsidRPr="008E5149">
        <w:rPr>
          <w:snapToGrid w:val="0"/>
        </w:rPr>
        <w:t xml:space="preserve"> </w:t>
      </w:r>
    </w:p>
    <w:p w:rsidR="00EB33EB" w:rsidRPr="008E5149" w:rsidRDefault="00EB33EB" w:rsidP="00EB33EB">
      <w:pPr>
        <w:rPr>
          <w:lang w:eastAsia="ja-JP"/>
        </w:rPr>
      </w:pPr>
    </w:p>
    <w:p w:rsidR="00EB33EB" w:rsidRPr="008E5149" w:rsidRDefault="00EB33EB" w:rsidP="00EB33EB">
      <w:pPr>
        <w:keepNext/>
        <w:ind w:left="567" w:right="567"/>
        <w:rPr>
          <w:b/>
          <w:bCs/>
        </w:rPr>
      </w:pPr>
      <w:r w:rsidRPr="008E5149">
        <w:rPr>
          <w:b/>
          <w:bCs/>
        </w:rPr>
        <w:t>“Approach 3:  Combining the results of two growing cycles</w:t>
      </w:r>
    </w:p>
    <w:p w:rsidR="00EB33EB" w:rsidRPr="008E5149" w:rsidRDefault="00EB33EB" w:rsidP="00EB33EB">
      <w:pPr>
        <w:keepNext/>
        <w:ind w:left="567" w:right="567"/>
      </w:pPr>
    </w:p>
    <w:p w:rsidR="00EB33EB" w:rsidRPr="008E5149" w:rsidRDefault="00EB33EB" w:rsidP="00EB33EB">
      <w:pPr>
        <w:ind w:left="567" w:right="567"/>
      </w:pPr>
      <w:r w:rsidRPr="008E5149">
        <w:t>“A variety is considered uniform if the total number of off-types at the end of the two growing cycles does not exceed the number of allowed off-types for the combined sample.</w:t>
      </w:r>
    </w:p>
    <w:p w:rsidR="00EB33EB" w:rsidRPr="008E5149" w:rsidRDefault="00EB33EB" w:rsidP="00EB33EB">
      <w:pPr>
        <w:ind w:left="567" w:right="567"/>
      </w:pPr>
    </w:p>
    <w:p w:rsidR="00EB33EB" w:rsidRPr="008E5149" w:rsidRDefault="00EB33EB" w:rsidP="00EB33EB">
      <w:pPr>
        <w:ind w:left="567" w:right="567"/>
      </w:pPr>
      <w:r w:rsidRPr="008E5149">
        <w:t>“A variety is considered non-uniform if the total number of off-types at the end of the two growing cycles exceeds the number of allowed off-types for the combined sample.</w:t>
      </w:r>
    </w:p>
    <w:p w:rsidR="00EB33EB" w:rsidRPr="008E5149" w:rsidRDefault="00EB33EB" w:rsidP="00EB33EB">
      <w:pPr>
        <w:ind w:left="567" w:right="567"/>
      </w:pPr>
    </w:p>
    <w:p w:rsidR="00EB33EB" w:rsidRPr="008E5149" w:rsidRDefault="00EB33EB" w:rsidP="00EB33EB">
      <w:pPr>
        <w:ind w:left="567" w:right="567"/>
      </w:pPr>
      <w:r w:rsidRPr="008E5149">
        <w:t>“A variety may be rejected after a single growing cycle, if the number of off-types exceeds the number of allowed off-types for the combined sample (over two cycles).</w:t>
      </w:r>
    </w:p>
    <w:p w:rsidR="00EB33EB" w:rsidRPr="008E5149" w:rsidRDefault="00EB33EB" w:rsidP="00EB33EB">
      <w:pPr>
        <w:ind w:left="567" w:right="567"/>
      </w:pPr>
    </w:p>
    <w:p w:rsidR="00EB33EB" w:rsidRPr="008E5149" w:rsidRDefault="00EB33EB" w:rsidP="00EB33EB">
      <w:pPr>
        <w:ind w:left="567" w:right="567"/>
      </w:pPr>
      <w:r w:rsidRPr="008E5149">
        <w:t>“Care is needed when considering results that are very different in each of the growing cycles, such as when a type of off-type is observed at a high level in one growing cycle and is absent in another growing cycle. A statistical test for consistency is possible.”</w:t>
      </w:r>
    </w:p>
    <w:p w:rsidR="00EB33EB" w:rsidRPr="008E5149" w:rsidRDefault="00EB33EB" w:rsidP="00EB33EB"/>
    <w:p w:rsidR="00EB33EB" w:rsidRPr="008E5149" w:rsidRDefault="009738EA" w:rsidP="00EB33EB">
      <w:r>
        <w:rPr>
          <w:snapToGrid w:val="0"/>
        </w:rPr>
        <w:fldChar w:fldCharType="begin"/>
      </w:r>
      <w:r>
        <w:rPr>
          <w:snapToGrid w:val="0"/>
        </w:rPr>
        <w:instrText xml:space="preserve"> AUTONUM  </w:instrText>
      </w:r>
      <w:r>
        <w:rPr>
          <w:snapToGrid w:val="0"/>
        </w:rPr>
        <w:fldChar w:fldCharType="end"/>
      </w:r>
      <w:r>
        <w:rPr>
          <w:snapToGrid w:val="0"/>
        </w:rPr>
        <w:tab/>
      </w:r>
      <w:r w:rsidR="00EB33EB" w:rsidRPr="008E5149">
        <w:rPr>
          <w:snapToGrid w:val="0"/>
        </w:rPr>
        <w:t xml:space="preserve">The TWC noted that the approach presented by the experts from Germany and the United Kingdom was used in the United Kingdom and </w:t>
      </w:r>
      <w:r w:rsidR="00EB33EB" w:rsidRPr="008E5149">
        <w:t>always combined the results of two growing cycles.  The TWC noted the explanation that this approach allowed an early decision</w:t>
      </w:r>
      <w:r w:rsidR="00EB33EB" w:rsidRPr="008E5149">
        <w:rPr>
          <w:rFonts w:hint="eastAsia"/>
          <w:lang w:eastAsia="ja-JP"/>
        </w:rPr>
        <w:t xml:space="preserve"> </w:t>
      </w:r>
      <w:r w:rsidR="00EB33EB" w:rsidRPr="008E5149">
        <w:t xml:space="preserve">on uniformity to be taken when the number of off-types was greater in a sub-sample than the allowed number for the combined sample.  The TWC also </w:t>
      </w:r>
      <w:r w:rsidR="00EB33EB" w:rsidRPr="008E5149">
        <w:lastRenderedPageBreak/>
        <w:t xml:space="preserve">noted the explanation that this approach reduced the type 2 error (to accept a non-uniform variety), when compared with the other two approaches presented in the draft guidance, by considering the overall risk of the combined samples instead of the risks for each stage of evaluation separately.  </w:t>
      </w:r>
    </w:p>
    <w:p w:rsidR="00EB33EB" w:rsidRPr="008E5149" w:rsidRDefault="00EB33EB" w:rsidP="00EB33EB"/>
    <w:p w:rsidR="00EB33EB" w:rsidRPr="008E5149" w:rsidRDefault="009738EA" w:rsidP="00C47E8F">
      <w:r>
        <w:rPr>
          <w:snapToGrid w:val="0"/>
        </w:rPr>
        <w:fldChar w:fldCharType="begin"/>
      </w:r>
      <w:r>
        <w:rPr>
          <w:snapToGrid w:val="0"/>
        </w:rPr>
        <w:instrText xml:space="preserve"> AUTONUM  </w:instrText>
      </w:r>
      <w:r>
        <w:rPr>
          <w:snapToGrid w:val="0"/>
        </w:rPr>
        <w:fldChar w:fldCharType="end"/>
      </w:r>
      <w:r>
        <w:rPr>
          <w:snapToGrid w:val="0"/>
        </w:rPr>
        <w:tab/>
      </w:r>
      <w:r w:rsidR="00EB33EB" w:rsidRPr="008E5149">
        <w:rPr>
          <w:snapToGrid w:val="0"/>
        </w:rPr>
        <w:t xml:space="preserve">The TWC </w:t>
      </w:r>
      <w:r w:rsidR="00EB33EB" w:rsidRPr="008E5149">
        <w:t xml:space="preserve">agreed that the presentation made by the experts from Germany and the United Kingdom should be made available to the other TWPs. </w:t>
      </w:r>
    </w:p>
    <w:p w:rsidR="00A52B4A" w:rsidRDefault="00A52B4A" w:rsidP="00EB33EB">
      <w:pPr>
        <w:pStyle w:val="Style1"/>
        <w:tabs>
          <w:tab w:val="clear" w:pos="907"/>
          <w:tab w:val="clear" w:pos="1077"/>
        </w:tabs>
        <w:rPr>
          <w:rFonts w:ascii="Arial" w:hAnsi="Arial" w:cs="Arial"/>
          <w:sz w:val="20"/>
          <w:szCs w:val="20"/>
        </w:rPr>
      </w:pPr>
    </w:p>
    <w:p w:rsidR="00EB33EB" w:rsidRPr="00AA56DF" w:rsidRDefault="00C47E8F" w:rsidP="00C47E8F">
      <w:pPr>
        <w:pStyle w:val="Heading3"/>
      </w:pPr>
      <w:bookmarkStart w:id="12" w:name="_Toc449715854"/>
      <w:r>
        <w:t>Technical Working Party for Agricultural Crops</w:t>
      </w:r>
      <w:bookmarkEnd w:id="12"/>
    </w:p>
    <w:p w:rsidR="00C47E8F" w:rsidRDefault="00C47E8F" w:rsidP="00EB33EB"/>
    <w:p w:rsidR="00EB33EB" w:rsidRPr="00CA7332" w:rsidRDefault="00C47E8F" w:rsidP="00EB33EB">
      <w:r>
        <w:fldChar w:fldCharType="begin"/>
      </w:r>
      <w:r>
        <w:instrText xml:space="preserve"> AUTONUM  </w:instrText>
      </w:r>
      <w:r>
        <w:fldChar w:fldCharType="end"/>
      </w:r>
      <w:r>
        <w:tab/>
      </w:r>
      <w:r w:rsidR="00EB33EB" w:rsidRPr="00FB31B7">
        <w:t xml:space="preserve">The TWA agreed that the draft guidance for inclusion in a future revision of document TGP/10, as presented in document TWA/44/9 Annex I, should continue to be developed considering the information provided by the TWC on the proposed “Approach 3: combining the results of two growing cycles” and the comparison between the overall risk of the combined samples and the risks for each stage of evaluation </w:t>
      </w:r>
      <w:r w:rsidR="00EB33EB" w:rsidRPr="00CA7332">
        <w:t>separately.  The TWA agreed to request a video link with the experts from the TWC to discuss the proposed “Approach 3”.</w:t>
      </w:r>
    </w:p>
    <w:p w:rsidR="00EB33EB" w:rsidRPr="00CA7332" w:rsidRDefault="00EB33EB" w:rsidP="00EB33EB"/>
    <w:p w:rsidR="00EB33EB" w:rsidRPr="00767E68" w:rsidRDefault="000C5373" w:rsidP="00EB33EB">
      <w:r w:rsidRPr="00CA7332">
        <w:fldChar w:fldCharType="begin"/>
      </w:r>
      <w:r w:rsidRPr="00CA7332">
        <w:instrText xml:space="preserve"> AUTONUM  </w:instrText>
      </w:r>
      <w:r w:rsidRPr="00CA7332">
        <w:fldChar w:fldCharType="end"/>
      </w:r>
      <w:r w:rsidRPr="00CA7332">
        <w:tab/>
      </w:r>
      <w:r w:rsidR="00EB33EB" w:rsidRPr="00CA7332">
        <w:t>The TWA agreed to propose that the first sentence in Annex I be amended to read: “two independent</w:t>
      </w:r>
      <w:r w:rsidR="00EB33EB">
        <w:t xml:space="preserve"> growing cycles could take place in a single location in different years, or in different locations in the same year, according to document TGP/8 Part I, Sections 1.2 and 1.3.”</w:t>
      </w:r>
    </w:p>
    <w:p w:rsidR="00EB33EB" w:rsidRPr="00767E68" w:rsidRDefault="00EB33EB" w:rsidP="00EB33EB"/>
    <w:p w:rsidR="00EB33EB" w:rsidRDefault="000C5373" w:rsidP="00EB33EB">
      <w:pPr>
        <w:rPr>
          <w:rFonts w:eastAsia="SimSun"/>
          <w:lang w:eastAsia="zh-CN"/>
        </w:rPr>
      </w:pPr>
      <w:r>
        <w:rPr>
          <w:rFonts w:eastAsia="SimSun"/>
          <w:lang w:eastAsia="zh-CN"/>
        </w:rPr>
        <w:fldChar w:fldCharType="begin"/>
      </w:r>
      <w:r>
        <w:rPr>
          <w:rFonts w:eastAsia="SimSun"/>
          <w:lang w:eastAsia="zh-CN"/>
        </w:rPr>
        <w:instrText xml:space="preserve"> AUTONUM  </w:instrText>
      </w:r>
      <w:r>
        <w:rPr>
          <w:rFonts w:eastAsia="SimSun"/>
          <w:lang w:eastAsia="zh-CN"/>
        </w:rPr>
        <w:fldChar w:fldCharType="end"/>
      </w:r>
      <w:r>
        <w:rPr>
          <w:rFonts w:eastAsia="SimSun"/>
          <w:lang w:eastAsia="zh-CN"/>
        </w:rPr>
        <w:tab/>
      </w:r>
      <w:r w:rsidR="00EB33EB" w:rsidRPr="00767E68">
        <w:t xml:space="preserve">The TWA considered the draft guidance provided in document TWA/44/9 Annex I, on the possibility to reject a variety on the basis of a lack of uniformity after a single growing cycle.  </w:t>
      </w:r>
      <w:r w:rsidR="00EB33EB" w:rsidRPr="00767E68">
        <w:rPr>
          <w:rFonts w:eastAsia="SimSun"/>
          <w:lang w:eastAsia="zh-CN"/>
        </w:rPr>
        <w:t xml:space="preserve">The TWA agreed </w:t>
      </w:r>
      <w:r w:rsidR="00EB33EB">
        <w:rPr>
          <w:rFonts w:eastAsia="SimSun"/>
          <w:lang w:eastAsia="zh-CN"/>
        </w:rPr>
        <w:t xml:space="preserve">that a variety should not be rejected if the uniformity standard is slightly exceeded in the first year. This possibility should only be used if it can be foreseen that the maximum limit will be exceeded also in another growing cycle. </w:t>
      </w:r>
      <w:r w:rsidR="00EB33EB" w:rsidRPr="00767E68">
        <w:rPr>
          <w:rFonts w:eastAsia="SimSun"/>
          <w:lang w:eastAsia="zh-CN"/>
        </w:rPr>
        <w:t xml:space="preserve">In this regard, the TWA agreed to propose that </w:t>
      </w:r>
      <w:r w:rsidR="00EB33EB" w:rsidRPr="00767E68">
        <w:t xml:space="preserve">the explanation provided in Annex I on the possibility to </w:t>
      </w:r>
      <w:r w:rsidR="00EB33EB" w:rsidRPr="00CA7332">
        <w:t>reject a variety on the basis of a lack of uniformity after a single growing cycle should be amended to read:</w:t>
      </w:r>
      <w:r w:rsidR="00EB33EB" w:rsidRPr="00767E68">
        <w:t xml:space="preserve">  </w:t>
      </w:r>
      <w:r w:rsidR="00EB33EB" w:rsidRPr="00767E68">
        <w:rPr>
          <w:rFonts w:eastAsia="SimSun"/>
          <w:lang w:eastAsia="zh-CN"/>
        </w:rPr>
        <w:t xml:space="preserve">“Furthermore, on the basis of a </w:t>
      </w:r>
      <w:r w:rsidR="00EB33EB" w:rsidRPr="000C5373">
        <w:rPr>
          <w:rFonts w:eastAsia="SimSun"/>
          <w:highlight w:val="lightGray"/>
          <w:u w:val="single"/>
          <w:lang w:eastAsia="zh-CN"/>
        </w:rPr>
        <w:t>clear</w:t>
      </w:r>
      <w:r w:rsidR="00EB33EB" w:rsidRPr="00767E68">
        <w:rPr>
          <w:rFonts w:eastAsia="SimSun"/>
          <w:lang w:eastAsia="zh-CN"/>
        </w:rPr>
        <w:t xml:space="preserve"> lack of uniformity, a variety may be rejected after a single growing cycle”</w:t>
      </w:r>
      <w:r w:rsidR="00693839">
        <w:rPr>
          <w:rFonts w:eastAsia="SimSun"/>
          <w:lang w:eastAsia="zh-CN"/>
        </w:rPr>
        <w:t>.</w:t>
      </w:r>
    </w:p>
    <w:p w:rsidR="00EB33EB" w:rsidRDefault="00EB33EB" w:rsidP="00EB33EB"/>
    <w:p w:rsidR="00EB33EB" w:rsidRPr="00AA56DF" w:rsidRDefault="00720F43" w:rsidP="00720F43">
      <w:pPr>
        <w:pStyle w:val="Heading3"/>
      </w:pPr>
      <w:bookmarkStart w:id="13" w:name="_Toc449715855"/>
      <w:r>
        <w:t>Technical Working Party for Fruit Crops</w:t>
      </w:r>
      <w:bookmarkEnd w:id="13"/>
    </w:p>
    <w:p w:rsidR="00720F43" w:rsidRDefault="00720F43" w:rsidP="00EB33EB"/>
    <w:p w:rsidR="00EB33EB" w:rsidRPr="009604AB" w:rsidRDefault="00720F43" w:rsidP="00EB33EB">
      <w:r>
        <w:fldChar w:fldCharType="begin"/>
      </w:r>
      <w:r>
        <w:instrText xml:space="preserve"> AUTONUM  </w:instrText>
      </w:r>
      <w:r>
        <w:fldChar w:fldCharType="end"/>
      </w:r>
      <w:r>
        <w:tab/>
      </w:r>
      <w:r w:rsidR="00EB33EB" w:rsidRPr="009604AB">
        <w:t xml:space="preserve">The TWF received </w:t>
      </w:r>
      <w:r w:rsidR="00EB33EB">
        <w:t xml:space="preserve">an oral report </w:t>
      </w:r>
      <w:r w:rsidR="00EB33EB" w:rsidRPr="009604AB">
        <w:t xml:space="preserve">by an expert from New Zealand on </w:t>
      </w:r>
      <w:r w:rsidR="00EB33EB">
        <w:t>t</w:t>
      </w:r>
      <w:r w:rsidR="00EB33EB" w:rsidRPr="009604AB">
        <w:t xml:space="preserve">he </w:t>
      </w:r>
      <w:r w:rsidR="00EB33EB">
        <w:t>a</w:t>
      </w:r>
      <w:r w:rsidR="00EB33EB" w:rsidRPr="009604AB">
        <w:t xml:space="preserve">ssessment of </w:t>
      </w:r>
      <w:r w:rsidR="00EB33EB">
        <w:t>u</w:t>
      </w:r>
      <w:r w:rsidR="00EB33EB" w:rsidRPr="009604AB">
        <w:t xml:space="preserve">niformity using more than one </w:t>
      </w:r>
      <w:r w:rsidR="00EB33EB">
        <w:t>g</w:t>
      </w:r>
      <w:r w:rsidR="00EB33EB" w:rsidRPr="009604AB">
        <w:t xml:space="preserve">rowing </w:t>
      </w:r>
      <w:r w:rsidR="00EB33EB">
        <w:t>c</w:t>
      </w:r>
      <w:r w:rsidR="00EB33EB" w:rsidRPr="009604AB">
        <w:t xml:space="preserve">ycle: New Zealand’s experience for apple varieties originating as mutations.  </w:t>
      </w:r>
    </w:p>
    <w:p w:rsidR="00EB33EB" w:rsidRPr="00FD7178" w:rsidRDefault="00EB33EB" w:rsidP="00EB33EB">
      <w:pPr>
        <w:rPr>
          <w:highlight w:val="cyan"/>
        </w:rPr>
      </w:pPr>
    </w:p>
    <w:p w:rsidR="00EB33EB" w:rsidRPr="009604AB" w:rsidRDefault="00720F43" w:rsidP="00EB33EB">
      <w:r>
        <w:fldChar w:fldCharType="begin"/>
      </w:r>
      <w:r>
        <w:instrText xml:space="preserve"> AUTONUM  </w:instrText>
      </w:r>
      <w:r>
        <w:fldChar w:fldCharType="end"/>
      </w:r>
      <w:r>
        <w:tab/>
      </w:r>
      <w:r w:rsidR="00EB33EB" w:rsidRPr="009604AB">
        <w:t xml:space="preserve">The TWF also received </w:t>
      </w:r>
      <w:r w:rsidR="00EB33EB">
        <w:t xml:space="preserve">an oral report </w:t>
      </w:r>
      <w:r w:rsidR="00EB33EB" w:rsidRPr="009604AB">
        <w:t xml:space="preserve">by an expert from France on </w:t>
      </w:r>
      <w:r w:rsidR="00EB33EB">
        <w:t>a</w:t>
      </w:r>
      <w:r w:rsidR="00EB33EB" w:rsidRPr="009604AB">
        <w:t xml:space="preserve">ssessing uniformity by off types on basis of more than one growing cycle or on the basis of sub samples: </w:t>
      </w:r>
      <w:r w:rsidR="00EB33EB">
        <w:t>c</w:t>
      </w:r>
      <w:r>
        <w:t>onsiderations on uniformity, d</w:t>
      </w:r>
      <w:r w:rsidR="00EB33EB">
        <w:t>istinction and d</w:t>
      </w:r>
      <w:r w:rsidR="00EB33EB" w:rsidRPr="009604AB">
        <w:t>escription</w:t>
      </w:r>
      <w:r w:rsidR="00EB33EB">
        <w:t>.</w:t>
      </w:r>
      <w:r w:rsidR="00EB33EB" w:rsidRPr="009604AB">
        <w:t xml:space="preserve">  </w:t>
      </w:r>
    </w:p>
    <w:p w:rsidR="00EB33EB" w:rsidRPr="009604AB" w:rsidRDefault="00EB33EB" w:rsidP="00EB33EB"/>
    <w:p w:rsidR="00EB33EB" w:rsidRPr="009604AB" w:rsidRDefault="00720F43" w:rsidP="00EB33EB">
      <w:r>
        <w:fldChar w:fldCharType="begin"/>
      </w:r>
      <w:r>
        <w:instrText xml:space="preserve"> AUTONUM  </w:instrText>
      </w:r>
      <w:r>
        <w:fldChar w:fldCharType="end"/>
      </w:r>
      <w:r>
        <w:tab/>
      </w:r>
      <w:r w:rsidR="00EB33EB" w:rsidRPr="009604AB">
        <w:t>The TWF agreed that the authority in charge of DUS examination should be able to refuse a candidate because of a lack of uniformity after the first growing cycle, in particular for fruit crops where number of growing cycles was normally two.</w:t>
      </w:r>
    </w:p>
    <w:p w:rsidR="00EB33EB" w:rsidRPr="00FD7178" w:rsidRDefault="00EB33EB" w:rsidP="00EB33EB">
      <w:pPr>
        <w:jc w:val="left"/>
        <w:rPr>
          <w:highlight w:val="cyan"/>
        </w:rPr>
      </w:pPr>
    </w:p>
    <w:p w:rsidR="00EB33EB" w:rsidRPr="00CA7332" w:rsidRDefault="00720F43" w:rsidP="00C10BB3">
      <w:pPr>
        <w:keepLines/>
      </w:pPr>
      <w:r w:rsidRPr="00CA7332">
        <w:fldChar w:fldCharType="begin"/>
      </w:r>
      <w:r w:rsidRPr="00CA7332">
        <w:instrText xml:space="preserve"> AUTONUM  </w:instrText>
      </w:r>
      <w:r w:rsidRPr="00CA7332">
        <w:fldChar w:fldCharType="end"/>
      </w:r>
      <w:r w:rsidRPr="00CA7332">
        <w:tab/>
      </w:r>
      <w:r w:rsidR="00EB33EB" w:rsidRPr="00CA7332">
        <w:t>The TWF considered the draft guidance for inclusion in a future revision of document TGP/10,</w:t>
      </w:r>
      <w:r w:rsidR="00EB33EB" w:rsidRPr="00CA7332">
        <w:rPr>
          <w:szCs w:val="24"/>
        </w:rPr>
        <w:t xml:space="preserve"> as presented in Annexes I and II to </w:t>
      </w:r>
      <w:r w:rsidR="00EB33EB" w:rsidRPr="00CA7332">
        <w:t>document TWF/46/9.  The TWF agreed that it should be clarified in the document whether the guidance in Annex I was meant for combining the results of two growing cycles of the same plant material (perennial crops). The TWF agreed that the document should continue to be discussed at its next session.</w:t>
      </w:r>
    </w:p>
    <w:p w:rsidR="00EB33EB" w:rsidRPr="00CA7332" w:rsidRDefault="00EB33EB" w:rsidP="00EB33EB"/>
    <w:p w:rsidR="00EB33EB" w:rsidRDefault="00B73675" w:rsidP="00EB33EB">
      <w:r w:rsidRPr="00CA7332">
        <w:rPr>
          <w:rFonts w:eastAsia="SimSun"/>
          <w:lang w:eastAsia="zh-CN"/>
        </w:rPr>
        <w:fldChar w:fldCharType="begin"/>
      </w:r>
      <w:r w:rsidRPr="00CA7332">
        <w:rPr>
          <w:rFonts w:eastAsia="SimSun"/>
          <w:lang w:eastAsia="zh-CN"/>
        </w:rPr>
        <w:instrText xml:space="preserve"> AUTONUM  </w:instrText>
      </w:r>
      <w:r w:rsidRPr="00CA7332">
        <w:rPr>
          <w:rFonts w:eastAsia="SimSun"/>
          <w:lang w:eastAsia="zh-CN"/>
        </w:rPr>
        <w:fldChar w:fldCharType="end"/>
      </w:r>
      <w:r w:rsidRPr="00CA7332">
        <w:rPr>
          <w:rFonts w:eastAsia="SimSun"/>
          <w:lang w:eastAsia="zh-CN"/>
        </w:rPr>
        <w:tab/>
      </w:r>
      <w:r w:rsidR="00EB33EB" w:rsidRPr="00CA7332">
        <w:rPr>
          <w:rFonts w:eastAsia="SimSun"/>
          <w:lang w:eastAsia="zh-CN"/>
        </w:rPr>
        <w:t>The TWF agreed to propose the following amendment to clarify the decision rule in Annex I, Approach 2: “…a</w:t>
      </w:r>
      <w:r w:rsidR="00EB33EB" w:rsidRPr="00CA7332" w:rsidDel="00882017">
        <w:rPr>
          <w:rFonts w:eastAsia="SimSun"/>
          <w:lang w:eastAsia="zh-CN"/>
        </w:rPr>
        <w:t xml:space="preserve"> </w:t>
      </w:r>
      <w:r w:rsidR="00EB33EB" w:rsidRPr="00CA7332">
        <w:rPr>
          <w:rFonts w:eastAsia="SimSun"/>
          <w:lang w:eastAsia="zh-CN"/>
        </w:rPr>
        <w:t>variety is considered uniform if the total number of off</w:t>
      </w:r>
      <w:r w:rsidR="00EB33EB" w:rsidRPr="00CA7332">
        <w:rPr>
          <w:rFonts w:eastAsia="SimSun"/>
          <w:lang w:eastAsia="zh-CN"/>
        </w:rPr>
        <w:noBreakHyphen/>
        <w:t>types at the end of the two growing</w:t>
      </w:r>
      <w:r w:rsidR="00EB33EB" w:rsidRPr="00E05FA3">
        <w:rPr>
          <w:rFonts w:eastAsia="SimSun"/>
          <w:lang w:eastAsia="zh-CN"/>
        </w:rPr>
        <w:t xml:space="preserve"> cycles does not exceed the number of allowed off-types for the </w:t>
      </w:r>
      <w:r w:rsidR="00EB33EB" w:rsidRPr="002F59F5">
        <w:rPr>
          <w:rFonts w:eastAsia="SimSun"/>
          <w:strike/>
          <w:highlight w:val="lightGray"/>
          <w:lang w:eastAsia="zh-CN"/>
        </w:rPr>
        <w:t xml:space="preserve">combined </w:t>
      </w:r>
      <w:r w:rsidR="00EB33EB" w:rsidRPr="002F59F5">
        <w:rPr>
          <w:rFonts w:eastAsia="SimSun"/>
          <w:lang w:eastAsia="zh-CN"/>
        </w:rPr>
        <w:t>sample</w:t>
      </w:r>
      <w:r w:rsidR="00EB33EB" w:rsidRPr="002F59F5">
        <w:rPr>
          <w:rFonts w:cs="Arial"/>
          <w:color w:val="000000"/>
        </w:rPr>
        <w:t xml:space="preserve"> </w:t>
      </w:r>
      <w:r w:rsidR="00EB33EB" w:rsidRPr="002F59F5">
        <w:rPr>
          <w:rFonts w:cs="Arial"/>
          <w:color w:val="000000"/>
          <w:highlight w:val="lightGray"/>
          <w:u w:val="single"/>
        </w:rPr>
        <w:t>size of growing cycles 1 and 2 combined</w:t>
      </w:r>
      <w:r w:rsidR="00EB33EB" w:rsidRPr="0087397E">
        <w:rPr>
          <w:rFonts w:cs="Arial"/>
          <w:color w:val="000000"/>
        </w:rPr>
        <w:t>”</w:t>
      </w:r>
      <w:r>
        <w:rPr>
          <w:rFonts w:cs="Arial"/>
          <w:color w:val="000000"/>
        </w:rPr>
        <w:t>.</w:t>
      </w:r>
    </w:p>
    <w:p w:rsidR="00F1043E" w:rsidRDefault="00F1043E" w:rsidP="00BF4661"/>
    <w:p w:rsidR="00CA59E0" w:rsidRDefault="00BC4C4D" w:rsidP="00693839">
      <w:pPr>
        <w:pStyle w:val="Heading3"/>
      </w:pPr>
      <w:bookmarkStart w:id="14" w:name="_Toc449715856"/>
      <w:r>
        <w:t>Technical Working Party on Ornamental Plants</w:t>
      </w:r>
      <w:bookmarkEnd w:id="14"/>
    </w:p>
    <w:p w:rsidR="00BC4C4D" w:rsidRDefault="00BC4C4D" w:rsidP="00693839">
      <w:pPr>
        <w:keepNext/>
      </w:pPr>
    </w:p>
    <w:p w:rsidR="00BC4C4D" w:rsidRDefault="00BC4C4D" w:rsidP="00693839">
      <w:pPr>
        <w:keepNext/>
      </w:pPr>
      <w:r>
        <w:fldChar w:fldCharType="begin"/>
      </w:r>
      <w:r>
        <w:instrText xml:space="preserve"> AUTONUM  </w:instrText>
      </w:r>
      <w:r>
        <w:fldChar w:fldCharType="end"/>
      </w:r>
      <w:r>
        <w:tab/>
        <w:t>The TWO noted that when assessing uniformity by off-types on the same plants in two growing cycles the same off-type plants observed in the first growing cycle would still be off-types in the second growing cycle in addition to any other off-type plants observed only in the second growing cycle and agreed that combining the sample sizes in both growing cycles was not useful for the assessment of uniformity by off</w:t>
      </w:r>
      <w:r>
        <w:noBreakHyphen/>
        <w:t xml:space="preserve">types in ornamental plants. </w:t>
      </w:r>
    </w:p>
    <w:p w:rsidR="00BC4C4D" w:rsidRDefault="00BC4C4D" w:rsidP="00BF4661"/>
    <w:p w:rsidR="00BC4C4D" w:rsidRPr="00CA7332" w:rsidRDefault="00BC4C4D" w:rsidP="00BF4661">
      <w:r w:rsidRPr="00CA7332">
        <w:fldChar w:fldCharType="begin"/>
      </w:r>
      <w:r w:rsidRPr="00CA7332">
        <w:instrText xml:space="preserve"> AUTONUM  </w:instrText>
      </w:r>
      <w:r w:rsidRPr="00CA7332">
        <w:fldChar w:fldCharType="end"/>
      </w:r>
      <w:r w:rsidRPr="00CA7332">
        <w:tab/>
        <w:t xml:space="preserve">The TWO agreed that it should be clarified in document TWO/48/9 that the guidance provided was not intended to be used for the assessment of uniformity by off-types on the same plants in two growing cycles. </w:t>
      </w:r>
    </w:p>
    <w:p w:rsidR="00BC4C4D" w:rsidRPr="00CA7332" w:rsidRDefault="00BC4C4D" w:rsidP="00BF4661"/>
    <w:p w:rsidR="00BC4C4D" w:rsidRDefault="00BC4C4D" w:rsidP="00BF4661">
      <w:r w:rsidRPr="00CA7332">
        <w:fldChar w:fldCharType="begin"/>
      </w:r>
      <w:r w:rsidRPr="00CA7332">
        <w:instrText xml:space="preserve"> AUTONUM  </w:instrText>
      </w:r>
      <w:r w:rsidRPr="00CA7332">
        <w:fldChar w:fldCharType="end"/>
      </w:r>
      <w:r w:rsidRPr="00CA7332">
        <w:tab/>
        <w:t>The TWO also agreed that the numbers of off-types in the examples provided in Annex I, second growing cycle column, lines 2 and 3 (number of off-types = 3), should have an asterisk to indicate that “care is needed when considering results that were very different in each of the growing cycles, such as when a type of off-type was observed at a high level in one growing cycle and was absent in another growing cycle.”</w:t>
      </w:r>
    </w:p>
    <w:p w:rsidR="002D6478" w:rsidRDefault="002D6478" w:rsidP="00BF4661"/>
    <w:p w:rsidR="00DC0C5E" w:rsidRDefault="00DC0C5E" w:rsidP="00BF4661"/>
    <w:p w:rsidR="00287CD1" w:rsidRDefault="00F1043E" w:rsidP="00F1043E">
      <w:pPr>
        <w:pStyle w:val="Heading1"/>
      </w:pPr>
      <w:bookmarkStart w:id="15" w:name="_Toc449715857"/>
      <w:r>
        <w:t>DEVELOPMENTS IN 2016</w:t>
      </w:r>
      <w:bookmarkEnd w:id="15"/>
    </w:p>
    <w:p w:rsidR="00F1043E" w:rsidRDefault="00F1043E" w:rsidP="00F1043E"/>
    <w:p w:rsidR="00F1043E" w:rsidRDefault="00F1043E" w:rsidP="00F1043E">
      <w:pPr>
        <w:pStyle w:val="Heading2"/>
      </w:pPr>
      <w:bookmarkStart w:id="16" w:name="_Toc449715858"/>
      <w:r>
        <w:t>Technical Committee</w:t>
      </w:r>
      <w:bookmarkEnd w:id="16"/>
    </w:p>
    <w:p w:rsidR="00F1043E" w:rsidRDefault="00F1043E" w:rsidP="00F1043E"/>
    <w:p w:rsidR="00F1043E" w:rsidRPr="0074496A" w:rsidRDefault="00F1043E" w:rsidP="00F1043E">
      <w:pPr>
        <w:keepNext/>
      </w:pPr>
      <w:r w:rsidRPr="0074496A">
        <w:fldChar w:fldCharType="begin"/>
      </w:r>
      <w:r w:rsidRPr="0074496A">
        <w:instrText xml:space="preserve"> AUTONUM  </w:instrText>
      </w:r>
      <w:r w:rsidRPr="0074496A">
        <w:fldChar w:fldCharType="end"/>
      </w:r>
      <w:r w:rsidRPr="0074496A">
        <w:tab/>
        <w:t>The TC</w:t>
      </w:r>
      <w:r>
        <w:t>, at its fifty-second session, held in Geneva from March 14 to 16, 2016,</w:t>
      </w:r>
      <w:r w:rsidRPr="0074496A">
        <w:t xml:space="preserve"> considered document</w:t>
      </w:r>
      <w:r>
        <w:t> </w:t>
      </w:r>
      <w:r w:rsidRPr="0074496A">
        <w:t xml:space="preserve">TC/52/20 and received a </w:t>
      </w:r>
      <w:r w:rsidRPr="0074496A">
        <w:rPr>
          <w:rFonts w:cs="Arial"/>
          <w:sz w:val="19"/>
          <w:szCs w:val="19"/>
        </w:rPr>
        <w:t xml:space="preserve">presentation by an </w:t>
      </w:r>
      <w:r w:rsidRPr="0074496A">
        <w:rPr>
          <w:rFonts w:hint="eastAsia"/>
          <w:lang w:eastAsia="ja-JP"/>
        </w:rPr>
        <w:t>expert from the United</w:t>
      </w:r>
      <w:r w:rsidRPr="0074496A">
        <w:rPr>
          <w:lang w:eastAsia="ja-JP"/>
        </w:rPr>
        <w:t> Kingdom</w:t>
      </w:r>
      <w:r w:rsidRPr="0074496A">
        <w:rPr>
          <w:rFonts w:cs="Arial"/>
          <w:sz w:val="19"/>
          <w:szCs w:val="19"/>
        </w:rPr>
        <w:t xml:space="preserve"> on </w:t>
      </w:r>
      <w:r w:rsidRPr="0074496A">
        <w:rPr>
          <w:rFonts w:cs="Arial" w:hint="eastAsia"/>
          <w:sz w:val="19"/>
          <w:szCs w:val="19"/>
          <w:lang w:eastAsia="ja-JP"/>
        </w:rPr>
        <w:t>a</w:t>
      </w:r>
      <w:r w:rsidRPr="0074496A">
        <w:rPr>
          <w:rFonts w:cs="Arial"/>
          <w:sz w:val="19"/>
          <w:szCs w:val="19"/>
        </w:rPr>
        <w:t xml:space="preserve">ssessing uniformity by off-types on the basis of more than one growing cycle, a copy of which is </w:t>
      </w:r>
      <w:r>
        <w:rPr>
          <w:rFonts w:cs="Arial"/>
          <w:sz w:val="19"/>
          <w:szCs w:val="19"/>
        </w:rPr>
        <w:t xml:space="preserve">reproduced in </w:t>
      </w:r>
      <w:r w:rsidRPr="0099574A">
        <w:rPr>
          <w:rFonts w:cs="Arial"/>
          <w:sz w:val="19"/>
          <w:szCs w:val="19"/>
        </w:rPr>
        <w:t>Annex III to</w:t>
      </w:r>
      <w:r>
        <w:rPr>
          <w:rFonts w:cs="Arial"/>
          <w:sz w:val="19"/>
          <w:szCs w:val="19"/>
        </w:rPr>
        <w:t xml:space="preserve"> this document</w:t>
      </w:r>
      <w:r w:rsidR="00D95432">
        <w:rPr>
          <w:rFonts w:cs="Arial"/>
          <w:sz w:val="19"/>
          <w:szCs w:val="19"/>
        </w:rPr>
        <w:t xml:space="preserve"> </w:t>
      </w:r>
      <w:r w:rsidR="00D95432">
        <w:t>(see document</w:t>
      </w:r>
      <w:r w:rsidR="002F628B">
        <w:t> </w:t>
      </w:r>
      <w:r w:rsidR="00D95432">
        <w:t>TC/52/29</w:t>
      </w:r>
      <w:r w:rsidR="002F628B">
        <w:t> </w:t>
      </w:r>
      <w:r w:rsidR="00D95432">
        <w:t>Rev. “Revised Report”, paragraphs </w:t>
      </w:r>
      <w:r w:rsidR="00D95432" w:rsidRPr="00D95432">
        <w:t>118 to 121</w:t>
      </w:r>
      <w:r w:rsidR="00D95432">
        <w:t>)</w:t>
      </w:r>
      <w:r w:rsidRPr="0074496A">
        <w:t>.</w:t>
      </w:r>
    </w:p>
    <w:p w:rsidR="00F1043E" w:rsidRPr="0074496A" w:rsidRDefault="00F1043E" w:rsidP="00F1043E"/>
    <w:p w:rsidR="00F1043E" w:rsidRPr="0074496A" w:rsidRDefault="00F1043E" w:rsidP="00F1043E">
      <w:r w:rsidRPr="0074496A">
        <w:fldChar w:fldCharType="begin"/>
      </w:r>
      <w:r w:rsidRPr="0074496A">
        <w:instrText xml:space="preserve"> AUTONUM  </w:instrText>
      </w:r>
      <w:r w:rsidRPr="0074496A">
        <w:fldChar w:fldCharType="end"/>
      </w:r>
      <w:r w:rsidRPr="0074496A">
        <w:tab/>
        <w:t>The TC agreed that the new proposed “Approach 3: Combining the results of two growing cycles” for the assessment of uniformity by off-types, as presented in Annex I to document TC/52/20, should be considered by the TWPs, at their sessions in 2016.</w:t>
      </w:r>
    </w:p>
    <w:p w:rsidR="00F1043E" w:rsidRPr="0074496A" w:rsidRDefault="00F1043E" w:rsidP="00F1043E"/>
    <w:p w:rsidR="00F1043E" w:rsidRPr="0074496A" w:rsidRDefault="00F1043E" w:rsidP="00F1043E">
      <w:r w:rsidRPr="0074496A">
        <w:fldChar w:fldCharType="begin"/>
      </w:r>
      <w:r w:rsidRPr="0074496A">
        <w:instrText xml:space="preserve"> AUTONUM  </w:instrText>
      </w:r>
      <w:r w:rsidRPr="0074496A">
        <w:fldChar w:fldCharType="end"/>
      </w:r>
      <w:r w:rsidRPr="0074496A">
        <w:tab/>
        <w:t>The TC noted that the TWA had agreed to request a video link with the experts from the TWC to discuss the new proposed “Approach 3: Combining the results of two growing cycles” at its forty-fift</w:t>
      </w:r>
      <w:r>
        <w:t>h</w:t>
      </w:r>
      <w:r w:rsidRPr="0074496A">
        <w:t xml:space="preserve"> session, to be held in 2016, and agreed that the </w:t>
      </w:r>
      <w:r>
        <w:t>video link</w:t>
      </w:r>
      <w:r w:rsidRPr="0074496A">
        <w:t xml:space="preserve"> should be open to all interested experts.</w:t>
      </w:r>
    </w:p>
    <w:p w:rsidR="00F1043E" w:rsidRPr="0074496A" w:rsidRDefault="00F1043E" w:rsidP="00F1043E"/>
    <w:p w:rsidR="00F1043E" w:rsidRPr="0074496A" w:rsidRDefault="00F1043E" w:rsidP="00F1043E">
      <w:r w:rsidRPr="0074496A">
        <w:fldChar w:fldCharType="begin"/>
      </w:r>
      <w:r w:rsidRPr="0074496A">
        <w:instrText xml:space="preserve"> AUTONUM  </w:instrText>
      </w:r>
      <w:r w:rsidRPr="0074496A">
        <w:fldChar w:fldCharType="end"/>
      </w:r>
      <w:r w:rsidRPr="0074496A">
        <w:tab/>
        <w:t xml:space="preserve">The TC agreed to clarify that the guidance in </w:t>
      </w:r>
      <w:r w:rsidR="00C824F8">
        <w:t xml:space="preserve">the </w:t>
      </w:r>
      <w:r w:rsidRPr="0074496A">
        <w:t>Annex I</w:t>
      </w:r>
      <w:r w:rsidR="00C824F8">
        <w:t xml:space="preserve"> to this document</w:t>
      </w:r>
      <w:r w:rsidRPr="0074496A">
        <w:t xml:space="preserve"> was not intended to be used for the assessment of uniformity by off-types on the same plants in two growing cycles, as the same off-type plants observed in the first growing cycle would still be off-types in the second growing cycle.</w:t>
      </w:r>
    </w:p>
    <w:p w:rsidR="00F1043E" w:rsidRDefault="00F1043E" w:rsidP="00F1043E"/>
    <w:p w:rsidR="00DC0C5E" w:rsidRPr="00F1043E" w:rsidRDefault="00DC0C5E" w:rsidP="00F1043E"/>
    <w:p w:rsidR="00BF4661" w:rsidRPr="00D65E68" w:rsidRDefault="00BF4661" w:rsidP="00BF4661">
      <w:pPr>
        <w:pStyle w:val="Heading1"/>
      </w:pPr>
      <w:bookmarkStart w:id="17" w:name="_Toc449715859"/>
      <w:r w:rsidRPr="00D65E68">
        <w:t>Summary of approaches</w:t>
      </w:r>
      <w:bookmarkEnd w:id="7"/>
      <w:bookmarkEnd w:id="17"/>
    </w:p>
    <w:p w:rsidR="00BF4661" w:rsidRPr="00D65E68" w:rsidRDefault="00BF4661" w:rsidP="00BF4661">
      <w:pPr>
        <w:keepNext/>
        <w:rPr>
          <w:rFonts w:cs="Arial"/>
          <w:caps/>
          <w:snapToGrid w:val="0"/>
        </w:rPr>
      </w:pPr>
    </w:p>
    <w:p w:rsidR="00BF4661" w:rsidRDefault="00BF4661" w:rsidP="00BF4661">
      <w:pPr>
        <w:keepNext/>
        <w:rPr>
          <w:szCs w:val="24"/>
        </w:rPr>
      </w:pPr>
      <w:r w:rsidRPr="00D8502F">
        <w:fldChar w:fldCharType="begin"/>
      </w:r>
      <w:r w:rsidRPr="00D8502F">
        <w:instrText xml:space="preserve"> AUTONUM  </w:instrText>
      </w:r>
      <w:r w:rsidRPr="00D8502F">
        <w:fldChar w:fldCharType="end"/>
      </w:r>
      <w:r w:rsidRPr="00D8502F">
        <w:tab/>
      </w:r>
      <w:r w:rsidRPr="00D8502F">
        <w:rPr>
          <w:szCs w:val="24"/>
        </w:rPr>
        <w:t xml:space="preserve">Annexes I </w:t>
      </w:r>
      <w:r>
        <w:rPr>
          <w:szCs w:val="24"/>
        </w:rPr>
        <w:t>and II</w:t>
      </w:r>
      <w:r w:rsidRPr="00D8502F">
        <w:rPr>
          <w:szCs w:val="24"/>
        </w:rPr>
        <w:t xml:space="preserve"> to this document</w:t>
      </w:r>
      <w:r>
        <w:rPr>
          <w:szCs w:val="24"/>
        </w:rPr>
        <w:t xml:space="preserve"> </w:t>
      </w:r>
      <w:r w:rsidRPr="00D8502F">
        <w:rPr>
          <w:szCs w:val="24"/>
        </w:rPr>
        <w:t>summarize different situations when different samples are combined for the overall assessment of uniformity of a variety</w:t>
      </w:r>
      <w:r>
        <w:rPr>
          <w:szCs w:val="24"/>
        </w:rPr>
        <w:t xml:space="preserve"> in accordance with the conclusion of the TC at its fifty</w:t>
      </w:r>
      <w:r>
        <w:rPr>
          <w:szCs w:val="24"/>
        </w:rPr>
        <w:noBreakHyphen/>
      </w:r>
      <w:r w:rsidR="002C3A2B">
        <w:rPr>
          <w:szCs w:val="24"/>
        </w:rPr>
        <w:t>second</w:t>
      </w:r>
      <w:r>
        <w:rPr>
          <w:szCs w:val="24"/>
        </w:rPr>
        <w:t xml:space="preserve"> </w:t>
      </w:r>
      <w:r w:rsidRPr="005D7A1E">
        <w:rPr>
          <w:szCs w:val="24"/>
        </w:rPr>
        <w:t>session</w:t>
      </w:r>
      <w:r w:rsidR="002C3A2B">
        <w:rPr>
          <w:szCs w:val="24"/>
        </w:rPr>
        <w:t>.</w:t>
      </w:r>
    </w:p>
    <w:p w:rsidR="002C3A2B" w:rsidRDefault="002C3A2B" w:rsidP="00BF4661">
      <w:pPr>
        <w:rPr>
          <w:rFonts w:cs="Arial"/>
          <w:sz w:val="18"/>
          <w:szCs w:val="22"/>
          <w:u w:val="single"/>
        </w:rPr>
      </w:pPr>
    </w:p>
    <w:p w:rsidR="00BF4661" w:rsidRDefault="00BF4661" w:rsidP="00BF4661">
      <w:r w:rsidRPr="00654E37">
        <w:fldChar w:fldCharType="begin"/>
      </w:r>
      <w:r w:rsidRPr="00654E37">
        <w:instrText xml:space="preserve"> AUTONUM  </w:instrText>
      </w:r>
      <w:r w:rsidRPr="00654E37">
        <w:fldChar w:fldCharType="end"/>
      </w:r>
      <w:r w:rsidRPr="00654E37">
        <w:tab/>
      </w:r>
      <w:r>
        <w:t>The summary in Annexes I and II only relates to situations where more than one sample, or sub</w:t>
      </w:r>
      <w:r>
        <w:noBreakHyphen/>
        <w:t xml:space="preserve">sample, concern the examination of </w:t>
      </w:r>
      <w:r w:rsidRPr="008D0B05">
        <w:t>the same characteristic.</w:t>
      </w:r>
      <w:r>
        <w:t xml:space="preserve">  In the case of different samples, or sub</w:t>
      </w:r>
      <w:r>
        <w:noBreakHyphen/>
        <w:t xml:space="preserve">samples (e.g. special test), to examine a different characteristic there is no requirement to combine the results because a variety is required to be uniform for all </w:t>
      </w:r>
      <w:r w:rsidRPr="00443AD8">
        <w:t>relevant characteristics.</w:t>
      </w:r>
    </w:p>
    <w:p w:rsidR="00BF4661" w:rsidRDefault="00BF4661" w:rsidP="00BF4661">
      <w:pPr>
        <w:jc w:val="left"/>
        <w:rPr>
          <w:szCs w:val="24"/>
        </w:rPr>
      </w:pPr>
    </w:p>
    <w:p w:rsidR="00BF4661" w:rsidRPr="003D2E38" w:rsidRDefault="00BF4661" w:rsidP="002A15A5">
      <w:pPr>
        <w:pStyle w:val="DecisionParagraphs"/>
      </w:pPr>
      <w:r w:rsidRPr="003D2E38">
        <w:fldChar w:fldCharType="begin"/>
      </w:r>
      <w:r w:rsidRPr="003D2E38">
        <w:instrText xml:space="preserve"> AUTONUM  </w:instrText>
      </w:r>
      <w:r w:rsidRPr="003D2E38">
        <w:fldChar w:fldCharType="end"/>
      </w:r>
      <w:r w:rsidRPr="003D2E38">
        <w:tab/>
        <w:t xml:space="preserve">The </w:t>
      </w:r>
      <w:r>
        <w:t>T</w:t>
      </w:r>
      <w:r w:rsidR="00F1043E">
        <w:t>W</w:t>
      </w:r>
      <w:r w:rsidR="00EC681D">
        <w:t>O</w:t>
      </w:r>
      <w:r w:rsidRPr="003D2E38">
        <w:t xml:space="preserve"> is invited to: </w:t>
      </w:r>
    </w:p>
    <w:p w:rsidR="00516825" w:rsidRPr="00516825" w:rsidRDefault="00516825" w:rsidP="002A15A5">
      <w:pPr>
        <w:pStyle w:val="DecisionParagraphs"/>
        <w:keepLines/>
        <w:tabs>
          <w:tab w:val="clear" w:pos="5387"/>
          <w:tab w:val="left" w:pos="5954"/>
        </w:tabs>
        <w:ind w:firstLine="567"/>
      </w:pPr>
    </w:p>
    <w:p w:rsidR="00BF4661" w:rsidRPr="00021088" w:rsidRDefault="00516825" w:rsidP="002A15A5">
      <w:pPr>
        <w:pStyle w:val="DecisionParagraphs"/>
        <w:keepLines/>
        <w:tabs>
          <w:tab w:val="clear" w:pos="5387"/>
          <w:tab w:val="left" w:pos="5954"/>
        </w:tabs>
        <w:ind w:firstLine="567"/>
      </w:pPr>
      <w:r w:rsidRPr="00021088">
        <w:t>(</w:t>
      </w:r>
      <w:r w:rsidR="009A7580" w:rsidRPr="00021088">
        <w:t>a</w:t>
      </w:r>
      <w:r w:rsidRPr="00021088">
        <w:t>)</w:t>
      </w:r>
      <w:r w:rsidRPr="00021088">
        <w:tab/>
        <w:t>note that the TWA agreed to request a video link with the experts from the TWC to discuss the new proposed “Approach 3: Combining the results of two growing cycles” at its forty-fift</w:t>
      </w:r>
      <w:r w:rsidR="005000EB" w:rsidRPr="00021088">
        <w:t>h</w:t>
      </w:r>
      <w:r w:rsidRPr="00021088">
        <w:t xml:space="preserve"> session, to be held in 2016; </w:t>
      </w:r>
      <w:r w:rsidR="009A7580" w:rsidRPr="00021088">
        <w:t>and</w:t>
      </w:r>
    </w:p>
    <w:p w:rsidR="009A7580" w:rsidRPr="00021088" w:rsidRDefault="009A7580" w:rsidP="009A7580">
      <w:pPr>
        <w:pStyle w:val="DecisionParagraphs"/>
        <w:tabs>
          <w:tab w:val="clear" w:pos="5387"/>
          <w:tab w:val="left" w:pos="5954"/>
        </w:tabs>
        <w:ind w:firstLine="567"/>
      </w:pPr>
    </w:p>
    <w:p w:rsidR="009A7580" w:rsidRPr="00516825" w:rsidRDefault="009A7580" w:rsidP="009A7580">
      <w:pPr>
        <w:pStyle w:val="DecisionParagraphs"/>
        <w:keepLines/>
        <w:tabs>
          <w:tab w:val="clear" w:pos="5387"/>
          <w:tab w:val="left" w:pos="5954"/>
        </w:tabs>
        <w:ind w:firstLine="567"/>
      </w:pPr>
      <w:r w:rsidRPr="00021088">
        <w:t>(</w:t>
      </w:r>
      <w:r w:rsidR="002C3A2B">
        <w:t>b</w:t>
      </w:r>
      <w:r w:rsidRPr="00021088">
        <w:t>)</w:t>
      </w:r>
      <w:r w:rsidRPr="00021088">
        <w:tab/>
        <w:t>consider the draft guidance as presented in Annexes I and II for inclusion in a future revision of document TGP/10.</w:t>
      </w:r>
    </w:p>
    <w:p w:rsidR="002A15A5" w:rsidRDefault="002A15A5" w:rsidP="00A52B4A">
      <w:pPr>
        <w:pStyle w:val="DecisionParagraphs"/>
        <w:keepLines/>
        <w:tabs>
          <w:tab w:val="clear" w:pos="5387"/>
          <w:tab w:val="left" w:pos="5954"/>
        </w:tabs>
        <w:ind w:left="4536" w:firstLine="567"/>
      </w:pPr>
    </w:p>
    <w:p w:rsidR="002A15A5" w:rsidRDefault="002A15A5" w:rsidP="00A52B4A">
      <w:pPr>
        <w:pStyle w:val="DecisionParagraphs"/>
        <w:keepLines/>
        <w:tabs>
          <w:tab w:val="clear" w:pos="5387"/>
          <w:tab w:val="left" w:pos="5954"/>
        </w:tabs>
        <w:ind w:left="4536" w:firstLine="567"/>
      </w:pPr>
    </w:p>
    <w:p w:rsidR="002A15A5" w:rsidRDefault="002A15A5" w:rsidP="00A52B4A">
      <w:pPr>
        <w:pStyle w:val="DecisionParagraphs"/>
        <w:keepLines/>
        <w:tabs>
          <w:tab w:val="clear" w:pos="5387"/>
          <w:tab w:val="left" w:pos="5954"/>
        </w:tabs>
        <w:ind w:left="4536" w:firstLine="567"/>
      </w:pPr>
    </w:p>
    <w:p w:rsidR="00BF4661" w:rsidRDefault="00BF4661" w:rsidP="002C3A2B">
      <w:pPr>
        <w:jc w:val="right"/>
      </w:pPr>
      <w:r>
        <w:t>[Annexes follow]</w:t>
      </w:r>
    </w:p>
    <w:p w:rsidR="00BF4661" w:rsidRDefault="00BF4661" w:rsidP="00BF4661">
      <w:pPr>
        <w:rPr>
          <w:snapToGrid w:val="0"/>
        </w:rPr>
        <w:sectPr w:rsidR="00BF4661" w:rsidSect="00476F1D">
          <w:headerReference w:type="default" r:id="rId10"/>
          <w:pgSz w:w="11907" w:h="16840" w:code="9"/>
          <w:pgMar w:top="510" w:right="1134" w:bottom="851" w:left="1134" w:header="510" w:footer="680" w:gutter="0"/>
          <w:cols w:space="720"/>
          <w:titlePg/>
        </w:sectPr>
      </w:pPr>
    </w:p>
    <w:tbl>
      <w:tblPr>
        <w:tblW w:w="10206" w:type="dxa"/>
        <w:tblInd w:w="-176"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0206"/>
      </w:tblGrid>
      <w:tr w:rsidR="00BF4661" w:rsidRPr="00ED3415" w:rsidTr="00287CD1">
        <w:trPr>
          <w:trHeight w:val="350"/>
        </w:trPr>
        <w:tc>
          <w:tcPr>
            <w:tcW w:w="10206" w:type="dxa"/>
          </w:tcPr>
          <w:p w:rsidR="00143660" w:rsidRDefault="00143660" w:rsidP="00720F43">
            <w:pPr>
              <w:autoSpaceDE w:val="0"/>
              <w:autoSpaceDN w:val="0"/>
              <w:adjustRightInd w:val="0"/>
              <w:jc w:val="center"/>
              <w:rPr>
                <w:rFonts w:eastAsia="SimSun"/>
                <w:szCs w:val="24"/>
                <w:lang w:eastAsia="zh-CN"/>
              </w:rPr>
            </w:pPr>
          </w:p>
          <w:p w:rsidR="00BF4661" w:rsidRPr="002A2C89" w:rsidRDefault="00BF4661" w:rsidP="00720F43">
            <w:pPr>
              <w:autoSpaceDE w:val="0"/>
              <w:autoSpaceDN w:val="0"/>
              <w:adjustRightInd w:val="0"/>
              <w:jc w:val="center"/>
              <w:rPr>
                <w:rFonts w:eastAsia="SimSun"/>
                <w:szCs w:val="24"/>
                <w:lang w:eastAsia="zh-CN"/>
              </w:rPr>
            </w:pPr>
            <w:r>
              <w:rPr>
                <w:rFonts w:eastAsia="SimSun"/>
                <w:szCs w:val="24"/>
                <w:lang w:eastAsia="zh-CN"/>
              </w:rPr>
              <w:t xml:space="preserve">ASSESSING UNIFORMITY BY OFF-TYPES ON BASIS OF MORE THAN ONE GROWING CYCLE </w:t>
            </w:r>
          </w:p>
          <w:p w:rsidR="00BF4661" w:rsidRPr="002A2C89" w:rsidRDefault="00BF4661" w:rsidP="00720F43">
            <w:pPr>
              <w:autoSpaceDE w:val="0"/>
              <w:autoSpaceDN w:val="0"/>
              <w:adjustRightInd w:val="0"/>
              <w:jc w:val="center"/>
              <w:rPr>
                <w:rFonts w:eastAsia="SimSun"/>
                <w:szCs w:val="24"/>
                <w:lang w:eastAsia="zh-CN"/>
              </w:rPr>
            </w:pPr>
          </w:p>
        </w:tc>
      </w:tr>
      <w:tr w:rsidR="00BF4661" w:rsidRPr="00ED3415" w:rsidTr="000E3F99">
        <w:trPr>
          <w:trHeight w:val="5687"/>
        </w:trPr>
        <w:tc>
          <w:tcPr>
            <w:tcW w:w="10206" w:type="dxa"/>
          </w:tcPr>
          <w:p w:rsidR="00143660" w:rsidRDefault="00143660" w:rsidP="00720F43"/>
          <w:p w:rsidR="00BF4661" w:rsidRPr="00282098" w:rsidRDefault="00BF4661" w:rsidP="00720F43">
            <w:pPr>
              <w:rPr>
                <w:szCs w:val="24"/>
              </w:rPr>
            </w:pPr>
            <w:r w:rsidRPr="00282098">
              <w:t>Two independent growing cycles could take place in a single location in different years, or in different locations in the same year</w:t>
            </w:r>
            <w:r w:rsidR="003A2653" w:rsidRPr="00282098">
              <w:t>, according to</w:t>
            </w:r>
            <w:r w:rsidRPr="00282098">
              <w:t xml:space="preserve"> document TGP/8 Part I, Section</w:t>
            </w:r>
            <w:r w:rsidR="003A2653" w:rsidRPr="00282098">
              <w:t>s</w:t>
            </w:r>
            <w:r w:rsidRPr="00282098">
              <w:t xml:space="preserve"> 1.2</w:t>
            </w:r>
            <w:r w:rsidR="003A2653" w:rsidRPr="00282098">
              <w:t xml:space="preserve"> and 1.3</w:t>
            </w:r>
            <w:r w:rsidR="00282098" w:rsidRPr="00282098">
              <w:t>.</w:t>
            </w:r>
          </w:p>
          <w:p w:rsidR="00BF4661" w:rsidRPr="00282098" w:rsidRDefault="00BF4661" w:rsidP="00720F43">
            <w:pPr>
              <w:rPr>
                <w:szCs w:val="24"/>
              </w:rPr>
            </w:pPr>
          </w:p>
          <w:p w:rsidR="00D6322F" w:rsidRPr="00282098" w:rsidRDefault="00D6322F" w:rsidP="00720F43">
            <w:pPr>
              <w:rPr>
                <w:szCs w:val="24"/>
              </w:rPr>
            </w:pPr>
            <w:r w:rsidRPr="00282098">
              <w:t>The following guidance is not intended to be used for the assessment of uniformity by off-types on the same plants in two growing cycles.</w:t>
            </w:r>
          </w:p>
          <w:p w:rsidR="00143660" w:rsidRPr="00282098" w:rsidRDefault="00143660" w:rsidP="00720F43">
            <w:pPr>
              <w:rPr>
                <w:szCs w:val="24"/>
              </w:rPr>
            </w:pPr>
          </w:p>
          <w:p w:rsidR="00D6322F" w:rsidRPr="004932A7" w:rsidRDefault="00D6322F" w:rsidP="00720F43">
            <w:pPr>
              <w:rPr>
                <w:szCs w:val="24"/>
              </w:rPr>
            </w:pPr>
          </w:p>
          <w:p w:rsidR="00BF4661" w:rsidRDefault="00BF4661" w:rsidP="00720F43">
            <w:pPr>
              <w:rPr>
                <w:b/>
                <w:szCs w:val="24"/>
              </w:rPr>
            </w:pPr>
            <w:r>
              <w:rPr>
                <w:b/>
                <w:szCs w:val="24"/>
              </w:rPr>
              <w:t>Approach 1:  Third growing cycle in the case of</w:t>
            </w:r>
            <w:r w:rsidRPr="00C9028D">
              <w:rPr>
                <w:b/>
                <w:szCs w:val="24"/>
              </w:rPr>
              <w:t xml:space="preserve"> i</w:t>
            </w:r>
            <w:r>
              <w:rPr>
                <w:b/>
                <w:szCs w:val="24"/>
              </w:rPr>
              <w:t xml:space="preserve">nconsistent results </w:t>
            </w:r>
          </w:p>
          <w:p w:rsidR="00BF4661" w:rsidRPr="00C9028D" w:rsidRDefault="00BF4661" w:rsidP="00720F43">
            <w:pPr>
              <w:rPr>
                <w:b/>
                <w:szCs w:val="24"/>
              </w:rPr>
            </w:pPr>
          </w:p>
          <w:p w:rsidR="00BF4661" w:rsidRDefault="00BF4661" w:rsidP="00720F43">
            <w:pPr>
              <w:rPr>
                <w:rFonts w:eastAsia="SimSun"/>
                <w:szCs w:val="24"/>
                <w:lang w:eastAsia="zh-CN"/>
              </w:rPr>
            </w:pPr>
            <w:r w:rsidRPr="00ED3415">
              <w:rPr>
                <w:rFonts w:eastAsia="SimSun"/>
                <w:szCs w:val="24"/>
                <w:lang w:eastAsia="zh-CN"/>
              </w:rPr>
              <w:t>A variety is considered uniform if it is within the uniformity stan</w:t>
            </w:r>
            <w:r>
              <w:rPr>
                <w:rFonts w:eastAsia="SimSun"/>
                <w:szCs w:val="24"/>
                <w:lang w:eastAsia="zh-CN"/>
              </w:rPr>
              <w:t>dard in both of the two growing</w:t>
            </w:r>
            <w:r w:rsidRPr="00ED3415">
              <w:rPr>
                <w:rFonts w:eastAsia="SimSun"/>
                <w:szCs w:val="24"/>
                <w:lang w:eastAsia="zh-CN"/>
              </w:rPr>
              <w:t xml:space="preserve"> cycles</w:t>
            </w:r>
            <w:r>
              <w:rPr>
                <w:rFonts w:eastAsia="SimSun"/>
                <w:szCs w:val="24"/>
                <w:lang w:eastAsia="zh-CN"/>
              </w:rPr>
              <w:t>.</w:t>
            </w:r>
          </w:p>
          <w:p w:rsidR="00BF4661" w:rsidRPr="00ED3415" w:rsidRDefault="00BF4661" w:rsidP="00720F43">
            <w:pPr>
              <w:rPr>
                <w:rFonts w:eastAsia="SimSun"/>
                <w:szCs w:val="24"/>
                <w:lang w:eastAsia="zh-CN"/>
              </w:rPr>
            </w:pPr>
          </w:p>
          <w:p w:rsidR="00BF4661" w:rsidRDefault="00BF4661" w:rsidP="00720F43">
            <w:pPr>
              <w:rPr>
                <w:rFonts w:eastAsia="SimSun"/>
                <w:szCs w:val="24"/>
                <w:lang w:eastAsia="zh-CN"/>
              </w:rPr>
            </w:pPr>
            <w:r w:rsidRPr="00ED3415">
              <w:rPr>
                <w:rFonts w:eastAsia="SimSun"/>
                <w:szCs w:val="24"/>
                <w:lang w:eastAsia="zh-CN"/>
              </w:rPr>
              <w:t>A variety is considered non-uniform if it fails to meet the uniformity stan</w:t>
            </w:r>
            <w:r>
              <w:rPr>
                <w:rFonts w:eastAsia="SimSun"/>
                <w:szCs w:val="24"/>
                <w:lang w:eastAsia="zh-CN"/>
              </w:rPr>
              <w:t>dard in both of the two growing</w:t>
            </w:r>
            <w:r w:rsidRPr="00ED3415">
              <w:rPr>
                <w:rFonts w:eastAsia="SimSun"/>
                <w:szCs w:val="24"/>
                <w:lang w:eastAsia="zh-CN"/>
              </w:rPr>
              <w:t xml:space="preserve"> cycles.</w:t>
            </w:r>
          </w:p>
          <w:p w:rsidR="00BF4661" w:rsidRPr="00ED3415" w:rsidRDefault="00BF4661" w:rsidP="00720F43">
            <w:pPr>
              <w:rPr>
                <w:rFonts w:eastAsia="SimSun"/>
                <w:szCs w:val="24"/>
                <w:lang w:eastAsia="zh-CN"/>
              </w:rPr>
            </w:pPr>
          </w:p>
          <w:p w:rsidR="00BF4661" w:rsidRDefault="00BF4661" w:rsidP="00720F43">
            <w:pPr>
              <w:keepNext/>
              <w:keepLines/>
              <w:rPr>
                <w:rFonts w:eastAsia="SimSun"/>
                <w:szCs w:val="24"/>
                <w:lang w:eastAsia="zh-CN"/>
              </w:rPr>
            </w:pPr>
            <w:r w:rsidRPr="00ED3415">
              <w:rPr>
                <w:rFonts w:eastAsia="SimSun"/>
                <w:szCs w:val="24"/>
                <w:lang w:eastAsia="zh-CN"/>
              </w:rPr>
              <w:t>I</w:t>
            </w:r>
            <w:r>
              <w:rPr>
                <w:rFonts w:eastAsia="SimSun"/>
                <w:szCs w:val="24"/>
                <w:lang w:eastAsia="zh-CN"/>
              </w:rPr>
              <w:t xml:space="preserve">f at the end of the </w:t>
            </w:r>
            <w:r w:rsidRPr="00F16672">
              <w:rPr>
                <w:rFonts w:eastAsia="SimSun"/>
                <w:szCs w:val="24"/>
                <w:lang w:eastAsia="zh-CN"/>
              </w:rPr>
              <w:t>two growing cycles</w:t>
            </w:r>
            <w:r w:rsidRPr="00ED3415">
              <w:rPr>
                <w:rFonts w:eastAsia="SimSun"/>
                <w:szCs w:val="24"/>
                <w:lang w:eastAsia="zh-CN"/>
              </w:rPr>
              <w:t xml:space="preserve"> the variety is within the</w:t>
            </w:r>
            <w:r>
              <w:rPr>
                <w:rFonts w:eastAsia="SimSun"/>
                <w:szCs w:val="24"/>
                <w:lang w:eastAsia="zh-CN"/>
              </w:rPr>
              <w:t xml:space="preserve"> uniformity standard in </w:t>
            </w:r>
            <w:r w:rsidRPr="00F16672">
              <w:rPr>
                <w:rFonts w:eastAsia="SimSun"/>
                <w:szCs w:val="24"/>
                <w:lang w:eastAsia="zh-CN"/>
              </w:rPr>
              <w:t>one growing</w:t>
            </w:r>
            <w:r w:rsidRPr="00ED3415">
              <w:rPr>
                <w:rFonts w:eastAsia="SimSun"/>
                <w:szCs w:val="24"/>
                <w:lang w:eastAsia="zh-CN"/>
              </w:rPr>
              <w:t xml:space="preserve"> cycle but is not within the uniformity standard in the other growing cycle, then unif</w:t>
            </w:r>
            <w:r>
              <w:rPr>
                <w:rFonts w:eastAsia="SimSun"/>
                <w:szCs w:val="24"/>
                <w:lang w:eastAsia="zh-CN"/>
              </w:rPr>
              <w:t xml:space="preserve">ormity is assessed in a third </w:t>
            </w:r>
            <w:r w:rsidRPr="00F16672">
              <w:rPr>
                <w:rFonts w:eastAsia="SimSun"/>
                <w:szCs w:val="24"/>
                <w:lang w:eastAsia="zh-CN"/>
              </w:rPr>
              <w:t>growing</w:t>
            </w:r>
            <w:r w:rsidRPr="00ED3415">
              <w:rPr>
                <w:rFonts w:eastAsia="SimSun"/>
                <w:szCs w:val="24"/>
                <w:lang w:eastAsia="zh-CN"/>
              </w:rPr>
              <w:t xml:space="preserve"> cycle</w:t>
            </w:r>
            <w:r>
              <w:rPr>
                <w:rFonts w:eastAsia="SimSun"/>
                <w:szCs w:val="24"/>
                <w:lang w:eastAsia="zh-CN"/>
              </w:rPr>
              <w:t xml:space="preserve">.  If in the third </w:t>
            </w:r>
            <w:r w:rsidRPr="00F16672">
              <w:rPr>
                <w:rFonts w:eastAsia="SimSun"/>
                <w:szCs w:val="24"/>
                <w:lang w:eastAsia="zh-CN"/>
              </w:rPr>
              <w:t>growing</w:t>
            </w:r>
            <w:r w:rsidRPr="00ED3415">
              <w:rPr>
                <w:rFonts w:eastAsia="SimSun"/>
                <w:szCs w:val="24"/>
                <w:lang w:eastAsia="zh-CN"/>
              </w:rPr>
              <w:t xml:space="preserve"> cycle the variety is within the uniformity standard, the variety is consi</w:t>
            </w:r>
            <w:r>
              <w:rPr>
                <w:rFonts w:eastAsia="SimSun"/>
                <w:szCs w:val="24"/>
                <w:lang w:eastAsia="zh-CN"/>
              </w:rPr>
              <w:t>dered uniform.  If in</w:t>
            </w:r>
            <w:r w:rsidRPr="00ED3415">
              <w:rPr>
                <w:rFonts w:eastAsia="SimSun"/>
                <w:szCs w:val="24"/>
                <w:lang w:eastAsia="zh-CN"/>
              </w:rPr>
              <w:t xml:space="preserve"> the third </w:t>
            </w:r>
            <w:r>
              <w:rPr>
                <w:rFonts w:eastAsia="SimSun"/>
                <w:szCs w:val="24"/>
                <w:lang w:eastAsia="zh-CN"/>
              </w:rPr>
              <w:t>growing</w:t>
            </w:r>
            <w:r w:rsidRPr="00ED3415">
              <w:rPr>
                <w:rFonts w:eastAsia="SimSun"/>
                <w:szCs w:val="24"/>
                <w:lang w:eastAsia="zh-CN"/>
              </w:rPr>
              <w:t xml:space="preserve"> cycle the variety fails to meet the uniformity standard, the variety is considered non-uniform.</w:t>
            </w:r>
          </w:p>
          <w:p w:rsidR="00BF4661" w:rsidRDefault="00BF4661" w:rsidP="00720F43">
            <w:pPr>
              <w:keepNext/>
              <w:keepLines/>
              <w:rPr>
                <w:color w:val="000000"/>
                <w:szCs w:val="24"/>
              </w:rPr>
            </w:pPr>
          </w:p>
          <w:p w:rsidR="00BF4661" w:rsidRDefault="00BF4661" w:rsidP="00720F43">
            <w:pPr>
              <w:keepNext/>
              <w:keepLines/>
              <w:rPr>
                <w:rFonts w:eastAsia="SimSun"/>
                <w:szCs w:val="24"/>
                <w:lang w:eastAsia="zh-CN"/>
              </w:rPr>
            </w:pPr>
            <w:r>
              <w:rPr>
                <w:color w:val="000000"/>
                <w:szCs w:val="24"/>
              </w:rPr>
              <w:t>C</w:t>
            </w:r>
            <w:r w:rsidRPr="00917C3E">
              <w:rPr>
                <w:color w:val="000000"/>
                <w:szCs w:val="24"/>
              </w:rPr>
              <w:t xml:space="preserve">are </w:t>
            </w:r>
            <w:r>
              <w:rPr>
                <w:color w:val="000000"/>
                <w:szCs w:val="24"/>
              </w:rPr>
              <w:t xml:space="preserve">is </w:t>
            </w:r>
            <w:r w:rsidRPr="00917C3E">
              <w:rPr>
                <w:color w:val="000000"/>
                <w:szCs w:val="24"/>
              </w:rPr>
              <w:t>needed when considering results that were very different in each of the growing cycles, such as when a type of off-type was observed at a high level in one growing cycle and was absent in another growing cycle.</w:t>
            </w:r>
          </w:p>
          <w:p w:rsidR="00BF4661" w:rsidRDefault="00BF4661" w:rsidP="00720F43">
            <w:pPr>
              <w:keepNext/>
              <w:keepLines/>
              <w:rPr>
                <w:rFonts w:eastAsia="SimSun"/>
                <w:szCs w:val="24"/>
                <w:lang w:eastAsia="zh-CN"/>
              </w:rPr>
            </w:pPr>
          </w:p>
          <w:p w:rsidR="00BF4661" w:rsidRDefault="00BF4661" w:rsidP="00720F43">
            <w:pPr>
              <w:keepNext/>
              <w:keepLines/>
              <w:rPr>
                <w:rFonts w:eastAsia="SimSun"/>
                <w:szCs w:val="24"/>
                <w:lang w:eastAsia="zh-CN"/>
              </w:rPr>
            </w:pPr>
            <w:r>
              <w:rPr>
                <w:rFonts w:eastAsia="SimSun"/>
                <w:szCs w:val="24"/>
                <w:lang w:eastAsia="zh-CN"/>
              </w:rPr>
              <w:t xml:space="preserve">Furthermore, on the basis of a </w:t>
            </w:r>
            <w:r w:rsidR="003A2653" w:rsidRPr="00282098">
              <w:rPr>
                <w:rFonts w:eastAsia="SimSun"/>
                <w:szCs w:val="24"/>
                <w:lang w:eastAsia="zh-CN"/>
              </w:rPr>
              <w:t>clear</w:t>
            </w:r>
            <w:r w:rsidR="003A2653">
              <w:rPr>
                <w:rFonts w:eastAsia="SimSun"/>
                <w:szCs w:val="24"/>
                <w:lang w:eastAsia="zh-CN"/>
              </w:rPr>
              <w:t xml:space="preserve"> </w:t>
            </w:r>
            <w:r>
              <w:rPr>
                <w:rFonts w:eastAsia="SimSun"/>
                <w:szCs w:val="24"/>
                <w:lang w:eastAsia="zh-CN"/>
              </w:rPr>
              <w:t>lack of uniformity, a variety may be rejected after a single growing cycle.</w:t>
            </w:r>
          </w:p>
          <w:p w:rsidR="00BF4661" w:rsidRDefault="00BF4661" w:rsidP="00720F43">
            <w:pPr>
              <w:keepNext/>
              <w:keepLines/>
              <w:rPr>
                <w:rFonts w:eastAsia="SimSun"/>
                <w:szCs w:val="24"/>
                <w:lang w:eastAsia="zh-CN"/>
              </w:rPr>
            </w:pPr>
          </w:p>
          <w:p w:rsidR="00143660" w:rsidRDefault="00143660" w:rsidP="00720F43">
            <w:pPr>
              <w:keepNext/>
              <w:keepLines/>
              <w:rPr>
                <w:rFonts w:eastAsia="SimSun"/>
                <w:szCs w:val="24"/>
                <w:lang w:eastAsia="zh-CN"/>
              </w:rPr>
            </w:pPr>
          </w:p>
          <w:p w:rsidR="00BF4661" w:rsidRDefault="00BF4661" w:rsidP="00720F43">
            <w:pPr>
              <w:rPr>
                <w:b/>
                <w:szCs w:val="24"/>
              </w:rPr>
            </w:pPr>
            <w:r>
              <w:rPr>
                <w:b/>
                <w:szCs w:val="24"/>
              </w:rPr>
              <w:t>Approach 2:  Combining the results of two growing cycles</w:t>
            </w:r>
            <w:r w:rsidR="00DD7375" w:rsidRPr="00282098">
              <w:rPr>
                <w:b/>
                <w:szCs w:val="24"/>
              </w:rPr>
              <w:t xml:space="preserve"> in the case of inconsistent results</w:t>
            </w:r>
          </w:p>
          <w:p w:rsidR="00BF4661" w:rsidRPr="00AE31A9" w:rsidRDefault="00BF4661" w:rsidP="00720F43">
            <w:pPr>
              <w:keepNext/>
              <w:keepLines/>
              <w:rPr>
                <w:rFonts w:eastAsia="MS Mincho"/>
                <w:color w:val="000000"/>
                <w:lang w:eastAsia="ja-JP"/>
              </w:rPr>
            </w:pPr>
          </w:p>
          <w:p w:rsidR="00BF4661" w:rsidRDefault="00BF4661" w:rsidP="00720F43">
            <w:pPr>
              <w:rPr>
                <w:rFonts w:eastAsia="SimSun"/>
                <w:lang w:eastAsia="zh-CN"/>
              </w:rPr>
            </w:pPr>
            <w:r w:rsidRPr="00160D6F">
              <w:rPr>
                <w:rFonts w:eastAsia="SimSun"/>
                <w:lang w:eastAsia="zh-CN"/>
              </w:rPr>
              <w:t>A variety is considered uniform if it is w</w:t>
            </w:r>
            <w:r>
              <w:rPr>
                <w:rFonts w:eastAsia="SimSun"/>
                <w:lang w:eastAsia="zh-CN"/>
              </w:rPr>
              <w:t>ithin the uniformity standard in</w:t>
            </w:r>
            <w:r w:rsidRPr="00160D6F">
              <w:rPr>
                <w:rFonts w:eastAsia="SimSun"/>
                <w:lang w:eastAsia="zh-CN"/>
              </w:rPr>
              <w:t xml:space="preserve"> both of the two growing cycles</w:t>
            </w:r>
            <w:r>
              <w:rPr>
                <w:rFonts w:eastAsia="SimSun"/>
                <w:lang w:eastAsia="zh-CN"/>
              </w:rPr>
              <w:t>.</w:t>
            </w:r>
          </w:p>
          <w:p w:rsidR="00BF4661" w:rsidRDefault="00BF4661" w:rsidP="00720F43">
            <w:pPr>
              <w:rPr>
                <w:rFonts w:eastAsia="SimSun"/>
                <w:lang w:eastAsia="zh-CN"/>
              </w:rPr>
            </w:pPr>
          </w:p>
          <w:p w:rsidR="00BF4661" w:rsidRPr="002302DC" w:rsidRDefault="00BF4661" w:rsidP="00720F43">
            <w:pPr>
              <w:rPr>
                <w:rFonts w:eastAsia="SimSun"/>
                <w:lang w:eastAsia="zh-CN"/>
              </w:rPr>
            </w:pPr>
            <w:r w:rsidRPr="002302DC">
              <w:rPr>
                <w:rFonts w:eastAsia="SimSun"/>
                <w:lang w:eastAsia="zh-CN"/>
              </w:rPr>
              <w:t>A variety is considered non-uniform if it fails to meet the uniformity standard in both of the two growing cycles.</w:t>
            </w:r>
          </w:p>
          <w:p w:rsidR="00BF4661" w:rsidRPr="00160D6F" w:rsidRDefault="00BF4661" w:rsidP="00720F43">
            <w:pPr>
              <w:rPr>
                <w:rFonts w:eastAsia="SimSun"/>
                <w:lang w:eastAsia="zh-CN"/>
              </w:rPr>
            </w:pPr>
          </w:p>
          <w:p w:rsidR="00BF4661" w:rsidRPr="00183337" w:rsidRDefault="00BF4661" w:rsidP="00720F43">
            <w:pPr>
              <w:keepNext/>
              <w:keepLines/>
              <w:rPr>
                <w:rFonts w:eastAsia="SimSun"/>
                <w:lang w:eastAsia="zh-CN"/>
              </w:rPr>
            </w:pPr>
            <w:r w:rsidRPr="00183337">
              <w:rPr>
                <w:rFonts w:eastAsia="SimSun"/>
                <w:lang w:eastAsia="zh-CN"/>
              </w:rPr>
              <w:t>If at the end of the two growing cycles the variety is within the uniformity standard in one growing cycle but is not within the uniformity standard in the other growing cycle, a</w:t>
            </w:r>
            <w:r w:rsidRPr="00183337" w:rsidDel="00882017">
              <w:rPr>
                <w:rFonts w:eastAsia="SimSun"/>
                <w:lang w:eastAsia="zh-CN"/>
              </w:rPr>
              <w:t xml:space="preserve"> </w:t>
            </w:r>
            <w:r w:rsidRPr="00183337">
              <w:rPr>
                <w:rFonts w:eastAsia="SimSun"/>
                <w:lang w:eastAsia="zh-CN"/>
              </w:rPr>
              <w:t>variety is considered uniform if the total number of off</w:t>
            </w:r>
            <w:r>
              <w:rPr>
                <w:rFonts w:eastAsia="SimSun"/>
                <w:lang w:eastAsia="zh-CN"/>
              </w:rPr>
              <w:noBreakHyphen/>
            </w:r>
            <w:r w:rsidRPr="00183337">
              <w:rPr>
                <w:rFonts w:eastAsia="SimSun"/>
                <w:lang w:eastAsia="zh-CN"/>
              </w:rPr>
              <w:t>types at the end of the two growing cycles does not exceed the number of allowed off-types for the sample</w:t>
            </w:r>
            <w:r w:rsidR="00D579C7">
              <w:rPr>
                <w:rFonts w:eastAsia="SimSun"/>
                <w:lang w:eastAsia="zh-CN"/>
              </w:rPr>
              <w:t xml:space="preserve"> </w:t>
            </w:r>
            <w:r w:rsidR="00D579C7" w:rsidRPr="00282098">
              <w:rPr>
                <w:rFonts w:eastAsia="SimSun"/>
                <w:lang w:eastAsia="zh-CN"/>
              </w:rPr>
              <w:t>size of growing cycles 1 and 2 combined</w:t>
            </w:r>
            <w:r w:rsidRPr="00282098">
              <w:rPr>
                <w:rFonts w:eastAsia="SimSun"/>
                <w:lang w:eastAsia="zh-CN"/>
              </w:rPr>
              <w:t>.</w:t>
            </w:r>
          </w:p>
          <w:p w:rsidR="00BF4661" w:rsidRPr="00183337" w:rsidRDefault="00BF4661" w:rsidP="00720F43">
            <w:pPr>
              <w:keepNext/>
              <w:keepLines/>
              <w:ind w:right="459"/>
              <w:rPr>
                <w:rFonts w:eastAsia="SimSun"/>
                <w:lang w:eastAsia="zh-CN"/>
              </w:rPr>
            </w:pPr>
          </w:p>
          <w:p w:rsidR="00BF4661" w:rsidRDefault="00BF4661" w:rsidP="00720F43">
            <w:pPr>
              <w:keepNext/>
              <w:keepLines/>
              <w:rPr>
                <w:rFonts w:eastAsia="SimSun"/>
                <w:lang w:eastAsia="zh-CN"/>
              </w:rPr>
            </w:pPr>
            <w:r w:rsidRPr="00183337">
              <w:rPr>
                <w:rFonts w:eastAsia="SimSun"/>
                <w:lang w:eastAsia="zh-CN"/>
              </w:rPr>
              <w:t>Care is needed when considering results that were very different in each of the growing cycles, such as when a type of off-type was observed at a high level in one growing cycle and was absent in another growing cycle.</w:t>
            </w:r>
          </w:p>
          <w:p w:rsidR="00BF4661" w:rsidRDefault="00BF4661" w:rsidP="00720F43">
            <w:pPr>
              <w:keepNext/>
              <w:keepLines/>
              <w:rPr>
                <w:rFonts w:eastAsia="SimSun"/>
                <w:szCs w:val="24"/>
                <w:lang w:eastAsia="zh-CN"/>
              </w:rPr>
            </w:pPr>
          </w:p>
          <w:p w:rsidR="00BF4661" w:rsidRDefault="00BF4661" w:rsidP="00720F43">
            <w:pPr>
              <w:keepNext/>
              <w:keepLines/>
              <w:rPr>
                <w:rFonts w:eastAsia="SimSun"/>
                <w:szCs w:val="24"/>
                <w:lang w:eastAsia="zh-CN"/>
              </w:rPr>
            </w:pPr>
            <w:r>
              <w:rPr>
                <w:rFonts w:eastAsia="SimSun"/>
                <w:szCs w:val="24"/>
                <w:lang w:eastAsia="zh-CN"/>
              </w:rPr>
              <w:t>Furthermore, on the basis of a lack of uniformity, a variety may be rejected after a single growing cycle.</w:t>
            </w:r>
          </w:p>
          <w:p w:rsidR="00DD7375" w:rsidRDefault="00DD7375" w:rsidP="00720F43">
            <w:pPr>
              <w:keepNext/>
              <w:keepLines/>
              <w:rPr>
                <w:rFonts w:eastAsia="SimSun"/>
                <w:szCs w:val="24"/>
                <w:lang w:eastAsia="zh-CN"/>
              </w:rPr>
            </w:pPr>
          </w:p>
          <w:p w:rsidR="00143660" w:rsidRPr="00282098" w:rsidRDefault="00143660" w:rsidP="00720F43">
            <w:pPr>
              <w:keepNext/>
              <w:keepLines/>
              <w:rPr>
                <w:rFonts w:eastAsia="SimSun"/>
                <w:szCs w:val="24"/>
                <w:lang w:eastAsia="zh-CN"/>
              </w:rPr>
            </w:pPr>
          </w:p>
          <w:p w:rsidR="00DD7375" w:rsidRPr="00282098" w:rsidRDefault="00DD7375" w:rsidP="00DD7375">
            <w:pPr>
              <w:keepNext/>
              <w:ind w:left="34"/>
              <w:rPr>
                <w:b/>
                <w:bCs/>
              </w:rPr>
            </w:pPr>
            <w:r w:rsidRPr="00282098">
              <w:rPr>
                <w:b/>
                <w:bCs/>
              </w:rPr>
              <w:t>Approach 3:  Combining the results of two growing cycles</w:t>
            </w:r>
          </w:p>
          <w:p w:rsidR="00DD7375" w:rsidRPr="00282098" w:rsidRDefault="00DD7375" w:rsidP="00DD7375">
            <w:pPr>
              <w:keepNext/>
              <w:ind w:left="34"/>
            </w:pPr>
          </w:p>
          <w:p w:rsidR="00DD7375" w:rsidRPr="00282098" w:rsidRDefault="00DD7375" w:rsidP="00DD7375">
            <w:pPr>
              <w:ind w:left="34"/>
            </w:pPr>
            <w:r w:rsidRPr="00282098">
              <w:t>A variety is considered uniform if the total number of off-types at the end of the two growing cycles does not exceed the number of allowed off-types for the combined sample.</w:t>
            </w:r>
          </w:p>
          <w:p w:rsidR="00DD7375" w:rsidRPr="00282098" w:rsidRDefault="00DD7375" w:rsidP="00DD7375">
            <w:pPr>
              <w:ind w:left="34"/>
            </w:pPr>
          </w:p>
          <w:p w:rsidR="00DD7375" w:rsidRPr="00282098" w:rsidRDefault="00DD7375" w:rsidP="00DD7375">
            <w:pPr>
              <w:ind w:left="34"/>
            </w:pPr>
            <w:r w:rsidRPr="00282098">
              <w:t>A variety is considered non-uniform if the total number of off-types at the end of the two growing cycles exceeds the number of allowed off-types for the combined sample.</w:t>
            </w:r>
          </w:p>
          <w:p w:rsidR="00DD7375" w:rsidRPr="00282098" w:rsidRDefault="00DD7375" w:rsidP="00DD7375">
            <w:pPr>
              <w:ind w:left="34"/>
            </w:pPr>
          </w:p>
          <w:p w:rsidR="00DD7375" w:rsidRPr="00282098" w:rsidRDefault="00DD7375" w:rsidP="00DD7375">
            <w:pPr>
              <w:ind w:left="34"/>
            </w:pPr>
            <w:r w:rsidRPr="00282098">
              <w:t>A variety may be rejected after a single growing cycle, if the number of off-types exceeds the number of allowed off-types for the combined sample (over two cycles).</w:t>
            </w:r>
          </w:p>
          <w:p w:rsidR="00DD7375" w:rsidRPr="00282098" w:rsidRDefault="00DD7375" w:rsidP="00DD7375">
            <w:pPr>
              <w:ind w:left="34"/>
            </w:pPr>
          </w:p>
          <w:p w:rsidR="00DD7375" w:rsidRPr="00282098" w:rsidRDefault="00DD7375" w:rsidP="00DD7375">
            <w:pPr>
              <w:ind w:left="34"/>
            </w:pPr>
            <w:r w:rsidRPr="00282098">
              <w:t>Care is needed when considering results that are very different in each of the growing cycles, such as when a type of off-type is observed at a high level in one growing cycle and is absent in another growing cycle. A statistical test for consistency is possible.</w:t>
            </w:r>
          </w:p>
          <w:p w:rsidR="00DD7375" w:rsidRPr="00282098" w:rsidRDefault="00DD7375" w:rsidP="00720F43">
            <w:pPr>
              <w:keepNext/>
              <w:keepLines/>
              <w:rPr>
                <w:rFonts w:eastAsia="SimSun"/>
                <w:szCs w:val="24"/>
                <w:lang w:eastAsia="zh-CN"/>
              </w:rPr>
            </w:pPr>
          </w:p>
          <w:p w:rsidR="00DD7375" w:rsidRPr="00282098" w:rsidRDefault="00DD7375" w:rsidP="00720F43">
            <w:pPr>
              <w:keepNext/>
              <w:keepLines/>
              <w:rPr>
                <w:rFonts w:eastAsia="SimSun"/>
                <w:szCs w:val="24"/>
                <w:lang w:eastAsia="zh-CN"/>
              </w:rPr>
            </w:pPr>
          </w:p>
          <w:p w:rsidR="00DD7375" w:rsidRDefault="00DD7375" w:rsidP="00720F43">
            <w:pPr>
              <w:keepNext/>
              <w:keepLines/>
              <w:rPr>
                <w:rFonts w:eastAsia="SimSun"/>
                <w:szCs w:val="24"/>
                <w:lang w:eastAsia="zh-CN"/>
              </w:rPr>
            </w:pPr>
          </w:p>
          <w:p w:rsidR="00DD7375" w:rsidRDefault="00DD7375" w:rsidP="00720F43">
            <w:pPr>
              <w:keepNext/>
              <w:keepLines/>
              <w:rPr>
                <w:rFonts w:eastAsia="SimSun"/>
                <w:szCs w:val="24"/>
                <w:lang w:eastAsia="zh-CN"/>
              </w:rPr>
            </w:pPr>
          </w:p>
          <w:p w:rsidR="00DD7375" w:rsidRDefault="00DD7375" w:rsidP="00720F43">
            <w:pPr>
              <w:keepNext/>
              <w:keepLines/>
              <w:rPr>
                <w:rFonts w:eastAsia="SimSun"/>
                <w:szCs w:val="24"/>
                <w:lang w:eastAsia="zh-CN"/>
              </w:rPr>
            </w:pPr>
          </w:p>
          <w:p w:rsidR="00DD7375" w:rsidRDefault="00DD7375" w:rsidP="00720F43">
            <w:pPr>
              <w:keepNext/>
              <w:keepLines/>
              <w:rPr>
                <w:rFonts w:eastAsia="SimSun"/>
                <w:szCs w:val="24"/>
                <w:lang w:eastAsia="zh-CN"/>
              </w:rPr>
            </w:pPr>
          </w:p>
          <w:p w:rsidR="00BF4661" w:rsidRPr="00BD2498" w:rsidRDefault="00BF4661" w:rsidP="00720F43">
            <w:pPr>
              <w:keepNext/>
              <w:keepLines/>
              <w:jc w:val="left"/>
              <w:rPr>
                <w:szCs w:val="24"/>
              </w:rPr>
            </w:pPr>
            <w:r w:rsidRPr="00BD2498">
              <w:rPr>
                <w:szCs w:val="24"/>
              </w:rPr>
              <w:t>Example:</w:t>
            </w:r>
          </w:p>
          <w:tbl>
            <w:tblPr>
              <w:tblW w:w="9124" w:type="dxa"/>
              <w:tblInd w:w="600" w:type="dxa"/>
              <w:tblLook w:val="04A0" w:firstRow="1" w:lastRow="0" w:firstColumn="1" w:lastColumn="0" w:noHBand="0" w:noVBand="1"/>
            </w:tblPr>
            <w:tblGrid>
              <w:gridCol w:w="424"/>
              <w:gridCol w:w="696"/>
              <w:gridCol w:w="1134"/>
              <w:gridCol w:w="180"/>
              <w:gridCol w:w="954"/>
              <w:gridCol w:w="1807"/>
              <w:gridCol w:w="320"/>
              <w:gridCol w:w="1985"/>
              <w:gridCol w:w="1624"/>
            </w:tblGrid>
            <w:tr w:rsidR="00BF4661" w:rsidRPr="00304612" w:rsidTr="00DD7375">
              <w:trPr>
                <w:gridAfter w:val="1"/>
                <w:wAfter w:w="1624" w:type="dxa"/>
                <w:trHeight w:val="255"/>
              </w:trPr>
              <w:tc>
                <w:tcPr>
                  <w:tcW w:w="1120" w:type="dxa"/>
                  <w:gridSpan w:val="2"/>
                  <w:tcBorders>
                    <w:top w:val="nil"/>
                    <w:left w:val="nil"/>
                    <w:bottom w:val="nil"/>
                  </w:tcBorders>
                  <w:shd w:val="clear" w:color="auto" w:fill="auto"/>
                  <w:noWrap/>
                  <w:vAlign w:val="bottom"/>
                </w:tcPr>
                <w:p w:rsidR="00BF4661" w:rsidRPr="00304612" w:rsidRDefault="00BF4661" w:rsidP="00720F43">
                  <w:pPr>
                    <w:jc w:val="left"/>
                    <w:rPr>
                      <w:rFonts w:cs="Arial"/>
                      <w:color w:val="000000"/>
                    </w:rPr>
                  </w:pPr>
                </w:p>
              </w:tc>
              <w:tc>
                <w:tcPr>
                  <w:tcW w:w="6380" w:type="dxa"/>
                  <w:gridSpan w:val="6"/>
                  <w:tcBorders>
                    <w:top w:val="nil"/>
                    <w:right w:val="nil"/>
                  </w:tcBorders>
                  <w:shd w:val="clear" w:color="auto" w:fill="auto"/>
                  <w:vAlign w:val="bottom"/>
                </w:tcPr>
                <w:p w:rsidR="00BF4661" w:rsidRPr="00304612" w:rsidRDefault="00BF4661" w:rsidP="00720F43">
                  <w:pPr>
                    <w:jc w:val="left"/>
                    <w:rPr>
                      <w:rFonts w:cs="Arial"/>
                      <w:color w:val="000000"/>
                    </w:rPr>
                  </w:pPr>
                  <w:r w:rsidRPr="00304612">
                    <w:rPr>
                      <w:rFonts w:cs="Arial"/>
                      <w:color w:val="000000"/>
                    </w:rPr>
                    <w:t xml:space="preserve">Population Standard  = 1%  </w:t>
                  </w:r>
                </w:p>
              </w:tc>
            </w:tr>
            <w:tr w:rsidR="00BF4661" w:rsidRPr="00304612" w:rsidTr="00DD7375">
              <w:trPr>
                <w:gridAfter w:val="1"/>
                <w:wAfter w:w="1624" w:type="dxa"/>
                <w:trHeight w:val="270"/>
              </w:trPr>
              <w:tc>
                <w:tcPr>
                  <w:tcW w:w="1120" w:type="dxa"/>
                  <w:gridSpan w:val="2"/>
                  <w:tcBorders>
                    <w:top w:val="nil"/>
                    <w:left w:val="nil"/>
                    <w:bottom w:val="nil"/>
                  </w:tcBorders>
                  <w:shd w:val="clear" w:color="auto" w:fill="auto"/>
                  <w:noWrap/>
                  <w:vAlign w:val="bottom"/>
                  <w:hideMark/>
                </w:tcPr>
                <w:p w:rsidR="00BF4661" w:rsidRPr="00304612" w:rsidRDefault="00BF4661" w:rsidP="00720F43">
                  <w:pPr>
                    <w:jc w:val="left"/>
                    <w:rPr>
                      <w:rFonts w:cs="Arial"/>
                      <w:color w:val="000000"/>
                    </w:rPr>
                  </w:pPr>
                </w:p>
              </w:tc>
              <w:tc>
                <w:tcPr>
                  <w:tcW w:w="6380" w:type="dxa"/>
                  <w:gridSpan w:val="6"/>
                  <w:tcBorders>
                    <w:top w:val="nil"/>
                    <w:bottom w:val="single" w:sz="4" w:space="0" w:color="auto"/>
                    <w:right w:val="nil"/>
                  </w:tcBorders>
                  <w:shd w:val="clear" w:color="auto" w:fill="auto"/>
                  <w:vAlign w:val="bottom"/>
                </w:tcPr>
                <w:p w:rsidR="00BF4661" w:rsidRPr="00304612" w:rsidRDefault="00BF4661" w:rsidP="00720F43">
                  <w:pPr>
                    <w:jc w:val="left"/>
                    <w:rPr>
                      <w:rFonts w:cs="Arial"/>
                      <w:color w:val="000000"/>
                    </w:rPr>
                  </w:pPr>
                  <w:r w:rsidRPr="00304612">
                    <w:rPr>
                      <w:rFonts w:cs="Arial"/>
                      <w:color w:val="000000"/>
                    </w:rPr>
                    <w:t>Acceptance Probability ≥ 95%</w:t>
                  </w:r>
                </w:p>
              </w:tc>
            </w:tr>
            <w:tr w:rsidR="00BF4661" w:rsidRPr="00304612" w:rsidTr="00DD7375">
              <w:trPr>
                <w:gridBefore w:val="2"/>
                <w:gridAfter w:val="1"/>
                <w:wBefore w:w="1120" w:type="dxa"/>
                <w:wAfter w:w="1624" w:type="dxa"/>
                <w:trHeight w:val="255"/>
              </w:trPr>
              <w:tc>
                <w:tcPr>
                  <w:tcW w:w="6380" w:type="dxa"/>
                  <w:gridSpan w:val="6"/>
                  <w:tcBorders>
                    <w:top w:val="single" w:sz="4" w:space="0" w:color="auto"/>
                    <w:left w:val="single" w:sz="4" w:space="0" w:color="auto"/>
                    <w:bottom w:val="nil"/>
                    <w:right w:val="single" w:sz="8" w:space="0" w:color="000000"/>
                  </w:tcBorders>
                  <w:shd w:val="clear" w:color="auto" w:fill="auto"/>
                  <w:vAlign w:val="bottom"/>
                </w:tcPr>
                <w:p w:rsidR="00BF4661" w:rsidRPr="00304612" w:rsidRDefault="00BF4661" w:rsidP="00720F43">
                  <w:pPr>
                    <w:jc w:val="left"/>
                    <w:rPr>
                      <w:rFonts w:cs="Arial"/>
                      <w:color w:val="000000"/>
                    </w:rPr>
                  </w:pPr>
                  <w:r w:rsidRPr="00304612">
                    <w:rPr>
                      <w:rFonts w:cs="Arial"/>
                      <w:color w:val="000000"/>
                    </w:rPr>
                    <w:t>Sample Size</w:t>
                  </w:r>
                  <w:r>
                    <w:rPr>
                      <w:rFonts w:cs="Arial"/>
                      <w:color w:val="000000"/>
                    </w:rPr>
                    <w:t xml:space="preserve"> in each of growing cycles 1 and 2</w:t>
                  </w:r>
                  <w:r w:rsidRPr="00304612">
                    <w:rPr>
                      <w:rFonts w:cs="Arial"/>
                      <w:color w:val="000000"/>
                    </w:rPr>
                    <w:t xml:space="preserve"> = 50</w:t>
                  </w:r>
                </w:p>
              </w:tc>
            </w:tr>
            <w:tr w:rsidR="00BF4661" w:rsidRPr="00304612" w:rsidTr="00DD7375">
              <w:trPr>
                <w:gridBefore w:val="2"/>
                <w:gridAfter w:val="1"/>
                <w:wBefore w:w="1120" w:type="dxa"/>
                <w:wAfter w:w="1624" w:type="dxa"/>
                <w:trHeight w:val="270"/>
              </w:trPr>
              <w:tc>
                <w:tcPr>
                  <w:tcW w:w="6380" w:type="dxa"/>
                  <w:gridSpan w:val="6"/>
                  <w:tcBorders>
                    <w:top w:val="nil"/>
                    <w:left w:val="single" w:sz="4" w:space="0" w:color="auto"/>
                    <w:bottom w:val="single" w:sz="8" w:space="0" w:color="auto"/>
                    <w:right w:val="single" w:sz="8" w:space="0" w:color="000000"/>
                  </w:tcBorders>
                  <w:shd w:val="clear" w:color="auto" w:fill="auto"/>
                  <w:vAlign w:val="bottom"/>
                </w:tcPr>
                <w:p w:rsidR="00BF4661" w:rsidRPr="00304612" w:rsidRDefault="00BF4661" w:rsidP="00720F43">
                  <w:pPr>
                    <w:jc w:val="left"/>
                    <w:rPr>
                      <w:rFonts w:cs="Arial"/>
                      <w:color w:val="000000"/>
                    </w:rPr>
                  </w:pPr>
                  <w:r w:rsidRPr="00304612">
                    <w:rPr>
                      <w:rFonts w:cs="Arial"/>
                      <w:color w:val="000000"/>
                    </w:rPr>
                    <w:t>Maximum number of Off-Types = 2</w:t>
                  </w:r>
                </w:p>
              </w:tc>
            </w:tr>
            <w:tr w:rsidR="00BF4661" w:rsidRPr="00304612" w:rsidTr="00DD7375">
              <w:trPr>
                <w:gridBefore w:val="2"/>
                <w:gridAfter w:val="1"/>
                <w:wBefore w:w="1120" w:type="dxa"/>
                <w:wAfter w:w="1624" w:type="dxa"/>
                <w:trHeight w:val="270"/>
              </w:trPr>
              <w:tc>
                <w:tcPr>
                  <w:tcW w:w="6380" w:type="dxa"/>
                  <w:gridSpan w:val="6"/>
                  <w:tcBorders>
                    <w:top w:val="nil"/>
                    <w:left w:val="single" w:sz="4" w:space="0" w:color="auto"/>
                    <w:bottom w:val="nil"/>
                    <w:right w:val="single" w:sz="4" w:space="0" w:color="auto"/>
                  </w:tcBorders>
                  <w:shd w:val="clear" w:color="auto" w:fill="auto"/>
                  <w:vAlign w:val="bottom"/>
                </w:tcPr>
                <w:p w:rsidR="00BF4661" w:rsidRPr="00304612" w:rsidRDefault="00BF4661" w:rsidP="00720F43">
                  <w:pPr>
                    <w:jc w:val="left"/>
                    <w:rPr>
                      <w:rFonts w:cs="Arial"/>
                      <w:color w:val="000000"/>
                    </w:rPr>
                  </w:pPr>
                  <w:r w:rsidRPr="00304612">
                    <w:rPr>
                      <w:rFonts w:cs="Arial"/>
                      <w:color w:val="000000"/>
                    </w:rPr>
                    <w:t xml:space="preserve">Sample Size </w:t>
                  </w:r>
                  <w:r>
                    <w:rPr>
                      <w:rFonts w:cs="Arial"/>
                      <w:color w:val="000000"/>
                    </w:rPr>
                    <w:t xml:space="preserve">in growing cycles 1 and 2 combined </w:t>
                  </w:r>
                  <w:r w:rsidRPr="00304612">
                    <w:rPr>
                      <w:rFonts w:cs="Arial"/>
                      <w:color w:val="000000"/>
                    </w:rPr>
                    <w:t>= 100</w:t>
                  </w:r>
                </w:p>
              </w:tc>
            </w:tr>
            <w:tr w:rsidR="00BF4661" w:rsidRPr="00304612" w:rsidTr="00DD7375">
              <w:trPr>
                <w:gridBefore w:val="2"/>
                <w:gridAfter w:val="1"/>
                <w:wBefore w:w="1120" w:type="dxa"/>
                <w:wAfter w:w="1624" w:type="dxa"/>
                <w:trHeight w:val="270"/>
              </w:trPr>
              <w:tc>
                <w:tcPr>
                  <w:tcW w:w="6380" w:type="dxa"/>
                  <w:gridSpan w:val="6"/>
                  <w:tcBorders>
                    <w:top w:val="nil"/>
                    <w:left w:val="single" w:sz="4" w:space="0" w:color="auto"/>
                    <w:bottom w:val="single" w:sz="4" w:space="0" w:color="auto"/>
                    <w:right w:val="single" w:sz="4" w:space="0" w:color="auto"/>
                  </w:tcBorders>
                  <w:shd w:val="clear" w:color="auto" w:fill="auto"/>
                  <w:vAlign w:val="bottom"/>
                </w:tcPr>
                <w:p w:rsidR="00BF4661" w:rsidRPr="00304612" w:rsidRDefault="00BF4661" w:rsidP="00720F43">
                  <w:pPr>
                    <w:jc w:val="left"/>
                    <w:rPr>
                      <w:rFonts w:cs="Arial"/>
                      <w:color w:val="000000"/>
                    </w:rPr>
                  </w:pPr>
                  <w:r w:rsidRPr="00304612">
                    <w:rPr>
                      <w:rFonts w:cs="Arial"/>
                      <w:color w:val="000000"/>
                    </w:rPr>
                    <w:t>Maximum number of Off-Types = 3</w:t>
                  </w:r>
                </w:p>
              </w:tc>
            </w:tr>
            <w:tr w:rsidR="00BF4661" w:rsidRPr="00BD2498" w:rsidTr="00DD7375">
              <w:trPr>
                <w:gridBefore w:val="2"/>
                <w:gridAfter w:val="1"/>
                <w:wBefore w:w="1120" w:type="dxa"/>
                <w:wAfter w:w="1624" w:type="dxa"/>
                <w:trHeight w:val="239"/>
              </w:trPr>
              <w:tc>
                <w:tcPr>
                  <w:tcW w:w="1314" w:type="dxa"/>
                  <w:gridSpan w:val="2"/>
                  <w:tcBorders>
                    <w:top w:val="nil"/>
                    <w:left w:val="nil"/>
                    <w:bottom w:val="single" w:sz="4" w:space="0" w:color="auto"/>
                    <w:right w:val="nil"/>
                  </w:tcBorders>
                  <w:shd w:val="clear" w:color="auto" w:fill="auto"/>
                  <w:noWrap/>
                  <w:vAlign w:val="bottom"/>
                  <w:hideMark/>
                </w:tcPr>
                <w:p w:rsidR="00BF4661" w:rsidRPr="00BD2498" w:rsidRDefault="00BF4661" w:rsidP="00720F43">
                  <w:pPr>
                    <w:jc w:val="left"/>
                    <w:rPr>
                      <w:rFonts w:cs="Arial"/>
                      <w:color w:val="000000"/>
                    </w:rPr>
                  </w:pPr>
                  <w:r w:rsidRPr="00BD2498">
                    <w:rPr>
                      <w:rFonts w:cs="Arial"/>
                      <w:color w:val="000000"/>
                    </w:rPr>
                    <w:t> </w:t>
                  </w:r>
                </w:p>
              </w:tc>
              <w:tc>
                <w:tcPr>
                  <w:tcW w:w="954" w:type="dxa"/>
                  <w:tcBorders>
                    <w:top w:val="nil"/>
                    <w:left w:val="nil"/>
                    <w:bottom w:val="single" w:sz="4" w:space="0" w:color="auto"/>
                    <w:right w:val="nil"/>
                  </w:tcBorders>
                  <w:shd w:val="clear" w:color="auto" w:fill="auto"/>
                  <w:noWrap/>
                  <w:vAlign w:val="bottom"/>
                  <w:hideMark/>
                </w:tcPr>
                <w:p w:rsidR="00BF4661" w:rsidRPr="00BD2498" w:rsidRDefault="00BF4661" w:rsidP="00720F43">
                  <w:pPr>
                    <w:jc w:val="left"/>
                    <w:rPr>
                      <w:rFonts w:cs="Arial"/>
                      <w:color w:val="000000"/>
                    </w:rPr>
                  </w:pPr>
                  <w:r w:rsidRPr="00BD2498">
                    <w:rPr>
                      <w:rFonts w:cs="Arial"/>
                      <w:color w:val="000000"/>
                    </w:rPr>
                    <w:t> </w:t>
                  </w:r>
                </w:p>
              </w:tc>
              <w:tc>
                <w:tcPr>
                  <w:tcW w:w="1807" w:type="dxa"/>
                  <w:tcBorders>
                    <w:top w:val="nil"/>
                    <w:left w:val="nil"/>
                    <w:bottom w:val="single" w:sz="4" w:space="0" w:color="auto"/>
                    <w:right w:val="nil"/>
                  </w:tcBorders>
                  <w:shd w:val="clear" w:color="auto" w:fill="auto"/>
                  <w:noWrap/>
                  <w:vAlign w:val="bottom"/>
                  <w:hideMark/>
                </w:tcPr>
                <w:p w:rsidR="00BF4661" w:rsidRPr="00BD2498" w:rsidRDefault="00BF4661" w:rsidP="00720F43">
                  <w:pPr>
                    <w:jc w:val="left"/>
                    <w:rPr>
                      <w:rFonts w:cs="Arial"/>
                      <w:color w:val="000000"/>
                    </w:rPr>
                  </w:pPr>
                  <w:r w:rsidRPr="00BD2498">
                    <w:rPr>
                      <w:rFonts w:cs="Arial"/>
                      <w:color w:val="000000"/>
                    </w:rPr>
                    <w:t> </w:t>
                  </w:r>
                </w:p>
              </w:tc>
              <w:tc>
                <w:tcPr>
                  <w:tcW w:w="2305" w:type="dxa"/>
                  <w:gridSpan w:val="2"/>
                  <w:tcBorders>
                    <w:top w:val="nil"/>
                    <w:left w:val="nil"/>
                    <w:bottom w:val="single" w:sz="4" w:space="0" w:color="auto"/>
                    <w:right w:val="nil"/>
                  </w:tcBorders>
                  <w:shd w:val="clear" w:color="auto" w:fill="auto"/>
                  <w:noWrap/>
                  <w:vAlign w:val="bottom"/>
                  <w:hideMark/>
                </w:tcPr>
                <w:p w:rsidR="00BF4661" w:rsidRPr="00BD2498" w:rsidRDefault="00BF4661" w:rsidP="00720F43">
                  <w:pPr>
                    <w:jc w:val="left"/>
                    <w:rPr>
                      <w:rFonts w:cs="Arial"/>
                      <w:color w:val="000000"/>
                    </w:rPr>
                  </w:pPr>
                  <w:r w:rsidRPr="00BD2498">
                    <w:rPr>
                      <w:rFonts w:cs="Arial"/>
                      <w:color w:val="000000"/>
                    </w:rPr>
                    <w:t> </w:t>
                  </w:r>
                </w:p>
              </w:tc>
            </w:tr>
            <w:tr w:rsidR="00DD7375" w:rsidRPr="00BD2498" w:rsidTr="005000EB">
              <w:trPr>
                <w:gridBefore w:val="1"/>
                <w:wBefore w:w="424" w:type="dxa"/>
                <w:trHeight w:val="380"/>
              </w:trPr>
              <w:tc>
                <w:tcPr>
                  <w:tcW w:w="696" w:type="dxa"/>
                  <w:tcBorders>
                    <w:top w:val="nil"/>
                    <w:left w:val="nil"/>
                    <w:bottom w:val="nil"/>
                    <w:right w:val="single" w:sz="4" w:space="0" w:color="auto"/>
                  </w:tcBorders>
                  <w:shd w:val="clear" w:color="auto" w:fill="auto"/>
                  <w:noWrap/>
                  <w:vAlign w:val="bottom"/>
                  <w:hideMark/>
                </w:tcPr>
                <w:p w:rsidR="00DD7375" w:rsidRPr="00BD2498" w:rsidRDefault="00DD7375" w:rsidP="00720F43">
                  <w:pPr>
                    <w:jc w:val="left"/>
                    <w:rPr>
                      <w:rFonts w:cs="Arial"/>
                      <w:color w:val="000000"/>
                    </w:rPr>
                  </w:pPr>
                  <w:r w:rsidRPr="00BD2498">
                    <w:rPr>
                      <w:rFonts w:cs="Arial"/>
                      <w:color w:val="000000"/>
                    </w:rPr>
                    <w:t> </w:t>
                  </w:r>
                </w:p>
              </w:tc>
              <w:tc>
                <w:tcPr>
                  <w:tcW w:w="2268" w:type="dxa"/>
                  <w:gridSpan w:val="3"/>
                  <w:tcBorders>
                    <w:top w:val="nil"/>
                    <w:left w:val="nil"/>
                    <w:bottom w:val="single" w:sz="4" w:space="0" w:color="auto"/>
                    <w:right w:val="single" w:sz="4" w:space="0" w:color="000000"/>
                  </w:tcBorders>
                  <w:shd w:val="clear" w:color="auto" w:fill="auto"/>
                  <w:noWrap/>
                  <w:vAlign w:val="center"/>
                  <w:hideMark/>
                </w:tcPr>
                <w:p w:rsidR="00DD7375" w:rsidRPr="00BD2498" w:rsidRDefault="00DD7375" w:rsidP="00720F43">
                  <w:pPr>
                    <w:jc w:val="center"/>
                    <w:rPr>
                      <w:rFonts w:cs="Arial"/>
                      <w:color w:val="000000"/>
                    </w:rPr>
                  </w:pPr>
                  <w:r w:rsidRPr="00BD2498">
                    <w:rPr>
                      <w:rFonts w:cs="Arial"/>
                      <w:color w:val="000000"/>
                    </w:rPr>
                    <w:t>Growing cycle</w:t>
                  </w:r>
                </w:p>
              </w:tc>
              <w:tc>
                <w:tcPr>
                  <w:tcW w:w="5736" w:type="dxa"/>
                  <w:gridSpan w:val="4"/>
                  <w:tcBorders>
                    <w:top w:val="single" w:sz="4" w:space="0" w:color="auto"/>
                    <w:left w:val="nil"/>
                    <w:bottom w:val="single" w:sz="4" w:space="0" w:color="auto"/>
                    <w:right w:val="single" w:sz="4" w:space="0" w:color="auto"/>
                  </w:tcBorders>
                  <w:shd w:val="clear" w:color="auto" w:fill="auto"/>
                  <w:noWrap/>
                  <w:vAlign w:val="center"/>
                  <w:hideMark/>
                </w:tcPr>
                <w:p w:rsidR="00DD7375" w:rsidRPr="00BD2498" w:rsidRDefault="00DD7375" w:rsidP="00DD7375">
                  <w:pPr>
                    <w:jc w:val="center"/>
                  </w:pPr>
                  <w:r w:rsidRPr="00BD2498">
                    <w:rPr>
                      <w:rFonts w:cs="Arial"/>
                      <w:color w:val="000000"/>
                    </w:rPr>
                    <w:t>Decision</w:t>
                  </w:r>
                </w:p>
              </w:tc>
            </w:tr>
            <w:tr w:rsidR="00DD7375" w:rsidRPr="00BD2498" w:rsidTr="00DD7375">
              <w:trPr>
                <w:gridBefore w:val="1"/>
                <w:wBefore w:w="424" w:type="dxa"/>
                <w:trHeight w:val="236"/>
              </w:trPr>
              <w:tc>
                <w:tcPr>
                  <w:tcW w:w="696" w:type="dxa"/>
                  <w:tcBorders>
                    <w:top w:val="nil"/>
                    <w:left w:val="nil"/>
                    <w:bottom w:val="single" w:sz="4" w:space="0" w:color="auto"/>
                    <w:right w:val="single" w:sz="4" w:space="0" w:color="auto"/>
                  </w:tcBorders>
                  <w:shd w:val="clear" w:color="auto" w:fill="auto"/>
                  <w:noWrap/>
                  <w:vAlign w:val="bottom"/>
                  <w:hideMark/>
                </w:tcPr>
                <w:p w:rsidR="00DD7375" w:rsidRPr="00BD2498" w:rsidRDefault="00DD7375" w:rsidP="00720F43">
                  <w:pPr>
                    <w:jc w:val="left"/>
                    <w:rPr>
                      <w:rFonts w:cs="Arial"/>
                      <w:color w:val="000000"/>
                    </w:rPr>
                  </w:pPr>
                  <w:r w:rsidRPr="00BD2498">
                    <w:rPr>
                      <w:rFonts w:cs="Arial"/>
                      <w:color w:val="000000"/>
                    </w:rPr>
                    <w:t> </w:t>
                  </w:r>
                </w:p>
              </w:tc>
              <w:tc>
                <w:tcPr>
                  <w:tcW w:w="1134" w:type="dxa"/>
                  <w:tcBorders>
                    <w:top w:val="nil"/>
                    <w:left w:val="nil"/>
                    <w:bottom w:val="single" w:sz="8" w:space="0" w:color="auto"/>
                    <w:right w:val="single" w:sz="4" w:space="0" w:color="auto"/>
                  </w:tcBorders>
                  <w:shd w:val="clear" w:color="auto" w:fill="auto"/>
                  <w:noWrap/>
                  <w:vAlign w:val="bottom"/>
                  <w:hideMark/>
                </w:tcPr>
                <w:p w:rsidR="00DD7375" w:rsidRPr="00282098" w:rsidRDefault="00DD7375" w:rsidP="00720F43">
                  <w:pPr>
                    <w:spacing w:after="100" w:afterAutospacing="1"/>
                    <w:jc w:val="center"/>
                    <w:rPr>
                      <w:rFonts w:cs="Arial"/>
                      <w:color w:val="000000"/>
                    </w:rPr>
                  </w:pPr>
                  <w:r w:rsidRPr="00282098">
                    <w:rPr>
                      <w:rFonts w:cs="Arial"/>
                      <w:color w:val="000000"/>
                    </w:rPr>
                    <w:t>First</w:t>
                  </w:r>
                </w:p>
              </w:tc>
              <w:tc>
                <w:tcPr>
                  <w:tcW w:w="1134" w:type="dxa"/>
                  <w:gridSpan w:val="2"/>
                  <w:tcBorders>
                    <w:top w:val="nil"/>
                    <w:left w:val="nil"/>
                    <w:bottom w:val="single" w:sz="8" w:space="0" w:color="auto"/>
                    <w:right w:val="single" w:sz="4" w:space="0" w:color="auto"/>
                  </w:tcBorders>
                  <w:shd w:val="clear" w:color="auto" w:fill="auto"/>
                  <w:noWrap/>
                  <w:vAlign w:val="center"/>
                  <w:hideMark/>
                </w:tcPr>
                <w:p w:rsidR="00DD7375" w:rsidRPr="00282098" w:rsidRDefault="00DD7375" w:rsidP="00720F43">
                  <w:pPr>
                    <w:jc w:val="center"/>
                    <w:rPr>
                      <w:rFonts w:cs="Arial"/>
                      <w:color w:val="000000"/>
                    </w:rPr>
                  </w:pPr>
                  <w:r w:rsidRPr="00282098">
                    <w:rPr>
                      <w:rFonts w:cs="Arial"/>
                      <w:color w:val="000000"/>
                    </w:rPr>
                    <w:t>Second</w:t>
                  </w:r>
                </w:p>
              </w:tc>
              <w:tc>
                <w:tcPr>
                  <w:tcW w:w="2127" w:type="dxa"/>
                  <w:gridSpan w:val="2"/>
                  <w:tcBorders>
                    <w:top w:val="nil"/>
                    <w:left w:val="nil"/>
                    <w:bottom w:val="single" w:sz="8" w:space="0" w:color="auto"/>
                    <w:right w:val="single" w:sz="4" w:space="0" w:color="auto"/>
                  </w:tcBorders>
                  <w:shd w:val="clear" w:color="auto" w:fill="auto"/>
                  <w:noWrap/>
                  <w:vAlign w:val="center"/>
                  <w:hideMark/>
                </w:tcPr>
                <w:p w:rsidR="00DD7375" w:rsidRPr="00282098" w:rsidRDefault="00DD7375" w:rsidP="00720F43">
                  <w:pPr>
                    <w:jc w:val="center"/>
                    <w:rPr>
                      <w:rFonts w:cs="Arial"/>
                      <w:color w:val="000000"/>
                    </w:rPr>
                  </w:pPr>
                  <w:r w:rsidRPr="00282098">
                    <w:rPr>
                      <w:rFonts w:cs="Arial"/>
                      <w:color w:val="000000"/>
                    </w:rPr>
                    <w:t>Approach 1</w:t>
                  </w:r>
                </w:p>
              </w:tc>
              <w:tc>
                <w:tcPr>
                  <w:tcW w:w="1985" w:type="dxa"/>
                  <w:tcBorders>
                    <w:top w:val="nil"/>
                    <w:left w:val="nil"/>
                    <w:bottom w:val="single" w:sz="8" w:space="0" w:color="auto"/>
                    <w:right w:val="single" w:sz="4" w:space="0" w:color="auto"/>
                  </w:tcBorders>
                  <w:shd w:val="clear" w:color="auto" w:fill="auto"/>
                  <w:noWrap/>
                  <w:vAlign w:val="center"/>
                  <w:hideMark/>
                </w:tcPr>
                <w:p w:rsidR="00DD7375" w:rsidRPr="00282098" w:rsidRDefault="00DD7375" w:rsidP="00720F43">
                  <w:pPr>
                    <w:jc w:val="center"/>
                    <w:rPr>
                      <w:rFonts w:cs="Arial"/>
                      <w:color w:val="000000"/>
                    </w:rPr>
                  </w:pPr>
                  <w:r w:rsidRPr="00282098">
                    <w:rPr>
                      <w:rFonts w:cs="Arial"/>
                      <w:color w:val="000000"/>
                    </w:rPr>
                    <w:t>Approach 2</w:t>
                  </w:r>
                </w:p>
              </w:tc>
              <w:tc>
                <w:tcPr>
                  <w:tcW w:w="1624" w:type="dxa"/>
                  <w:tcBorders>
                    <w:top w:val="single" w:sz="4" w:space="0" w:color="auto"/>
                    <w:bottom w:val="single" w:sz="4" w:space="0" w:color="auto"/>
                    <w:right w:val="single" w:sz="4" w:space="0" w:color="auto"/>
                  </w:tcBorders>
                  <w:shd w:val="clear" w:color="auto" w:fill="auto"/>
                </w:tcPr>
                <w:p w:rsidR="00DD7375" w:rsidRPr="00282098" w:rsidRDefault="00DD7375" w:rsidP="00143660">
                  <w:pPr>
                    <w:jc w:val="center"/>
                  </w:pPr>
                  <w:r w:rsidRPr="00282098">
                    <w:t>Approach 3</w:t>
                  </w:r>
                </w:p>
              </w:tc>
            </w:tr>
            <w:tr w:rsidR="00F503BA" w:rsidRPr="00BD2498" w:rsidTr="00DD7375">
              <w:trPr>
                <w:gridBefore w:val="1"/>
                <w:wBefore w:w="424" w:type="dxa"/>
                <w:trHeight w:val="240"/>
              </w:trPr>
              <w:tc>
                <w:tcPr>
                  <w:tcW w:w="696" w:type="dxa"/>
                  <w:vMerge w:val="restart"/>
                  <w:tcBorders>
                    <w:top w:val="nil"/>
                    <w:left w:val="single" w:sz="4" w:space="0" w:color="auto"/>
                    <w:right w:val="single" w:sz="4" w:space="0" w:color="000000"/>
                  </w:tcBorders>
                  <w:shd w:val="clear" w:color="auto" w:fill="auto"/>
                  <w:textDirection w:val="btLr"/>
                  <w:vAlign w:val="center"/>
                </w:tcPr>
                <w:p w:rsidR="00F503BA" w:rsidRPr="00BD2498" w:rsidRDefault="00F503BA" w:rsidP="00720F43">
                  <w:pPr>
                    <w:jc w:val="center"/>
                    <w:rPr>
                      <w:rFonts w:cs="Arial"/>
                      <w:color w:val="000000"/>
                    </w:rPr>
                  </w:pPr>
                  <w:r w:rsidRPr="00BD2498">
                    <w:rPr>
                      <w:rFonts w:cs="Arial"/>
                      <w:color w:val="000000"/>
                    </w:rPr>
                    <w:t xml:space="preserve">Number of </w:t>
                  </w:r>
                  <w:r>
                    <w:rPr>
                      <w:rFonts w:cs="Arial"/>
                      <w:color w:val="000000"/>
                    </w:rPr>
                    <w:br/>
                  </w:r>
                  <w:r w:rsidRPr="00BD2498">
                    <w:rPr>
                      <w:rFonts w:cs="Arial"/>
                      <w:color w:val="000000"/>
                    </w:rPr>
                    <w:t>Off-Types</w:t>
                  </w:r>
                </w:p>
              </w:tc>
              <w:tc>
                <w:tcPr>
                  <w:tcW w:w="1134" w:type="dxa"/>
                  <w:tcBorders>
                    <w:top w:val="nil"/>
                    <w:left w:val="single" w:sz="8" w:space="0" w:color="auto"/>
                    <w:bottom w:val="single" w:sz="8" w:space="0" w:color="auto"/>
                    <w:right w:val="single" w:sz="4" w:space="0" w:color="auto"/>
                  </w:tcBorders>
                  <w:shd w:val="clear" w:color="auto" w:fill="auto"/>
                  <w:noWrap/>
                  <w:vAlign w:val="center"/>
                </w:tcPr>
                <w:p w:rsidR="00F503BA" w:rsidRPr="00282098" w:rsidRDefault="00F503BA" w:rsidP="00720F43">
                  <w:pPr>
                    <w:jc w:val="center"/>
                    <w:rPr>
                      <w:rFonts w:cs="Arial"/>
                      <w:color w:val="000000"/>
                    </w:rPr>
                  </w:pPr>
                  <w:r w:rsidRPr="00282098">
                    <w:rPr>
                      <w:rFonts w:cs="Arial"/>
                      <w:color w:val="000000"/>
                    </w:rPr>
                    <w:t>1</w:t>
                  </w:r>
                </w:p>
              </w:tc>
              <w:tc>
                <w:tcPr>
                  <w:tcW w:w="1134" w:type="dxa"/>
                  <w:gridSpan w:val="2"/>
                  <w:tcBorders>
                    <w:top w:val="nil"/>
                    <w:left w:val="nil"/>
                    <w:bottom w:val="single" w:sz="8" w:space="0" w:color="auto"/>
                    <w:right w:val="single" w:sz="4" w:space="0" w:color="auto"/>
                  </w:tcBorders>
                  <w:shd w:val="clear" w:color="auto" w:fill="auto"/>
                  <w:noWrap/>
                  <w:vAlign w:val="center"/>
                </w:tcPr>
                <w:p w:rsidR="00F503BA" w:rsidRPr="00282098" w:rsidRDefault="00F503BA" w:rsidP="00720F43">
                  <w:pPr>
                    <w:jc w:val="center"/>
                    <w:rPr>
                      <w:rFonts w:cs="Arial"/>
                      <w:color w:val="000000"/>
                    </w:rPr>
                  </w:pPr>
                  <w:r w:rsidRPr="00282098">
                    <w:rPr>
                      <w:rFonts w:cs="Arial"/>
                      <w:color w:val="000000"/>
                    </w:rPr>
                    <w:t>1</w:t>
                  </w:r>
                </w:p>
              </w:tc>
              <w:tc>
                <w:tcPr>
                  <w:tcW w:w="2127" w:type="dxa"/>
                  <w:gridSpan w:val="2"/>
                  <w:tcBorders>
                    <w:top w:val="nil"/>
                    <w:left w:val="nil"/>
                    <w:bottom w:val="single" w:sz="8" w:space="0" w:color="auto"/>
                    <w:right w:val="single" w:sz="4" w:space="0" w:color="auto"/>
                  </w:tcBorders>
                  <w:shd w:val="clear" w:color="auto" w:fill="auto"/>
                  <w:noWrap/>
                  <w:vAlign w:val="center"/>
                </w:tcPr>
                <w:p w:rsidR="00F503BA" w:rsidRPr="00282098" w:rsidRDefault="00F6647C" w:rsidP="00720F43">
                  <w:pPr>
                    <w:jc w:val="center"/>
                    <w:rPr>
                      <w:rFonts w:cs="Arial"/>
                      <w:color w:val="000000"/>
                    </w:rPr>
                  </w:pPr>
                  <w:r w:rsidRPr="00282098">
                    <w:rPr>
                      <w:rFonts w:cs="Arial"/>
                      <w:color w:val="000000"/>
                    </w:rPr>
                    <w:t>uniform</w:t>
                  </w:r>
                </w:p>
              </w:tc>
              <w:tc>
                <w:tcPr>
                  <w:tcW w:w="1985" w:type="dxa"/>
                  <w:tcBorders>
                    <w:top w:val="nil"/>
                    <w:left w:val="nil"/>
                    <w:bottom w:val="single" w:sz="8" w:space="0" w:color="auto"/>
                    <w:right w:val="single" w:sz="8" w:space="0" w:color="auto"/>
                  </w:tcBorders>
                  <w:shd w:val="clear" w:color="auto" w:fill="auto"/>
                  <w:vAlign w:val="center"/>
                </w:tcPr>
                <w:p w:rsidR="00F503BA" w:rsidRPr="00282098" w:rsidRDefault="00F6647C" w:rsidP="00720F43">
                  <w:pPr>
                    <w:jc w:val="center"/>
                    <w:rPr>
                      <w:rFonts w:cs="Arial"/>
                      <w:color w:val="000000"/>
                    </w:rPr>
                  </w:pPr>
                  <w:r w:rsidRPr="00282098">
                    <w:rPr>
                      <w:rFonts w:cs="Arial"/>
                      <w:color w:val="000000"/>
                    </w:rPr>
                    <w:t>uniform</w:t>
                  </w:r>
                </w:p>
              </w:tc>
              <w:tc>
                <w:tcPr>
                  <w:tcW w:w="1624" w:type="dxa"/>
                  <w:tcBorders>
                    <w:top w:val="single" w:sz="4" w:space="0" w:color="auto"/>
                    <w:bottom w:val="single" w:sz="4" w:space="0" w:color="auto"/>
                    <w:right w:val="single" w:sz="4" w:space="0" w:color="auto"/>
                  </w:tcBorders>
                  <w:shd w:val="clear" w:color="auto" w:fill="auto"/>
                </w:tcPr>
                <w:p w:rsidR="00F503BA" w:rsidRPr="00282098" w:rsidRDefault="00F6647C" w:rsidP="00143660">
                  <w:pPr>
                    <w:jc w:val="center"/>
                  </w:pPr>
                  <w:r w:rsidRPr="00282098">
                    <w:rPr>
                      <w:rFonts w:cs="Arial"/>
                      <w:color w:val="000000"/>
                    </w:rPr>
                    <w:t>uniform</w:t>
                  </w:r>
                </w:p>
              </w:tc>
            </w:tr>
            <w:tr w:rsidR="00F503BA" w:rsidRPr="00BD2498" w:rsidTr="005000EB">
              <w:trPr>
                <w:gridBefore w:val="1"/>
                <w:wBefore w:w="424" w:type="dxa"/>
                <w:trHeight w:val="240"/>
              </w:trPr>
              <w:tc>
                <w:tcPr>
                  <w:tcW w:w="696" w:type="dxa"/>
                  <w:vMerge/>
                  <w:tcBorders>
                    <w:left w:val="single" w:sz="4" w:space="0" w:color="auto"/>
                    <w:right w:val="single" w:sz="4" w:space="0" w:color="000000"/>
                  </w:tcBorders>
                  <w:shd w:val="clear" w:color="auto" w:fill="auto"/>
                  <w:textDirection w:val="btLr"/>
                  <w:vAlign w:val="center"/>
                  <w:hideMark/>
                </w:tcPr>
                <w:p w:rsidR="00F503BA" w:rsidRPr="00BD2498" w:rsidRDefault="00F503BA" w:rsidP="00720F43">
                  <w:pPr>
                    <w:jc w:val="center"/>
                    <w:rPr>
                      <w:rFonts w:cs="Arial"/>
                      <w:color w:val="000000"/>
                    </w:rPr>
                  </w:pPr>
                </w:p>
              </w:tc>
              <w:tc>
                <w:tcPr>
                  <w:tcW w:w="1134" w:type="dxa"/>
                  <w:tcBorders>
                    <w:top w:val="nil"/>
                    <w:left w:val="single" w:sz="8" w:space="0" w:color="auto"/>
                    <w:bottom w:val="single" w:sz="8" w:space="0" w:color="auto"/>
                    <w:right w:val="single" w:sz="4" w:space="0" w:color="auto"/>
                  </w:tcBorders>
                  <w:shd w:val="clear" w:color="auto" w:fill="auto"/>
                  <w:noWrap/>
                  <w:vAlign w:val="center"/>
                  <w:hideMark/>
                </w:tcPr>
                <w:p w:rsidR="00F503BA" w:rsidRPr="00282098" w:rsidRDefault="00F503BA" w:rsidP="00720F43">
                  <w:pPr>
                    <w:jc w:val="center"/>
                    <w:rPr>
                      <w:rFonts w:cs="Arial"/>
                      <w:color w:val="000000"/>
                    </w:rPr>
                  </w:pPr>
                  <w:r w:rsidRPr="00282098">
                    <w:rPr>
                      <w:rFonts w:cs="Arial"/>
                      <w:color w:val="000000"/>
                    </w:rPr>
                    <w:t>2</w:t>
                  </w:r>
                </w:p>
              </w:tc>
              <w:tc>
                <w:tcPr>
                  <w:tcW w:w="1134" w:type="dxa"/>
                  <w:gridSpan w:val="2"/>
                  <w:tcBorders>
                    <w:top w:val="nil"/>
                    <w:left w:val="nil"/>
                    <w:bottom w:val="single" w:sz="8" w:space="0" w:color="auto"/>
                    <w:right w:val="single" w:sz="4" w:space="0" w:color="auto"/>
                  </w:tcBorders>
                  <w:shd w:val="clear" w:color="auto" w:fill="auto"/>
                  <w:noWrap/>
                  <w:vAlign w:val="center"/>
                  <w:hideMark/>
                </w:tcPr>
                <w:p w:rsidR="00F503BA" w:rsidRPr="00282098" w:rsidRDefault="00F503BA" w:rsidP="00720F43">
                  <w:pPr>
                    <w:jc w:val="center"/>
                    <w:rPr>
                      <w:rFonts w:cs="Arial"/>
                      <w:color w:val="000000"/>
                    </w:rPr>
                  </w:pPr>
                  <w:r w:rsidRPr="00282098">
                    <w:rPr>
                      <w:rFonts w:cs="Arial"/>
                      <w:color w:val="000000"/>
                    </w:rPr>
                    <w:t>2</w:t>
                  </w:r>
                </w:p>
              </w:tc>
              <w:tc>
                <w:tcPr>
                  <w:tcW w:w="2127" w:type="dxa"/>
                  <w:gridSpan w:val="2"/>
                  <w:tcBorders>
                    <w:top w:val="nil"/>
                    <w:left w:val="nil"/>
                    <w:bottom w:val="single" w:sz="8" w:space="0" w:color="auto"/>
                    <w:right w:val="single" w:sz="4" w:space="0" w:color="auto"/>
                  </w:tcBorders>
                  <w:shd w:val="clear" w:color="auto" w:fill="auto"/>
                  <w:noWrap/>
                  <w:vAlign w:val="center"/>
                  <w:hideMark/>
                </w:tcPr>
                <w:p w:rsidR="00F503BA" w:rsidRPr="00282098" w:rsidRDefault="00F503BA" w:rsidP="00720F43">
                  <w:pPr>
                    <w:jc w:val="center"/>
                    <w:rPr>
                      <w:rFonts w:cs="Arial"/>
                      <w:color w:val="000000"/>
                    </w:rPr>
                  </w:pPr>
                  <w:r w:rsidRPr="00282098">
                    <w:rPr>
                      <w:rFonts w:cs="Arial"/>
                      <w:color w:val="000000"/>
                    </w:rPr>
                    <w:t>uniform</w:t>
                  </w:r>
                </w:p>
              </w:tc>
              <w:tc>
                <w:tcPr>
                  <w:tcW w:w="1985" w:type="dxa"/>
                  <w:tcBorders>
                    <w:top w:val="nil"/>
                    <w:left w:val="nil"/>
                    <w:bottom w:val="single" w:sz="8" w:space="0" w:color="auto"/>
                    <w:right w:val="single" w:sz="8" w:space="0" w:color="auto"/>
                  </w:tcBorders>
                  <w:shd w:val="clear" w:color="auto" w:fill="auto"/>
                  <w:vAlign w:val="center"/>
                  <w:hideMark/>
                </w:tcPr>
                <w:p w:rsidR="00F503BA" w:rsidRPr="00282098" w:rsidRDefault="00F503BA" w:rsidP="00720F43">
                  <w:pPr>
                    <w:jc w:val="center"/>
                    <w:rPr>
                      <w:rFonts w:cs="Arial"/>
                      <w:color w:val="000000"/>
                    </w:rPr>
                  </w:pPr>
                  <w:r w:rsidRPr="00282098">
                    <w:rPr>
                      <w:rFonts w:cs="Arial"/>
                      <w:color w:val="000000"/>
                    </w:rPr>
                    <w:t>uniform</w:t>
                  </w:r>
                </w:p>
              </w:tc>
              <w:tc>
                <w:tcPr>
                  <w:tcW w:w="1624" w:type="dxa"/>
                  <w:tcBorders>
                    <w:top w:val="single" w:sz="4" w:space="0" w:color="auto"/>
                    <w:bottom w:val="single" w:sz="4" w:space="0" w:color="auto"/>
                    <w:right w:val="single" w:sz="4" w:space="0" w:color="auto"/>
                  </w:tcBorders>
                  <w:shd w:val="clear" w:color="auto" w:fill="auto"/>
                </w:tcPr>
                <w:p w:rsidR="00F503BA" w:rsidRPr="00282098" w:rsidRDefault="00F503BA" w:rsidP="00143660">
                  <w:pPr>
                    <w:jc w:val="center"/>
                  </w:pPr>
                  <w:r w:rsidRPr="00282098">
                    <w:t>non-uniform</w:t>
                  </w:r>
                </w:p>
              </w:tc>
            </w:tr>
            <w:tr w:rsidR="00F503BA" w:rsidRPr="00BD2498" w:rsidTr="00DD7375">
              <w:trPr>
                <w:gridBefore w:val="1"/>
                <w:wBefore w:w="424" w:type="dxa"/>
                <w:trHeight w:val="273"/>
              </w:trPr>
              <w:tc>
                <w:tcPr>
                  <w:tcW w:w="696" w:type="dxa"/>
                  <w:vMerge/>
                  <w:tcBorders>
                    <w:left w:val="single" w:sz="4" w:space="0" w:color="auto"/>
                    <w:right w:val="single" w:sz="4" w:space="0" w:color="000000"/>
                  </w:tcBorders>
                  <w:vAlign w:val="center"/>
                  <w:hideMark/>
                </w:tcPr>
                <w:p w:rsidR="00F503BA" w:rsidRPr="00BD2498" w:rsidRDefault="00F503BA" w:rsidP="00720F43">
                  <w:pPr>
                    <w:jc w:val="left"/>
                    <w:rPr>
                      <w:rFonts w:cs="Arial"/>
                      <w:color w:val="000000"/>
                    </w:rPr>
                  </w:pPr>
                </w:p>
              </w:tc>
              <w:tc>
                <w:tcPr>
                  <w:tcW w:w="1134" w:type="dxa"/>
                  <w:tcBorders>
                    <w:top w:val="nil"/>
                    <w:left w:val="nil"/>
                    <w:bottom w:val="single" w:sz="8" w:space="0" w:color="auto"/>
                    <w:right w:val="single" w:sz="4" w:space="0" w:color="auto"/>
                  </w:tcBorders>
                  <w:shd w:val="clear" w:color="auto" w:fill="auto"/>
                  <w:vAlign w:val="center"/>
                  <w:hideMark/>
                </w:tcPr>
                <w:p w:rsidR="00F503BA" w:rsidRPr="00282098" w:rsidRDefault="00F503BA" w:rsidP="00720F43">
                  <w:pPr>
                    <w:jc w:val="center"/>
                    <w:rPr>
                      <w:rFonts w:cs="Arial"/>
                      <w:color w:val="000000"/>
                    </w:rPr>
                  </w:pPr>
                  <w:r w:rsidRPr="00282098">
                    <w:rPr>
                      <w:rFonts w:cs="Arial"/>
                      <w:color w:val="000000"/>
                    </w:rPr>
                    <w:t>0</w:t>
                  </w:r>
                </w:p>
              </w:tc>
              <w:tc>
                <w:tcPr>
                  <w:tcW w:w="1134" w:type="dxa"/>
                  <w:gridSpan w:val="2"/>
                  <w:tcBorders>
                    <w:top w:val="nil"/>
                    <w:left w:val="nil"/>
                    <w:bottom w:val="single" w:sz="8" w:space="0" w:color="auto"/>
                    <w:right w:val="single" w:sz="4" w:space="0" w:color="auto"/>
                  </w:tcBorders>
                  <w:shd w:val="clear" w:color="auto" w:fill="auto"/>
                  <w:vAlign w:val="center"/>
                  <w:hideMark/>
                </w:tcPr>
                <w:p w:rsidR="00F503BA" w:rsidRPr="00282098" w:rsidRDefault="00F503BA" w:rsidP="00720F43">
                  <w:pPr>
                    <w:jc w:val="center"/>
                    <w:rPr>
                      <w:rFonts w:cs="Arial"/>
                      <w:color w:val="000000"/>
                    </w:rPr>
                  </w:pPr>
                  <w:r w:rsidRPr="00282098">
                    <w:rPr>
                      <w:rFonts w:cs="Arial"/>
                      <w:color w:val="000000"/>
                    </w:rPr>
                    <w:t>3*</w:t>
                  </w:r>
                </w:p>
              </w:tc>
              <w:tc>
                <w:tcPr>
                  <w:tcW w:w="2127" w:type="dxa"/>
                  <w:gridSpan w:val="2"/>
                  <w:tcBorders>
                    <w:top w:val="nil"/>
                    <w:left w:val="nil"/>
                    <w:bottom w:val="single" w:sz="8" w:space="0" w:color="auto"/>
                    <w:right w:val="single" w:sz="4" w:space="0" w:color="auto"/>
                  </w:tcBorders>
                  <w:shd w:val="clear" w:color="auto" w:fill="auto"/>
                  <w:vAlign w:val="center"/>
                  <w:hideMark/>
                </w:tcPr>
                <w:p w:rsidR="00F503BA" w:rsidRPr="00282098" w:rsidRDefault="00F503BA" w:rsidP="00720F43">
                  <w:pPr>
                    <w:rPr>
                      <w:rFonts w:cs="Arial"/>
                      <w:color w:val="000000"/>
                    </w:rPr>
                  </w:pPr>
                  <w:r w:rsidRPr="00282098">
                    <w:rPr>
                      <w:rFonts w:cs="Arial"/>
                      <w:color w:val="000000"/>
                    </w:rPr>
                    <w:t>third growing cycle*</w:t>
                  </w:r>
                </w:p>
              </w:tc>
              <w:tc>
                <w:tcPr>
                  <w:tcW w:w="1985" w:type="dxa"/>
                  <w:tcBorders>
                    <w:top w:val="nil"/>
                    <w:left w:val="nil"/>
                    <w:bottom w:val="single" w:sz="8" w:space="0" w:color="auto"/>
                    <w:right w:val="single" w:sz="4" w:space="0" w:color="auto"/>
                  </w:tcBorders>
                  <w:shd w:val="clear" w:color="auto" w:fill="auto"/>
                  <w:vAlign w:val="center"/>
                  <w:hideMark/>
                </w:tcPr>
                <w:p w:rsidR="00F503BA" w:rsidRPr="00282098" w:rsidRDefault="00F503BA" w:rsidP="00720F43">
                  <w:pPr>
                    <w:jc w:val="center"/>
                    <w:rPr>
                      <w:rFonts w:cs="Arial"/>
                      <w:color w:val="000000"/>
                    </w:rPr>
                  </w:pPr>
                  <w:r w:rsidRPr="00282098">
                    <w:rPr>
                      <w:rFonts w:cs="Arial"/>
                      <w:color w:val="000000"/>
                    </w:rPr>
                    <w:t>uniform*</w:t>
                  </w:r>
                </w:p>
              </w:tc>
              <w:tc>
                <w:tcPr>
                  <w:tcW w:w="1624" w:type="dxa"/>
                  <w:tcBorders>
                    <w:top w:val="single" w:sz="4" w:space="0" w:color="auto"/>
                    <w:bottom w:val="single" w:sz="4" w:space="0" w:color="auto"/>
                    <w:right w:val="single" w:sz="4" w:space="0" w:color="auto"/>
                  </w:tcBorders>
                  <w:shd w:val="clear" w:color="auto" w:fill="auto"/>
                </w:tcPr>
                <w:p w:rsidR="00F503BA" w:rsidRPr="00282098" w:rsidRDefault="00F503BA" w:rsidP="00143660">
                  <w:pPr>
                    <w:jc w:val="center"/>
                  </w:pPr>
                  <w:r w:rsidRPr="00282098">
                    <w:t>uniform*</w:t>
                  </w:r>
                </w:p>
              </w:tc>
            </w:tr>
            <w:tr w:rsidR="00F503BA" w:rsidRPr="00BD2498" w:rsidTr="00DD7375">
              <w:trPr>
                <w:gridBefore w:val="1"/>
                <w:wBefore w:w="424" w:type="dxa"/>
                <w:trHeight w:val="248"/>
              </w:trPr>
              <w:tc>
                <w:tcPr>
                  <w:tcW w:w="696" w:type="dxa"/>
                  <w:vMerge/>
                  <w:tcBorders>
                    <w:left w:val="single" w:sz="4" w:space="0" w:color="auto"/>
                    <w:right w:val="single" w:sz="4" w:space="0" w:color="000000"/>
                  </w:tcBorders>
                  <w:vAlign w:val="center"/>
                  <w:hideMark/>
                </w:tcPr>
                <w:p w:rsidR="00F503BA" w:rsidRPr="00BD2498" w:rsidRDefault="00F503BA" w:rsidP="00720F43">
                  <w:pPr>
                    <w:jc w:val="left"/>
                    <w:rPr>
                      <w:rFonts w:cs="Arial"/>
                      <w:color w:val="000000"/>
                    </w:rPr>
                  </w:pPr>
                </w:p>
              </w:tc>
              <w:tc>
                <w:tcPr>
                  <w:tcW w:w="1134" w:type="dxa"/>
                  <w:tcBorders>
                    <w:top w:val="nil"/>
                    <w:left w:val="single" w:sz="8" w:space="0" w:color="auto"/>
                    <w:bottom w:val="single" w:sz="8" w:space="0" w:color="auto"/>
                    <w:right w:val="single" w:sz="4" w:space="0" w:color="auto"/>
                  </w:tcBorders>
                  <w:shd w:val="clear" w:color="auto" w:fill="auto"/>
                  <w:vAlign w:val="center"/>
                  <w:hideMark/>
                </w:tcPr>
                <w:p w:rsidR="00F503BA" w:rsidRPr="00282098" w:rsidRDefault="00F503BA" w:rsidP="00720F43">
                  <w:pPr>
                    <w:jc w:val="center"/>
                    <w:rPr>
                      <w:rFonts w:cs="Arial"/>
                      <w:color w:val="000000"/>
                    </w:rPr>
                  </w:pPr>
                  <w:r w:rsidRPr="00282098">
                    <w:rPr>
                      <w:rFonts w:cs="Arial"/>
                      <w:color w:val="000000"/>
                    </w:rPr>
                    <w:t>1</w:t>
                  </w:r>
                </w:p>
              </w:tc>
              <w:tc>
                <w:tcPr>
                  <w:tcW w:w="1134" w:type="dxa"/>
                  <w:gridSpan w:val="2"/>
                  <w:tcBorders>
                    <w:top w:val="nil"/>
                    <w:left w:val="nil"/>
                    <w:bottom w:val="single" w:sz="8" w:space="0" w:color="auto"/>
                    <w:right w:val="single" w:sz="4" w:space="0" w:color="auto"/>
                  </w:tcBorders>
                  <w:shd w:val="clear" w:color="auto" w:fill="auto"/>
                  <w:vAlign w:val="center"/>
                  <w:hideMark/>
                </w:tcPr>
                <w:p w:rsidR="00F503BA" w:rsidRPr="00282098" w:rsidRDefault="00F503BA" w:rsidP="00720F43">
                  <w:pPr>
                    <w:jc w:val="center"/>
                    <w:rPr>
                      <w:rFonts w:cs="Arial"/>
                      <w:color w:val="000000"/>
                    </w:rPr>
                  </w:pPr>
                  <w:r w:rsidRPr="00282098">
                    <w:rPr>
                      <w:rFonts w:cs="Arial"/>
                      <w:color w:val="000000"/>
                    </w:rPr>
                    <w:t>3*</w:t>
                  </w:r>
                </w:p>
              </w:tc>
              <w:tc>
                <w:tcPr>
                  <w:tcW w:w="2127" w:type="dxa"/>
                  <w:gridSpan w:val="2"/>
                  <w:tcBorders>
                    <w:top w:val="nil"/>
                    <w:left w:val="nil"/>
                    <w:bottom w:val="single" w:sz="8" w:space="0" w:color="auto"/>
                    <w:right w:val="single" w:sz="4" w:space="0" w:color="auto"/>
                  </w:tcBorders>
                  <w:shd w:val="clear" w:color="auto" w:fill="auto"/>
                  <w:vAlign w:val="center"/>
                  <w:hideMark/>
                </w:tcPr>
                <w:p w:rsidR="00F503BA" w:rsidRPr="00282098" w:rsidRDefault="00F503BA" w:rsidP="00720F43">
                  <w:pPr>
                    <w:rPr>
                      <w:rFonts w:cs="Arial"/>
                      <w:color w:val="000000"/>
                    </w:rPr>
                  </w:pPr>
                  <w:r w:rsidRPr="00282098">
                    <w:rPr>
                      <w:rFonts w:cs="Arial"/>
                      <w:color w:val="000000"/>
                    </w:rPr>
                    <w:t>third growing cycle*</w:t>
                  </w:r>
                </w:p>
              </w:tc>
              <w:tc>
                <w:tcPr>
                  <w:tcW w:w="1985" w:type="dxa"/>
                  <w:tcBorders>
                    <w:top w:val="nil"/>
                    <w:left w:val="nil"/>
                    <w:bottom w:val="single" w:sz="4" w:space="0" w:color="auto"/>
                    <w:right w:val="single" w:sz="8" w:space="0" w:color="auto"/>
                  </w:tcBorders>
                  <w:shd w:val="clear" w:color="auto" w:fill="auto"/>
                  <w:vAlign w:val="center"/>
                  <w:hideMark/>
                </w:tcPr>
                <w:p w:rsidR="00F503BA" w:rsidRPr="00282098" w:rsidRDefault="00F503BA" w:rsidP="00720F43">
                  <w:pPr>
                    <w:jc w:val="center"/>
                    <w:rPr>
                      <w:rFonts w:cs="Arial"/>
                      <w:color w:val="000000"/>
                    </w:rPr>
                  </w:pPr>
                  <w:r w:rsidRPr="00282098">
                    <w:rPr>
                      <w:rFonts w:cs="Arial"/>
                      <w:color w:val="000000"/>
                    </w:rPr>
                    <w:t>non-uniform*</w:t>
                  </w:r>
                </w:p>
              </w:tc>
              <w:tc>
                <w:tcPr>
                  <w:tcW w:w="1624" w:type="dxa"/>
                  <w:tcBorders>
                    <w:top w:val="single" w:sz="4" w:space="0" w:color="auto"/>
                    <w:bottom w:val="single" w:sz="4" w:space="0" w:color="auto"/>
                    <w:right w:val="single" w:sz="4" w:space="0" w:color="auto"/>
                  </w:tcBorders>
                  <w:shd w:val="clear" w:color="auto" w:fill="auto"/>
                </w:tcPr>
                <w:p w:rsidR="00F503BA" w:rsidRPr="00282098" w:rsidRDefault="00F503BA" w:rsidP="00143660">
                  <w:pPr>
                    <w:jc w:val="center"/>
                  </w:pPr>
                  <w:r w:rsidRPr="00282098">
                    <w:t>non-uniform*</w:t>
                  </w:r>
                </w:p>
              </w:tc>
            </w:tr>
            <w:tr w:rsidR="00F503BA" w:rsidRPr="00BD2498" w:rsidTr="00DD7375">
              <w:trPr>
                <w:gridBefore w:val="1"/>
                <w:wBefore w:w="424" w:type="dxa"/>
                <w:trHeight w:val="267"/>
              </w:trPr>
              <w:tc>
                <w:tcPr>
                  <w:tcW w:w="696" w:type="dxa"/>
                  <w:vMerge/>
                  <w:tcBorders>
                    <w:left w:val="single" w:sz="4" w:space="0" w:color="auto"/>
                    <w:right w:val="single" w:sz="4" w:space="0" w:color="000000"/>
                  </w:tcBorders>
                  <w:vAlign w:val="center"/>
                  <w:hideMark/>
                </w:tcPr>
                <w:p w:rsidR="00F503BA" w:rsidRPr="00BD2498" w:rsidRDefault="00F503BA" w:rsidP="00720F43">
                  <w:pPr>
                    <w:jc w:val="left"/>
                    <w:rPr>
                      <w:rFonts w:cs="Arial"/>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F503BA" w:rsidRPr="00282098" w:rsidRDefault="00F503BA" w:rsidP="00720F43">
                  <w:pPr>
                    <w:jc w:val="center"/>
                    <w:rPr>
                      <w:rFonts w:cs="Arial"/>
                      <w:color w:val="000000"/>
                    </w:rPr>
                  </w:pPr>
                  <w:r w:rsidRPr="00282098">
                    <w:rPr>
                      <w:rFonts w:cs="Arial"/>
                      <w:color w:val="000000"/>
                    </w:rPr>
                    <w:t>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503BA" w:rsidRPr="00282098" w:rsidRDefault="00F503BA" w:rsidP="00720F43">
                  <w:pPr>
                    <w:ind w:left="49"/>
                    <w:jc w:val="center"/>
                    <w:rPr>
                      <w:rFonts w:cs="Arial"/>
                      <w:color w:val="000000"/>
                    </w:rPr>
                  </w:pPr>
                  <w:r w:rsidRPr="00282098">
                    <w:rPr>
                      <w:rFonts w:cs="Arial"/>
                      <w:color w:val="000000"/>
                    </w:rPr>
                    <w:t>4*</w:t>
                  </w:r>
                </w:p>
              </w:tc>
              <w:tc>
                <w:tcPr>
                  <w:tcW w:w="2127" w:type="dxa"/>
                  <w:gridSpan w:val="2"/>
                  <w:tcBorders>
                    <w:top w:val="nil"/>
                    <w:left w:val="nil"/>
                    <w:bottom w:val="single" w:sz="4" w:space="0" w:color="auto"/>
                    <w:right w:val="single" w:sz="4" w:space="0" w:color="auto"/>
                  </w:tcBorders>
                  <w:shd w:val="clear" w:color="auto" w:fill="auto"/>
                  <w:vAlign w:val="center"/>
                  <w:hideMark/>
                </w:tcPr>
                <w:p w:rsidR="00F503BA" w:rsidRPr="00282098" w:rsidRDefault="00F503BA" w:rsidP="00720F43">
                  <w:pPr>
                    <w:rPr>
                      <w:rFonts w:cs="Arial"/>
                      <w:color w:val="000000"/>
                    </w:rPr>
                  </w:pPr>
                  <w:r w:rsidRPr="00282098">
                    <w:rPr>
                      <w:rFonts w:cs="Arial"/>
                      <w:color w:val="000000"/>
                    </w:rPr>
                    <w:t>third growing cycle*</w:t>
                  </w:r>
                </w:p>
              </w:tc>
              <w:tc>
                <w:tcPr>
                  <w:tcW w:w="1985" w:type="dxa"/>
                  <w:tcBorders>
                    <w:top w:val="nil"/>
                    <w:left w:val="nil"/>
                    <w:bottom w:val="single" w:sz="4" w:space="0" w:color="auto"/>
                    <w:right w:val="single" w:sz="4" w:space="0" w:color="auto"/>
                  </w:tcBorders>
                  <w:shd w:val="clear" w:color="auto" w:fill="auto"/>
                  <w:vAlign w:val="center"/>
                  <w:hideMark/>
                </w:tcPr>
                <w:p w:rsidR="00F503BA" w:rsidRPr="00282098" w:rsidRDefault="00F503BA" w:rsidP="00720F43">
                  <w:pPr>
                    <w:jc w:val="center"/>
                    <w:rPr>
                      <w:rFonts w:cs="Arial"/>
                      <w:color w:val="000000"/>
                    </w:rPr>
                  </w:pPr>
                  <w:r w:rsidRPr="00282098">
                    <w:rPr>
                      <w:rFonts w:cs="Arial"/>
                      <w:color w:val="000000"/>
                    </w:rPr>
                    <w:t>non-uniform*</w:t>
                  </w:r>
                </w:p>
              </w:tc>
              <w:tc>
                <w:tcPr>
                  <w:tcW w:w="1624" w:type="dxa"/>
                  <w:tcBorders>
                    <w:top w:val="single" w:sz="4" w:space="0" w:color="auto"/>
                    <w:bottom w:val="single" w:sz="4" w:space="0" w:color="auto"/>
                    <w:right w:val="single" w:sz="4" w:space="0" w:color="auto"/>
                  </w:tcBorders>
                  <w:shd w:val="clear" w:color="auto" w:fill="auto"/>
                </w:tcPr>
                <w:p w:rsidR="00F503BA" w:rsidRPr="00282098" w:rsidRDefault="00F503BA" w:rsidP="00143660">
                  <w:pPr>
                    <w:jc w:val="center"/>
                  </w:pPr>
                  <w:r w:rsidRPr="00282098">
                    <w:t>non-uniform*</w:t>
                  </w:r>
                </w:p>
              </w:tc>
            </w:tr>
            <w:tr w:rsidR="00F503BA" w:rsidRPr="00BD2498" w:rsidTr="00DD7375">
              <w:trPr>
                <w:gridBefore w:val="1"/>
                <w:wBefore w:w="424" w:type="dxa"/>
                <w:trHeight w:val="266"/>
              </w:trPr>
              <w:tc>
                <w:tcPr>
                  <w:tcW w:w="696" w:type="dxa"/>
                  <w:vMerge/>
                  <w:tcBorders>
                    <w:left w:val="single" w:sz="4" w:space="0" w:color="auto"/>
                    <w:bottom w:val="single" w:sz="4" w:space="0" w:color="auto"/>
                    <w:right w:val="single" w:sz="4" w:space="0" w:color="000000"/>
                  </w:tcBorders>
                  <w:shd w:val="clear" w:color="auto" w:fill="auto"/>
                  <w:noWrap/>
                  <w:vAlign w:val="bottom"/>
                  <w:hideMark/>
                </w:tcPr>
                <w:p w:rsidR="00F503BA" w:rsidRPr="00BD2498" w:rsidRDefault="00F503BA" w:rsidP="00720F43">
                  <w:pPr>
                    <w:jc w:val="left"/>
                    <w:rPr>
                      <w:rFonts w:cs="Arial"/>
                      <w:color w:val="000000"/>
                    </w:rPr>
                  </w:pPr>
                </w:p>
              </w:tc>
              <w:tc>
                <w:tcPr>
                  <w:tcW w:w="1134" w:type="dxa"/>
                  <w:tcBorders>
                    <w:top w:val="nil"/>
                    <w:left w:val="single" w:sz="4" w:space="0" w:color="000000"/>
                    <w:bottom w:val="single" w:sz="4" w:space="0" w:color="auto"/>
                    <w:right w:val="single" w:sz="4" w:space="0" w:color="auto"/>
                  </w:tcBorders>
                  <w:shd w:val="clear" w:color="auto" w:fill="auto"/>
                  <w:noWrap/>
                  <w:vAlign w:val="center"/>
                  <w:hideMark/>
                </w:tcPr>
                <w:p w:rsidR="00F503BA" w:rsidRPr="00282098" w:rsidRDefault="00F503BA" w:rsidP="00720F43">
                  <w:pPr>
                    <w:ind w:left="49"/>
                    <w:jc w:val="center"/>
                    <w:rPr>
                      <w:rFonts w:cs="Arial"/>
                      <w:color w:val="000000"/>
                    </w:rPr>
                  </w:pPr>
                  <w:r w:rsidRPr="00282098">
                    <w:rPr>
                      <w:rFonts w:cs="Arial"/>
                      <w:color w:val="000000"/>
                    </w:rPr>
                    <w:t>4</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F503BA" w:rsidRPr="00282098" w:rsidRDefault="00F503BA" w:rsidP="00720F43">
                  <w:pPr>
                    <w:ind w:right="-123"/>
                    <w:jc w:val="center"/>
                    <w:rPr>
                      <w:rFonts w:cs="Arial"/>
                      <w:color w:val="000000"/>
                    </w:rPr>
                  </w:pPr>
                  <w:r w:rsidRPr="00282098">
                    <w:rPr>
                      <w:rFonts w:cs="Arial"/>
                      <w:color w:val="000000"/>
                    </w:rPr>
                    <w:t>1*</w:t>
                  </w:r>
                </w:p>
              </w:tc>
              <w:tc>
                <w:tcPr>
                  <w:tcW w:w="2127" w:type="dxa"/>
                  <w:gridSpan w:val="2"/>
                  <w:tcBorders>
                    <w:top w:val="nil"/>
                    <w:left w:val="single" w:sz="4" w:space="0" w:color="auto"/>
                    <w:bottom w:val="single" w:sz="4" w:space="0" w:color="auto"/>
                    <w:right w:val="single" w:sz="4" w:space="0" w:color="auto"/>
                  </w:tcBorders>
                  <w:shd w:val="clear" w:color="auto" w:fill="auto"/>
                  <w:noWrap/>
                  <w:vAlign w:val="center"/>
                  <w:hideMark/>
                </w:tcPr>
                <w:p w:rsidR="00F503BA" w:rsidRPr="00282098" w:rsidRDefault="00F503BA" w:rsidP="00720F43">
                  <w:pPr>
                    <w:ind w:right="-122"/>
                    <w:rPr>
                      <w:rFonts w:cs="Arial"/>
                      <w:color w:val="000000"/>
                    </w:rPr>
                  </w:pPr>
                  <w:r w:rsidRPr="00282098">
                    <w:rPr>
                      <w:rFonts w:cs="Arial"/>
                      <w:color w:val="000000"/>
                    </w:rPr>
                    <w:t xml:space="preserve">third growing cycle*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F503BA" w:rsidRPr="00282098" w:rsidRDefault="00F503BA" w:rsidP="00720F43">
                  <w:pPr>
                    <w:jc w:val="center"/>
                    <w:rPr>
                      <w:rFonts w:cs="Arial"/>
                      <w:color w:val="000000"/>
                    </w:rPr>
                  </w:pPr>
                  <w:r w:rsidRPr="00282098">
                    <w:rPr>
                      <w:rFonts w:cs="Arial"/>
                      <w:color w:val="000000"/>
                    </w:rPr>
                    <w:t>non-uniform*</w:t>
                  </w:r>
                </w:p>
              </w:tc>
              <w:tc>
                <w:tcPr>
                  <w:tcW w:w="1624" w:type="dxa"/>
                  <w:tcBorders>
                    <w:top w:val="single" w:sz="4" w:space="0" w:color="auto"/>
                    <w:bottom w:val="single" w:sz="4" w:space="0" w:color="auto"/>
                    <w:right w:val="single" w:sz="4" w:space="0" w:color="auto"/>
                  </w:tcBorders>
                  <w:shd w:val="clear" w:color="auto" w:fill="auto"/>
                </w:tcPr>
                <w:p w:rsidR="00F503BA" w:rsidRPr="00282098" w:rsidRDefault="00F503BA" w:rsidP="00143660">
                  <w:pPr>
                    <w:jc w:val="center"/>
                  </w:pPr>
                  <w:r w:rsidRPr="00282098">
                    <w:t>non-uniform</w:t>
                  </w:r>
                </w:p>
              </w:tc>
            </w:tr>
          </w:tbl>
          <w:p w:rsidR="00BF4661" w:rsidRPr="000F5FAC" w:rsidRDefault="00BF4661" w:rsidP="00720F43">
            <w:pPr>
              <w:pStyle w:val="Titleofdoc0"/>
              <w:spacing w:before="0"/>
              <w:jc w:val="both"/>
              <w:rPr>
                <w:sz w:val="12"/>
                <w:szCs w:val="24"/>
              </w:rPr>
            </w:pPr>
          </w:p>
          <w:p w:rsidR="00BF4661" w:rsidRPr="00D40A93" w:rsidRDefault="00BF4661" w:rsidP="00720F43">
            <w:pPr>
              <w:keepNext/>
              <w:keepLines/>
              <w:ind w:left="34"/>
              <w:rPr>
                <w:rFonts w:eastAsia="SimSun"/>
                <w:sz w:val="18"/>
                <w:lang w:eastAsia="zh-CN"/>
              </w:rPr>
            </w:pPr>
            <w:r w:rsidRPr="00C1030A">
              <w:rPr>
                <w:sz w:val="18"/>
                <w:szCs w:val="24"/>
              </w:rPr>
              <w:t xml:space="preserve">*  </w:t>
            </w:r>
            <w:r w:rsidRPr="00C1030A">
              <w:rPr>
                <w:rFonts w:eastAsia="SimSun"/>
                <w:sz w:val="18"/>
                <w:lang w:eastAsia="zh-CN"/>
              </w:rPr>
              <w:t>Care is needed when considering results that were very different in each of the growing cycles, such as when a type of off</w:t>
            </w:r>
            <w:r>
              <w:rPr>
                <w:rFonts w:eastAsia="SimSun"/>
                <w:sz w:val="18"/>
                <w:lang w:eastAsia="zh-CN"/>
              </w:rPr>
              <w:noBreakHyphen/>
            </w:r>
            <w:r w:rsidRPr="00C1030A">
              <w:rPr>
                <w:rFonts w:eastAsia="SimSun"/>
                <w:sz w:val="18"/>
                <w:lang w:eastAsia="zh-CN"/>
              </w:rPr>
              <w:t>type was observed at a high level in one growing cycle and was absent in another growing cycle.</w:t>
            </w:r>
          </w:p>
        </w:tc>
      </w:tr>
    </w:tbl>
    <w:p w:rsidR="00BF4661" w:rsidRDefault="00BF4661" w:rsidP="00BF4661">
      <w:pPr>
        <w:jc w:val="right"/>
        <w:rPr>
          <w:rFonts w:eastAsia="MS Mincho"/>
          <w:color w:val="000000"/>
          <w:sz w:val="16"/>
          <w:lang w:eastAsia="ja-JP"/>
        </w:rPr>
      </w:pPr>
    </w:p>
    <w:p w:rsidR="000E3F99" w:rsidRDefault="000E3F99" w:rsidP="00BF4661">
      <w:pPr>
        <w:jc w:val="right"/>
        <w:rPr>
          <w:rFonts w:eastAsia="MS Mincho"/>
          <w:color w:val="000000"/>
          <w:sz w:val="16"/>
          <w:lang w:eastAsia="ja-JP"/>
        </w:rPr>
      </w:pPr>
    </w:p>
    <w:p w:rsidR="000E3F99" w:rsidRPr="000F5FAC" w:rsidRDefault="000E3F99" w:rsidP="00BF4661">
      <w:pPr>
        <w:jc w:val="right"/>
        <w:rPr>
          <w:rFonts w:eastAsia="MS Mincho"/>
          <w:color w:val="000000"/>
          <w:sz w:val="16"/>
          <w:lang w:eastAsia="ja-JP"/>
        </w:rPr>
      </w:pPr>
    </w:p>
    <w:p w:rsidR="00BF4661" w:rsidRDefault="00BF4661" w:rsidP="00BF4661">
      <w:pPr>
        <w:jc w:val="right"/>
        <w:rPr>
          <w:rFonts w:eastAsia="MS Mincho"/>
          <w:color w:val="000000"/>
          <w:lang w:eastAsia="ja-JP"/>
        </w:rPr>
      </w:pPr>
      <w:r>
        <w:rPr>
          <w:rFonts w:eastAsia="MS Mincho"/>
          <w:color w:val="000000"/>
          <w:lang w:eastAsia="ja-JP"/>
        </w:rPr>
        <w:t>[Annex II</w:t>
      </w:r>
      <w:r w:rsidRPr="00423063">
        <w:rPr>
          <w:rFonts w:eastAsia="MS Mincho"/>
          <w:color w:val="000000"/>
          <w:lang w:eastAsia="ja-JP"/>
        </w:rPr>
        <w:t xml:space="preserve"> follows]</w:t>
      </w:r>
    </w:p>
    <w:p w:rsidR="00BF4661" w:rsidRDefault="00BF4661" w:rsidP="00BF4661">
      <w:pPr>
        <w:jc w:val="right"/>
        <w:rPr>
          <w:rFonts w:eastAsia="MS Mincho"/>
          <w:color w:val="000000"/>
          <w:lang w:eastAsia="ja-JP"/>
        </w:rPr>
        <w:sectPr w:rsidR="00BF4661" w:rsidSect="0074415C">
          <w:headerReference w:type="default" r:id="rId11"/>
          <w:headerReference w:type="first" r:id="rId12"/>
          <w:pgSz w:w="11907" w:h="16840" w:code="9"/>
          <w:pgMar w:top="510" w:right="1134" w:bottom="851" w:left="1134" w:header="510" w:footer="680" w:gutter="0"/>
          <w:pgNumType w:start="1"/>
          <w:cols w:space="720"/>
          <w:titlePg/>
        </w:sectPr>
      </w:pPr>
    </w:p>
    <w:tbl>
      <w:tblPr>
        <w:tblW w:w="1020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BF4661" w:rsidRPr="00ED3415" w:rsidTr="00287CD1">
        <w:trPr>
          <w:trHeight w:val="350"/>
        </w:trPr>
        <w:tc>
          <w:tcPr>
            <w:tcW w:w="10206" w:type="dxa"/>
          </w:tcPr>
          <w:p w:rsidR="00BF4661" w:rsidRDefault="00BF4661" w:rsidP="00720F43">
            <w:pPr>
              <w:autoSpaceDE w:val="0"/>
              <w:autoSpaceDN w:val="0"/>
              <w:adjustRightInd w:val="0"/>
              <w:jc w:val="center"/>
              <w:rPr>
                <w:rFonts w:eastAsia="SimSun"/>
                <w:szCs w:val="24"/>
                <w:lang w:eastAsia="zh-CN"/>
              </w:rPr>
            </w:pPr>
          </w:p>
          <w:p w:rsidR="00BF4661" w:rsidRDefault="00BF4661" w:rsidP="00720F43">
            <w:pPr>
              <w:autoSpaceDE w:val="0"/>
              <w:autoSpaceDN w:val="0"/>
              <w:adjustRightInd w:val="0"/>
              <w:jc w:val="center"/>
              <w:rPr>
                <w:szCs w:val="24"/>
              </w:rPr>
            </w:pPr>
            <w:r>
              <w:rPr>
                <w:rFonts w:eastAsia="SimSun"/>
                <w:szCs w:val="24"/>
                <w:lang w:eastAsia="zh-CN"/>
              </w:rPr>
              <w:t xml:space="preserve">SITUATION:  ASSESSING UNIFORMITY BY OFF-TYPES ON THE BASIS OF </w:t>
            </w:r>
            <w:r>
              <w:rPr>
                <w:szCs w:val="24"/>
              </w:rPr>
              <w:t xml:space="preserve">SUB-SAMPLES </w:t>
            </w:r>
          </w:p>
          <w:p w:rsidR="00BF4661" w:rsidRDefault="00BF4661" w:rsidP="00720F43">
            <w:pPr>
              <w:autoSpaceDE w:val="0"/>
              <w:autoSpaceDN w:val="0"/>
              <w:adjustRightInd w:val="0"/>
              <w:jc w:val="center"/>
              <w:rPr>
                <w:szCs w:val="24"/>
              </w:rPr>
            </w:pPr>
            <w:r>
              <w:rPr>
                <w:szCs w:val="24"/>
              </w:rPr>
              <w:t>WITHIN A SINGLE TEST/TRIAL</w:t>
            </w:r>
          </w:p>
          <w:p w:rsidR="00BF4661" w:rsidRPr="002A2C89" w:rsidRDefault="00BF4661" w:rsidP="00720F43">
            <w:pPr>
              <w:autoSpaceDE w:val="0"/>
              <w:autoSpaceDN w:val="0"/>
              <w:adjustRightInd w:val="0"/>
              <w:jc w:val="center"/>
              <w:rPr>
                <w:rFonts w:eastAsia="SimSun"/>
                <w:szCs w:val="24"/>
                <w:lang w:eastAsia="zh-CN"/>
              </w:rPr>
            </w:pPr>
          </w:p>
        </w:tc>
      </w:tr>
      <w:tr w:rsidR="00BF4661" w:rsidRPr="00ED3415" w:rsidTr="00287CD1">
        <w:trPr>
          <w:trHeight w:val="6949"/>
        </w:trPr>
        <w:tc>
          <w:tcPr>
            <w:tcW w:w="10206" w:type="dxa"/>
          </w:tcPr>
          <w:p w:rsidR="00BF4661" w:rsidRPr="00443AD8" w:rsidRDefault="00BF4661" w:rsidP="00720F43"/>
          <w:p w:rsidR="00BF4661" w:rsidRDefault="00BF4661" w:rsidP="00720F43">
            <w:pPr>
              <w:rPr>
                <w:b/>
              </w:rPr>
            </w:pPr>
            <w:r w:rsidRPr="00443AD8">
              <w:rPr>
                <w:b/>
              </w:rPr>
              <w:t xml:space="preserve">Approach:  Use of sub-sample as </w:t>
            </w:r>
            <w:r>
              <w:rPr>
                <w:b/>
              </w:rPr>
              <w:t xml:space="preserve">a </w:t>
            </w:r>
            <w:r w:rsidRPr="00443AD8">
              <w:rPr>
                <w:b/>
              </w:rPr>
              <w:t>first step of assessment</w:t>
            </w:r>
          </w:p>
          <w:p w:rsidR="00BF4661" w:rsidRPr="00443AD8" w:rsidRDefault="00BF4661" w:rsidP="00720F43">
            <w:pPr>
              <w:rPr>
                <w:b/>
              </w:rPr>
            </w:pPr>
          </w:p>
          <w:p w:rsidR="00BF4661" w:rsidRPr="003359E1" w:rsidRDefault="00BF4661" w:rsidP="00720F43">
            <w:r w:rsidRPr="003359E1">
              <w:t>A variety is considered uniform if the number of off-types does not exceed a predefined lower limit in the sub</w:t>
            </w:r>
            <w:r>
              <w:noBreakHyphen/>
            </w:r>
            <w:r w:rsidRPr="003359E1">
              <w:t>sample.</w:t>
            </w:r>
          </w:p>
          <w:p w:rsidR="00BF4661" w:rsidRPr="003359E1" w:rsidRDefault="00BF4661" w:rsidP="00720F43"/>
          <w:p w:rsidR="00BF4661" w:rsidRPr="003359E1" w:rsidRDefault="00BF4661" w:rsidP="00720F43">
            <w:r w:rsidRPr="003359E1">
              <w:t>A variety is considered non–uniform if the number of off-types exceeds a predefined upper limit in the sub</w:t>
            </w:r>
            <w:r>
              <w:noBreakHyphen/>
            </w:r>
            <w:r w:rsidRPr="003359E1">
              <w:t>sample.</w:t>
            </w:r>
          </w:p>
          <w:p w:rsidR="00BF4661" w:rsidRPr="003359E1" w:rsidRDefault="00BF4661" w:rsidP="00720F43"/>
          <w:p w:rsidR="00BF4661" w:rsidRPr="003359E1" w:rsidRDefault="00BF4661" w:rsidP="00720F43">
            <w:r w:rsidRPr="003359E1">
              <w:t>If the number of off-types is between the predefined lower and upper limits, the whole sample is assessed. The lower and upper limits have to be chosen considering comparable type I and type II errors in the sub</w:t>
            </w:r>
            <w:r w:rsidRPr="003359E1">
              <w:noBreakHyphen/>
              <w:t>sample and the whole sample.</w:t>
            </w:r>
          </w:p>
          <w:p w:rsidR="00BF4661" w:rsidRPr="003359E1" w:rsidRDefault="00A76CDD" w:rsidP="00720F43">
            <w:r>
              <w:rPr>
                <w:rFonts w:eastAsia="SimSun"/>
                <w:szCs w:val="24"/>
                <w:lang w:eastAsia="zh-CN"/>
              </w:rPr>
              <w:pict>
                <v:rect id="_x0000_i1025" style="width:0;height:1.5pt" o:hralign="center" o:hrstd="t" o:hr="t" fillcolor="#a0a0a0" stroked="f"/>
              </w:pict>
            </w:r>
          </w:p>
          <w:p w:rsidR="00BF4661" w:rsidRPr="003359E1" w:rsidRDefault="00BF4661" w:rsidP="00720F43">
            <w:pPr>
              <w:rPr>
                <w:szCs w:val="24"/>
              </w:rPr>
            </w:pPr>
          </w:p>
          <w:p w:rsidR="00BF4661" w:rsidRPr="003359E1" w:rsidRDefault="00BF4661" w:rsidP="00720F43">
            <w:pPr>
              <w:rPr>
                <w:szCs w:val="24"/>
              </w:rPr>
            </w:pPr>
            <w:r w:rsidRPr="003359E1">
              <w:rPr>
                <w:szCs w:val="24"/>
              </w:rPr>
              <w:t>Example:</w:t>
            </w:r>
          </w:p>
          <w:p w:rsidR="00BF4661" w:rsidRPr="003359E1" w:rsidRDefault="00BF4661" w:rsidP="00720F43">
            <w:pPr>
              <w:rPr>
                <w:szCs w:val="24"/>
              </w:rPr>
            </w:pPr>
          </w:p>
          <w:p w:rsidR="00BF4661" w:rsidRPr="003359E1" w:rsidRDefault="00BF4661" w:rsidP="00720F43">
            <w:pPr>
              <w:autoSpaceDE w:val="0"/>
              <w:autoSpaceDN w:val="0"/>
              <w:adjustRightInd w:val="0"/>
              <w:rPr>
                <w:color w:val="000000"/>
                <w:szCs w:val="24"/>
              </w:rPr>
            </w:pPr>
            <w:r w:rsidRPr="003359E1">
              <w:rPr>
                <w:color w:val="000000"/>
                <w:szCs w:val="24"/>
              </w:rPr>
              <w:t>In a sample size of 100 plants, the acceptable number of off-types is 3 (based on a population standard of 1% and an acceptance probability of at least 95%).</w:t>
            </w:r>
          </w:p>
          <w:p w:rsidR="00BF4661" w:rsidRPr="003359E1" w:rsidRDefault="00BF4661" w:rsidP="00720F43">
            <w:pPr>
              <w:autoSpaceDE w:val="0"/>
              <w:autoSpaceDN w:val="0"/>
              <w:adjustRightInd w:val="0"/>
              <w:rPr>
                <w:color w:val="000000"/>
                <w:szCs w:val="24"/>
              </w:rPr>
            </w:pPr>
          </w:p>
          <w:p w:rsidR="00BF4661" w:rsidRPr="003359E1" w:rsidRDefault="00BF4661" w:rsidP="00720F43">
            <w:pPr>
              <w:autoSpaceDE w:val="0"/>
              <w:autoSpaceDN w:val="0"/>
              <w:adjustRightInd w:val="0"/>
              <w:rPr>
                <w:color w:val="000000"/>
                <w:szCs w:val="24"/>
              </w:rPr>
            </w:pPr>
            <w:r w:rsidRPr="003359E1">
              <w:rPr>
                <w:color w:val="000000"/>
                <w:szCs w:val="24"/>
              </w:rPr>
              <w:t>In a subsample of 20 plants used in the context of the sample size of 100 plants above:</w:t>
            </w:r>
          </w:p>
          <w:p w:rsidR="00BF4661" w:rsidRPr="003359E1" w:rsidRDefault="00BF4661" w:rsidP="00720F43">
            <w:pPr>
              <w:autoSpaceDE w:val="0"/>
              <w:autoSpaceDN w:val="0"/>
              <w:adjustRightInd w:val="0"/>
              <w:rPr>
                <w:color w:val="000000"/>
                <w:szCs w:val="24"/>
              </w:rPr>
            </w:pPr>
          </w:p>
          <w:p w:rsidR="00BF4661" w:rsidRPr="003359E1" w:rsidRDefault="00BF4661" w:rsidP="00720F43">
            <w:pPr>
              <w:ind w:left="567"/>
            </w:pPr>
            <w:r w:rsidRPr="003359E1">
              <w:t>A variety is considered uniform if no off-types are observed in the sub-sample.</w:t>
            </w:r>
          </w:p>
          <w:p w:rsidR="00BF4661" w:rsidRPr="003359E1" w:rsidRDefault="00BF4661" w:rsidP="00720F43"/>
          <w:p w:rsidR="00BF4661" w:rsidRPr="003359E1" w:rsidRDefault="00BF4661" w:rsidP="00720F43">
            <w:pPr>
              <w:ind w:left="567"/>
            </w:pPr>
            <w:r w:rsidRPr="003359E1">
              <w:t>A variety is considered non–uniform if the number of off-types in the sub-sample exceeds 3.</w:t>
            </w:r>
          </w:p>
          <w:p w:rsidR="00BF4661" w:rsidRPr="003359E1" w:rsidRDefault="00BF4661" w:rsidP="00720F43"/>
          <w:p w:rsidR="00BF4661" w:rsidRPr="003359E1" w:rsidRDefault="00BF4661" w:rsidP="00720F43">
            <w:pPr>
              <w:ind w:left="567"/>
            </w:pPr>
            <w:r w:rsidRPr="003359E1">
              <w:t>If the number of off-types is 1 to 3, the whole sample of 100 plants is assessed.</w:t>
            </w:r>
          </w:p>
          <w:p w:rsidR="00BF4661" w:rsidRPr="003359E1" w:rsidRDefault="00BF4661" w:rsidP="00720F43">
            <w:pPr>
              <w:ind w:left="567"/>
            </w:pPr>
          </w:p>
          <w:p w:rsidR="00BF4661" w:rsidRPr="003359E1" w:rsidRDefault="00BF4661" w:rsidP="00720F43">
            <w:pPr>
              <w:ind w:left="567"/>
            </w:pPr>
            <w:r w:rsidRPr="003359E1">
              <w:rPr>
                <w:rFonts w:cs="Arial"/>
              </w:rPr>
              <w:t>If the number of off-types in the sample of 100 plants exceeds 3, the variety is considered non-uniform.</w:t>
            </w:r>
          </w:p>
          <w:p w:rsidR="00BF4661" w:rsidRPr="003359E1" w:rsidRDefault="00BF4661" w:rsidP="00720F43">
            <w:pPr>
              <w:ind w:left="34" w:right="600"/>
            </w:pPr>
          </w:p>
          <w:p w:rsidR="00BF4661" w:rsidRPr="003359E1" w:rsidRDefault="00BF4661" w:rsidP="00720F43">
            <w:pPr>
              <w:ind w:left="34" w:right="600"/>
              <w:rPr>
                <w:szCs w:val="24"/>
              </w:rPr>
            </w:pPr>
            <w:r>
              <w:rPr>
                <w:szCs w:val="24"/>
              </w:rPr>
              <w:t xml:space="preserve">Document TWC/32/9 Annex V </w:t>
            </w:r>
            <w:r w:rsidRPr="003359E1">
              <w:rPr>
                <w:szCs w:val="24"/>
              </w:rPr>
              <w:t>provides a full description of the statistical basis for this approach.</w:t>
            </w:r>
          </w:p>
          <w:p w:rsidR="00BF4661" w:rsidRPr="0071257F" w:rsidRDefault="00BF4661" w:rsidP="00720F43">
            <w:pPr>
              <w:ind w:left="34" w:right="600"/>
              <w:rPr>
                <w:szCs w:val="24"/>
              </w:rPr>
            </w:pPr>
          </w:p>
        </w:tc>
      </w:tr>
    </w:tbl>
    <w:p w:rsidR="00BF4661" w:rsidRDefault="00BF4661" w:rsidP="00BF4661"/>
    <w:p w:rsidR="00287CD1" w:rsidRDefault="00287CD1" w:rsidP="00BF4661"/>
    <w:p w:rsidR="00287CD1" w:rsidRDefault="00287CD1" w:rsidP="00BF4661"/>
    <w:p w:rsidR="00287CD1" w:rsidRPr="00C5280D" w:rsidRDefault="00287CD1" w:rsidP="00287CD1">
      <w:pPr>
        <w:jc w:val="right"/>
      </w:pPr>
      <w:r>
        <w:t>[Annex III follows]</w:t>
      </w:r>
    </w:p>
    <w:p w:rsidR="00050E16" w:rsidRPr="004B1215" w:rsidRDefault="00050E16" w:rsidP="004B1215"/>
    <w:p w:rsidR="00C47E8F" w:rsidRDefault="00C47E8F" w:rsidP="00050E16">
      <w:pPr>
        <w:sectPr w:rsidR="00C47E8F" w:rsidSect="00906DDC">
          <w:headerReference w:type="default" r:id="rId13"/>
          <w:headerReference w:type="first" r:id="rId14"/>
          <w:pgSz w:w="11907" w:h="16840" w:code="9"/>
          <w:pgMar w:top="510" w:right="1134" w:bottom="1134" w:left="1134" w:header="510" w:footer="680" w:gutter="0"/>
          <w:cols w:space="720"/>
          <w:titlePg/>
        </w:sectPr>
      </w:pPr>
    </w:p>
    <w:p w:rsidR="00287CD1" w:rsidRPr="00666F98" w:rsidRDefault="00287CD1" w:rsidP="00287CD1">
      <w:pPr>
        <w:jc w:val="center"/>
      </w:pPr>
      <w:r>
        <w:rPr>
          <w:rFonts w:eastAsia="MS Mincho"/>
          <w:color w:val="000000"/>
          <w:szCs w:val="24"/>
          <w:lang w:eastAsia="ja-JP"/>
        </w:rPr>
        <w:t>(in English only)</w:t>
      </w:r>
    </w:p>
    <w:p w:rsidR="00050E16" w:rsidRDefault="00050E16" w:rsidP="00050E16"/>
    <w:p w:rsidR="00666F98" w:rsidRDefault="008C0A0C" w:rsidP="00666F98">
      <w:pPr>
        <w:jc w:val="center"/>
        <w:rPr>
          <w:rFonts w:eastAsia="MS Mincho"/>
          <w:caps/>
          <w:color w:val="000000"/>
          <w:szCs w:val="24"/>
          <w:lang w:eastAsia="ja-JP"/>
        </w:rPr>
      </w:pPr>
      <w:r w:rsidRPr="008C0A0C">
        <w:rPr>
          <w:rFonts w:eastAsia="MS Mincho"/>
          <w:caps/>
          <w:color w:val="000000"/>
          <w:szCs w:val="24"/>
          <w:lang w:eastAsia="ja-JP"/>
        </w:rPr>
        <w:t>Assessing uniformity by off-types on the basis of more than one growing cycle: risks benefits and costs</w:t>
      </w:r>
    </w:p>
    <w:p w:rsidR="00666F98" w:rsidRDefault="00666F98" w:rsidP="00666F98">
      <w:pPr>
        <w:jc w:val="center"/>
        <w:rPr>
          <w:rFonts w:eastAsia="MS Mincho"/>
          <w:caps/>
          <w:color w:val="000000"/>
          <w:szCs w:val="24"/>
          <w:lang w:eastAsia="ja-JP"/>
        </w:rPr>
      </w:pPr>
    </w:p>
    <w:p w:rsidR="000A63AB" w:rsidRDefault="008C0A0C" w:rsidP="00666F98">
      <w:pPr>
        <w:jc w:val="center"/>
        <w:rPr>
          <w:rFonts w:eastAsia="MS Mincho"/>
          <w:color w:val="000000"/>
          <w:szCs w:val="24"/>
          <w:lang w:eastAsia="ja-JP"/>
        </w:rPr>
      </w:pPr>
      <w:r w:rsidRPr="00666F98">
        <w:rPr>
          <w:rFonts w:eastAsia="MS Mincho"/>
          <w:color w:val="000000"/>
          <w:szCs w:val="24"/>
          <w:lang w:eastAsia="ja-JP"/>
        </w:rPr>
        <w:t xml:space="preserve">Presentation by the experts from the United Kingdom during the </w:t>
      </w:r>
      <w:r w:rsidR="005000EB">
        <w:rPr>
          <w:rFonts w:eastAsia="MS Mincho"/>
          <w:color w:val="000000"/>
          <w:szCs w:val="24"/>
          <w:lang w:eastAsia="ja-JP"/>
        </w:rPr>
        <w:t xml:space="preserve">fifty-second </w:t>
      </w:r>
      <w:r w:rsidRPr="00666F98">
        <w:rPr>
          <w:rFonts w:eastAsia="MS Mincho"/>
          <w:color w:val="000000"/>
          <w:szCs w:val="24"/>
          <w:lang w:eastAsia="ja-JP"/>
        </w:rPr>
        <w:t xml:space="preserve">session of the TC, held in </w:t>
      </w:r>
      <w:r w:rsidR="005000EB">
        <w:rPr>
          <w:rFonts w:eastAsia="MS Mincho"/>
          <w:color w:val="000000"/>
          <w:szCs w:val="24"/>
          <w:lang w:eastAsia="ja-JP"/>
        </w:rPr>
        <w:t>Geneva</w:t>
      </w:r>
      <w:r w:rsidRPr="00666F98">
        <w:rPr>
          <w:rFonts w:eastAsia="MS Mincho"/>
          <w:color w:val="000000"/>
          <w:szCs w:val="24"/>
          <w:lang w:eastAsia="ja-JP"/>
        </w:rPr>
        <w:t xml:space="preserve"> from </w:t>
      </w:r>
      <w:r w:rsidR="005000EB">
        <w:rPr>
          <w:rFonts w:eastAsia="MS Mincho"/>
          <w:color w:val="000000"/>
          <w:szCs w:val="24"/>
          <w:lang w:eastAsia="ja-JP"/>
        </w:rPr>
        <w:t>March 14 to 16, 2016</w:t>
      </w:r>
      <w:r w:rsidR="000A63AB">
        <w:rPr>
          <w:rFonts w:eastAsia="MS Mincho"/>
          <w:color w:val="000000"/>
          <w:szCs w:val="24"/>
          <w:lang w:eastAsia="ja-JP"/>
        </w:rPr>
        <w:t xml:space="preserve"> (document TC/</w:t>
      </w:r>
      <w:r w:rsidR="005000EB">
        <w:rPr>
          <w:rFonts w:eastAsia="MS Mincho"/>
          <w:color w:val="000000"/>
          <w:szCs w:val="24"/>
          <w:lang w:eastAsia="ja-JP"/>
        </w:rPr>
        <w:t>52</w:t>
      </w:r>
      <w:r w:rsidR="000A63AB">
        <w:rPr>
          <w:rFonts w:eastAsia="MS Mincho"/>
          <w:color w:val="000000"/>
          <w:szCs w:val="24"/>
          <w:lang w:eastAsia="ja-JP"/>
        </w:rPr>
        <w:t>/</w:t>
      </w:r>
      <w:r w:rsidR="005000EB">
        <w:rPr>
          <w:rFonts w:eastAsia="MS Mincho"/>
          <w:color w:val="000000"/>
          <w:szCs w:val="24"/>
          <w:lang w:eastAsia="ja-JP"/>
        </w:rPr>
        <w:t>20 Add.</w:t>
      </w:r>
      <w:r w:rsidR="000A63AB">
        <w:rPr>
          <w:rFonts w:eastAsia="MS Mincho"/>
          <w:color w:val="000000"/>
          <w:szCs w:val="24"/>
          <w:lang w:eastAsia="ja-JP"/>
        </w:rPr>
        <w:t>)</w:t>
      </w:r>
    </w:p>
    <w:p w:rsidR="00C47E8F" w:rsidRDefault="00C47E8F" w:rsidP="00050E16"/>
    <w:p w:rsidR="005000EB" w:rsidRDefault="005000EB" w:rsidP="005000EB">
      <w:pPr>
        <w:jc w:val="center"/>
        <w:rPr>
          <w:lang w:eastAsia="ja-JP"/>
        </w:rPr>
      </w:pPr>
    </w:p>
    <w:p w:rsidR="005000EB" w:rsidRDefault="005000EB" w:rsidP="005000EB">
      <w:pPr>
        <w:jc w:val="center"/>
        <w:rPr>
          <w:lang w:eastAsia="ja-JP"/>
        </w:rPr>
      </w:pPr>
      <w:r w:rsidRPr="003052DC">
        <w:rPr>
          <w:noProof/>
        </w:rPr>
        <w:drawing>
          <wp:inline distT="0" distB="0" distL="0" distR="0" wp14:anchorId="683C819D" wp14:editId="74454AAF">
            <wp:extent cx="4572638" cy="3429479"/>
            <wp:effectExtent l="19050" t="19050" r="18415"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572638" cy="3429479"/>
                    </a:xfrm>
                    <a:prstGeom prst="rect">
                      <a:avLst/>
                    </a:prstGeom>
                    <a:ln>
                      <a:solidFill>
                        <a:schemeClr val="tx1"/>
                      </a:solidFill>
                    </a:ln>
                  </pic:spPr>
                </pic:pic>
              </a:graphicData>
            </a:graphic>
          </wp:inline>
        </w:drawing>
      </w: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r w:rsidRPr="003052DC">
        <w:rPr>
          <w:noProof/>
        </w:rPr>
        <w:drawing>
          <wp:inline distT="0" distB="0" distL="0" distR="0" wp14:anchorId="214F15EF" wp14:editId="72093D20">
            <wp:extent cx="4572638" cy="3429479"/>
            <wp:effectExtent l="19050" t="19050" r="18415" b="190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572638" cy="3429479"/>
                    </a:xfrm>
                    <a:prstGeom prst="rect">
                      <a:avLst/>
                    </a:prstGeom>
                    <a:ln>
                      <a:solidFill>
                        <a:schemeClr val="tx1"/>
                      </a:solidFill>
                    </a:ln>
                  </pic:spPr>
                </pic:pic>
              </a:graphicData>
            </a:graphic>
          </wp:inline>
        </w:drawing>
      </w: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r w:rsidRPr="003052DC">
        <w:rPr>
          <w:noProof/>
        </w:rPr>
        <w:drawing>
          <wp:inline distT="0" distB="0" distL="0" distR="0" wp14:anchorId="677AE384" wp14:editId="7077388F">
            <wp:extent cx="4572638" cy="3429479"/>
            <wp:effectExtent l="19050" t="19050" r="18415" b="190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572638" cy="3429479"/>
                    </a:xfrm>
                    <a:prstGeom prst="rect">
                      <a:avLst/>
                    </a:prstGeom>
                    <a:ln>
                      <a:solidFill>
                        <a:schemeClr val="tx1"/>
                      </a:solidFill>
                    </a:ln>
                  </pic:spPr>
                </pic:pic>
              </a:graphicData>
            </a:graphic>
          </wp:inline>
        </w:drawing>
      </w: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r w:rsidRPr="003052DC">
        <w:rPr>
          <w:noProof/>
        </w:rPr>
        <w:drawing>
          <wp:inline distT="0" distB="0" distL="0" distR="0" wp14:anchorId="28C1BE96" wp14:editId="2BB9450E">
            <wp:extent cx="4572638" cy="3429479"/>
            <wp:effectExtent l="19050" t="19050" r="18415" b="190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572638" cy="3429479"/>
                    </a:xfrm>
                    <a:prstGeom prst="rect">
                      <a:avLst/>
                    </a:prstGeom>
                    <a:ln>
                      <a:solidFill>
                        <a:schemeClr val="tx1"/>
                      </a:solidFill>
                    </a:ln>
                  </pic:spPr>
                </pic:pic>
              </a:graphicData>
            </a:graphic>
          </wp:inline>
        </w:drawing>
      </w: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99574A" w:rsidRDefault="0099574A" w:rsidP="005000EB">
      <w:pPr>
        <w:jc w:val="center"/>
        <w:rPr>
          <w:lang w:eastAsia="ja-JP"/>
        </w:rPr>
      </w:pPr>
    </w:p>
    <w:p w:rsidR="0099574A" w:rsidRDefault="0099574A" w:rsidP="005000EB">
      <w:pPr>
        <w:jc w:val="center"/>
        <w:rPr>
          <w:lang w:eastAsia="ja-JP"/>
        </w:rPr>
      </w:pPr>
    </w:p>
    <w:p w:rsidR="0099574A" w:rsidRDefault="0099574A"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r w:rsidRPr="003052DC">
        <w:rPr>
          <w:noProof/>
        </w:rPr>
        <w:drawing>
          <wp:inline distT="0" distB="0" distL="0" distR="0" wp14:anchorId="7D9AE547" wp14:editId="3A5AC1AA">
            <wp:extent cx="4572638" cy="3429479"/>
            <wp:effectExtent l="19050" t="19050" r="18415" b="190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572638" cy="3429479"/>
                    </a:xfrm>
                    <a:prstGeom prst="rect">
                      <a:avLst/>
                    </a:prstGeom>
                    <a:ln>
                      <a:solidFill>
                        <a:schemeClr val="tx1"/>
                      </a:solidFill>
                    </a:ln>
                  </pic:spPr>
                </pic:pic>
              </a:graphicData>
            </a:graphic>
          </wp:inline>
        </w:drawing>
      </w: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r w:rsidRPr="003052DC">
        <w:rPr>
          <w:noProof/>
        </w:rPr>
        <w:drawing>
          <wp:inline distT="0" distB="0" distL="0" distR="0" wp14:anchorId="46C46DC0" wp14:editId="78B3342A">
            <wp:extent cx="4572638" cy="3429479"/>
            <wp:effectExtent l="19050" t="19050" r="18415" b="190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4572638" cy="3429479"/>
                    </a:xfrm>
                    <a:prstGeom prst="rect">
                      <a:avLst/>
                    </a:prstGeom>
                    <a:ln>
                      <a:solidFill>
                        <a:schemeClr val="tx1"/>
                      </a:solidFill>
                    </a:ln>
                  </pic:spPr>
                </pic:pic>
              </a:graphicData>
            </a:graphic>
          </wp:inline>
        </w:drawing>
      </w: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r w:rsidRPr="003052DC">
        <w:rPr>
          <w:noProof/>
        </w:rPr>
        <w:drawing>
          <wp:inline distT="0" distB="0" distL="0" distR="0" wp14:anchorId="0DE53229" wp14:editId="2CC20EF6">
            <wp:extent cx="4572638" cy="3429479"/>
            <wp:effectExtent l="19050" t="19050" r="18415" b="190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4572638" cy="3429479"/>
                    </a:xfrm>
                    <a:prstGeom prst="rect">
                      <a:avLst/>
                    </a:prstGeom>
                    <a:ln>
                      <a:solidFill>
                        <a:schemeClr val="tx1"/>
                      </a:solidFill>
                    </a:ln>
                  </pic:spPr>
                </pic:pic>
              </a:graphicData>
            </a:graphic>
          </wp:inline>
        </w:drawing>
      </w: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r w:rsidRPr="003052DC">
        <w:rPr>
          <w:noProof/>
        </w:rPr>
        <w:drawing>
          <wp:inline distT="0" distB="0" distL="0" distR="0" wp14:anchorId="2BC4B275" wp14:editId="33FF0A19">
            <wp:extent cx="4572638" cy="3429479"/>
            <wp:effectExtent l="19050" t="19050" r="18415" b="190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572638" cy="3429479"/>
                    </a:xfrm>
                    <a:prstGeom prst="rect">
                      <a:avLst/>
                    </a:prstGeom>
                    <a:ln>
                      <a:solidFill>
                        <a:schemeClr val="tx1"/>
                      </a:solidFill>
                    </a:ln>
                  </pic:spPr>
                </pic:pic>
              </a:graphicData>
            </a:graphic>
          </wp:inline>
        </w:drawing>
      </w: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r w:rsidRPr="003052DC">
        <w:rPr>
          <w:noProof/>
        </w:rPr>
        <w:drawing>
          <wp:inline distT="0" distB="0" distL="0" distR="0" wp14:anchorId="5A332185" wp14:editId="7699CD3F">
            <wp:extent cx="4572638" cy="3429479"/>
            <wp:effectExtent l="19050" t="19050" r="18415" b="190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4572638" cy="3429479"/>
                    </a:xfrm>
                    <a:prstGeom prst="rect">
                      <a:avLst/>
                    </a:prstGeom>
                    <a:ln>
                      <a:solidFill>
                        <a:schemeClr val="tx1"/>
                      </a:solidFill>
                    </a:ln>
                  </pic:spPr>
                </pic:pic>
              </a:graphicData>
            </a:graphic>
          </wp:inline>
        </w:drawing>
      </w: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r w:rsidRPr="003052DC">
        <w:rPr>
          <w:noProof/>
        </w:rPr>
        <w:drawing>
          <wp:inline distT="0" distB="0" distL="0" distR="0" wp14:anchorId="0563D33D" wp14:editId="61AB8D9F">
            <wp:extent cx="4572638" cy="3429479"/>
            <wp:effectExtent l="19050" t="19050" r="18415" b="190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4572638" cy="3429479"/>
                    </a:xfrm>
                    <a:prstGeom prst="rect">
                      <a:avLst/>
                    </a:prstGeom>
                    <a:ln>
                      <a:solidFill>
                        <a:schemeClr val="tx1"/>
                      </a:solidFill>
                    </a:ln>
                  </pic:spPr>
                </pic:pic>
              </a:graphicData>
            </a:graphic>
          </wp:inline>
        </w:drawing>
      </w: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r w:rsidRPr="003052DC">
        <w:rPr>
          <w:noProof/>
        </w:rPr>
        <w:drawing>
          <wp:inline distT="0" distB="0" distL="0" distR="0" wp14:anchorId="0D64EB06" wp14:editId="73990BFC">
            <wp:extent cx="4572638" cy="3429479"/>
            <wp:effectExtent l="19050" t="19050" r="18415" b="190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4572638" cy="3429479"/>
                    </a:xfrm>
                    <a:prstGeom prst="rect">
                      <a:avLst/>
                    </a:prstGeom>
                    <a:ln>
                      <a:solidFill>
                        <a:schemeClr val="tx1"/>
                      </a:solidFill>
                    </a:ln>
                  </pic:spPr>
                </pic:pic>
              </a:graphicData>
            </a:graphic>
          </wp:inline>
        </w:drawing>
      </w: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r w:rsidRPr="003052DC">
        <w:rPr>
          <w:noProof/>
        </w:rPr>
        <w:drawing>
          <wp:inline distT="0" distB="0" distL="0" distR="0" wp14:anchorId="516DB556" wp14:editId="78D28891">
            <wp:extent cx="4572638" cy="3429479"/>
            <wp:effectExtent l="19050" t="19050" r="18415" b="190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4572638" cy="3429479"/>
                    </a:xfrm>
                    <a:prstGeom prst="rect">
                      <a:avLst/>
                    </a:prstGeom>
                    <a:ln>
                      <a:solidFill>
                        <a:schemeClr val="tx1"/>
                      </a:solidFill>
                    </a:ln>
                  </pic:spPr>
                </pic:pic>
              </a:graphicData>
            </a:graphic>
          </wp:inline>
        </w:drawing>
      </w: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r w:rsidRPr="003052DC">
        <w:rPr>
          <w:noProof/>
        </w:rPr>
        <w:drawing>
          <wp:inline distT="0" distB="0" distL="0" distR="0" wp14:anchorId="3FCE2B32" wp14:editId="635BF534">
            <wp:extent cx="4572638" cy="3429479"/>
            <wp:effectExtent l="19050" t="19050" r="18415" b="190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4572638" cy="3429479"/>
                    </a:xfrm>
                    <a:prstGeom prst="rect">
                      <a:avLst/>
                    </a:prstGeom>
                    <a:ln>
                      <a:solidFill>
                        <a:schemeClr val="tx1"/>
                      </a:solidFill>
                    </a:ln>
                  </pic:spPr>
                </pic:pic>
              </a:graphicData>
            </a:graphic>
          </wp:inline>
        </w:drawing>
      </w: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r w:rsidRPr="003052DC">
        <w:rPr>
          <w:noProof/>
        </w:rPr>
        <w:drawing>
          <wp:inline distT="0" distB="0" distL="0" distR="0" wp14:anchorId="59DAB623" wp14:editId="368A4C49">
            <wp:extent cx="4572638" cy="3429479"/>
            <wp:effectExtent l="19050" t="19050" r="18415" b="190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4572638" cy="3429479"/>
                    </a:xfrm>
                    <a:prstGeom prst="rect">
                      <a:avLst/>
                    </a:prstGeom>
                    <a:ln>
                      <a:solidFill>
                        <a:schemeClr val="tx1"/>
                      </a:solidFill>
                    </a:ln>
                  </pic:spPr>
                </pic:pic>
              </a:graphicData>
            </a:graphic>
          </wp:inline>
        </w:drawing>
      </w: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r w:rsidRPr="003052DC">
        <w:rPr>
          <w:noProof/>
        </w:rPr>
        <w:drawing>
          <wp:inline distT="0" distB="0" distL="0" distR="0" wp14:anchorId="729D51C0" wp14:editId="18562CA9">
            <wp:extent cx="4572638" cy="3429479"/>
            <wp:effectExtent l="19050" t="19050" r="18415" b="1905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4572638" cy="3429479"/>
                    </a:xfrm>
                    <a:prstGeom prst="rect">
                      <a:avLst/>
                    </a:prstGeom>
                    <a:ln>
                      <a:solidFill>
                        <a:schemeClr val="tx1"/>
                      </a:solidFill>
                    </a:ln>
                  </pic:spPr>
                </pic:pic>
              </a:graphicData>
            </a:graphic>
          </wp:inline>
        </w:drawing>
      </w: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r w:rsidRPr="003052DC">
        <w:rPr>
          <w:noProof/>
        </w:rPr>
        <w:drawing>
          <wp:inline distT="0" distB="0" distL="0" distR="0" wp14:anchorId="3CFC1740" wp14:editId="2E14D382">
            <wp:extent cx="4572638" cy="3429479"/>
            <wp:effectExtent l="19050" t="19050" r="18415" b="190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4572638" cy="3429479"/>
                    </a:xfrm>
                    <a:prstGeom prst="rect">
                      <a:avLst/>
                    </a:prstGeom>
                    <a:ln>
                      <a:solidFill>
                        <a:schemeClr val="tx1"/>
                      </a:solidFill>
                    </a:ln>
                  </pic:spPr>
                </pic:pic>
              </a:graphicData>
            </a:graphic>
          </wp:inline>
        </w:drawing>
      </w: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r w:rsidRPr="003052DC">
        <w:rPr>
          <w:noProof/>
        </w:rPr>
        <w:drawing>
          <wp:inline distT="0" distB="0" distL="0" distR="0" wp14:anchorId="7002F339" wp14:editId="3C39B91C">
            <wp:extent cx="4572638" cy="3429479"/>
            <wp:effectExtent l="19050" t="19050" r="18415" b="190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4572638" cy="3429479"/>
                    </a:xfrm>
                    <a:prstGeom prst="rect">
                      <a:avLst/>
                    </a:prstGeom>
                    <a:ln>
                      <a:solidFill>
                        <a:schemeClr val="tx1"/>
                      </a:solidFill>
                    </a:ln>
                  </pic:spPr>
                </pic:pic>
              </a:graphicData>
            </a:graphic>
          </wp:inline>
        </w:drawing>
      </w: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r w:rsidRPr="003052DC">
        <w:rPr>
          <w:noProof/>
        </w:rPr>
        <w:drawing>
          <wp:inline distT="0" distB="0" distL="0" distR="0" wp14:anchorId="0D7F3420" wp14:editId="63FF7801">
            <wp:extent cx="4572638" cy="3429479"/>
            <wp:effectExtent l="19050" t="19050" r="18415" b="190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4572638" cy="3429479"/>
                    </a:xfrm>
                    <a:prstGeom prst="rect">
                      <a:avLst/>
                    </a:prstGeom>
                    <a:ln>
                      <a:solidFill>
                        <a:schemeClr val="tx1"/>
                      </a:solidFill>
                    </a:ln>
                  </pic:spPr>
                </pic:pic>
              </a:graphicData>
            </a:graphic>
          </wp:inline>
        </w:drawing>
      </w: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r w:rsidRPr="003052DC">
        <w:rPr>
          <w:noProof/>
        </w:rPr>
        <w:drawing>
          <wp:inline distT="0" distB="0" distL="0" distR="0" wp14:anchorId="5AABAA09" wp14:editId="06A6F5C9">
            <wp:extent cx="4572638" cy="3429479"/>
            <wp:effectExtent l="19050" t="19050" r="18415" b="1905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4572638" cy="3429479"/>
                    </a:xfrm>
                    <a:prstGeom prst="rect">
                      <a:avLst/>
                    </a:prstGeom>
                    <a:ln>
                      <a:solidFill>
                        <a:schemeClr val="tx1"/>
                      </a:solidFill>
                    </a:ln>
                  </pic:spPr>
                </pic:pic>
              </a:graphicData>
            </a:graphic>
          </wp:inline>
        </w:drawing>
      </w: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r w:rsidRPr="003052DC">
        <w:rPr>
          <w:noProof/>
        </w:rPr>
        <w:drawing>
          <wp:inline distT="0" distB="0" distL="0" distR="0" wp14:anchorId="4E2FE3AE" wp14:editId="1E3E64E0">
            <wp:extent cx="4572638" cy="3429479"/>
            <wp:effectExtent l="19050" t="19050" r="18415" b="190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4572638" cy="3429479"/>
                    </a:xfrm>
                    <a:prstGeom prst="rect">
                      <a:avLst/>
                    </a:prstGeom>
                    <a:ln>
                      <a:solidFill>
                        <a:schemeClr val="tx1"/>
                      </a:solidFill>
                    </a:ln>
                  </pic:spPr>
                </pic:pic>
              </a:graphicData>
            </a:graphic>
          </wp:inline>
        </w:drawing>
      </w: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r w:rsidRPr="003052DC">
        <w:rPr>
          <w:noProof/>
        </w:rPr>
        <w:drawing>
          <wp:inline distT="0" distB="0" distL="0" distR="0" wp14:anchorId="5AB0B6F8" wp14:editId="486840E1">
            <wp:extent cx="4572638" cy="3429479"/>
            <wp:effectExtent l="19050" t="19050" r="18415" b="1905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4572638" cy="3429479"/>
                    </a:xfrm>
                    <a:prstGeom prst="rect">
                      <a:avLst/>
                    </a:prstGeom>
                    <a:ln>
                      <a:solidFill>
                        <a:schemeClr val="tx1"/>
                      </a:solidFill>
                    </a:ln>
                  </pic:spPr>
                </pic:pic>
              </a:graphicData>
            </a:graphic>
          </wp:inline>
        </w:drawing>
      </w: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050E16" w:rsidRPr="00C5280D" w:rsidRDefault="005000EB" w:rsidP="005000EB">
      <w:pPr>
        <w:jc w:val="right"/>
      </w:pPr>
      <w:r w:rsidRPr="00C5280D">
        <w:t xml:space="preserve"> </w:t>
      </w:r>
      <w:r w:rsidR="00050E16" w:rsidRPr="00C5280D">
        <w:t xml:space="preserve">[End of </w:t>
      </w:r>
      <w:r w:rsidR="000302C1">
        <w:t xml:space="preserve">Annex III and of </w:t>
      </w:r>
      <w:r w:rsidR="00050E16" w:rsidRPr="00C5280D">
        <w:t>document]</w:t>
      </w:r>
    </w:p>
    <w:sectPr w:rsidR="00050E16" w:rsidRPr="00C5280D" w:rsidSect="00526139">
      <w:headerReference w:type="default" r:id="rId36"/>
      <w:headerReference w:type="first" r:id="rId37"/>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0EB" w:rsidRDefault="005000EB" w:rsidP="006655D3">
      <w:r>
        <w:separator/>
      </w:r>
    </w:p>
    <w:p w:rsidR="005000EB" w:rsidRDefault="005000EB" w:rsidP="006655D3"/>
    <w:p w:rsidR="005000EB" w:rsidRDefault="005000EB" w:rsidP="006655D3"/>
  </w:endnote>
  <w:endnote w:type="continuationSeparator" w:id="0">
    <w:p w:rsidR="005000EB" w:rsidRDefault="005000EB" w:rsidP="006655D3">
      <w:r>
        <w:separator/>
      </w:r>
    </w:p>
    <w:p w:rsidR="005000EB" w:rsidRPr="00BF4661" w:rsidRDefault="005000EB">
      <w:pPr>
        <w:pStyle w:val="Footer"/>
        <w:spacing w:after="60"/>
        <w:rPr>
          <w:sz w:val="18"/>
          <w:lang w:val="fr-FR"/>
        </w:rPr>
      </w:pPr>
      <w:r w:rsidRPr="00BF4661">
        <w:rPr>
          <w:sz w:val="18"/>
          <w:lang w:val="fr-FR"/>
        </w:rPr>
        <w:t>[Suite de la note de la page précédente]</w:t>
      </w:r>
    </w:p>
    <w:p w:rsidR="005000EB" w:rsidRPr="00BF4661" w:rsidRDefault="005000EB" w:rsidP="006655D3">
      <w:pPr>
        <w:rPr>
          <w:lang w:val="fr-FR"/>
        </w:rPr>
      </w:pPr>
    </w:p>
    <w:p w:rsidR="005000EB" w:rsidRPr="00BF4661" w:rsidRDefault="005000EB" w:rsidP="006655D3">
      <w:pPr>
        <w:rPr>
          <w:lang w:val="fr-FR"/>
        </w:rPr>
      </w:pPr>
    </w:p>
  </w:endnote>
  <w:endnote w:type="continuationNotice" w:id="1">
    <w:p w:rsidR="005000EB" w:rsidRPr="00BF4661" w:rsidRDefault="005000EB" w:rsidP="006655D3">
      <w:pPr>
        <w:rPr>
          <w:lang w:val="fr-FR"/>
        </w:rPr>
      </w:pPr>
      <w:r w:rsidRPr="00BF4661">
        <w:rPr>
          <w:lang w:val="fr-FR"/>
        </w:rPr>
        <w:t>[Suite de la note page suivante]</w:t>
      </w:r>
    </w:p>
    <w:p w:rsidR="005000EB" w:rsidRPr="00BF4661" w:rsidRDefault="005000EB" w:rsidP="006655D3">
      <w:pPr>
        <w:rPr>
          <w:lang w:val="fr-FR"/>
        </w:rPr>
      </w:pPr>
    </w:p>
    <w:p w:rsidR="005000EB" w:rsidRPr="00BF4661" w:rsidRDefault="005000EB"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0EB" w:rsidRDefault="005000EB" w:rsidP="006655D3">
      <w:r>
        <w:separator/>
      </w:r>
    </w:p>
  </w:footnote>
  <w:footnote w:type="continuationSeparator" w:id="0">
    <w:p w:rsidR="005000EB" w:rsidRDefault="005000EB" w:rsidP="006655D3">
      <w:r>
        <w:separator/>
      </w:r>
    </w:p>
  </w:footnote>
  <w:footnote w:type="continuationNotice" w:id="1">
    <w:p w:rsidR="005000EB" w:rsidRPr="00AB530F" w:rsidRDefault="005000EB"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0EB" w:rsidRDefault="005000EB" w:rsidP="00EB048E">
    <w:pPr>
      <w:pStyle w:val="Header"/>
    </w:pPr>
    <w:r>
      <w:t>TW</w:t>
    </w:r>
    <w:r w:rsidR="00666B8E">
      <w:t>O</w:t>
    </w:r>
    <w:r>
      <w:t>/4</w:t>
    </w:r>
    <w:r w:rsidR="00666B8E">
      <w:t>9</w:t>
    </w:r>
    <w:r>
      <w:t>/13</w:t>
    </w:r>
  </w:p>
  <w:p w:rsidR="005000EB" w:rsidRPr="00C5280D" w:rsidRDefault="005000EB" w:rsidP="00EB048E">
    <w:pPr>
      <w:pStyle w:val="Header"/>
    </w:pPr>
    <w:r w:rsidRPr="00C5280D">
      <w:t xml:space="preserve">page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A76CDD">
      <w:rPr>
        <w:rStyle w:val="PageNumber"/>
        <w:noProof/>
      </w:rPr>
      <w:t>4</w:t>
    </w:r>
    <w:r w:rsidRPr="00C5280D">
      <w:rPr>
        <w:rStyle w:val="PageNumber"/>
      </w:rPr>
      <w:fldChar w:fldCharType="end"/>
    </w:r>
  </w:p>
  <w:p w:rsidR="005000EB" w:rsidRPr="00C5280D" w:rsidRDefault="005000EB" w:rsidP="00720F43">
    <w:pPr>
      <w:tabs>
        <w:tab w:val="left" w:pos="555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0EB" w:rsidRDefault="005000EB" w:rsidP="00EB048E">
    <w:pPr>
      <w:pStyle w:val="Header"/>
    </w:pPr>
    <w:r>
      <w:t>TW</w:t>
    </w:r>
    <w:r w:rsidR="00666B8E">
      <w:t>O</w:t>
    </w:r>
    <w:r>
      <w:t>/4</w:t>
    </w:r>
    <w:r w:rsidR="00666B8E">
      <w:t>9</w:t>
    </w:r>
    <w:r>
      <w:t>/13</w:t>
    </w:r>
  </w:p>
  <w:p w:rsidR="005000EB" w:rsidRPr="00C5280D" w:rsidRDefault="005000EB" w:rsidP="00EB048E">
    <w:pPr>
      <w:pStyle w:val="Header"/>
    </w:pPr>
    <w:r>
      <w:t xml:space="preserve">Annex I, </w:t>
    </w:r>
    <w:r w:rsidRPr="00C5280D">
      <w:t xml:space="preserve">page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A76CDD">
      <w:rPr>
        <w:rStyle w:val="PageNumber"/>
        <w:noProof/>
      </w:rPr>
      <w:t>2</w:t>
    </w:r>
    <w:r w:rsidRPr="00C5280D">
      <w:rPr>
        <w:rStyle w:val="PageNumber"/>
      </w:rPr>
      <w:fldChar w:fldCharType="end"/>
    </w:r>
  </w:p>
  <w:p w:rsidR="005000EB" w:rsidRPr="00C5280D" w:rsidRDefault="005000EB" w:rsidP="00720F43">
    <w:pPr>
      <w:tabs>
        <w:tab w:val="left" w:pos="555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0EB" w:rsidRDefault="005000EB" w:rsidP="00720F43">
    <w:pPr>
      <w:pStyle w:val="Header"/>
    </w:pPr>
    <w:r>
      <w:t>TW</w:t>
    </w:r>
    <w:r w:rsidR="00666B8E">
      <w:t>O</w:t>
    </w:r>
    <w:r>
      <w:t>/4</w:t>
    </w:r>
    <w:r w:rsidR="00666B8E">
      <w:t>9</w:t>
    </w:r>
    <w:r>
      <w:t>/13</w:t>
    </w:r>
  </w:p>
  <w:p w:rsidR="005000EB" w:rsidRDefault="005000EB" w:rsidP="00720F43">
    <w:pPr>
      <w:pStyle w:val="Header"/>
    </w:pPr>
  </w:p>
  <w:p w:rsidR="005000EB" w:rsidRPr="005C056F" w:rsidRDefault="005000EB" w:rsidP="00720F43">
    <w:pPr>
      <w:pStyle w:val="Header"/>
    </w:pPr>
    <w:r w:rsidRPr="005C056F">
      <w:t>ANNEX I</w:t>
    </w:r>
  </w:p>
  <w:p w:rsidR="005000EB" w:rsidRPr="005C056F" w:rsidRDefault="005000EB" w:rsidP="00720F43">
    <w:pPr>
      <w:pStyle w:val="Header"/>
      <w:rPr>
        <w:rFonts w:eastAsia="MS Mincho"/>
        <w:lang w:eastAsia="ja-JP"/>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0EB" w:rsidRPr="00C5280D" w:rsidRDefault="005000EB" w:rsidP="00EB048E">
    <w:pPr>
      <w:pStyle w:val="Header"/>
      <w:rPr>
        <w:rStyle w:val="PageNumber"/>
        <w:lang w:val="en-US"/>
      </w:rPr>
    </w:pPr>
    <w:r>
      <w:rPr>
        <w:rStyle w:val="PageNumber"/>
        <w:lang w:val="en-US"/>
      </w:rPr>
      <w:t>TC/52/20</w:t>
    </w:r>
  </w:p>
  <w:p w:rsidR="005000EB" w:rsidRPr="00C5280D" w:rsidRDefault="005000EB"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76CDD">
      <w:rPr>
        <w:rStyle w:val="PageNumber"/>
        <w:noProof/>
        <w:lang w:val="en-US"/>
      </w:rPr>
      <w:t>4</w:t>
    </w:r>
    <w:r w:rsidRPr="00C5280D">
      <w:rPr>
        <w:rStyle w:val="PageNumber"/>
        <w:lang w:val="en-US"/>
      </w:rPr>
      <w:fldChar w:fldCharType="end"/>
    </w:r>
  </w:p>
  <w:p w:rsidR="005000EB" w:rsidRPr="00C5280D" w:rsidRDefault="005000EB" w:rsidP="006655D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0EB" w:rsidRDefault="005000EB" w:rsidP="00720F43">
    <w:pPr>
      <w:pStyle w:val="Header"/>
    </w:pPr>
    <w:r>
      <w:t>TW</w:t>
    </w:r>
    <w:r w:rsidR="00666B8E">
      <w:t>O</w:t>
    </w:r>
    <w:r>
      <w:t>/4</w:t>
    </w:r>
    <w:r w:rsidR="00666B8E">
      <w:t>9</w:t>
    </w:r>
    <w:r>
      <w:t>/13</w:t>
    </w:r>
  </w:p>
  <w:p w:rsidR="005000EB" w:rsidRDefault="005000EB" w:rsidP="00720F43">
    <w:pPr>
      <w:pStyle w:val="Header"/>
    </w:pPr>
  </w:p>
  <w:p w:rsidR="005000EB" w:rsidRPr="005C056F" w:rsidRDefault="005000EB" w:rsidP="00720F43">
    <w:pPr>
      <w:pStyle w:val="Header"/>
    </w:pPr>
    <w:r w:rsidRPr="005C056F">
      <w:t>ANNEX I</w:t>
    </w:r>
    <w:r>
      <w:t>I</w:t>
    </w:r>
  </w:p>
  <w:p w:rsidR="005000EB" w:rsidRPr="005C056F" w:rsidRDefault="005000EB" w:rsidP="00720F43">
    <w:pPr>
      <w:pStyle w:val="Header"/>
      <w:rPr>
        <w:rFonts w:eastAsia="MS Mincho"/>
        <w:lang w:eastAsia="ja-JP"/>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0EB" w:rsidRPr="00C5280D" w:rsidRDefault="005000EB" w:rsidP="00EB048E">
    <w:pPr>
      <w:pStyle w:val="Header"/>
      <w:rPr>
        <w:rStyle w:val="PageNumber"/>
        <w:lang w:val="en-US"/>
      </w:rPr>
    </w:pPr>
    <w:r>
      <w:t>TW</w:t>
    </w:r>
    <w:r w:rsidR="00666B8E">
      <w:t>O</w:t>
    </w:r>
    <w:r>
      <w:t>/4</w:t>
    </w:r>
    <w:r w:rsidR="00666B8E">
      <w:t>9</w:t>
    </w:r>
    <w:r>
      <w:t>/13</w:t>
    </w:r>
  </w:p>
  <w:p w:rsidR="005000EB" w:rsidRPr="00C5280D" w:rsidRDefault="005000EB" w:rsidP="00EB048E">
    <w:pPr>
      <w:pStyle w:val="Header"/>
      <w:rPr>
        <w:lang w:val="en-US"/>
      </w:rPr>
    </w:pPr>
    <w:r>
      <w:rPr>
        <w:lang w:val="en-US"/>
      </w:rPr>
      <w:t xml:space="preserve">Annex III,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76CDD">
      <w:rPr>
        <w:rStyle w:val="PageNumber"/>
        <w:noProof/>
        <w:lang w:val="en-US"/>
      </w:rPr>
      <w:t>11</w:t>
    </w:r>
    <w:r w:rsidRPr="00C5280D">
      <w:rPr>
        <w:rStyle w:val="PageNumber"/>
        <w:lang w:val="en-US"/>
      </w:rPr>
      <w:fldChar w:fldCharType="end"/>
    </w:r>
  </w:p>
  <w:p w:rsidR="005000EB" w:rsidRPr="00C5280D" w:rsidRDefault="005000EB" w:rsidP="006655D3"/>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0EB" w:rsidRDefault="00666B8E" w:rsidP="00720F43">
    <w:pPr>
      <w:pStyle w:val="Header"/>
    </w:pPr>
    <w:r>
      <w:t>TWO</w:t>
    </w:r>
    <w:r w:rsidR="005000EB">
      <w:t>/4</w:t>
    </w:r>
    <w:r>
      <w:t>9</w:t>
    </w:r>
    <w:r w:rsidR="005000EB">
      <w:t>/13</w:t>
    </w:r>
  </w:p>
  <w:p w:rsidR="005000EB" w:rsidRDefault="005000EB" w:rsidP="00720F43">
    <w:pPr>
      <w:pStyle w:val="Header"/>
    </w:pPr>
  </w:p>
  <w:p w:rsidR="005000EB" w:rsidRPr="005C056F" w:rsidRDefault="005000EB" w:rsidP="00720F43">
    <w:pPr>
      <w:pStyle w:val="Header"/>
    </w:pPr>
    <w:r w:rsidRPr="005C056F">
      <w:t>ANNEX I</w:t>
    </w:r>
    <w:r>
      <w:t>II</w:t>
    </w:r>
  </w:p>
  <w:p w:rsidR="005000EB" w:rsidRPr="005C056F" w:rsidRDefault="005000EB" w:rsidP="00720F43">
    <w:pPr>
      <w:pStyle w:val="Header"/>
      <w:rPr>
        <w:rFonts w:eastAsia="MS Mincho"/>
        <w:lang w:eastAsia="ja-JP"/>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D3E39"/>
    <w:multiLevelType w:val="hybridMultilevel"/>
    <w:tmpl w:val="6E46F8A0"/>
    <w:lvl w:ilvl="0" w:tplc="0E4CF37C">
      <w:start w:val="1"/>
      <w:numFmt w:val="lowerLetter"/>
      <w:lvlText w:val="(%1)"/>
      <w:lvlJc w:val="left"/>
      <w:pPr>
        <w:ind w:left="5747" w:hanging="360"/>
      </w:pPr>
      <w:rPr>
        <w:rFonts w:hint="default"/>
      </w:rPr>
    </w:lvl>
    <w:lvl w:ilvl="1" w:tplc="04090019" w:tentative="1">
      <w:start w:val="1"/>
      <w:numFmt w:val="lowerLetter"/>
      <w:lvlText w:val="%2."/>
      <w:lvlJc w:val="left"/>
      <w:pPr>
        <w:ind w:left="6313" w:hanging="360"/>
      </w:pPr>
    </w:lvl>
    <w:lvl w:ilvl="2" w:tplc="0409001B" w:tentative="1">
      <w:start w:val="1"/>
      <w:numFmt w:val="lowerRoman"/>
      <w:lvlText w:val="%3."/>
      <w:lvlJc w:val="right"/>
      <w:pPr>
        <w:ind w:left="7033" w:hanging="180"/>
      </w:pPr>
    </w:lvl>
    <w:lvl w:ilvl="3" w:tplc="0409000F" w:tentative="1">
      <w:start w:val="1"/>
      <w:numFmt w:val="decimal"/>
      <w:lvlText w:val="%4."/>
      <w:lvlJc w:val="left"/>
      <w:pPr>
        <w:ind w:left="7753" w:hanging="360"/>
      </w:pPr>
    </w:lvl>
    <w:lvl w:ilvl="4" w:tplc="04090019" w:tentative="1">
      <w:start w:val="1"/>
      <w:numFmt w:val="lowerLetter"/>
      <w:lvlText w:val="%5."/>
      <w:lvlJc w:val="left"/>
      <w:pPr>
        <w:ind w:left="8473" w:hanging="360"/>
      </w:pPr>
    </w:lvl>
    <w:lvl w:ilvl="5" w:tplc="0409001B" w:tentative="1">
      <w:start w:val="1"/>
      <w:numFmt w:val="lowerRoman"/>
      <w:lvlText w:val="%6."/>
      <w:lvlJc w:val="right"/>
      <w:pPr>
        <w:ind w:left="9193" w:hanging="180"/>
      </w:pPr>
    </w:lvl>
    <w:lvl w:ilvl="6" w:tplc="0409000F" w:tentative="1">
      <w:start w:val="1"/>
      <w:numFmt w:val="decimal"/>
      <w:lvlText w:val="%7."/>
      <w:lvlJc w:val="left"/>
      <w:pPr>
        <w:ind w:left="9913" w:hanging="360"/>
      </w:pPr>
    </w:lvl>
    <w:lvl w:ilvl="7" w:tplc="04090019" w:tentative="1">
      <w:start w:val="1"/>
      <w:numFmt w:val="lowerLetter"/>
      <w:lvlText w:val="%8."/>
      <w:lvlJc w:val="left"/>
      <w:pPr>
        <w:ind w:left="10633" w:hanging="360"/>
      </w:pPr>
    </w:lvl>
    <w:lvl w:ilvl="8" w:tplc="0409001B" w:tentative="1">
      <w:start w:val="1"/>
      <w:numFmt w:val="lowerRoman"/>
      <w:lvlText w:val="%9."/>
      <w:lvlJc w:val="right"/>
      <w:pPr>
        <w:ind w:left="11353" w:hanging="180"/>
      </w:pPr>
    </w:lvl>
  </w:abstractNum>
  <w:abstractNum w:abstractNumId="1">
    <w:nsid w:val="6A574A55"/>
    <w:multiLevelType w:val="hybridMultilevel"/>
    <w:tmpl w:val="6E46F8A0"/>
    <w:lvl w:ilvl="0" w:tplc="0E4CF37C">
      <w:start w:val="1"/>
      <w:numFmt w:val="lowerLetter"/>
      <w:lvlText w:val="(%1)"/>
      <w:lvlJc w:val="left"/>
      <w:pPr>
        <w:ind w:left="5747" w:hanging="360"/>
      </w:pPr>
      <w:rPr>
        <w:rFonts w:hint="default"/>
      </w:rPr>
    </w:lvl>
    <w:lvl w:ilvl="1" w:tplc="04090019" w:tentative="1">
      <w:start w:val="1"/>
      <w:numFmt w:val="lowerLetter"/>
      <w:lvlText w:val="%2."/>
      <w:lvlJc w:val="left"/>
      <w:pPr>
        <w:ind w:left="6313" w:hanging="360"/>
      </w:pPr>
    </w:lvl>
    <w:lvl w:ilvl="2" w:tplc="0409001B" w:tentative="1">
      <w:start w:val="1"/>
      <w:numFmt w:val="lowerRoman"/>
      <w:lvlText w:val="%3."/>
      <w:lvlJc w:val="right"/>
      <w:pPr>
        <w:ind w:left="7033" w:hanging="180"/>
      </w:pPr>
    </w:lvl>
    <w:lvl w:ilvl="3" w:tplc="0409000F" w:tentative="1">
      <w:start w:val="1"/>
      <w:numFmt w:val="decimal"/>
      <w:lvlText w:val="%4."/>
      <w:lvlJc w:val="left"/>
      <w:pPr>
        <w:ind w:left="7753" w:hanging="360"/>
      </w:pPr>
    </w:lvl>
    <w:lvl w:ilvl="4" w:tplc="04090019" w:tentative="1">
      <w:start w:val="1"/>
      <w:numFmt w:val="lowerLetter"/>
      <w:lvlText w:val="%5."/>
      <w:lvlJc w:val="left"/>
      <w:pPr>
        <w:ind w:left="8473" w:hanging="360"/>
      </w:pPr>
    </w:lvl>
    <w:lvl w:ilvl="5" w:tplc="0409001B" w:tentative="1">
      <w:start w:val="1"/>
      <w:numFmt w:val="lowerRoman"/>
      <w:lvlText w:val="%6."/>
      <w:lvlJc w:val="right"/>
      <w:pPr>
        <w:ind w:left="9193" w:hanging="180"/>
      </w:pPr>
    </w:lvl>
    <w:lvl w:ilvl="6" w:tplc="0409000F" w:tentative="1">
      <w:start w:val="1"/>
      <w:numFmt w:val="decimal"/>
      <w:lvlText w:val="%7."/>
      <w:lvlJc w:val="left"/>
      <w:pPr>
        <w:ind w:left="9913" w:hanging="360"/>
      </w:pPr>
    </w:lvl>
    <w:lvl w:ilvl="7" w:tplc="04090019" w:tentative="1">
      <w:start w:val="1"/>
      <w:numFmt w:val="lowerLetter"/>
      <w:lvlText w:val="%8."/>
      <w:lvlJc w:val="left"/>
      <w:pPr>
        <w:ind w:left="10633" w:hanging="360"/>
      </w:pPr>
    </w:lvl>
    <w:lvl w:ilvl="8" w:tplc="0409001B" w:tentative="1">
      <w:start w:val="1"/>
      <w:numFmt w:val="lowerRoman"/>
      <w:lvlText w:val="%9."/>
      <w:lvlJc w:val="right"/>
      <w:pPr>
        <w:ind w:left="1135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661"/>
    <w:rsid w:val="00010CF3"/>
    <w:rsid w:val="00011E27"/>
    <w:rsid w:val="000148BC"/>
    <w:rsid w:val="00021088"/>
    <w:rsid w:val="00024AB8"/>
    <w:rsid w:val="000302C1"/>
    <w:rsid w:val="00030854"/>
    <w:rsid w:val="00036028"/>
    <w:rsid w:val="00044642"/>
    <w:rsid w:val="000446B9"/>
    <w:rsid w:val="00047E21"/>
    <w:rsid w:val="00050E16"/>
    <w:rsid w:val="00074E3C"/>
    <w:rsid w:val="00085505"/>
    <w:rsid w:val="000A63AB"/>
    <w:rsid w:val="000C5373"/>
    <w:rsid w:val="000C69AC"/>
    <w:rsid w:val="000C7021"/>
    <w:rsid w:val="000D6BBC"/>
    <w:rsid w:val="000D7780"/>
    <w:rsid w:val="000E3F99"/>
    <w:rsid w:val="000F2F11"/>
    <w:rsid w:val="00105929"/>
    <w:rsid w:val="00110C36"/>
    <w:rsid w:val="001131D5"/>
    <w:rsid w:val="0012490F"/>
    <w:rsid w:val="00141DB8"/>
    <w:rsid w:val="00143660"/>
    <w:rsid w:val="00157224"/>
    <w:rsid w:val="0017474A"/>
    <w:rsid w:val="001758C6"/>
    <w:rsid w:val="00182B99"/>
    <w:rsid w:val="00184BBD"/>
    <w:rsid w:val="001C242F"/>
    <w:rsid w:val="001F1551"/>
    <w:rsid w:val="0020608D"/>
    <w:rsid w:val="0021332C"/>
    <w:rsid w:val="00213982"/>
    <w:rsid w:val="00227ABC"/>
    <w:rsid w:val="0024416D"/>
    <w:rsid w:val="00254A58"/>
    <w:rsid w:val="00271911"/>
    <w:rsid w:val="002800A0"/>
    <w:rsid w:val="002801B3"/>
    <w:rsid w:val="00281060"/>
    <w:rsid w:val="00282098"/>
    <w:rsid w:val="00285DC9"/>
    <w:rsid w:val="00287CD1"/>
    <w:rsid w:val="002940E8"/>
    <w:rsid w:val="002A15A5"/>
    <w:rsid w:val="002A6E50"/>
    <w:rsid w:val="002C256A"/>
    <w:rsid w:val="002C3A2B"/>
    <w:rsid w:val="002D6478"/>
    <w:rsid w:val="002F628B"/>
    <w:rsid w:val="00305A7F"/>
    <w:rsid w:val="003133A1"/>
    <w:rsid w:val="003152FE"/>
    <w:rsid w:val="00327436"/>
    <w:rsid w:val="0033778D"/>
    <w:rsid w:val="00344BD6"/>
    <w:rsid w:val="003551F1"/>
    <w:rsid w:val="0035528D"/>
    <w:rsid w:val="00361821"/>
    <w:rsid w:val="003A2653"/>
    <w:rsid w:val="003C0A78"/>
    <w:rsid w:val="003C34C1"/>
    <w:rsid w:val="003D227C"/>
    <w:rsid w:val="003D2B4D"/>
    <w:rsid w:val="00424BCA"/>
    <w:rsid w:val="00444A88"/>
    <w:rsid w:val="00474DA4"/>
    <w:rsid w:val="00476B4D"/>
    <w:rsid w:val="00476F1D"/>
    <w:rsid w:val="004805FA"/>
    <w:rsid w:val="00485551"/>
    <w:rsid w:val="00490402"/>
    <w:rsid w:val="004935D2"/>
    <w:rsid w:val="004B1215"/>
    <w:rsid w:val="004D047D"/>
    <w:rsid w:val="004F305A"/>
    <w:rsid w:val="005000EB"/>
    <w:rsid w:val="00512164"/>
    <w:rsid w:val="00514A8A"/>
    <w:rsid w:val="00516825"/>
    <w:rsid w:val="00520297"/>
    <w:rsid w:val="00526139"/>
    <w:rsid w:val="005338F9"/>
    <w:rsid w:val="005408F0"/>
    <w:rsid w:val="0054281C"/>
    <w:rsid w:val="00544581"/>
    <w:rsid w:val="005470C0"/>
    <w:rsid w:val="0055268D"/>
    <w:rsid w:val="0057099E"/>
    <w:rsid w:val="00576BE4"/>
    <w:rsid w:val="005A400A"/>
    <w:rsid w:val="005B35D0"/>
    <w:rsid w:val="005D1817"/>
    <w:rsid w:val="005F4E24"/>
    <w:rsid w:val="00612379"/>
    <w:rsid w:val="0061555F"/>
    <w:rsid w:val="00641200"/>
    <w:rsid w:val="006463C7"/>
    <w:rsid w:val="006655D3"/>
    <w:rsid w:val="00666B8E"/>
    <w:rsid w:val="00666F98"/>
    <w:rsid w:val="00667404"/>
    <w:rsid w:val="00677F0B"/>
    <w:rsid w:val="00687EB4"/>
    <w:rsid w:val="00693839"/>
    <w:rsid w:val="006B17D2"/>
    <w:rsid w:val="006C224E"/>
    <w:rsid w:val="006D0EBA"/>
    <w:rsid w:val="006D780A"/>
    <w:rsid w:val="006E3018"/>
    <w:rsid w:val="00720F43"/>
    <w:rsid w:val="00732DEC"/>
    <w:rsid w:val="00735BD5"/>
    <w:rsid w:val="0074415C"/>
    <w:rsid w:val="007556F6"/>
    <w:rsid w:val="00760EEF"/>
    <w:rsid w:val="00766FDC"/>
    <w:rsid w:val="00777EE5"/>
    <w:rsid w:val="0078372E"/>
    <w:rsid w:val="00784836"/>
    <w:rsid w:val="0079023E"/>
    <w:rsid w:val="00797CC9"/>
    <w:rsid w:val="007A2854"/>
    <w:rsid w:val="007D0B9D"/>
    <w:rsid w:val="007D19B0"/>
    <w:rsid w:val="007F498F"/>
    <w:rsid w:val="007F508B"/>
    <w:rsid w:val="0080679D"/>
    <w:rsid w:val="008108B0"/>
    <w:rsid w:val="00811B20"/>
    <w:rsid w:val="0082296E"/>
    <w:rsid w:val="00824099"/>
    <w:rsid w:val="00830374"/>
    <w:rsid w:val="008454A6"/>
    <w:rsid w:val="00846D7C"/>
    <w:rsid w:val="008526DC"/>
    <w:rsid w:val="00867AC1"/>
    <w:rsid w:val="00884009"/>
    <w:rsid w:val="008A743F"/>
    <w:rsid w:val="008C0970"/>
    <w:rsid w:val="008C0A0C"/>
    <w:rsid w:val="008D0BC5"/>
    <w:rsid w:val="008D2CF7"/>
    <w:rsid w:val="008E1C47"/>
    <w:rsid w:val="00900C26"/>
    <w:rsid w:val="0090197F"/>
    <w:rsid w:val="00906DDC"/>
    <w:rsid w:val="00934E09"/>
    <w:rsid w:val="00936253"/>
    <w:rsid w:val="009464A8"/>
    <w:rsid w:val="00951BEE"/>
    <w:rsid w:val="00952DD4"/>
    <w:rsid w:val="00954BDC"/>
    <w:rsid w:val="00957503"/>
    <w:rsid w:val="00970FED"/>
    <w:rsid w:val="009724B1"/>
    <w:rsid w:val="009738EA"/>
    <w:rsid w:val="00992D82"/>
    <w:rsid w:val="0099574A"/>
    <w:rsid w:val="00997029"/>
    <w:rsid w:val="009A7580"/>
    <w:rsid w:val="009B440E"/>
    <w:rsid w:val="009D690D"/>
    <w:rsid w:val="009E65B6"/>
    <w:rsid w:val="00A00541"/>
    <w:rsid w:val="00A24C10"/>
    <w:rsid w:val="00A42AC3"/>
    <w:rsid w:val="00A430CF"/>
    <w:rsid w:val="00A52B4A"/>
    <w:rsid w:val="00A54309"/>
    <w:rsid w:val="00A6519A"/>
    <w:rsid w:val="00A76CDD"/>
    <w:rsid w:val="00AB2B93"/>
    <w:rsid w:val="00AB530F"/>
    <w:rsid w:val="00AB7E5B"/>
    <w:rsid w:val="00AE0EF1"/>
    <w:rsid w:val="00AE2937"/>
    <w:rsid w:val="00B01CE2"/>
    <w:rsid w:val="00B07301"/>
    <w:rsid w:val="00B224DE"/>
    <w:rsid w:val="00B324D4"/>
    <w:rsid w:val="00B46575"/>
    <w:rsid w:val="00B734BD"/>
    <w:rsid w:val="00B73675"/>
    <w:rsid w:val="00B84BBD"/>
    <w:rsid w:val="00BA43FB"/>
    <w:rsid w:val="00BC127D"/>
    <w:rsid w:val="00BC1FE6"/>
    <w:rsid w:val="00BC4C4D"/>
    <w:rsid w:val="00BD1FDB"/>
    <w:rsid w:val="00BF4661"/>
    <w:rsid w:val="00C061B6"/>
    <w:rsid w:val="00C10BB3"/>
    <w:rsid w:val="00C2446C"/>
    <w:rsid w:val="00C36AE5"/>
    <w:rsid w:val="00C41F17"/>
    <w:rsid w:val="00C47E8F"/>
    <w:rsid w:val="00C511D2"/>
    <w:rsid w:val="00C5280D"/>
    <w:rsid w:val="00C5791C"/>
    <w:rsid w:val="00C66290"/>
    <w:rsid w:val="00C72B7A"/>
    <w:rsid w:val="00C824BA"/>
    <w:rsid w:val="00C824F8"/>
    <w:rsid w:val="00C91251"/>
    <w:rsid w:val="00C973F2"/>
    <w:rsid w:val="00CA1DE6"/>
    <w:rsid w:val="00CA304C"/>
    <w:rsid w:val="00CA59E0"/>
    <w:rsid w:val="00CA7332"/>
    <w:rsid w:val="00CA774A"/>
    <w:rsid w:val="00CC11B0"/>
    <w:rsid w:val="00CD6207"/>
    <w:rsid w:val="00CE466C"/>
    <w:rsid w:val="00CF7E36"/>
    <w:rsid w:val="00D26237"/>
    <w:rsid w:val="00D3708D"/>
    <w:rsid w:val="00D4034F"/>
    <w:rsid w:val="00D40426"/>
    <w:rsid w:val="00D579C7"/>
    <w:rsid w:val="00D57C96"/>
    <w:rsid w:val="00D6322F"/>
    <w:rsid w:val="00D63A9C"/>
    <w:rsid w:val="00D91203"/>
    <w:rsid w:val="00D95174"/>
    <w:rsid w:val="00D95432"/>
    <w:rsid w:val="00DA6F36"/>
    <w:rsid w:val="00DB596E"/>
    <w:rsid w:val="00DB7773"/>
    <w:rsid w:val="00DC00EA"/>
    <w:rsid w:val="00DC0C5E"/>
    <w:rsid w:val="00DD7375"/>
    <w:rsid w:val="00E32F7E"/>
    <w:rsid w:val="00E700E0"/>
    <w:rsid w:val="00E72D49"/>
    <w:rsid w:val="00E7593C"/>
    <w:rsid w:val="00E7678A"/>
    <w:rsid w:val="00E935F1"/>
    <w:rsid w:val="00E94A81"/>
    <w:rsid w:val="00EA1FFB"/>
    <w:rsid w:val="00EB048E"/>
    <w:rsid w:val="00EB33EB"/>
    <w:rsid w:val="00EC681D"/>
    <w:rsid w:val="00ED0F49"/>
    <w:rsid w:val="00EE34DF"/>
    <w:rsid w:val="00EF2C31"/>
    <w:rsid w:val="00EF2F89"/>
    <w:rsid w:val="00F1043E"/>
    <w:rsid w:val="00F1237A"/>
    <w:rsid w:val="00F22CBD"/>
    <w:rsid w:val="00F24735"/>
    <w:rsid w:val="00F349FD"/>
    <w:rsid w:val="00F45372"/>
    <w:rsid w:val="00F503BA"/>
    <w:rsid w:val="00F560F7"/>
    <w:rsid w:val="00F6334D"/>
    <w:rsid w:val="00F6647C"/>
    <w:rsid w:val="00F84577"/>
    <w:rsid w:val="00FA49AB"/>
    <w:rsid w:val="00FE39C7"/>
    <w:rsid w:val="00FE5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476F1D"/>
    <w:pPr>
      <w:tabs>
        <w:tab w:val="right" w:leader="dot" w:pos="9639"/>
      </w:tabs>
      <w:spacing w:before="120"/>
      <w:ind w:left="568" w:right="851" w:hanging="284"/>
      <w:contextualSpacing/>
    </w:pPr>
    <w:rPr>
      <w:rFonts w:ascii="Arial" w:hAnsi="Arial"/>
      <w:noProof/>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476F1D"/>
    <w:pPr>
      <w:tabs>
        <w:tab w:val="right" w:leader="dot" w:pos="9639"/>
      </w:tabs>
      <w:spacing w:before="120"/>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basedOn w:val="DefaultParagraphFont"/>
    <w:link w:val="Heading1"/>
    <w:rsid w:val="00BF4661"/>
    <w:rPr>
      <w:rFonts w:ascii="Arial" w:hAnsi="Arial"/>
      <w:caps/>
    </w:rPr>
  </w:style>
  <w:style w:type="paragraph" w:customStyle="1" w:styleId="Style1">
    <w:name w:val="Style1"/>
    <w:basedOn w:val="Normal"/>
    <w:rsid w:val="00EB33EB"/>
    <w:pPr>
      <w:tabs>
        <w:tab w:val="decimal" w:pos="907"/>
        <w:tab w:val="left" w:pos="1077"/>
      </w:tabs>
    </w:pPr>
    <w:rPr>
      <w:rFonts w:ascii="Times New Roman" w:hAnsi="Times New Roman"/>
      <w:sz w:val="24"/>
      <w:szCs w:val="24"/>
      <w:lang w:eastAsia="ja-JP"/>
    </w:rPr>
  </w:style>
  <w:style w:type="table" w:styleId="TableGrid">
    <w:name w:val="Table Grid"/>
    <w:basedOn w:val="TableNormal"/>
    <w:rsid w:val="005B35D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476F1D"/>
    <w:pPr>
      <w:tabs>
        <w:tab w:val="right" w:leader="dot" w:pos="9639"/>
      </w:tabs>
      <w:spacing w:before="120"/>
      <w:ind w:left="568" w:right="851" w:hanging="284"/>
      <w:contextualSpacing/>
    </w:pPr>
    <w:rPr>
      <w:rFonts w:ascii="Arial" w:hAnsi="Arial"/>
      <w:noProof/>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476F1D"/>
    <w:pPr>
      <w:tabs>
        <w:tab w:val="right" w:leader="dot" w:pos="9639"/>
      </w:tabs>
      <w:spacing w:before="120"/>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basedOn w:val="DefaultParagraphFont"/>
    <w:link w:val="Heading1"/>
    <w:rsid w:val="00BF4661"/>
    <w:rPr>
      <w:rFonts w:ascii="Arial" w:hAnsi="Arial"/>
      <w:caps/>
    </w:rPr>
  </w:style>
  <w:style w:type="paragraph" w:customStyle="1" w:styleId="Style1">
    <w:name w:val="Style1"/>
    <w:basedOn w:val="Normal"/>
    <w:rsid w:val="00EB33EB"/>
    <w:pPr>
      <w:tabs>
        <w:tab w:val="decimal" w:pos="907"/>
        <w:tab w:val="left" w:pos="1077"/>
      </w:tabs>
    </w:pPr>
    <w:rPr>
      <w:rFonts w:ascii="Times New Roman" w:hAnsi="Times New Roman"/>
      <w:sz w:val="24"/>
      <w:szCs w:val="24"/>
      <w:lang w:eastAsia="ja-JP"/>
    </w:rPr>
  </w:style>
  <w:style w:type="table" w:styleId="TableGrid">
    <w:name w:val="Table Grid"/>
    <w:basedOn w:val="TableNormal"/>
    <w:rsid w:val="005B35D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image" Target="media/image21.png"/><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header" Target="header6.xml"/><Relationship Id="rId10" Type="http://schemas.openxmlformats.org/officeDocument/2006/relationships/header" Target="header1.xml"/><Relationship Id="rId19" Type="http://schemas.openxmlformats.org/officeDocument/2006/relationships/image" Target="media/image6.png"/><Relationship Id="rId31" Type="http://schemas.openxmlformats.org/officeDocument/2006/relationships/image" Target="media/image18.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5.xm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2\Template\tc_52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6CB9A-430F-4D33-A882-FEEC8FBEA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tc_52_EN.dotx</Template>
  <TotalTime>28</TotalTime>
  <Pages>18</Pages>
  <Words>3055</Words>
  <Characters>16316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TC/50</vt:lpstr>
    </vt:vector>
  </TitlesOfParts>
  <Company>UPOV</Company>
  <LinksUpToDate>false</LinksUpToDate>
  <CharactersWithSpaces>19333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creator>TAVEIRA Leontino</dc:creator>
  <cp:lastModifiedBy>BESSE Ariane</cp:lastModifiedBy>
  <cp:revision>7</cp:revision>
  <cp:lastPrinted>2016-05-17T13:25:00Z</cp:lastPrinted>
  <dcterms:created xsi:type="dcterms:W3CDTF">2016-05-11T11:27:00Z</dcterms:created>
  <dcterms:modified xsi:type="dcterms:W3CDTF">2016-05-17T13:26:00Z</dcterms:modified>
</cp:coreProperties>
</file>