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56A7F" w14:paraId="40B03749" w14:textId="77777777" w:rsidTr="00EB4E9C">
        <w:tc>
          <w:tcPr>
            <w:tcW w:w="6522" w:type="dxa"/>
          </w:tcPr>
          <w:p w14:paraId="3D2B0381" w14:textId="77777777" w:rsidR="00DC3802" w:rsidRPr="00F56A7F" w:rsidRDefault="00DC3802" w:rsidP="00AC2883">
            <w:r w:rsidRPr="00F56A7F">
              <w:rPr>
                <w:noProof/>
              </w:rPr>
              <w:drawing>
                <wp:inline distT="0" distB="0" distL="0" distR="0" wp14:anchorId="33B79104" wp14:editId="2443217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323F39" w14:textId="77777777" w:rsidR="00DC3802" w:rsidRPr="00F56A7F" w:rsidRDefault="00DC3802" w:rsidP="00AC2883">
            <w:pPr>
              <w:pStyle w:val="Lettrine"/>
            </w:pPr>
            <w:r w:rsidRPr="00F56A7F">
              <w:t>E</w:t>
            </w:r>
          </w:p>
        </w:tc>
      </w:tr>
      <w:tr w:rsidR="00DC3802" w:rsidRPr="00F56A7F" w14:paraId="0E380556" w14:textId="77777777" w:rsidTr="00645CA8">
        <w:trPr>
          <w:trHeight w:val="219"/>
        </w:trPr>
        <w:tc>
          <w:tcPr>
            <w:tcW w:w="6522" w:type="dxa"/>
          </w:tcPr>
          <w:p w14:paraId="4345D398" w14:textId="77777777" w:rsidR="00DC3802" w:rsidRPr="00F56A7F" w:rsidRDefault="00DC3802" w:rsidP="00AC2883">
            <w:pPr>
              <w:pStyle w:val="upove"/>
            </w:pPr>
            <w:r w:rsidRPr="00F56A7F">
              <w:t>International Union for the Protection of New Varieties of Plants</w:t>
            </w:r>
          </w:p>
        </w:tc>
        <w:tc>
          <w:tcPr>
            <w:tcW w:w="3117" w:type="dxa"/>
          </w:tcPr>
          <w:p w14:paraId="68D35385" w14:textId="77777777" w:rsidR="00DC3802" w:rsidRPr="00F56A7F" w:rsidRDefault="00DC3802" w:rsidP="00DA4973"/>
        </w:tc>
      </w:tr>
    </w:tbl>
    <w:p w14:paraId="16317CED" w14:textId="77777777" w:rsidR="00DC3802" w:rsidRPr="00F56A7F" w:rsidRDefault="00DC3802" w:rsidP="00DC3802"/>
    <w:p w14:paraId="03924AEC" w14:textId="77777777" w:rsidR="00C437A3" w:rsidRPr="00F56A7F"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F56A7F" w14:paraId="3EED92A0" w14:textId="77777777" w:rsidTr="004226CC">
        <w:tc>
          <w:tcPr>
            <w:tcW w:w="6512" w:type="dxa"/>
          </w:tcPr>
          <w:p w14:paraId="1E50E367" w14:textId="77777777" w:rsidR="00C437A3" w:rsidRPr="00F56A7F" w:rsidRDefault="00C437A3" w:rsidP="004226CC">
            <w:pPr>
              <w:pStyle w:val="Sessiontwp"/>
            </w:pPr>
            <w:r w:rsidRPr="00F56A7F">
              <w:t xml:space="preserve">Technical Working Party </w:t>
            </w:r>
            <w:r w:rsidR="00AC11C1" w:rsidRPr="00F56A7F">
              <w:t>on Testing Methods and Techniques</w:t>
            </w:r>
          </w:p>
          <w:p w14:paraId="2030AB94" w14:textId="77777777" w:rsidR="00A85F2F" w:rsidRPr="00F56A7F" w:rsidRDefault="00AC11C1" w:rsidP="00A85F2F">
            <w:pPr>
              <w:pStyle w:val="Sessiontwpplacedate"/>
            </w:pPr>
            <w:r w:rsidRPr="00F56A7F">
              <w:t>Second</w:t>
            </w:r>
            <w:r w:rsidR="00A85F2F" w:rsidRPr="00F56A7F">
              <w:t xml:space="preserve"> Session</w:t>
            </w:r>
          </w:p>
          <w:p w14:paraId="06331959" w14:textId="59756B10" w:rsidR="00A85F2F" w:rsidRPr="00F56A7F" w:rsidRDefault="008416E9" w:rsidP="00A85F2F">
            <w:pPr>
              <w:pStyle w:val="Sessiontwpplacedate"/>
            </w:pPr>
            <w:r w:rsidRPr="00F56A7F">
              <w:t>Virtual meeting,</w:t>
            </w:r>
            <w:r w:rsidR="00A85F2F" w:rsidRPr="00F56A7F">
              <w:t xml:space="preserve"> </w:t>
            </w:r>
            <w:r w:rsidR="00E2674F" w:rsidRPr="00F56A7F">
              <w:t xml:space="preserve">April </w:t>
            </w:r>
            <w:r w:rsidR="00AC11C1" w:rsidRPr="00F56A7F">
              <w:t>8</w:t>
            </w:r>
            <w:r w:rsidR="00E2674F" w:rsidRPr="00F56A7F">
              <w:t xml:space="preserve"> to </w:t>
            </w:r>
            <w:r w:rsidR="00AC11C1" w:rsidRPr="00F56A7F">
              <w:t>1</w:t>
            </w:r>
            <w:r w:rsidR="006270C8">
              <w:t>1</w:t>
            </w:r>
            <w:r w:rsidR="00A85F2F" w:rsidRPr="00F56A7F">
              <w:t>, 202</w:t>
            </w:r>
            <w:r w:rsidRPr="00F56A7F">
              <w:t>4</w:t>
            </w:r>
          </w:p>
          <w:p w14:paraId="716010DE" w14:textId="77777777" w:rsidR="00AC11C1" w:rsidRPr="00F56A7F" w:rsidRDefault="00AC11C1" w:rsidP="00AC11C1">
            <w:pPr>
              <w:pStyle w:val="Sessiontwp"/>
            </w:pPr>
          </w:p>
          <w:p w14:paraId="0D7414EE" w14:textId="77777777" w:rsidR="00AC11C1" w:rsidRPr="00F56A7F" w:rsidRDefault="00AC11C1" w:rsidP="00AC11C1">
            <w:pPr>
              <w:pStyle w:val="Sessiontwp"/>
            </w:pPr>
            <w:r w:rsidRPr="00F56A7F">
              <w:t>Technical Working Party for Vegetables</w:t>
            </w:r>
          </w:p>
          <w:p w14:paraId="3953A0BD" w14:textId="77777777" w:rsidR="00AC11C1" w:rsidRPr="00F56A7F" w:rsidRDefault="00AC11C1" w:rsidP="00AC11C1">
            <w:pPr>
              <w:pStyle w:val="Sessiontwpplacedate"/>
            </w:pPr>
            <w:r w:rsidRPr="00F56A7F">
              <w:t>Fifty-Eighth Session</w:t>
            </w:r>
          </w:p>
          <w:p w14:paraId="584A47ED" w14:textId="778703D3" w:rsidR="00AC11C1" w:rsidRPr="00F56A7F" w:rsidRDefault="00AC11C1" w:rsidP="00AC11C1">
            <w:pPr>
              <w:pStyle w:val="Sessiontwpplacedate"/>
            </w:pPr>
            <w:r w:rsidRPr="00F56A7F">
              <w:t>Virtual meeting, April 22 to 2</w:t>
            </w:r>
            <w:r w:rsidR="006270C8">
              <w:t>5</w:t>
            </w:r>
            <w:r w:rsidRPr="00F56A7F">
              <w:t>, 2024</w:t>
            </w:r>
          </w:p>
          <w:p w14:paraId="34B64410" w14:textId="77777777" w:rsidR="00A27ECF" w:rsidRPr="00F56A7F" w:rsidRDefault="00A27ECF" w:rsidP="00A27ECF"/>
          <w:p w14:paraId="4F5DE20B" w14:textId="77777777" w:rsidR="005A5C32" w:rsidRPr="00F56A7F" w:rsidRDefault="005A5C32" w:rsidP="005A5C32">
            <w:pPr>
              <w:pStyle w:val="Sessiontwp"/>
            </w:pPr>
            <w:r w:rsidRPr="00F56A7F">
              <w:t>Technical Working Party for Ornamental Plants and Forest Trees</w:t>
            </w:r>
          </w:p>
          <w:p w14:paraId="5FB59DBB" w14:textId="77777777" w:rsidR="005A5C32" w:rsidRPr="00F56A7F" w:rsidRDefault="005A5C32" w:rsidP="005A5C32">
            <w:pPr>
              <w:pStyle w:val="Sessiontwpplacedate"/>
            </w:pPr>
            <w:r w:rsidRPr="00F56A7F">
              <w:t>Fifty-Sixth Session</w:t>
            </w:r>
          </w:p>
          <w:p w14:paraId="5570F1B0" w14:textId="5CDE8694" w:rsidR="005A5C32" w:rsidRPr="00F56A7F" w:rsidRDefault="005A5C32" w:rsidP="005A5C32">
            <w:r w:rsidRPr="00F56A7F">
              <w:t xml:space="preserve">Virtual meeting, April 29 to May </w:t>
            </w:r>
            <w:r w:rsidR="006270C8">
              <w:t>2</w:t>
            </w:r>
            <w:r w:rsidRPr="00F56A7F">
              <w:t>, 2024</w:t>
            </w:r>
          </w:p>
          <w:p w14:paraId="68F4D636" w14:textId="77777777" w:rsidR="005A5C32" w:rsidRPr="00F56A7F" w:rsidRDefault="005A5C32" w:rsidP="005A5C32"/>
          <w:p w14:paraId="13CAB754" w14:textId="77777777" w:rsidR="00A27ECF" w:rsidRPr="00F56A7F" w:rsidRDefault="00A27ECF" w:rsidP="00A27ECF">
            <w:pPr>
              <w:pStyle w:val="Sessiontwp"/>
            </w:pPr>
            <w:r w:rsidRPr="00F56A7F">
              <w:t>Technical Working Party for Agricultural Crops</w:t>
            </w:r>
          </w:p>
          <w:p w14:paraId="62E7BF98" w14:textId="77777777" w:rsidR="00A85F2F" w:rsidRPr="00F56A7F" w:rsidRDefault="00A85F2F" w:rsidP="00A85F2F">
            <w:pPr>
              <w:pStyle w:val="Sessiontwpplacedate"/>
            </w:pPr>
            <w:r w:rsidRPr="00F56A7F">
              <w:t>Fifty-</w:t>
            </w:r>
            <w:r w:rsidR="008416E9" w:rsidRPr="00F56A7F">
              <w:t>Third</w:t>
            </w:r>
            <w:r w:rsidRPr="00F56A7F">
              <w:t xml:space="preserve"> Session</w:t>
            </w:r>
          </w:p>
          <w:p w14:paraId="6FAE1F41" w14:textId="58926136" w:rsidR="00A85F2F" w:rsidRPr="00F56A7F" w:rsidRDefault="00A85F2F" w:rsidP="00A85F2F">
            <w:pPr>
              <w:pStyle w:val="Sessiontwpplacedate"/>
            </w:pPr>
            <w:r w:rsidRPr="00F56A7F">
              <w:t>Virtual meeting, May 2</w:t>
            </w:r>
            <w:r w:rsidR="00813DEC" w:rsidRPr="00F56A7F">
              <w:t>7</w:t>
            </w:r>
            <w:r w:rsidRPr="00F56A7F">
              <w:t xml:space="preserve"> to </w:t>
            </w:r>
            <w:r w:rsidR="00813DEC" w:rsidRPr="00F56A7F">
              <w:t>3</w:t>
            </w:r>
            <w:r w:rsidR="006270C8">
              <w:t>0</w:t>
            </w:r>
            <w:r w:rsidRPr="00F56A7F">
              <w:t>, 202</w:t>
            </w:r>
            <w:r w:rsidR="008416E9" w:rsidRPr="00F56A7F">
              <w:t>4</w:t>
            </w:r>
          </w:p>
          <w:p w14:paraId="05F1F62E" w14:textId="77777777" w:rsidR="00C437A3" w:rsidRPr="00F56A7F" w:rsidRDefault="00C437A3" w:rsidP="004226CC"/>
          <w:p w14:paraId="2E7DF60A" w14:textId="77777777" w:rsidR="00C437A3" w:rsidRPr="00F56A7F" w:rsidRDefault="00C437A3" w:rsidP="004226CC">
            <w:pPr>
              <w:pStyle w:val="Sessiontwp"/>
            </w:pPr>
            <w:r w:rsidRPr="00F56A7F">
              <w:t>Technical Working Party for Fruit Crops</w:t>
            </w:r>
          </w:p>
          <w:p w14:paraId="3154A15F" w14:textId="77777777" w:rsidR="00A85F2F" w:rsidRPr="00F56A7F" w:rsidRDefault="00A85F2F" w:rsidP="00A85F2F">
            <w:pPr>
              <w:pStyle w:val="Sessiontwpplacedate"/>
            </w:pPr>
            <w:r w:rsidRPr="00F56A7F">
              <w:t>Fifty-</w:t>
            </w:r>
            <w:r w:rsidR="008416E9" w:rsidRPr="00F56A7F">
              <w:t>Fifth</w:t>
            </w:r>
            <w:r w:rsidRPr="00F56A7F">
              <w:t xml:space="preserve"> Session</w:t>
            </w:r>
          </w:p>
          <w:p w14:paraId="16BF74C8" w14:textId="0A446215" w:rsidR="00C437A3" w:rsidRPr="00F56A7F" w:rsidRDefault="008416E9" w:rsidP="00A85F2F">
            <w:r w:rsidRPr="00F56A7F">
              <w:t>Virtual meeting</w:t>
            </w:r>
            <w:r w:rsidR="00A85F2F" w:rsidRPr="00F56A7F">
              <w:t>, Ju</w:t>
            </w:r>
            <w:r w:rsidR="00972CF1" w:rsidRPr="00F56A7F">
              <w:t>ne</w:t>
            </w:r>
            <w:r w:rsidR="00A85F2F" w:rsidRPr="00F56A7F">
              <w:t xml:space="preserve"> 3 to </w:t>
            </w:r>
            <w:r w:rsidR="006270C8">
              <w:t>6</w:t>
            </w:r>
            <w:r w:rsidR="00A85F2F" w:rsidRPr="00F56A7F">
              <w:t>, 202</w:t>
            </w:r>
            <w:r w:rsidRPr="00F56A7F">
              <w:t>4</w:t>
            </w:r>
          </w:p>
        </w:tc>
        <w:tc>
          <w:tcPr>
            <w:tcW w:w="3127" w:type="dxa"/>
          </w:tcPr>
          <w:p w14:paraId="49EFEA22" w14:textId="75C53D4A" w:rsidR="00C437A3" w:rsidRPr="00F56A7F" w:rsidRDefault="00C437A3" w:rsidP="004226CC">
            <w:pPr>
              <w:pStyle w:val="Doccode"/>
            </w:pPr>
            <w:r w:rsidRPr="00F56A7F">
              <w:t>TWP/</w:t>
            </w:r>
            <w:r w:rsidR="008416E9" w:rsidRPr="00E645D9">
              <w:t>8</w:t>
            </w:r>
            <w:r w:rsidRPr="00E645D9">
              <w:t>/</w:t>
            </w:r>
            <w:r w:rsidR="00574713" w:rsidRPr="00E645D9">
              <w:t>1</w:t>
            </w:r>
          </w:p>
          <w:p w14:paraId="13F5ED26" w14:textId="77777777" w:rsidR="00C437A3" w:rsidRPr="00F56A7F" w:rsidRDefault="00C437A3" w:rsidP="004226CC">
            <w:pPr>
              <w:pStyle w:val="Docoriginal"/>
            </w:pPr>
            <w:r w:rsidRPr="00F56A7F">
              <w:t>Original:</w:t>
            </w:r>
            <w:r w:rsidRPr="00F56A7F">
              <w:rPr>
                <w:b w:val="0"/>
                <w:spacing w:val="0"/>
              </w:rPr>
              <w:t xml:space="preserve">  English</w:t>
            </w:r>
          </w:p>
          <w:p w14:paraId="5C9799A1" w14:textId="41ECB368" w:rsidR="00C437A3" w:rsidRPr="00F56A7F" w:rsidRDefault="00C437A3" w:rsidP="00A85F2F">
            <w:pPr>
              <w:pStyle w:val="Docoriginal"/>
            </w:pPr>
            <w:r w:rsidRPr="00F56A7F">
              <w:t>Date:</w:t>
            </w:r>
            <w:r w:rsidRPr="00F56A7F">
              <w:rPr>
                <w:b w:val="0"/>
                <w:spacing w:val="0"/>
              </w:rPr>
              <w:t xml:space="preserve">  </w:t>
            </w:r>
            <w:r w:rsidR="0044353D" w:rsidRPr="009060C1">
              <w:rPr>
                <w:b w:val="0"/>
                <w:spacing w:val="0"/>
              </w:rPr>
              <w:t xml:space="preserve">April </w:t>
            </w:r>
            <w:r w:rsidR="003410B0" w:rsidRPr="009060C1">
              <w:rPr>
                <w:b w:val="0"/>
                <w:spacing w:val="0"/>
              </w:rPr>
              <w:t>4</w:t>
            </w:r>
            <w:r w:rsidRPr="009060C1">
              <w:rPr>
                <w:b w:val="0"/>
                <w:spacing w:val="0"/>
              </w:rPr>
              <w:t>, 202</w:t>
            </w:r>
            <w:r w:rsidR="008416E9" w:rsidRPr="009060C1">
              <w:rPr>
                <w:b w:val="0"/>
                <w:spacing w:val="0"/>
              </w:rPr>
              <w:t>4</w:t>
            </w:r>
          </w:p>
        </w:tc>
      </w:tr>
    </w:tbl>
    <w:p w14:paraId="3B1ED57F" w14:textId="6D59B828" w:rsidR="00C437A3" w:rsidRPr="00F56A7F" w:rsidRDefault="000A0EC3" w:rsidP="00C437A3">
      <w:pPr>
        <w:pStyle w:val="Titleofdoc0"/>
      </w:pPr>
      <w:r w:rsidRPr="00980FFA">
        <w:t>Development of g</w:t>
      </w:r>
      <w:r w:rsidR="008C574B" w:rsidRPr="00980FFA">
        <w:t>uidance and information materials</w:t>
      </w:r>
    </w:p>
    <w:p w14:paraId="28F14D05" w14:textId="77777777" w:rsidR="00C437A3" w:rsidRPr="00F56A7F" w:rsidRDefault="00C437A3" w:rsidP="00C437A3">
      <w:pPr>
        <w:pStyle w:val="preparedby1"/>
      </w:pPr>
      <w:bookmarkStart w:id="0" w:name="Prepared"/>
      <w:bookmarkEnd w:id="0"/>
      <w:r w:rsidRPr="00F56A7F">
        <w:t>Document prepared by the Office of the Union</w:t>
      </w:r>
    </w:p>
    <w:p w14:paraId="4C247129" w14:textId="77777777" w:rsidR="00C437A3" w:rsidRPr="00F56A7F" w:rsidRDefault="00C437A3" w:rsidP="00C437A3">
      <w:pPr>
        <w:pStyle w:val="Disclaimer"/>
      </w:pPr>
      <w:r w:rsidRPr="00F56A7F">
        <w:t>Disclaimer:  this document does not represent UPOV policies or guidance</w:t>
      </w:r>
    </w:p>
    <w:p w14:paraId="455BD5D2" w14:textId="77777777" w:rsidR="006B6170" w:rsidRPr="00F56A7F" w:rsidRDefault="006B6170" w:rsidP="00263B9E">
      <w:pPr>
        <w:pStyle w:val="Heading1"/>
        <w:rPr>
          <w:snapToGrid w:val="0"/>
        </w:rPr>
      </w:pPr>
      <w:bookmarkStart w:id="1" w:name="_Toc131182452"/>
      <w:bookmarkStart w:id="2" w:name="_Toc162975784"/>
      <w:r w:rsidRPr="00F56A7F">
        <w:rPr>
          <w:snapToGrid w:val="0"/>
        </w:rPr>
        <w:t>EXECUTIVE SUMMARY</w:t>
      </w:r>
      <w:bookmarkEnd w:id="1"/>
      <w:bookmarkEnd w:id="2"/>
    </w:p>
    <w:p w14:paraId="6F26A7BD" w14:textId="77777777" w:rsidR="006B6170" w:rsidRPr="00F56A7F" w:rsidRDefault="006B6170" w:rsidP="006B6170"/>
    <w:p w14:paraId="45E8900B" w14:textId="178C2860" w:rsidR="007547C1" w:rsidRDefault="006B6170" w:rsidP="006B6170">
      <w:r w:rsidRPr="00F56A7F">
        <w:fldChar w:fldCharType="begin"/>
      </w:r>
      <w:r w:rsidRPr="00F56A7F">
        <w:instrText xml:space="preserve"> AUTONUM  </w:instrText>
      </w:r>
      <w:r w:rsidRPr="00F56A7F">
        <w:fldChar w:fldCharType="end"/>
      </w:r>
      <w:r w:rsidRPr="00F56A7F">
        <w:tab/>
        <w:t>The purpose of this document is</w:t>
      </w:r>
      <w:r w:rsidRPr="00F56A7F">
        <w:rPr>
          <w:snapToGrid w:val="0"/>
        </w:rPr>
        <w:t xml:space="preserve"> </w:t>
      </w:r>
      <w:r w:rsidRPr="00F56A7F">
        <w:t xml:space="preserve">to </w:t>
      </w:r>
      <w:r w:rsidR="005120C9" w:rsidRPr="00F56A7F">
        <w:t>present</w:t>
      </w:r>
      <w:r w:rsidRPr="00F56A7F">
        <w:t xml:space="preserve"> </w:t>
      </w:r>
      <w:r w:rsidR="00980FFA" w:rsidRPr="00F56A7F">
        <w:t>proposals</w:t>
      </w:r>
      <w:r w:rsidR="00980FFA">
        <w:t xml:space="preserve"> for consideration by the</w:t>
      </w:r>
      <w:r w:rsidR="00980FFA" w:rsidRPr="00F56A7F">
        <w:t xml:space="preserve"> Technical Working Parties (TWPs)</w:t>
      </w:r>
      <w:r w:rsidR="00980FFA" w:rsidRPr="007B36FA">
        <w:t xml:space="preserve"> </w:t>
      </w:r>
      <w:r w:rsidR="002A79F6">
        <w:t>on</w:t>
      </w:r>
      <w:r w:rsidR="00980FFA" w:rsidRPr="00F56A7F">
        <w:t xml:space="preserve"> revision</w:t>
      </w:r>
      <w:r w:rsidR="002A79F6">
        <w:t>s</w:t>
      </w:r>
      <w:r w:rsidR="00980FFA" w:rsidRPr="00F56A7F">
        <w:t xml:space="preserve"> or </w:t>
      </w:r>
      <w:r w:rsidR="00980FFA">
        <w:t xml:space="preserve">development of </w:t>
      </w:r>
      <w:r w:rsidR="00E163AA">
        <w:t xml:space="preserve">new </w:t>
      </w:r>
      <w:r w:rsidR="00980FFA" w:rsidRPr="00F56A7F">
        <w:t>guidance</w:t>
      </w:r>
      <w:r w:rsidRPr="00F56A7F">
        <w:t>.</w:t>
      </w:r>
    </w:p>
    <w:p w14:paraId="6AABC77B" w14:textId="77777777" w:rsidR="006B6170" w:rsidRPr="00F56A7F" w:rsidRDefault="006B6170" w:rsidP="006B6170"/>
    <w:p w14:paraId="6C7B84D8" w14:textId="41B68FD9" w:rsidR="006B6170" w:rsidRPr="00F56A7F" w:rsidRDefault="006B6170" w:rsidP="006B6170">
      <w:pPr>
        <w:keepNext/>
        <w:keepLines/>
        <w:tabs>
          <w:tab w:val="left" w:pos="567"/>
          <w:tab w:val="left" w:pos="1134"/>
          <w:tab w:val="left" w:pos="5387"/>
          <w:tab w:val="left" w:pos="5954"/>
        </w:tabs>
      </w:pPr>
      <w:r w:rsidRPr="00F56A7F">
        <w:fldChar w:fldCharType="begin"/>
      </w:r>
      <w:r w:rsidRPr="00F56A7F">
        <w:instrText xml:space="preserve"> AUTONUM  </w:instrText>
      </w:r>
      <w:r w:rsidRPr="00F56A7F">
        <w:fldChar w:fldCharType="end"/>
      </w:r>
      <w:r w:rsidRPr="00F56A7F">
        <w:tab/>
        <w:t>The TWPs are invited to</w:t>
      </w:r>
      <w:r w:rsidR="00451F0B">
        <w:t xml:space="preserve"> consider</w:t>
      </w:r>
      <w:r w:rsidR="009A3BEB">
        <w:t xml:space="preserve"> the following matters</w:t>
      </w:r>
      <w:r w:rsidRPr="00F56A7F">
        <w:t>:</w:t>
      </w:r>
    </w:p>
    <w:p w14:paraId="5B9D9814" w14:textId="77777777" w:rsidR="00907D86" w:rsidRDefault="00907D86" w:rsidP="00907D86"/>
    <w:p w14:paraId="4F8044BE" w14:textId="162CC066" w:rsidR="00907D86" w:rsidRPr="00907D86" w:rsidRDefault="00907D86" w:rsidP="00A362DE">
      <w:pPr>
        <w:pStyle w:val="BodyText2"/>
        <w:ind w:left="567"/>
      </w:pPr>
      <w:r w:rsidRPr="00907D86">
        <w:t xml:space="preserve">Explanatory Notes: Document UPOV/EXN/DEN “Explanatory Notes on Variety Denominations under the UPOV Convention” </w:t>
      </w:r>
      <w:r w:rsidR="009A3BEB" w:rsidRPr="009A3BEB">
        <w:t>(Revision)</w:t>
      </w:r>
    </w:p>
    <w:p w14:paraId="06DA15DA" w14:textId="77777777" w:rsidR="00907D86" w:rsidRDefault="00907D86" w:rsidP="00A362DE">
      <w:pPr>
        <w:ind w:left="567"/>
      </w:pPr>
    </w:p>
    <w:p w14:paraId="77850417" w14:textId="77777777" w:rsidR="00907D86" w:rsidRPr="00907D86" w:rsidRDefault="00907D86" w:rsidP="00A362DE">
      <w:pPr>
        <w:pStyle w:val="BodyText3"/>
        <w:ind w:left="567"/>
      </w:pPr>
      <w:r w:rsidRPr="00907D86">
        <w:t xml:space="preserve">New variety denomination classes for Prunus and situations when a denomination should be compared with other classes within a genus </w:t>
      </w:r>
    </w:p>
    <w:p w14:paraId="36626CE5" w14:textId="77777777" w:rsidR="00907D86" w:rsidRDefault="00907D86" w:rsidP="00A362DE">
      <w:pPr>
        <w:ind w:left="567"/>
        <w:rPr>
          <w:highlight w:val="yellow"/>
        </w:rPr>
      </w:pPr>
    </w:p>
    <w:p w14:paraId="2FFD6494" w14:textId="780326B4" w:rsidR="00907D86" w:rsidRPr="00A362DE" w:rsidRDefault="009A3BEB" w:rsidP="00A362DE">
      <w:pPr>
        <w:ind w:left="567"/>
      </w:pPr>
      <w:r>
        <w:t>(a)</w:t>
      </w:r>
      <w:r>
        <w:tab/>
      </w:r>
      <w:r w:rsidRPr="009A3BEB">
        <w:t xml:space="preserve">The TWPs are invited to consider situations when a denomination should be compared with </w:t>
      </w:r>
      <w:r w:rsidRPr="00A362DE">
        <w:t xml:space="preserve">denominations in other classes within a genus or the entire genus, as set out in </w:t>
      </w:r>
      <w:r w:rsidRPr="00911270">
        <w:t>paragraph 1</w:t>
      </w:r>
      <w:r w:rsidR="0044353D" w:rsidRPr="00911270">
        <w:t>1</w:t>
      </w:r>
      <w:r w:rsidRPr="00A362DE">
        <w:t xml:space="preserve"> of this document.</w:t>
      </w:r>
    </w:p>
    <w:p w14:paraId="0589E82D" w14:textId="77777777" w:rsidR="00907D86" w:rsidRPr="00911270" w:rsidRDefault="00907D86" w:rsidP="006B6170"/>
    <w:p w14:paraId="7D49602F" w14:textId="50C6D7D1" w:rsidR="009A3BEB" w:rsidRPr="009A3BEB" w:rsidRDefault="009A3BEB" w:rsidP="00A362DE">
      <w:pPr>
        <w:ind w:left="567"/>
        <w:rPr>
          <w:u w:val="single"/>
        </w:rPr>
      </w:pPr>
      <w:r w:rsidRPr="009A3BEB">
        <w:rPr>
          <w:u w:val="single"/>
        </w:rPr>
        <w:t xml:space="preserve">TGP Documents </w:t>
      </w:r>
    </w:p>
    <w:p w14:paraId="02FBD6D3" w14:textId="77777777" w:rsidR="009A3BEB" w:rsidRDefault="009A3BEB" w:rsidP="00A362DE">
      <w:pPr>
        <w:ind w:left="567"/>
      </w:pPr>
    </w:p>
    <w:p w14:paraId="154128F3" w14:textId="126D17EC" w:rsidR="00907D86" w:rsidRPr="00911270" w:rsidRDefault="009A3BEB" w:rsidP="00A362DE">
      <w:pPr>
        <w:pStyle w:val="BodyText3"/>
        <w:ind w:left="567"/>
      </w:pPr>
      <w:r w:rsidRPr="009A3BEB">
        <w:t>TGP/5: Section 6 “UPOV Report on Technical Examination and UPOV Variety Description” (Revision)</w:t>
      </w:r>
    </w:p>
    <w:p w14:paraId="68F9EF0B" w14:textId="77777777" w:rsidR="00907D86" w:rsidRPr="00911270" w:rsidRDefault="00907D86" w:rsidP="00A362DE">
      <w:pPr>
        <w:ind w:left="567"/>
      </w:pPr>
    </w:p>
    <w:p w14:paraId="1970BBBD" w14:textId="08569409" w:rsidR="00330E52" w:rsidRPr="00911270" w:rsidRDefault="00330E52" w:rsidP="00A362DE">
      <w:pPr>
        <w:pStyle w:val="Heading6"/>
        <w:ind w:left="567"/>
      </w:pPr>
      <w:r w:rsidRPr="00330E52">
        <w:t>Subsection “UPOV Variety Description”, item 16</w:t>
      </w:r>
    </w:p>
    <w:p w14:paraId="6F8304AA" w14:textId="77777777" w:rsidR="00330E52" w:rsidRDefault="00330E52" w:rsidP="009A3BEB">
      <w:pPr>
        <w:ind w:firstLine="567"/>
      </w:pPr>
    </w:p>
    <w:p w14:paraId="5C096403" w14:textId="16F27BC5" w:rsidR="009A3BEB" w:rsidRDefault="009A3BEB" w:rsidP="00A362DE">
      <w:pPr>
        <w:ind w:left="567"/>
      </w:pPr>
      <w:r>
        <w:t>(b)</w:t>
      </w:r>
      <w:r>
        <w:tab/>
        <w:t>The TWPs are invited to consider:</w:t>
      </w:r>
    </w:p>
    <w:p w14:paraId="6F4EAA24" w14:textId="77777777" w:rsidR="009A3BEB" w:rsidRDefault="009A3BEB" w:rsidP="009A3BEB"/>
    <w:p w14:paraId="37E22C3A" w14:textId="2BA6F7FE" w:rsidR="009A3BEB" w:rsidRDefault="009A3BEB" w:rsidP="009A3BEB">
      <w:pPr>
        <w:ind w:left="1134"/>
      </w:pPr>
      <w:r>
        <w:t>(</w:t>
      </w:r>
      <w:proofErr w:type="spellStart"/>
      <w:r>
        <w:t>i</w:t>
      </w:r>
      <w:proofErr w:type="spellEnd"/>
      <w:r>
        <w:t>)</w:t>
      </w:r>
      <w:r>
        <w:tab/>
        <w:t xml:space="preserve">the additional explanations proposed for inclusion under Item 16 “Similar varieties and differences from these varieties” in the “UPOV Variety Description”, as set out in </w:t>
      </w:r>
      <w:r w:rsidRPr="00911270">
        <w:t>paragraph 1</w:t>
      </w:r>
      <w:r w:rsidR="006358A7" w:rsidRPr="00911270">
        <w:t>8</w:t>
      </w:r>
      <w:r>
        <w:t xml:space="preserve"> of this document; and</w:t>
      </w:r>
    </w:p>
    <w:p w14:paraId="7AC77E5D" w14:textId="77777777" w:rsidR="009A3BEB" w:rsidRDefault="009A3BEB" w:rsidP="009A3BEB">
      <w:pPr>
        <w:ind w:left="1134"/>
      </w:pPr>
    </w:p>
    <w:p w14:paraId="2C1D2463" w14:textId="46F9AA72" w:rsidR="009A3BEB" w:rsidRDefault="009A3BEB" w:rsidP="009A3BEB">
      <w:pPr>
        <w:ind w:left="1134"/>
      </w:pPr>
      <w:r>
        <w:lastRenderedPageBreak/>
        <w:t>(ii)</w:t>
      </w:r>
      <w:r>
        <w:tab/>
        <w:t>whether to provide further guidance on information about similar varieties considered in the examination.</w:t>
      </w:r>
    </w:p>
    <w:p w14:paraId="327A3424" w14:textId="77777777" w:rsidR="00330E52" w:rsidRPr="00911270" w:rsidRDefault="00330E52" w:rsidP="009A3BEB">
      <w:pPr>
        <w:ind w:left="1134"/>
      </w:pPr>
    </w:p>
    <w:p w14:paraId="1036E3B4" w14:textId="0BA30F8D" w:rsidR="009A3BEB" w:rsidRPr="00911270" w:rsidRDefault="00330E52" w:rsidP="00A362DE">
      <w:pPr>
        <w:pStyle w:val="Heading6"/>
        <w:ind w:left="567"/>
      </w:pPr>
      <w:r w:rsidRPr="00330E52">
        <w:t>Subsection “UPOV Variety Description”, item 17</w:t>
      </w:r>
    </w:p>
    <w:p w14:paraId="7C24B26B" w14:textId="77777777" w:rsidR="009A3BEB" w:rsidRPr="00911270" w:rsidRDefault="009A3BEB" w:rsidP="00A362DE">
      <w:pPr>
        <w:keepNext/>
        <w:ind w:left="567"/>
      </w:pPr>
    </w:p>
    <w:p w14:paraId="25018AB1" w14:textId="3476C1C6" w:rsidR="00330E52" w:rsidRDefault="00330E52" w:rsidP="00A362DE">
      <w:pPr>
        <w:ind w:left="567"/>
      </w:pPr>
      <w:r>
        <w:t>(c)</w:t>
      </w:r>
      <w:r>
        <w:tab/>
        <w:t>The TWPs are invited to consider:</w:t>
      </w:r>
    </w:p>
    <w:p w14:paraId="47326092" w14:textId="77777777" w:rsidR="00330E52" w:rsidRDefault="00330E52" w:rsidP="00330E52">
      <w:pPr>
        <w:ind w:firstLine="567"/>
      </w:pPr>
    </w:p>
    <w:p w14:paraId="3D2C1759" w14:textId="1699277E" w:rsidR="00330E52" w:rsidRDefault="00330E52" w:rsidP="00330E52">
      <w:pPr>
        <w:pStyle w:val="BodyTextIndent"/>
      </w:pPr>
      <w:r>
        <w:t>(</w:t>
      </w:r>
      <w:proofErr w:type="spellStart"/>
      <w:r>
        <w:t>i</w:t>
      </w:r>
      <w:proofErr w:type="spellEnd"/>
      <w:r>
        <w:t>)</w:t>
      </w:r>
      <w:r>
        <w:tab/>
        <w:t xml:space="preserve">the additional explanations proposed for inclusion under item 17 “Additional Information” in the “UPOV Variety Description”, as set out in </w:t>
      </w:r>
      <w:r w:rsidRPr="00911270">
        <w:t>paragraph 2</w:t>
      </w:r>
      <w:r w:rsidR="00DA75C4" w:rsidRPr="00911270">
        <w:t>1</w:t>
      </w:r>
      <w:r w:rsidRPr="007654A3">
        <w:t xml:space="preserve"> of</w:t>
      </w:r>
      <w:r>
        <w:t xml:space="preserve"> this document; and</w:t>
      </w:r>
    </w:p>
    <w:p w14:paraId="5F889390" w14:textId="77777777" w:rsidR="00330E52" w:rsidRDefault="00330E52" w:rsidP="00330E52">
      <w:pPr>
        <w:ind w:left="1134"/>
      </w:pPr>
    </w:p>
    <w:p w14:paraId="05CC0DF6" w14:textId="2641FB7A" w:rsidR="00330E52" w:rsidRPr="00911270" w:rsidRDefault="00330E52" w:rsidP="00330E52">
      <w:pPr>
        <w:ind w:left="1134"/>
      </w:pPr>
      <w:r>
        <w:t>(ii)</w:t>
      </w:r>
      <w:r>
        <w:tab/>
        <w:t>whether to provide further guidance on additional information that could be provided with variety descriptions.</w:t>
      </w:r>
    </w:p>
    <w:p w14:paraId="3E606980" w14:textId="77777777" w:rsidR="00330E52" w:rsidRPr="00911270" w:rsidRDefault="00330E52" w:rsidP="00A362DE">
      <w:pPr>
        <w:ind w:left="567"/>
      </w:pPr>
    </w:p>
    <w:p w14:paraId="0675BD0E" w14:textId="77777777" w:rsidR="00330E52" w:rsidRPr="00330E52" w:rsidRDefault="00330E52" w:rsidP="00A362DE">
      <w:pPr>
        <w:pStyle w:val="BodyText3"/>
        <w:ind w:left="567"/>
      </w:pPr>
      <w:r w:rsidRPr="00330E52">
        <w:t>TGP/7 “Development of Test Guidelines” (Revision)</w:t>
      </w:r>
    </w:p>
    <w:p w14:paraId="6DE265C0" w14:textId="77777777" w:rsidR="00330E52" w:rsidRDefault="00330E52" w:rsidP="00A362DE">
      <w:pPr>
        <w:ind w:left="567"/>
      </w:pPr>
    </w:p>
    <w:p w14:paraId="36FBAD74" w14:textId="703CBA9D" w:rsidR="00330E52" w:rsidRPr="00911270" w:rsidRDefault="00DA3221" w:rsidP="00A362DE">
      <w:pPr>
        <w:pStyle w:val="Heading6"/>
        <w:ind w:left="567"/>
      </w:pPr>
      <w:r w:rsidRPr="004077BD">
        <w:t>Additional Standard Wording</w:t>
      </w:r>
      <w:r w:rsidRPr="00330E52">
        <w:t xml:space="preserve"> </w:t>
      </w:r>
      <w:r>
        <w:t xml:space="preserve">(ASW) </w:t>
      </w:r>
      <w:r w:rsidR="00330E52" w:rsidRPr="00330E52">
        <w:t>3 “Explanation of the growing cycle”</w:t>
      </w:r>
    </w:p>
    <w:p w14:paraId="00ADE291" w14:textId="77777777" w:rsidR="00330E52" w:rsidRPr="00911270" w:rsidRDefault="00330E52" w:rsidP="00A362DE">
      <w:pPr>
        <w:ind w:left="567"/>
      </w:pPr>
    </w:p>
    <w:p w14:paraId="1624360E" w14:textId="25EC0CD1" w:rsidR="00330E52" w:rsidRPr="00911270" w:rsidRDefault="004077BD" w:rsidP="00A362DE">
      <w:pPr>
        <w:ind w:left="567"/>
      </w:pPr>
      <w:r>
        <w:t>(</w:t>
      </w:r>
      <w:r w:rsidR="00A362DE">
        <w:t>d</w:t>
      </w:r>
      <w:r>
        <w:t>)</w:t>
      </w:r>
      <w:r>
        <w:tab/>
        <w:t>The</w:t>
      </w:r>
      <w:r w:rsidRPr="00F56A7F">
        <w:t xml:space="preserve"> TWPs</w:t>
      </w:r>
      <w:r>
        <w:t xml:space="preserve"> are invited </w:t>
      </w:r>
      <w:r w:rsidRPr="00F56A7F">
        <w:t xml:space="preserve">to consider </w:t>
      </w:r>
      <w:r>
        <w:t xml:space="preserve">a proposal to </w:t>
      </w:r>
      <w:r w:rsidRPr="00F56A7F">
        <w:t>amend</w:t>
      </w:r>
      <w:r>
        <w:t xml:space="preserve"> the </w:t>
      </w:r>
      <w:r w:rsidRPr="00AB41D9">
        <w:t>standard wording of</w:t>
      </w:r>
      <w:r w:rsidRPr="00F56A7F">
        <w:t xml:space="preserve"> growing cycle for “fruit species with clearly defined dormant period”</w:t>
      </w:r>
      <w:r>
        <w:t xml:space="preserve"> in </w:t>
      </w:r>
      <w:r w:rsidRPr="00F56A7F">
        <w:t>document TGP/7, ASW</w:t>
      </w:r>
      <w:r>
        <w:t> </w:t>
      </w:r>
      <w:r w:rsidRPr="00F56A7F">
        <w:t xml:space="preserve">3(a), as set out in </w:t>
      </w:r>
      <w:r w:rsidRPr="00911270">
        <w:t>paragraph 24</w:t>
      </w:r>
      <w:r w:rsidRPr="007654A3">
        <w:t xml:space="preserve"> of</w:t>
      </w:r>
      <w:r w:rsidRPr="00451F0B">
        <w:t xml:space="preserve"> this document.</w:t>
      </w:r>
    </w:p>
    <w:p w14:paraId="0C31DFBD" w14:textId="77777777" w:rsidR="00330E52" w:rsidRPr="00911270" w:rsidRDefault="00330E52" w:rsidP="00DD1D80">
      <w:pPr>
        <w:ind w:left="567"/>
      </w:pPr>
    </w:p>
    <w:p w14:paraId="57A68E6E" w14:textId="3986E1F8" w:rsidR="00330E52" w:rsidRPr="00911270" w:rsidRDefault="00DA3221" w:rsidP="00DD1D80">
      <w:pPr>
        <w:ind w:left="567" w:firstLine="567"/>
        <w:rPr>
          <w:u w:val="single"/>
        </w:rPr>
      </w:pPr>
      <w:r w:rsidRPr="00DA3221">
        <w:rPr>
          <w:u w:val="single"/>
        </w:rPr>
        <w:t>Additional Standard Wording</w:t>
      </w:r>
      <w:r>
        <w:rPr>
          <w:u w:val="single"/>
        </w:rPr>
        <w:t xml:space="preserve"> (ASW)</w:t>
      </w:r>
      <w:r w:rsidRPr="004077BD">
        <w:rPr>
          <w:u w:val="single"/>
        </w:rPr>
        <w:t xml:space="preserve"> </w:t>
      </w:r>
      <w:r w:rsidR="004077BD" w:rsidRPr="004077BD">
        <w:rPr>
          <w:u w:val="single"/>
        </w:rPr>
        <w:t>7(b) “Number of plants / parts of plants to be examined”</w:t>
      </w:r>
    </w:p>
    <w:p w14:paraId="0C79CD37" w14:textId="77777777" w:rsidR="00330E52" w:rsidRPr="00911270" w:rsidRDefault="00330E52" w:rsidP="00DD1D80">
      <w:pPr>
        <w:ind w:left="567"/>
      </w:pPr>
    </w:p>
    <w:p w14:paraId="20208930" w14:textId="4A15D543" w:rsidR="009A3BEB" w:rsidRPr="0068160B" w:rsidRDefault="004077BD" w:rsidP="00A362DE">
      <w:pPr>
        <w:ind w:left="567"/>
      </w:pPr>
      <w:r w:rsidRPr="0068160B">
        <w:t>(</w:t>
      </w:r>
      <w:r w:rsidR="00A362DE" w:rsidRPr="0068160B">
        <w:t>e</w:t>
      </w:r>
      <w:r w:rsidRPr="0068160B">
        <w:t>)</w:t>
      </w:r>
      <w:r w:rsidRPr="0068160B">
        <w:tab/>
        <w:t xml:space="preserve">The TWPs are invited to consider the proposal to amend document TGP/7, </w:t>
      </w:r>
      <w:r w:rsidR="00DA3221" w:rsidRPr="0068160B">
        <w:t>ASW</w:t>
      </w:r>
      <w:r w:rsidRPr="0068160B">
        <w:t xml:space="preserve"> 7(b), on </w:t>
      </w:r>
      <w:r w:rsidR="00DA3221" w:rsidRPr="0068160B">
        <w:t xml:space="preserve">the number of </w:t>
      </w:r>
      <w:r w:rsidRPr="0068160B">
        <w:t xml:space="preserve">parts to be </w:t>
      </w:r>
      <w:r w:rsidR="00DA3221" w:rsidRPr="0068160B">
        <w:t xml:space="preserve">examined from single plants, </w:t>
      </w:r>
      <w:r w:rsidRPr="0068160B">
        <w:t xml:space="preserve">as set out in </w:t>
      </w:r>
      <w:r w:rsidRPr="00911270">
        <w:t>paragraph 28</w:t>
      </w:r>
      <w:r w:rsidRPr="0068160B">
        <w:t xml:space="preserve"> of this document.</w:t>
      </w:r>
    </w:p>
    <w:p w14:paraId="437F940D" w14:textId="77777777" w:rsidR="004077BD" w:rsidRDefault="004077BD" w:rsidP="004077BD">
      <w:pPr>
        <w:ind w:firstLine="567"/>
      </w:pPr>
    </w:p>
    <w:p w14:paraId="3B1D4E4C" w14:textId="68BA0433" w:rsidR="004077BD" w:rsidRPr="00076776" w:rsidRDefault="00076776" w:rsidP="00DD1D80">
      <w:pPr>
        <w:pStyle w:val="BodyTextIndent2"/>
        <w:ind w:left="1134"/>
      </w:pPr>
      <w:r w:rsidRPr="00076776">
        <w:t>Guidance Note (GN) 28 “Example Varieties” – Example varieties for asterisked quantitative characteristics when illustrations are provided</w:t>
      </w:r>
    </w:p>
    <w:p w14:paraId="4BA0A84B" w14:textId="77777777" w:rsidR="004077BD" w:rsidRDefault="004077BD" w:rsidP="004077BD">
      <w:pPr>
        <w:ind w:firstLine="567"/>
      </w:pPr>
    </w:p>
    <w:p w14:paraId="5AC567E8" w14:textId="5B9A8CB8" w:rsidR="004077BD" w:rsidRDefault="00076776" w:rsidP="00A362DE">
      <w:pPr>
        <w:ind w:left="567"/>
      </w:pPr>
      <w:r>
        <w:t>(</w:t>
      </w:r>
      <w:r w:rsidR="00A362DE">
        <w:t>f</w:t>
      </w:r>
      <w:r>
        <w:t>)</w:t>
      </w:r>
      <w:r>
        <w:tab/>
      </w:r>
      <w:r w:rsidRPr="00076776">
        <w:t>The TWPs are invited to note that developments would be reported under a separate document concerning a proposal for the revision of document TGP/7</w:t>
      </w:r>
      <w:r w:rsidR="00DD1D80">
        <w:t xml:space="preserve"> </w:t>
      </w:r>
      <w:r w:rsidR="00DD1D80" w:rsidRPr="00DD1D80">
        <w:t>“Development of Test Guidelines”</w:t>
      </w:r>
      <w:r w:rsidRPr="00076776">
        <w:t>, GN28, on situations where illustrations could replace example varieties.</w:t>
      </w:r>
    </w:p>
    <w:p w14:paraId="67E63B6A" w14:textId="77777777" w:rsidR="004077BD" w:rsidRDefault="004077BD" w:rsidP="004077BD">
      <w:pPr>
        <w:ind w:firstLine="567"/>
      </w:pPr>
    </w:p>
    <w:p w14:paraId="01EF495C" w14:textId="1376DADB" w:rsidR="004B22C8" w:rsidRPr="000D0D2E" w:rsidRDefault="007271C2" w:rsidP="00DD1D80">
      <w:pPr>
        <w:pStyle w:val="EndnoteText"/>
        <w:ind w:left="567"/>
        <w:rPr>
          <w:i/>
          <w:iCs/>
        </w:rPr>
      </w:pPr>
      <w:r w:rsidRPr="000D0D2E">
        <w:rPr>
          <w:i/>
          <w:iCs/>
        </w:rPr>
        <w:t>TGP/12: Guidance on Certain Physiological Characteristics</w:t>
      </w:r>
    </w:p>
    <w:p w14:paraId="06D927C9" w14:textId="77777777" w:rsidR="004B22C8" w:rsidRDefault="004B22C8" w:rsidP="004077BD">
      <w:pPr>
        <w:ind w:firstLine="567"/>
      </w:pPr>
    </w:p>
    <w:p w14:paraId="0C3B960C" w14:textId="35541A96" w:rsidR="00CB15A5" w:rsidRDefault="00CB15A5" w:rsidP="00A362DE">
      <w:pPr>
        <w:ind w:left="567"/>
      </w:pPr>
      <w:r>
        <w:t>(</w:t>
      </w:r>
      <w:r w:rsidR="00A362DE">
        <w:t>g</w:t>
      </w:r>
      <w:r>
        <w:t>)</w:t>
      </w:r>
      <w:r>
        <w:tab/>
        <w:t>The TWPs are invited to consider:</w:t>
      </w:r>
    </w:p>
    <w:p w14:paraId="64F7F092" w14:textId="77777777" w:rsidR="00CB15A5" w:rsidRDefault="00CB15A5" w:rsidP="00CB15A5">
      <w:pPr>
        <w:ind w:firstLine="567"/>
      </w:pPr>
    </w:p>
    <w:p w14:paraId="16D5034F" w14:textId="1F4D582C" w:rsidR="00CB15A5" w:rsidRDefault="00CB15A5" w:rsidP="00CB15A5">
      <w:pPr>
        <w:pStyle w:val="BodyTextIndent"/>
      </w:pPr>
      <w:r>
        <w:tab/>
        <w:t>(</w:t>
      </w:r>
      <w:proofErr w:type="spellStart"/>
      <w:r>
        <w:t>i</w:t>
      </w:r>
      <w:proofErr w:type="spellEnd"/>
      <w:r>
        <w:t>)</w:t>
      </w:r>
      <w:r>
        <w:tab/>
        <w:t xml:space="preserve">a proposal to amend document TGP/12 “Guidance on Certain Physiological Characteristics” to include a table of equivalence of states of expression in Test Guidelines with terminology used in the vegetable seed sector, as set out in </w:t>
      </w:r>
      <w:r w:rsidRPr="00911270">
        <w:t>paragraph 34</w:t>
      </w:r>
      <w:r>
        <w:t xml:space="preserve"> of this document; and</w:t>
      </w:r>
    </w:p>
    <w:p w14:paraId="04ECA141" w14:textId="77777777" w:rsidR="00CB15A5" w:rsidRDefault="00CB15A5" w:rsidP="00CB15A5">
      <w:pPr>
        <w:ind w:left="1134"/>
      </w:pPr>
    </w:p>
    <w:p w14:paraId="1F6FAAF5" w14:textId="0B3EC5CC" w:rsidR="004B22C8" w:rsidRDefault="00CB15A5" w:rsidP="00CB15A5">
      <w:pPr>
        <w:ind w:left="1134"/>
      </w:pPr>
      <w:r>
        <w:tab/>
        <w:t>(ii)</w:t>
      </w:r>
      <w:r>
        <w:tab/>
        <w:t>whether to add an explanation that the table could be used in case of equivalence between the states of expression according to the method described in the explanation of the characteristic (Section 8.2 of the Test Guidelines).</w:t>
      </w:r>
    </w:p>
    <w:p w14:paraId="4B55AA4E" w14:textId="77777777" w:rsidR="004B22C8" w:rsidRDefault="004B22C8" w:rsidP="004077BD">
      <w:pPr>
        <w:ind w:firstLine="567"/>
      </w:pPr>
    </w:p>
    <w:p w14:paraId="4DFBE204" w14:textId="538F85F4" w:rsidR="004077BD" w:rsidRPr="00911270" w:rsidRDefault="002E7891" w:rsidP="00D457C0">
      <w:pPr>
        <w:ind w:left="567"/>
        <w:rPr>
          <w:u w:val="single"/>
        </w:rPr>
      </w:pPr>
      <w:r w:rsidRPr="00E34664">
        <w:rPr>
          <w:u w:val="single"/>
        </w:rPr>
        <w:t>Access to plant material for the purpose of management of variety collections and DUS examination</w:t>
      </w:r>
    </w:p>
    <w:p w14:paraId="16C99D59" w14:textId="77777777" w:rsidR="005D076C" w:rsidRPr="00911270" w:rsidRDefault="005D076C" w:rsidP="00D457C0">
      <w:pPr>
        <w:ind w:left="567"/>
      </w:pPr>
    </w:p>
    <w:p w14:paraId="43EEB6D2" w14:textId="12200DDE" w:rsidR="008D21F1" w:rsidRDefault="008D21F1" w:rsidP="00A362DE">
      <w:pPr>
        <w:ind w:left="567"/>
      </w:pPr>
      <w:r>
        <w:t>(</w:t>
      </w:r>
      <w:r w:rsidR="00A362DE">
        <w:t>h</w:t>
      </w:r>
      <w:r>
        <w:t>)</w:t>
      </w:r>
      <w:r>
        <w:tab/>
        <w:t>The TWPs are invited to consider:</w:t>
      </w:r>
    </w:p>
    <w:p w14:paraId="37E86E8E" w14:textId="77777777" w:rsidR="008D21F1" w:rsidRDefault="008D21F1" w:rsidP="008D21F1">
      <w:pPr>
        <w:ind w:left="1134"/>
      </w:pPr>
    </w:p>
    <w:p w14:paraId="6AE61660" w14:textId="1226699A" w:rsidR="008D21F1" w:rsidRDefault="008D21F1" w:rsidP="008D21F1">
      <w:pPr>
        <w:ind w:left="1134"/>
      </w:pPr>
      <w:r>
        <w:tab/>
        <w:t>(</w:t>
      </w:r>
      <w:proofErr w:type="spellStart"/>
      <w:r>
        <w:t>i</w:t>
      </w:r>
      <w:proofErr w:type="spellEnd"/>
      <w:r>
        <w:t>)</w:t>
      </w:r>
      <w:r>
        <w:tab/>
        <w:t xml:space="preserve">the proposed elements for inclusion in requests for the submission of plant material of candidate varieties and varieties of common knowledge for DUS examination, as set out in </w:t>
      </w:r>
      <w:r w:rsidRPr="00911270">
        <w:t>paragraph 41</w:t>
      </w:r>
      <w:r>
        <w:t xml:space="preserve"> of this document; </w:t>
      </w:r>
    </w:p>
    <w:p w14:paraId="17F54415" w14:textId="77777777" w:rsidR="008D21F1" w:rsidRDefault="008D21F1" w:rsidP="008D21F1">
      <w:pPr>
        <w:ind w:left="1134"/>
      </w:pPr>
    </w:p>
    <w:p w14:paraId="37419FFD" w14:textId="0402183C" w:rsidR="008D21F1" w:rsidRDefault="008D21F1" w:rsidP="008D21F1">
      <w:pPr>
        <w:ind w:left="1134"/>
      </w:pPr>
      <w:r>
        <w:tab/>
        <w:t>(ii)</w:t>
      </w:r>
      <w:r>
        <w:tab/>
        <w:t>further experiences and policies on requesting plant material from plant breeders; and</w:t>
      </w:r>
    </w:p>
    <w:p w14:paraId="6BA375E3" w14:textId="77777777" w:rsidR="008D21F1" w:rsidRDefault="008D21F1" w:rsidP="008D21F1">
      <w:pPr>
        <w:ind w:left="1134"/>
      </w:pPr>
    </w:p>
    <w:p w14:paraId="1CDC187D" w14:textId="0E25D587" w:rsidR="002E7891" w:rsidRPr="00911270" w:rsidRDefault="008D21F1" w:rsidP="008D21F1">
      <w:pPr>
        <w:ind w:left="1134"/>
      </w:pPr>
      <w:r>
        <w:tab/>
        <w:t>(iii)</w:t>
      </w:r>
      <w:r>
        <w:tab/>
        <w:t>possible alternatives to make the information available.</w:t>
      </w:r>
    </w:p>
    <w:p w14:paraId="2FC21523" w14:textId="77777777" w:rsidR="002E7891" w:rsidRPr="00911270" w:rsidRDefault="002E7891" w:rsidP="006B6170"/>
    <w:p w14:paraId="3E3F0A6D" w14:textId="77777777" w:rsidR="002E7891" w:rsidRPr="00911270" w:rsidRDefault="002E7891" w:rsidP="006B6170"/>
    <w:p w14:paraId="4C27FA4A" w14:textId="77777777" w:rsidR="00312E81" w:rsidRDefault="00312E81">
      <w:pPr>
        <w:jc w:val="left"/>
        <w:rPr>
          <w:rFonts w:cs="Arial"/>
        </w:rPr>
      </w:pPr>
      <w:r>
        <w:rPr>
          <w:rFonts w:cs="Arial"/>
        </w:rPr>
        <w:br w:type="page"/>
      </w:r>
    </w:p>
    <w:p w14:paraId="32486A42" w14:textId="52CE372F" w:rsidR="007547C1" w:rsidRPr="00F56A7F" w:rsidRDefault="007547C1" w:rsidP="007547C1">
      <w:pPr>
        <w:keepNext/>
        <w:spacing w:after="240"/>
        <w:rPr>
          <w:rFonts w:cs="Arial"/>
        </w:rPr>
      </w:pPr>
      <w:r w:rsidRPr="00F56A7F">
        <w:rPr>
          <w:rFonts w:cs="Arial"/>
        </w:rPr>
        <w:lastRenderedPageBreak/>
        <w:fldChar w:fldCharType="begin"/>
      </w:r>
      <w:r w:rsidRPr="00F56A7F">
        <w:rPr>
          <w:rFonts w:cs="Arial"/>
        </w:rPr>
        <w:instrText xml:space="preserve"> AUTONUM  </w:instrText>
      </w:r>
      <w:r w:rsidRPr="00F56A7F">
        <w:rPr>
          <w:rFonts w:cs="Arial"/>
        </w:rPr>
        <w:fldChar w:fldCharType="end"/>
      </w:r>
      <w:r w:rsidRPr="00F56A7F">
        <w:rPr>
          <w:rFonts w:cs="Arial"/>
        </w:rPr>
        <w:tab/>
        <w:t>The structure of this document is as follows:</w:t>
      </w:r>
    </w:p>
    <w:p w14:paraId="08F3F1A9" w14:textId="1A859686" w:rsidR="0013467F" w:rsidRDefault="005E5C9C">
      <w:pPr>
        <w:pStyle w:val="TOC1"/>
        <w:rPr>
          <w:rFonts w:asciiTheme="minorHAnsi" w:eastAsiaTheme="minorEastAsia" w:hAnsiTheme="minorHAnsi" w:cstheme="minorBidi"/>
          <w:bCs w:val="0"/>
          <w:caps w:val="0"/>
          <w:kern w:val="2"/>
          <w:sz w:val="22"/>
          <w:szCs w:val="22"/>
          <w14:ligatures w14:val="standardContextual"/>
        </w:rPr>
      </w:pPr>
      <w:r>
        <w:rPr>
          <w:highlight w:val="cyan"/>
        </w:rPr>
        <w:fldChar w:fldCharType="begin"/>
      </w:r>
      <w:r>
        <w:rPr>
          <w:highlight w:val="cyan"/>
        </w:rPr>
        <w:instrText xml:space="preserve"> TOC \o "1-4" \u </w:instrText>
      </w:r>
      <w:r>
        <w:rPr>
          <w:highlight w:val="cyan"/>
        </w:rPr>
        <w:fldChar w:fldCharType="separate"/>
      </w:r>
      <w:r w:rsidR="0013467F" w:rsidRPr="00944BCD">
        <w:rPr>
          <w:snapToGrid w:val="0"/>
        </w:rPr>
        <w:t>EXECUTIVE SUMMARY</w:t>
      </w:r>
      <w:r w:rsidR="0013467F">
        <w:tab/>
      </w:r>
      <w:r w:rsidR="0013467F">
        <w:fldChar w:fldCharType="begin"/>
      </w:r>
      <w:r w:rsidR="0013467F">
        <w:instrText xml:space="preserve"> PAGEREF _Toc162975784 \h </w:instrText>
      </w:r>
      <w:r w:rsidR="0013467F">
        <w:fldChar w:fldCharType="separate"/>
      </w:r>
      <w:r w:rsidR="00027BEE">
        <w:t>1</w:t>
      </w:r>
      <w:r w:rsidR="0013467F">
        <w:fldChar w:fldCharType="end"/>
      </w:r>
    </w:p>
    <w:p w14:paraId="118A8C15" w14:textId="343D30D0" w:rsidR="0013467F" w:rsidRDefault="0013467F">
      <w:pPr>
        <w:pStyle w:val="TOC1"/>
        <w:rPr>
          <w:rFonts w:asciiTheme="minorHAnsi" w:eastAsiaTheme="minorEastAsia" w:hAnsiTheme="minorHAnsi" w:cstheme="minorBidi"/>
          <w:bCs w:val="0"/>
          <w:caps w:val="0"/>
          <w:kern w:val="2"/>
          <w:sz w:val="22"/>
          <w:szCs w:val="22"/>
          <w14:ligatures w14:val="standardContextual"/>
        </w:rPr>
      </w:pPr>
      <w:r>
        <w:t>Guidance and information materials</w:t>
      </w:r>
      <w:r>
        <w:tab/>
      </w:r>
      <w:r>
        <w:fldChar w:fldCharType="begin"/>
      </w:r>
      <w:r>
        <w:instrText xml:space="preserve"> PAGEREF _Toc162975785 \h </w:instrText>
      </w:r>
      <w:r>
        <w:fldChar w:fldCharType="separate"/>
      </w:r>
      <w:r w:rsidR="00027BEE">
        <w:t>3</w:t>
      </w:r>
      <w:r>
        <w:fldChar w:fldCharType="end"/>
      </w:r>
    </w:p>
    <w:p w14:paraId="0B2CB123" w14:textId="7F33D18D" w:rsidR="0013467F" w:rsidRDefault="0013467F">
      <w:pPr>
        <w:pStyle w:val="TOC2"/>
        <w:rPr>
          <w:rFonts w:asciiTheme="minorHAnsi" w:eastAsiaTheme="minorEastAsia" w:hAnsiTheme="minorHAnsi" w:cstheme="minorBidi"/>
          <w:kern w:val="2"/>
          <w:sz w:val="22"/>
          <w:szCs w:val="22"/>
          <w14:ligatures w14:val="standardContextual"/>
        </w:rPr>
      </w:pPr>
      <w:r>
        <w:t>(a)</w:t>
      </w:r>
      <w:r>
        <w:rPr>
          <w:rFonts w:asciiTheme="minorHAnsi" w:eastAsiaTheme="minorEastAsia" w:hAnsiTheme="minorHAnsi" w:cstheme="minorBidi"/>
          <w:kern w:val="2"/>
          <w:sz w:val="22"/>
          <w:szCs w:val="22"/>
          <w14:ligatures w14:val="standardContextual"/>
        </w:rPr>
        <w:tab/>
      </w:r>
      <w:r>
        <w:t>Explanatory Notes</w:t>
      </w:r>
      <w:r>
        <w:tab/>
      </w:r>
      <w:r>
        <w:fldChar w:fldCharType="begin"/>
      </w:r>
      <w:r>
        <w:instrText xml:space="preserve"> PAGEREF _Toc162975786 \h </w:instrText>
      </w:r>
      <w:r>
        <w:fldChar w:fldCharType="separate"/>
      </w:r>
      <w:r w:rsidR="00027BEE">
        <w:t>4</w:t>
      </w:r>
      <w:r>
        <w:fldChar w:fldCharType="end"/>
      </w:r>
    </w:p>
    <w:p w14:paraId="4C944556" w14:textId="14040459" w:rsidR="0013467F" w:rsidRDefault="0013467F">
      <w:pPr>
        <w:pStyle w:val="TOC3"/>
        <w:rPr>
          <w:rFonts w:asciiTheme="minorHAnsi" w:eastAsiaTheme="minorEastAsia" w:hAnsiTheme="minorHAnsi" w:cstheme="minorBidi"/>
          <w:i w:val="0"/>
          <w:snapToGrid/>
          <w:kern w:val="2"/>
          <w:sz w:val="22"/>
          <w:szCs w:val="22"/>
          <w14:ligatures w14:val="standardContextual"/>
        </w:rPr>
      </w:pPr>
      <w:r w:rsidRPr="00944BCD">
        <w:t>UPOV/EXN/DEN “Explanatory Notes on Variety Denominations under the UPOV Convention” (Revision)</w:t>
      </w:r>
      <w:r>
        <w:tab/>
      </w:r>
      <w:r>
        <w:fldChar w:fldCharType="begin"/>
      </w:r>
      <w:r>
        <w:instrText xml:space="preserve"> PAGEREF _Toc162975787 \h </w:instrText>
      </w:r>
      <w:r>
        <w:fldChar w:fldCharType="separate"/>
      </w:r>
      <w:r w:rsidR="00027BEE">
        <w:t>4</w:t>
      </w:r>
      <w:r>
        <w:fldChar w:fldCharType="end"/>
      </w:r>
    </w:p>
    <w:p w14:paraId="6F34C1DE" w14:textId="7F03497A"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 xml:space="preserve">New variety denomination classes for </w:t>
      </w:r>
      <w:r w:rsidRPr="0013467F">
        <w:rPr>
          <w:i/>
          <w:iCs/>
          <w:lang w:val="en-US"/>
        </w:rPr>
        <w:t>Prunus</w:t>
      </w:r>
      <w:r w:rsidRPr="0013467F">
        <w:rPr>
          <w:lang w:val="en-US"/>
        </w:rPr>
        <w:t xml:space="preserve"> and situations when a denomination should be compared with other classes within a genus</w:t>
      </w:r>
      <w:r w:rsidRPr="0013467F">
        <w:rPr>
          <w:lang w:val="en-US"/>
        </w:rPr>
        <w:tab/>
      </w:r>
      <w:r>
        <w:fldChar w:fldCharType="begin"/>
      </w:r>
      <w:r w:rsidRPr="0013467F">
        <w:rPr>
          <w:lang w:val="en-US"/>
        </w:rPr>
        <w:instrText xml:space="preserve"> PAGEREF _Toc162975788 \h </w:instrText>
      </w:r>
      <w:r>
        <w:fldChar w:fldCharType="separate"/>
      </w:r>
      <w:r w:rsidR="00027BEE">
        <w:rPr>
          <w:lang w:val="en-US"/>
        </w:rPr>
        <w:t>4</w:t>
      </w:r>
      <w:r>
        <w:fldChar w:fldCharType="end"/>
      </w:r>
    </w:p>
    <w:p w14:paraId="55FE4261" w14:textId="37EC5C53" w:rsidR="0013467F" w:rsidRDefault="0013467F">
      <w:pPr>
        <w:pStyle w:val="TOC2"/>
        <w:rPr>
          <w:rFonts w:asciiTheme="minorHAnsi" w:eastAsiaTheme="minorEastAsia" w:hAnsiTheme="minorHAnsi" w:cstheme="minorBidi"/>
          <w:kern w:val="2"/>
          <w:sz w:val="22"/>
          <w:szCs w:val="22"/>
          <w14:ligatures w14:val="standardContextual"/>
        </w:rPr>
      </w:pPr>
      <w:r>
        <w:t>(b)</w:t>
      </w:r>
      <w:r>
        <w:rPr>
          <w:rFonts w:asciiTheme="minorHAnsi" w:eastAsiaTheme="minorEastAsia" w:hAnsiTheme="minorHAnsi" w:cstheme="minorBidi"/>
          <w:kern w:val="2"/>
          <w:sz w:val="22"/>
          <w:szCs w:val="22"/>
          <w14:ligatures w14:val="standardContextual"/>
        </w:rPr>
        <w:tab/>
      </w:r>
      <w:r>
        <w:t>TGP Documents</w:t>
      </w:r>
      <w:r>
        <w:tab/>
      </w:r>
      <w:r>
        <w:fldChar w:fldCharType="begin"/>
      </w:r>
      <w:r>
        <w:instrText xml:space="preserve"> PAGEREF _Toc162975789 \h </w:instrText>
      </w:r>
      <w:r>
        <w:fldChar w:fldCharType="separate"/>
      </w:r>
      <w:r w:rsidR="00027BEE">
        <w:t>5</w:t>
      </w:r>
      <w:r>
        <w:fldChar w:fldCharType="end"/>
      </w:r>
    </w:p>
    <w:p w14:paraId="16457043" w14:textId="3E5FDDFA" w:rsidR="0013467F" w:rsidRDefault="0013467F">
      <w:pPr>
        <w:pStyle w:val="TOC3"/>
        <w:rPr>
          <w:rFonts w:asciiTheme="minorHAnsi" w:eastAsiaTheme="minorEastAsia" w:hAnsiTheme="minorHAnsi" w:cstheme="minorBidi"/>
          <w:i w:val="0"/>
          <w:snapToGrid/>
          <w:kern w:val="2"/>
          <w:sz w:val="22"/>
          <w:szCs w:val="22"/>
          <w14:ligatures w14:val="standardContextual"/>
        </w:rPr>
      </w:pPr>
      <w:r>
        <w:t>TGP/5: Section 6 “UPOV Report on Technical Examination and UPOV Variety Description” (Revision)</w:t>
      </w:r>
      <w:r>
        <w:tab/>
      </w:r>
      <w:r>
        <w:fldChar w:fldCharType="begin"/>
      </w:r>
      <w:r>
        <w:instrText xml:space="preserve"> PAGEREF _Toc162975790 \h </w:instrText>
      </w:r>
      <w:r>
        <w:fldChar w:fldCharType="separate"/>
      </w:r>
      <w:r w:rsidR="00027BEE">
        <w:t>5</w:t>
      </w:r>
      <w:r>
        <w:fldChar w:fldCharType="end"/>
      </w:r>
    </w:p>
    <w:p w14:paraId="00F078D6" w14:textId="1381CAA6"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Background</w:t>
      </w:r>
      <w:r w:rsidRPr="0013467F">
        <w:rPr>
          <w:lang w:val="en-US"/>
        </w:rPr>
        <w:tab/>
      </w:r>
      <w:r>
        <w:fldChar w:fldCharType="begin"/>
      </w:r>
      <w:r w:rsidRPr="0013467F">
        <w:rPr>
          <w:lang w:val="en-US"/>
        </w:rPr>
        <w:instrText xml:space="preserve"> PAGEREF _Toc162975791 \h </w:instrText>
      </w:r>
      <w:r>
        <w:fldChar w:fldCharType="separate"/>
      </w:r>
      <w:r w:rsidR="00027BEE">
        <w:rPr>
          <w:lang w:val="en-US"/>
        </w:rPr>
        <w:t>5</w:t>
      </w:r>
      <w:r>
        <w:fldChar w:fldCharType="end"/>
      </w:r>
    </w:p>
    <w:p w14:paraId="24584997" w14:textId="682DA2FA"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Subsection “UPOV Variety Description”, item 16 “Similar varieties and differences from these varieties”</w:t>
      </w:r>
      <w:r w:rsidRPr="0013467F">
        <w:rPr>
          <w:lang w:val="en-US"/>
        </w:rPr>
        <w:tab/>
      </w:r>
      <w:r>
        <w:fldChar w:fldCharType="begin"/>
      </w:r>
      <w:r w:rsidRPr="0013467F">
        <w:rPr>
          <w:lang w:val="en-US"/>
        </w:rPr>
        <w:instrText xml:space="preserve"> PAGEREF _Toc162975792 \h </w:instrText>
      </w:r>
      <w:r>
        <w:fldChar w:fldCharType="separate"/>
      </w:r>
      <w:r w:rsidR="00027BEE">
        <w:rPr>
          <w:lang w:val="en-US"/>
        </w:rPr>
        <w:t>5</w:t>
      </w:r>
      <w:r>
        <w:fldChar w:fldCharType="end"/>
      </w:r>
    </w:p>
    <w:p w14:paraId="6A0BE0E6" w14:textId="5178C783"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Proposal:</w:t>
      </w:r>
      <w:r w:rsidRPr="0013467F">
        <w:rPr>
          <w:lang w:val="en-US"/>
        </w:rPr>
        <w:tab/>
      </w:r>
      <w:r>
        <w:fldChar w:fldCharType="begin"/>
      </w:r>
      <w:r w:rsidRPr="0013467F">
        <w:rPr>
          <w:lang w:val="en-US"/>
        </w:rPr>
        <w:instrText xml:space="preserve"> PAGEREF _Toc162975793 \h </w:instrText>
      </w:r>
      <w:r>
        <w:fldChar w:fldCharType="separate"/>
      </w:r>
      <w:r w:rsidR="00027BEE">
        <w:rPr>
          <w:lang w:val="en-US"/>
        </w:rPr>
        <w:t>6</w:t>
      </w:r>
      <w:r>
        <w:fldChar w:fldCharType="end"/>
      </w:r>
    </w:p>
    <w:p w14:paraId="64BFC1FD" w14:textId="62A38A60"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Subsection “UPOV Variety Description”, item 17 “Additional information”</w:t>
      </w:r>
      <w:r w:rsidRPr="0013467F">
        <w:rPr>
          <w:lang w:val="en-US"/>
        </w:rPr>
        <w:tab/>
      </w:r>
      <w:r>
        <w:fldChar w:fldCharType="begin"/>
      </w:r>
      <w:r w:rsidRPr="0013467F">
        <w:rPr>
          <w:lang w:val="en-US"/>
        </w:rPr>
        <w:instrText xml:space="preserve"> PAGEREF _Toc162975794 \h </w:instrText>
      </w:r>
      <w:r>
        <w:fldChar w:fldCharType="separate"/>
      </w:r>
      <w:r w:rsidR="00027BEE">
        <w:rPr>
          <w:lang w:val="en-US"/>
        </w:rPr>
        <w:t>6</w:t>
      </w:r>
      <w:r>
        <w:fldChar w:fldCharType="end"/>
      </w:r>
    </w:p>
    <w:p w14:paraId="2B81F4C2" w14:textId="259754A3"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Proposal:</w:t>
      </w:r>
      <w:r w:rsidRPr="0013467F">
        <w:rPr>
          <w:lang w:val="en-US"/>
        </w:rPr>
        <w:tab/>
      </w:r>
      <w:r>
        <w:fldChar w:fldCharType="begin"/>
      </w:r>
      <w:r w:rsidRPr="0013467F">
        <w:rPr>
          <w:lang w:val="en-US"/>
        </w:rPr>
        <w:instrText xml:space="preserve"> PAGEREF _Toc162975795 \h </w:instrText>
      </w:r>
      <w:r>
        <w:fldChar w:fldCharType="separate"/>
      </w:r>
      <w:r w:rsidR="00027BEE">
        <w:rPr>
          <w:lang w:val="en-US"/>
        </w:rPr>
        <w:t>6</w:t>
      </w:r>
      <w:r>
        <w:fldChar w:fldCharType="end"/>
      </w:r>
    </w:p>
    <w:p w14:paraId="339774E5" w14:textId="63C8A581" w:rsidR="0013467F" w:rsidRDefault="0013467F">
      <w:pPr>
        <w:pStyle w:val="TOC3"/>
        <w:rPr>
          <w:rFonts w:asciiTheme="minorHAnsi" w:eastAsiaTheme="minorEastAsia" w:hAnsiTheme="minorHAnsi" w:cstheme="minorBidi"/>
          <w:i w:val="0"/>
          <w:snapToGrid/>
          <w:kern w:val="2"/>
          <w:sz w:val="22"/>
          <w:szCs w:val="22"/>
          <w14:ligatures w14:val="standardContextual"/>
        </w:rPr>
      </w:pPr>
      <w:r>
        <w:t>TGP/7 “Development of Test Guidelines” (Revision)</w:t>
      </w:r>
      <w:r>
        <w:tab/>
      </w:r>
      <w:r>
        <w:fldChar w:fldCharType="begin"/>
      </w:r>
      <w:r>
        <w:instrText xml:space="preserve"> PAGEREF _Toc162975796 \h </w:instrText>
      </w:r>
      <w:r>
        <w:fldChar w:fldCharType="separate"/>
      </w:r>
      <w:r w:rsidR="00027BEE">
        <w:t>7</w:t>
      </w:r>
      <w:r>
        <w:fldChar w:fldCharType="end"/>
      </w:r>
    </w:p>
    <w:p w14:paraId="546C346E" w14:textId="55936532"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Additional Standard Wording (ASW) 3 “Explanation of the growing cycle”</w:t>
      </w:r>
      <w:r w:rsidRPr="0013467F">
        <w:rPr>
          <w:lang w:val="en-US"/>
        </w:rPr>
        <w:tab/>
      </w:r>
      <w:r>
        <w:fldChar w:fldCharType="begin"/>
      </w:r>
      <w:r w:rsidRPr="0013467F">
        <w:rPr>
          <w:lang w:val="en-US"/>
        </w:rPr>
        <w:instrText xml:space="preserve"> PAGEREF _Toc162975797 \h </w:instrText>
      </w:r>
      <w:r>
        <w:fldChar w:fldCharType="separate"/>
      </w:r>
      <w:r w:rsidR="00027BEE">
        <w:rPr>
          <w:lang w:val="en-US"/>
        </w:rPr>
        <w:t>7</w:t>
      </w:r>
      <w:r>
        <w:fldChar w:fldCharType="end"/>
      </w:r>
    </w:p>
    <w:p w14:paraId="5624457D" w14:textId="540B7A30"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Additional Standard Wording (ASW) 7(b) “Number of plants / parts of plants to be examined”</w:t>
      </w:r>
      <w:r w:rsidRPr="0013467F">
        <w:rPr>
          <w:lang w:val="en-US"/>
        </w:rPr>
        <w:tab/>
      </w:r>
      <w:r>
        <w:fldChar w:fldCharType="begin"/>
      </w:r>
      <w:r w:rsidRPr="0013467F">
        <w:rPr>
          <w:lang w:val="en-US"/>
        </w:rPr>
        <w:instrText xml:space="preserve"> PAGEREF _Toc162975798 \h </w:instrText>
      </w:r>
      <w:r>
        <w:fldChar w:fldCharType="separate"/>
      </w:r>
      <w:r w:rsidR="00027BEE">
        <w:rPr>
          <w:lang w:val="en-US"/>
        </w:rPr>
        <w:t>7</w:t>
      </w:r>
      <w:r>
        <w:fldChar w:fldCharType="end"/>
      </w:r>
    </w:p>
    <w:p w14:paraId="488AAAF8" w14:textId="6AAE1514" w:rsidR="0013467F" w:rsidRDefault="0013467F">
      <w:pPr>
        <w:pStyle w:val="TOC4"/>
        <w:rPr>
          <w:rFonts w:asciiTheme="minorHAnsi" w:eastAsiaTheme="minorEastAsia" w:hAnsiTheme="minorHAnsi" w:cstheme="minorBidi"/>
          <w:snapToGrid/>
          <w:kern w:val="2"/>
          <w:sz w:val="22"/>
          <w:szCs w:val="22"/>
          <w:lang w:val="en-US"/>
          <w14:ligatures w14:val="standardContextual"/>
        </w:rPr>
      </w:pPr>
      <w:r w:rsidRPr="0013467F">
        <w:rPr>
          <w:lang w:val="en-US"/>
        </w:rPr>
        <w:t>Guidance Note (GN) 28 “Example Varieties” – Example varieties for asterisked quantitative characteristics when illustrations are provided</w:t>
      </w:r>
      <w:r w:rsidRPr="0013467F">
        <w:rPr>
          <w:lang w:val="en-US"/>
        </w:rPr>
        <w:tab/>
      </w:r>
      <w:r>
        <w:fldChar w:fldCharType="begin"/>
      </w:r>
      <w:r w:rsidRPr="0013467F">
        <w:rPr>
          <w:lang w:val="en-US"/>
        </w:rPr>
        <w:instrText xml:space="preserve"> PAGEREF _Toc162975799 \h </w:instrText>
      </w:r>
      <w:r>
        <w:fldChar w:fldCharType="separate"/>
      </w:r>
      <w:r w:rsidR="00027BEE">
        <w:rPr>
          <w:lang w:val="en-US"/>
        </w:rPr>
        <w:t>8</w:t>
      </w:r>
      <w:r>
        <w:fldChar w:fldCharType="end"/>
      </w:r>
    </w:p>
    <w:p w14:paraId="0ACDCEC7" w14:textId="40BEC6DF" w:rsidR="0013467F" w:rsidRDefault="0013467F">
      <w:pPr>
        <w:pStyle w:val="TOC3"/>
        <w:rPr>
          <w:rFonts w:asciiTheme="minorHAnsi" w:eastAsiaTheme="minorEastAsia" w:hAnsiTheme="minorHAnsi" w:cstheme="minorBidi"/>
          <w:i w:val="0"/>
          <w:snapToGrid/>
          <w:kern w:val="2"/>
          <w:sz w:val="22"/>
          <w:szCs w:val="22"/>
          <w14:ligatures w14:val="standardContextual"/>
        </w:rPr>
      </w:pPr>
      <w:r>
        <w:t>TGP/12: Guidance on Certain Physiological Characteristics</w:t>
      </w:r>
      <w:r>
        <w:tab/>
      </w:r>
      <w:r>
        <w:fldChar w:fldCharType="begin"/>
      </w:r>
      <w:r>
        <w:instrText xml:space="preserve"> PAGEREF _Toc162975800 \h </w:instrText>
      </w:r>
      <w:r>
        <w:fldChar w:fldCharType="separate"/>
      </w:r>
      <w:r w:rsidR="00027BEE">
        <w:t>8</w:t>
      </w:r>
      <w:r>
        <w:fldChar w:fldCharType="end"/>
      </w:r>
    </w:p>
    <w:p w14:paraId="1482643D" w14:textId="428715CC" w:rsidR="0013467F" w:rsidRDefault="0013467F">
      <w:pPr>
        <w:pStyle w:val="TOC2"/>
        <w:rPr>
          <w:rFonts w:asciiTheme="minorHAnsi" w:eastAsiaTheme="minorEastAsia" w:hAnsiTheme="minorHAnsi" w:cstheme="minorBidi"/>
          <w:kern w:val="2"/>
          <w:sz w:val="22"/>
          <w:szCs w:val="22"/>
          <w14:ligatures w14:val="standardContextual"/>
        </w:rPr>
      </w:pPr>
      <w:r>
        <w:t>(c)</w:t>
      </w:r>
      <w:r>
        <w:rPr>
          <w:rFonts w:asciiTheme="minorHAnsi" w:eastAsiaTheme="minorEastAsia" w:hAnsiTheme="minorHAnsi" w:cstheme="minorBidi"/>
          <w:kern w:val="2"/>
          <w:sz w:val="22"/>
          <w:szCs w:val="22"/>
          <w14:ligatures w14:val="standardContextual"/>
        </w:rPr>
        <w:tab/>
      </w:r>
      <w:r>
        <w:t>Access to plant material for the purpose of management of variety collections and DUS examination</w:t>
      </w:r>
      <w:r>
        <w:tab/>
      </w:r>
      <w:r>
        <w:fldChar w:fldCharType="begin"/>
      </w:r>
      <w:r>
        <w:instrText xml:space="preserve"> PAGEREF _Toc162975801 \h </w:instrText>
      </w:r>
      <w:r>
        <w:fldChar w:fldCharType="separate"/>
      </w:r>
      <w:r w:rsidR="00027BEE">
        <w:t>9</w:t>
      </w:r>
      <w:r>
        <w:fldChar w:fldCharType="end"/>
      </w:r>
    </w:p>
    <w:p w14:paraId="055E43F9" w14:textId="694C379F" w:rsidR="00CD4FAB" w:rsidRPr="00662EF7" w:rsidRDefault="005E5C9C" w:rsidP="00661545">
      <w:pPr>
        <w:tabs>
          <w:tab w:val="left" w:pos="1325"/>
        </w:tabs>
        <w:spacing w:before="120" w:after="120"/>
        <w:ind w:left="1134" w:hanging="1134"/>
        <w:jc w:val="left"/>
        <w:rPr>
          <w:sz w:val="18"/>
          <w:szCs w:val="18"/>
        </w:rPr>
      </w:pPr>
      <w:r>
        <w:rPr>
          <w:highlight w:val="cyan"/>
        </w:rPr>
        <w:fldChar w:fldCharType="end"/>
      </w:r>
      <w:r w:rsidR="00661545" w:rsidRPr="00662EF7">
        <w:rPr>
          <w:sz w:val="18"/>
          <w:szCs w:val="18"/>
        </w:rPr>
        <w:t>Annex I</w:t>
      </w:r>
      <w:r w:rsidR="00662EF7" w:rsidRPr="00662EF7">
        <w:rPr>
          <w:sz w:val="18"/>
          <w:szCs w:val="18"/>
        </w:rPr>
        <w:tab/>
      </w:r>
      <w:r w:rsidR="008971CD">
        <w:rPr>
          <w:sz w:val="18"/>
          <w:szCs w:val="18"/>
        </w:rPr>
        <w:t xml:space="preserve">Document UPOV/EXN/DEN: Explanatory Notes on Variety Denominations under the UPOV Convention (Revision) – </w:t>
      </w:r>
      <w:r w:rsidR="00662EF7" w:rsidRPr="00662EF7">
        <w:rPr>
          <w:sz w:val="18"/>
          <w:szCs w:val="18"/>
        </w:rPr>
        <w:t xml:space="preserve">New variety denomination classes for </w:t>
      </w:r>
      <w:r w:rsidR="00662EF7" w:rsidRPr="00F518D8">
        <w:rPr>
          <w:i/>
          <w:iCs/>
          <w:sz w:val="18"/>
          <w:szCs w:val="18"/>
        </w:rPr>
        <w:t>Prunus</w:t>
      </w:r>
      <w:r w:rsidR="00662EF7" w:rsidRPr="00662EF7">
        <w:rPr>
          <w:sz w:val="18"/>
          <w:szCs w:val="18"/>
        </w:rPr>
        <w:t xml:space="preserve"> and situations when a denomination should be compared with other classes within a genus</w:t>
      </w:r>
    </w:p>
    <w:p w14:paraId="367C3CD4" w14:textId="5E8D2B5E" w:rsidR="00662EF7" w:rsidRPr="00662EF7" w:rsidRDefault="00661545" w:rsidP="00661545">
      <w:pPr>
        <w:tabs>
          <w:tab w:val="left" w:pos="1325"/>
        </w:tabs>
        <w:spacing w:before="60" w:after="120"/>
        <w:ind w:left="1134" w:hanging="1134"/>
        <w:jc w:val="left"/>
        <w:rPr>
          <w:sz w:val="18"/>
          <w:szCs w:val="18"/>
        </w:rPr>
      </w:pPr>
      <w:r w:rsidRPr="00662EF7">
        <w:rPr>
          <w:sz w:val="18"/>
          <w:szCs w:val="18"/>
        </w:rPr>
        <w:t xml:space="preserve">Annex </w:t>
      </w:r>
      <w:r w:rsidR="00662EF7" w:rsidRPr="00662EF7">
        <w:rPr>
          <w:sz w:val="18"/>
          <w:szCs w:val="18"/>
        </w:rPr>
        <w:t>II</w:t>
      </w:r>
      <w:r w:rsidR="00662EF7" w:rsidRPr="00662EF7">
        <w:rPr>
          <w:sz w:val="18"/>
          <w:szCs w:val="18"/>
        </w:rPr>
        <w:tab/>
      </w:r>
      <w:r w:rsidR="00D51DE7">
        <w:rPr>
          <w:sz w:val="18"/>
          <w:szCs w:val="18"/>
        </w:rPr>
        <w:t xml:space="preserve">Document TPG/5: Section 6: </w:t>
      </w:r>
      <w:r w:rsidR="00662EF7" w:rsidRPr="00662EF7">
        <w:rPr>
          <w:sz w:val="18"/>
          <w:szCs w:val="18"/>
        </w:rPr>
        <w:t>UPOV Report on Technical Examination and UPOV Variety Description</w:t>
      </w:r>
      <w:r w:rsidR="00D51DE7">
        <w:rPr>
          <w:sz w:val="18"/>
          <w:szCs w:val="18"/>
        </w:rPr>
        <w:br/>
        <w:t>–</w:t>
      </w:r>
      <w:r w:rsidR="0013467F">
        <w:rPr>
          <w:sz w:val="18"/>
          <w:szCs w:val="18"/>
        </w:rPr>
        <w:t xml:space="preserve"> </w:t>
      </w:r>
      <w:r w:rsidR="00D51DE7" w:rsidRPr="00D51DE7">
        <w:rPr>
          <w:sz w:val="18"/>
          <w:szCs w:val="18"/>
        </w:rPr>
        <w:t>Section “UPOV Variety Description”, item 16 “Similar varieties and differences from these varieties”</w:t>
      </w:r>
      <w:r w:rsidR="00D51DE7">
        <w:rPr>
          <w:sz w:val="18"/>
          <w:szCs w:val="18"/>
        </w:rPr>
        <w:br/>
        <w:t>–</w:t>
      </w:r>
      <w:r w:rsidR="0013467F">
        <w:rPr>
          <w:sz w:val="18"/>
          <w:szCs w:val="18"/>
        </w:rPr>
        <w:t xml:space="preserve"> </w:t>
      </w:r>
      <w:r w:rsidR="00D51DE7" w:rsidRPr="00D51DE7">
        <w:rPr>
          <w:sz w:val="18"/>
          <w:szCs w:val="18"/>
        </w:rPr>
        <w:t>Section “UPOV Variety Description”, item 17 “Additional information”</w:t>
      </w:r>
    </w:p>
    <w:p w14:paraId="674B3B53" w14:textId="2D85A5D8" w:rsidR="00662EF7" w:rsidRPr="00662EF7" w:rsidRDefault="00661545" w:rsidP="00661545">
      <w:pPr>
        <w:spacing w:before="60" w:after="120"/>
        <w:ind w:left="1134" w:hanging="1134"/>
        <w:jc w:val="left"/>
        <w:rPr>
          <w:sz w:val="18"/>
          <w:szCs w:val="18"/>
        </w:rPr>
      </w:pPr>
      <w:r w:rsidRPr="00662EF7">
        <w:rPr>
          <w:sz w:val="18"/>
          <w:szCs w:val="18"/>
        </w:rPr>
        <w:t xml:space="preserve">Annex </w:t>
      </w:r>
      <w:r w:rsidR="00662EF7" w:rsidRPr="00662EF7">
        <w:rPr>
          <w:sz w:val="18"/>
          <w:szCs w:val="18"/>
        </w:rPr>
        <w:t>III</w:t>
      </w:r>
      <w:r w:rsidR="00662EF7" w:rsidRPr="00662EF7">
        <w:rPr>
          <w:sz w:val="18"/>
          <w:szCs w:val="18"/>
        </w:rPr>
        <w:tab/>
      </w:r>
      <w:r w:rsidR="004C5E8C">
        <w:rPr>
          <w:sz w:val="18"/>
          <w:szCs w:val="18"/>
        </w:rPr>
        <w:t xml:space="preserve">Document TGP/7: Development of Test Guidelines (Revision) – GN 28 “Example Varieties” - </w:t>
      </w:r>
      <w:r w:rsidR="00662EF7" w:rsidRPr="00662EF7">
        <w:rPr>
          <w:sz w:val="18"/>
          <w:szCs w:val="18"/>
        </w:rPr>
        <w:t>Example varieties for asterisked quantitative characteristics when illustrations are provided</w:t>
      </w:r>
    </w:p>
    <w:p w14:paraId="2EA3E693" w14:textId="3B42CBC3" w:rsidR="00662EF7" w:rsidRPr="00662EF7" w:rsidRDefault="00661545" w:rsidP="00661545">
      <w:pPr>
        <w:spacing w:before="60" w:after="120"/>
        <w:ind w:left="1134" w:hanging="1134"/>
        <w:jc w:val="left"/>
        <w:rPr>
          <w:sz w:val="18"/>
          <w:szCs w:val="18"/>
        </w:rPr>
      </w:pPr>
      <w:r w:rsidRPr="00662EF7">
        <w:rPr>
          <w:sz w:val="18"/>
          <w:szCs w:val="18"/>
        </w:rPr>
        <w:t xml:space="preserve">Annex </w:t>
      </w:r>
      <w:r w:rsidR="00662EF7" w:rsidRPr="00662EF7">
        <w:rPr>
          <w:sz w:val="18"/>
          <w:szCs w:val="18"/>
        </w:rPr>
        <w:t>IV</w:t>
      </w:r>
      <w:r w:rsidR="00662EF7" w:rsidRPr="00662EF7">
        <w:rPr>
          <w:sz w:val="18"/>
          <w:szCs w:val="18"/>
        </w:rPr>
        <w:tab/>
        <w:t>Access to plant material for the purpose of management of variety collections and DUS</w:t>
      </w:r>
      <w:r w:rsidR="004C5E8C">
        <w:rPr>
          <w:sz w:val="18"/>
          <w:szCs w:val="18"/>
        </w:rPr>
        <w:t> </w:t>
      </w:r>
      <w:r w:rsidR="00662EF7" w:rsidRPr="00662EF7">
        <w:rPr>
          <w:sz w:val="18"/>
          <w:szCs w:val="18"/>
        </w:rPr>
        <w:t>examination</w:t>
      </w:r>
    </w:p>
    <w:p w14:paraId="72FE73F7" w14:textId="77777777" w:rsidR="00E81CF2" w:rsidRDefault="00E81CF2">
      <w:pPr>
        <w:jc w:val="left"/>
      </w:pPr>
    </w:p>
    <w:p w14:paraId="24526493" w14:textId="77777777" w:rsidR="00E81CF2" w:rsidRPr="00F56A7F" w:rsidRDefault="00E81CF2">
      <w:pPr>
        <w:jc w:val="left"/>
      </w:pPr>
    </w:p>
    <w:p w14:paraId="6705C349" w14:textId="77777777" w:rsidR="007547C1" w:rsidRPr="00F56A7F" w:rsidRDefault="007547C1" w:rsidP="007547C1">
      <w:pPr>
        <w:keepNext/>
        <w:rPr>
          <w:rFonts w:cs="Arial"/>
        </w:rPr>
      </w:pPr>
      <w:r w:rsidRPr="00F56A7F">
        <w:rPr>
          <w:rFonts w:cs="Arial"/>
        </w:rPr>
        <w:fldChar w:fldCharType="begin"/>
      </w:r>
      <w:r w:rsidRPr="00F56A7F">
        <w:rPr>
          <w:rFonts w:cs="Arial"/>
        </w:rPr>
        <w:instrText xml:space="preserve"> AUTONUM  </w:instrText>
      </w:r>
      <w:r w:rsidRPr="00F56A7F">
        <w:rPr>
          <w:rFonts w:cs="Arial"/>
        </w:rPr>
        <w:fldChar w:fldCharType="end"/>
      </w:r>
      <w:r w:rsidRPr="00F56A7F">
        <w:rPr>
          <w:rFonts w:cs="Arial"/>
        </w:rPr>
        <w:tab/>
        <w:t>The following abbreviations are used in this document:</w:t>
      </w:r>
    </w:p>
    <w:p w14:paraId="6321B1C4" w14:textId="77777777" w:rsidR="007547C1" w:rsidRPr="00F56A7F" w:rsidRDefault="007547C1" w:rsidP="007547C1">
      <w:pPr>
        <w:keepNext/>
        <w:ind w:left="1701" w:hanging="1134"/>
        <w:rPr>
          <w:rFonts w:cs="Arial"/>
        </w:rPr>
      </w:pPr>
    </w:p>
    <w:p w14:paraId="1EAD9BC6" w14:textId="77777777" w:rsidR="007547C1" w:rsidRPr="00F56A7F" w:rsidRDefault="007547C1" w:rsidP="007547C1">
      <w:pPr>
        <w:keepNext/>
        <w:ind w:left="1701" w:hanging="1134"/>
        <w:rPr>
          <w:rFonts w:cs="Arial"/>
        </w:rPr>
      </w:pPr>
      <w:r w:rsidRPr="00F56A7F">
        <w:rPr>
          <w:rFonts w:cs="Arial"/>
        </w:rPr>
        <w:t>CAJ:</w:t>
      </w:r>
      <w:r w:rsidRPr="00F56A7F">
        <w:rPr>
          <w:rFonts w:cs="Arial"/>
        </w:rPr>
        <w:tab/>
        <w:t>Administrative and Legal Committee</w:t>
      </w:r>
    </w:p>
    <w:p w14:paraId="053DC02B" w14:textId="77777777" w:rsidR="007547C1" w:rsidRPr="00F56A7F" w:rsidRDefault="007547C1" w:rsidP="007547C1">
      <w:pPr>
        <w:keepNext/>
        <w:ind w:left="1701" w:hanging="1134"/>
        <w:rPr>
          <w:rFonts w:cs="Arial"/>
        </w:rPr>
      </w:pPr>
      <w:r w:rsidRPr="00F56A7F">
        <w:rPr>
          <w:rFonts w:cs="Arial"/>
        </w:rPr>
        <w:t xml:space="preserve">TC:  </w:t>
      </w:r>
      <w:r w:rsidRPr="00F56A7F">
        <w:rPr>
          <w:rFonts w:cs="Arial"/>
        </w:rPr>
        <w:tab/>
        <w:t>Technical Committee</w:t>
      </w:r>
    </w:p>
    <w:p w14:paraId="2D01DECE" w14:textId="77777777" w:rsidR="007547C1" w:rsidRPr="00F56A7F" w:rsidRDefault="007547C1" w:rsidP="007547C1">
      <w:pPr>
        <w:ind w:left="1701" w:hanging="1134"/>
        <w:rPr>
          <w:rFonts w:cs="Arial"/>
        </w:rPr>
      </w:pPr>
      <w:r w:rsidRPr="00F56A7F">
        <w:rPr>
          <w:rFonts w:cs="Arial"/>
        </w:rPr>
        <w:t xml:space="preserve">TWA:  </w:t>
      </w:r>
      <w:r w:rsidRPr="00F56A7F">
        <w:rPr>
          <w:rFonts w:cs="Arial"/>
        </w:rPr>
        <w:tab/>
        <w:t>Technical Working Party for Agricultural Crops</w:t>
      </w:r>
    </w:p>
    <w:p w14:paraId="3BCD4C9E" w14:textId="77777777" w:rsidR="007547C1" w:rsidRPr="00F56A7F" w:rsidRDefault="007547C1" w:rsidP="007547C1">
      <w:pPr>
        <w:ind w:left="1701" w:hanging="1134"/>
        <w:rPr>
          <w:rFonts w:cs="Arial"/>
        </w:rPr>
      </w:pPr>
      <w:r w:rsidRPr="00F56A7F">
        <w:rPr>
          <w:rFonts w:cs="Arial"/>
        </w:rPr>
        <w:t xml:space="preserve">TWF:  </w:t>
      </w:r>
      <w:r w:rsidRPr="00F56A7F">
        <w:rPr>
          <w:rFonts w:cs="Arial"/>
        </w:rPr>
        <w:tab/>
        <w:t xml:space="preserve">Technical Working Party for Fruit Crops </w:t>
      </w:r>
    </w:p>
    <w:p w14:paraId="4E0123B0" w14:textId="77777777" w:rsidR="007547C1" w:rsidRPr="00F56A7F" w:rsidRDefault="007547C1" w:rsidP="007547C1">
      <w:pPr>
        <w:ind w:left="1701" w:hanging="1134"/>
        <w:rPr>
          <w:rFonts w:cs="Arial"/>
        </w:rPr>
      </w:pPr>
      <w:r w:rsidRPr="00F56A7F">
        <w:rPr>
          <w:rFonts w:cs="Arial"/>
        </w:rPr>
        <w:t>TWM:</w:t>
      </w:r>
      <w:r w:rsidRPr="00F56A7F">
        <w:rPr>
          <w:rFonts w:cs="Arial"/>
        </w:rPr>
        <w:tab/>
        <w:t>Technical Working Party on Testing Methods and Techniques</w:t>
      </w:r>
    </w:p>
    <w:p w14:paraId="1CC2EC0F" w14:textId="77777777" w:rsidR="007547C1" w:rsidRPr="00F56A7F" w:rsidRDefault="007547C1" w:rsidP="007547C1">
      <w:pPr>
        <w:ind w:left="1701" w:hanging="1134"/>
        <w:rPr>
          <w:rFonts w:cs="Arial"/>
        </w:rPr>
      </w:pPr>
      <w:r w:rsidRPr="00F56A7F">
        <w:rPr>
          <w:rFonts w:cs="Arial"/>
        </w:rPr>
        <w:t xml:space="preserve">TWO:  </w:t>
      </w:r>
      <w:r w:rsidRPr="00F56A7F">
        <w:rPr>
          <w:rFonts w:cs="Arial"/>
        </w:rPr>
        <w:tab/>
        <w:t xml:space="preserve">Technical Working Party for Ornamental Plants and Forest Trees </w:t>
      </w:r>
    </w:p>
    <w:p w14:paraId="7CE6BC1C" w14:textId="77777777" w:rsidR="007547C1" w:rsidRPr="00F56A7F" w:rsidRDefault="007547C1" w:rsidP="007547C1">
      <w:pPr>
        <w:ind w:left="1701" w:hanging="1134"/>
        <w:rPr>
          <w:rFonts w:cs="Arial"/>
        </w:rPr>
      </w:pPr>
      <w:r w:rsidRPr="00F56A7F">
        <w:rPr>
          <w:rFonts w:cs="Arial"/>
        </w:rPr>
        <w:t xml:space="preserve">TWV:  </w:t>
      </w:r>
      <w:r w:rsidRPr="00F56A7F">
        <w:rPr>
          <w:rFonts w:cs="Arial"/>
        </w:rPr>
        <w:tab/>
        <w:t>Technical Working Party for Vegetables</w:t>
      </w:r>
    </w:p>
    <w:p w14:paraId="3ACB7502" w14:textId="77777777" w:rsidR="007547C1" w:rsidRPr="00F56A7F" w:rsidRDefault="007547C1" w:rsidP="007547C1">
      <w:pPr>
        <w:ind w:left="1701" w:hanging="1134"/>
        <w:rPr>
          <w:rFonts w:cs="Arial"/>
          <w:color w:val="000000"/>
        </w:rPr>
      </w:pPr>
      <w:r w:rsidRPr="00F56A7F">
        <w:rPr>
          <w:rFonts w:cs="Arial"/>
          <w:color w:val="000000"/>
        </w:rPr>
        <w:t>TWPs:</w:t>
      </w:r>
      <w:r w:rsidRPr="00F56A7F">
        <w:rPr>
          <w:rFonts w:cs="Arial"/>
          <w:color w:val="000000"/>
        </w:rPr>
        <w:tab/>
        <w:t xml:space="preserve">Technical Working Parties </w:t>
      </w:r>
    </w:p>
    <w:p w14:paraId="2A54AADD" w14:textId="77777777" w:rsidR="007547C1" w:rsidRDefault="007547C1" w:rsidP="0089764E"/>
    <w:p w14:paraId="63524A19" w14:textId="77777777" w:rsidR="000E2BBB" w:rsidRPr="00F56A7F" w:rsidRDefault="000E2BBB" w:rsidP="0089764E"/>
    <w:p w14:paraId="513BCCF6" w14:textId="2F724E7A" w:rsidR="007547C1" w:rsidRPr="00F56A7F" w:rsidRDefault="0089764E" w:rsidP="00263B9E">
      <w:pPr>
        <w:pStyle w:val="Heading1"/>
      </w:pPr>
      <w:bookmarkStart w:id="3" w:name="_Toc162975785"/>
      <w:r w:rsidRPr="00F56A7F">
        <w:t>Guidance and information materials</w:t>
      </w:r>
      <w:bookmarkEnd w:id="3"/>
    </w:p>
    <w:p w14:paraId="7E32DB38" w14:textId="77777777" w:rsidR="007547C1" w:rsidRPr="00F56A7F" w:rsidRDefault="007547C1" w:rsidP="007547C1">
      <w:pPr>
        <w:keepNext/>
        <w:jc w:val="left"/>
        <w:rPr>
          <w:rFonts w:cs="Arial"/>
          <w:color w:val="000000"/>
        </w:rPr>
      </w:pPr>
    </w:p>
    <w:p w14:paraId="0010FC18" w14:textId="5184BDDB" w:rsidR="007547C1" w:rsidRPr="00F56A7F" w:rsidRDefault="007547C1" w:rsidP="007547C1">
      <w:pPr>
        <w:keepNext/>
        <w:rPr>
          <w:rFonts w:cs="Arial"/>
          <w:color w:val="000000"/>
        </w:rPr>
      </w:pPr>
      <w:r w:rsidRPr="00F56A7F">
        <w:rPr>
          <w:rFonts w:cs="Arial"/>
          <w:color w:val="000000"/>
        </w:rPr>
        <w:fldChar w:fldCharType="begin"/>
      </w:r>
      <w:r w:rsidRPr="00F56A7F">
        <w:rPr>
          <w:rFonts w:cs="Arial"/>
          <w:color w:val="000000"/>
        </w:rPr>
        <w:instrText xml:space="preserve"> AUTONUM  </w:instrText>
      </w:r>
      <w:r w:rsidRPr="00F56A7F">
        <w:rPr>
          <w:rFonts w:cs="Arial"/>
          <w:color w:val="000000"/>
        </w:rPr>
        <w:fldChar w:fldCharType="end"/>
      </w:r>
      <w:r w:rsidRPr="00F56A7F">
        <w:rPr>
          <w:rFonts w:cs="Arial"/>
          <w:color w:val="000000"/>
        </w:rPr>
        <w:tab/>
      </w:r>
      <w:r w:rsidR="00DE3B91">
        <w:rPr>
          <w:rFonts w:cs="Arial"/>
          <w:color w:val="000000"/>
        </w:rPr>
        <w:t>At their sessions in 2023, t</w:t>
      </w:r>
      <w:r w:rsidRPr="00F56A7F">
        <w:rPr>
          <w:rFonts w:cs="Arial"/>
          <w:color w:val="000000"/>
        </w:rPr>
        <w:t>he TC</w:t>
      </w:r>
      <w:bookmarkStart w:id="4" w:name="_Ref162969248"/>
      <w:r w:rsidRPr="00F56A7F">
        <w:rPr>
          <w:rFonts w:cs="Arial"/>
          <w:color w:val="000000"/>
          <w:vertAlign w:val="superscript"/>
        </w:rPr>
        <w:footnoteReference w:id="2"/>
      </w:r>
      <w:bookmarkEnd w:id="4"/>
      <w:r w:rsidRPr="00F56A7F">
        <w:rPr>
          <w:rFonts w:cs="Arial"/>
          <w:color w:val="000000"/>
        </w:rPr>
        <w:t>, CAJ</w:t>
      </w:r>
      <w:r w:rsidRPr="00F56A7F">
        <w:rPr>
          <w:rFonts w:cs="Arial"/>
          <w:color w:val="000000"/>
          <w:vertAlign w:val="superscript"/>
        </w:rPr>
        <w:footnoteReference w:id="3"/>
      </w:r>
      <w:r w:rsidR="00D17BFA" w:rsidRPr="00F56A7F">
        <w:rPr>
          <w:rFonts w:cs="Arial"/>
          <w:color w:val="000000"/>
        </w:rPr>
        <w:t xml:space="preserve"> and Council</w:t>
      </w:r>
      <w:r w:rsidR="00D17BFA" w:rsidRPr="00F56A7F">
        <w:rPr>
          <w:rStyle w:val="FootnoteReference"/>
          <w:rFonts w:cs="Arial"/>
          <w:color w:val="000000"/>
        </w:rPr>
        <w:footnoteReference w:id="4"/>
      </w:r>
      <w:r w:rsidRPr="00F56A7F">
        <w:rPr>
          <w:rFonts w:cs="Arial"/>
          <w:color w:val="000000"/>
        </w:rPr>
        <w:t xml:space="preserve"> </w:t>
      </w:r>
      <w:r w:rsidR="00447653" w:rsidRPr="00F56A7F">
        <w:rPr>
          <w:rFonts w:cs="Arial"/>
          <w:color w:val="000000"/>
        </w:rPr>
        <w:t>considered</w:t>
      </w:r>
      <w:r w:rsidR="00D17BFA" w:rsidRPr="00F56A7F">
        <w:rPr>
          <w:rFonts w:cs="Arial"/>
          <w:color w:val="000000"/>
        </w:rPr>
        <w:t xml:space="preserve"> </w:t>
      </w:r>
      <w:r w:rsidR="00D644A8">
        <w:rPr>
          <w:rFonts w:cs="Arial"/>
          <w:color w:val="000000"/>
        </w:rPr>
        <w:t>proposals for the development</w:t>
      </w:r>
      <w:r w:rsidRPr="00F56A7F">
        <w:rPr>
          <w:rFonts w:cs="Arial"/>
          <w:color w:val="000000"/>
        </w:rPr>
        <w:t xml:space="preserve"> of</w:t>
      </w:r>
      <w:r w:rsidR="00436210">
        <w:rPr>
          <w:rFonts w:cs="Arial"/>
          <w:color w:val="000000"/>
        </w:rPr>
        <w:t xml:space="preserve"> </w:t>
      </w:r>
      <w:r w:rsidR="00D17BFA" w:rsidRPr="00F56A7F">
        <w:rPr>
          <w:rFonts w:cs="Arial"/>
          <w:color w:val="000000"/>
        </w:rPr>
        <w:t xml:space="preserve">guidance and </w:t>
      </w:r>
      <w:r w:rsidR="00D644A8">
        <w:rPr>
          <w:rFonts w:cs="Arial"/>
          <w:color w:val="000000"/>
        </w:rPr>
        <w:t>information materials</w:t>
      </w:r>
      <w:r w:rsidR="00D17BFA" w:rsidRPr="00F56A7F">
        <w:rPr>
          <w:rFonts w:cs="Arial"/>
          <w:color w:val="000000"/>
        </w:rPr>
        <w:t xml:space="preserve">, </w:t>
      </w:r>
      <w:r w:rsidRPr="00F56A7F">
        <w:rPr>
          <w:rFonts w:cs="Arial"/>
          <w:color w:val="000000"/>
        </w:rPr>
        <w:t>as set out in document</w:t>
      </w:r>
      <w:r w:rsidR="00D17BFA" w:rsidRPr="00F56A7F">
        <w:rPr>
          <w:rFonts w:cs="Arial"/>
          <w:color w:val="000000"/>
        </w:rPr>
        <w:t xml:space="preserve"> SESSIONS/2023/</w:t>
      </w:r>
      <w:r w:rsidR="00D644A8">
        <w:rPr>
          <w:rFonts w:cs="Arial"/>
          <w:color w:val="000000"/>
        </w:rPr>
        <w:t>2</w:t>
      </w:r>
      <w:r w:rsidR="00D644A8">
        <w:rPr>
          <w:rStyle w:val="FootnoteReference"/>
          <w:rFonts w:cs="Arial"/>
          <w:color w:val="000000"/>
        </w:rPr>
        <w:footnoteReference w:id="5"/>
      </w:r>
      <w:r w:rsidRPr="00F56A7F">
        <w:rPr>
          <w:rFonts w:cs="Arial"/>
          <w:color w:val="000000"/>
        </w:rPr>
        <w:t>.</w:t>
      </w:r>
      <w:r w:rsidR="00B21726">
        <w:rPr>
          <w:rFonts w:cs="Arial"/>
          <w:color w:val="000000"/>
        </w:rPr>
        <w:t xml:space="preserve"> </w:t>
      </w:r>
      <w:r w:rsidR="007654A3">
        <w:rPr>
          <w:rFonts w:cs="Arial"/>
          <w:color w:val="000000"/>
        </w:rPr>
        <w:t xml:space="preserve"> </w:t>
      </w:r>
      <w:r w:rsidR="005F2115">
        <w:rPr>
          <w:rFonts w:cs="Arial"/>
          <w:color w:val="000000"/>
        </w:rPr>
        <w:t>Proposals adopted</w:t>
      </w:r>
      <w:r w:rsidR="00B21726">
        <w:rPr>
          <w:rFonts w:cs="Arial"/>
          <w:color w:val="000000"/>
        </w:rPr>
        <w:t xml:space="preserve"> by the Council are reported in document TWP/8/2 “</w:t>
      </w:r>
      <w:r w:rsidR="00B21726" w:rsidRPr="0051432B">
        <w:rPr>
          <w:bCs/>
        </w:rPr>
        <w:t>Report on developments</w:t>
      </w:r>
      <w:r w:rsidR="00B21726">
        <w:rPr>
          <w:bCs/>
        </w:rPr>
        <w:t xml:space="preserve"> in UPOV – Matters for information”.</w:t>
      </w:r>
    </w:p>
    <w:p w14:paraId="26A3C4DD" w14:textId="12964D94" w:rsidR="007547C1" w:rsidRPr="00F56A7F" w:rsidRDefault="007547C1" w:rsidP="007547C1">
      <w:pPr>
        <w:rPr>
          <w:rFonts w:cs="Arial"/>
          <w:color w:val="000000"/>
        </w:rPr>
      </w:pPr>
    </w:p>
    <w:p w14:paraId="2B2AEEEC" w14:textId="64F81DB1" w:rsidR="00263B9E" w:rsidRPr="00F56A7F" w:rsidRDefault="00263B9E" w:rsidP="00263B9E">
      <w:pPr>
        <w:rPr>
          <w:rFonts w:cs="Arial"/>
          <w:color w:val="000000"/>
        </w:rPr>
      </w:pPr>
      <w:r w:rsidRPr="00F56A7F">
        <w:rPr>
          <w:rFonts w:cs="Arial"/>
          <w:color w:val="000000"/>
        </w:rPr>
        <w:fldChar w:fldCharType="begin"/>
      </w:r>
      <w:r w:rsidRPr="00F56A7F">
        <w:rPr>
          <w:rFonts w:cs="Arial"/>
          <w:color w:val="000000"/>
        </w:rPr>
        <w:instrText xml:space="preserve"> AUTONUM  </w:instrText>
      </w:r>
      <w:r w:rsidRPr="00F56A7F">
        <w:rPr>
          <w:rFonts w:cs="Arial"/>
          <w:color w:val="000000"/>
        </w:rPr>
        <w:fldChar w:fldCharType="end"/>
      </w:r>
      <w:r w:rsidRPr="00F56A7F">
        <w:rPr>
          <w:rFonts w:cs="Arial"/>
          <w:color w:val="000000"/>
        </w:rPr>
        <w:tab/>
      </w:r>
      <w:r w:rsidR="00D644A8">
        <w:rPr>
          <w:rFonts w:cs="Arial"/>
          <w:color w:val="000000"/>
        </w:rPr>
        <w:t xml:space="preserve">The TWPs are invited </w:t>
      </w:r>
      <w:r w:rsidR="0089764E" w:rsidRPr="00F56A7F">
        <w:rPr>
          <w:rFonts w:cs="Arial"/>
          <w:color w:val="000000"/>
        </w:rPr>
        <w:t xml:space="preserve">to consider the following matters regarding guidance and information materials </w:t>
      </w:r>
      <w:r w:rsidRPr="00F56A7F">
        <w:rPr>
          <w:rFonts w:cs="Arial"/>
          <w:color w:val="000000"/>
        </w:rPr>
        <w:t>at their sessions in 2024.</w:t>
      </w:r>
    </w:p>
    <w:p w14:paraId="4E20214B" w14:textId="77777777" w:rsidR="007358C2" w:rsidRPr="00F56A7F" w:rsidRDefault="007358C2" w:rsidP="007547C1">
      <w:pPr>
        <w:rPr>
          <w:rFonts w:cs="Arial"/>
          <w:color w:val="000000"/>
        </w:rPr>
      </w:pPr>
    </w:p>
    <w:p w14:paraId="7B376012" w14:textId="10698DBA" w:rsidR="00263B9E" w:rsidRPr="00F56A7F" w:rsidRDefault="00263B9E" w:rsidP="00263B9E">
      <w:pPr>
        <w:pStyle w:val="Heading2"/>
      </w:pPr>
      <w:bookmarkStart w:id="5" w:name="_Toc162975786"/>
      <w:r w:rsidRPr="00F56A7F">
        <w:t>(a)</w:t>
      </w:r>
      <w:r w:rsidRPr="00F56A7F">
        <w:tab/>
        <w:t>Explanatory Notes</w:t>
      </w:r>
      <w:bookmarkEnd w:id="5"/>
    </w:p>
    <w:p w14:paraId="066F4015" w14:textId="77777777" w:rsidR="00263B9E" w:rsidRPr="00F56A7F" w:rsidRDefault="00263B9E" w:rsidP="00661545">
      <w:pPr>
        <w:keepNext/>
      </w:pPr>
    </w:p>
    <w:p w14:paraId="59FEBE62" w14:textId="4FC5D8A0" w:rsidR="00F56A7F" w:rsidRPr="00F56A7F" w:rsidRDefault="00263B9E" w:rsidP="00263B9E">
      <w:pPr>
        <w:pStyle w:val="Heading3"/>
        <w:rPr>
          <w:snapToGrid w:val="0"/>
        </w:rPr>
      </w:pPr>
      <w:bookmarkStart w:id="6" w:name="_Hlk162627592"/>
      <w:bookmarkStart w:id="7" w:name="_Toc162975787"/>
      <w:r w:rsidRPr="00F56A7F">
        <w:rPr>
          <w:snapToGrid w:val="0"/>
        </w:rPr>
        <w:t>UPOV/EXN/DEN “Explanatory Notes on Variety Denominations under the UPOV Convention</w:t>
      </w:r>
      <w:bookmarkEnd w:id="6"/>
      <w:r w:rsidR="002E1839">
        <w:rPr>
          <w:snapToGrid w:val="0"/>
        </w:rPr>
        <w:t>”</w:t>
      </w:r>
      <w:r w:rsidRPr="00F56A7F">
        <w:rPr>
          <w:snapToGrid w:val="0"/>
        </w:rPr>
        <w:t xml:space="preserve"> (Revision)</w:t>
      </w:r>
      <w:bookmarkEnd w:id="7"/>
    </w:p>
    <w:p w14:paraId="1417E54F" w14:textId="77777777" w:rsidR="00F56A7F" w:rsidRPr="00F56A7F" w:rsidRDefault="00F56A7F" w:rsidP="00F56A7F">
      <w:pPr>
        <w:keepNext/>
      </w:pPr>
    </w:p>
    <w:p w14:paraId="277931AC" w14:textId="66076415" w:rsidR="006C5855" w:rsidRPr="00F56A7F" w:rsidRDefault="006C5855" w:rsidP="008520FE">
      <w:pPr>
        <w:pStyle w:val="Heading4"/>
        <w:rPr>
          <w:snapToGrid w:val="0"/>
        </w:rPr>
      </w:pPr>
      <w:bookmarkStart w:id="8" w:name="_Toc162975788"/>
      <w:r w:rsidRPr="00F56A7F">
        <w:rPr>
          <w:snapToGrid w:val="0"/>
        </w:rPr>
        <w:t>Ne</w:t>
      </w:r>
      <w:r w:rsidR="00263B9E" w:rsidRPr="00F56A7F">
        <w:rPr>
          <w:snapToGrid w:val="0"/>
        </w:rPr>
        <w:t>w </w:t>
      </w:r>
      <w:r w:rsidRPr="00F56A7F">
        <w:rPr>
          <w:snapToGrid w:val="0"/>
        </w:rPr>
        <w:t xml:space="preserve">variety denomination classes for </w:t>
      </w:r>
      <w:r w:rsidRPr="00D644A8">
        <w:rPr>
          <w:i/>
          <w:iCs/>
          <w:snapToGrid w:val="0"/>
        </w:rPr>
        <w:t>Prunus</w:t>
      </w:r>
      <w:r w:rsidR="00DF3A4C">
        <w:rPr>
          <w:snapToGrid w:val="0"/>
        </w:rPr>
        <w:t xml:space="preserve"> and </w:t>
      </w:r>
      <w:r w:rsidR="00DF3A4C" w:rsidRPr="005A2D28">
        <w:t xml:space="preserve">situations when a denomination should be compared </w:t>
      </w:r>
      <w:r w:rsidR="00DF3A4C">
        <w:t>with</w:t>
      </w:r>
      <w:r w:rsidR="00DF3A4C" w:rsidRPr="005A2D28">
        <w:t xml:space="preserve"> other classes</w:t>
      </w:r>
      <w:r w:rsidR="00DF3A4C">
        <w:t xml:space="preserve"> within a genus</w:t>
      </w:r>
      <w:bookmarkEnd w:id="8"/>
      <w:r w:rsidR="00DF3A4C">
        <w:t xml:space="preserve"> </w:t>
      </w:r>
    </w:p>
    <w:p w14:paraId="6F736860" w14:textId="77777777" w:rsidR="006C5855" w:rsidRDefault="006C5855" w:rsidP="008520FE"/>
    <w:p w14:paraId="4CB6F9FA" w14:textId="52610D6F" w:rsidR="00BF0653" w:rsidRDefault="000C4F65" w:rsidP="008520FE">
      <w:r>
        <w:fldChar w:fldCharType="begin"/>
      </w:r>
      <w:r>
        <w:instrText xml:space="preserve"> AUTONUM  </w:instrText>
      </w:r>
      <w:r>
        <w:fldChar w:fldCharType="end"/>
      </w:r>
      <w:r>
        <w:tab/>
        <w:t xml:space="preserve">The background to this matter is provided </w:t>
      </w:r>
      <w:r w:rsidRPr="00911270">
        <w:t>in Annex I to</w:t>
      </w:r>
      <w:r>
        <w:t xml:space="preserve"> this document.</w:t>
      </w:r>
    </w:p>
    <w:p w14:paraId="0BEE6007" w14:textId="77777777" w:rsidR="00BF0653" w:rsidRDefault="00BF0653" w:rsidP="008520FE"/>
    <w:p w14:paraId="4A22EE1D" w14:textId="058C9B72" w:rsidR="00473CC7" w:rsidRPr="00347E9E" w:rsidRDefault="00473CC7" w:rsidP="008520FE">
      <w:pPr>
        <w:pStyle w:val="Default"/>
        <w:jc w:val="both"/>
        <w:rPr>
          <w:sz w:val="20"/>
          <w:szCs w:val="20"/>
        </w:rPr>
      </w:pPr>
      <w:r>
        <w:rPr>
          <w:spacing w:val="-4"/>
          <w:sz w:val="20"/>
          <w:szCs w:val="20"/>
        </w:rPr>
        <w:fldChar w:fldCharType="begin"/>
      </w:r>
      <w:r>
        <w:rPr>
          <w:spacing w:val="-4"/>
          <w:sz w:val="20"/>
          <w:szCs w:val="20"/>
        </w:rPr>
        <w:instrText xml:space="preserve"> AUTONUM  </w:instrText>
      </w:r>
      <w:r>
        <w:rPr>
          <w:spacing w:val="-4"/>
          <w:sz w:val="20"/>
          <w:szCs w:val="20"/>
        </w:rPr>
        <w:fldChar w:fldCharType="end"/>
      </w:r>
      <w:r>
        <w:rPr>
          <w:spacing w:val="-4"/>
          <w:sz w:val="20"/>
          <w:szCs w:val="20"/>
        </w:rPr>
        <w:tab/>
      </w:r>
      <w:r w:rsidRPr="00347E9E">
        <w:rPr>
          <w:sz w:val="20"/>
          <w:szCs w:val="20"/>
        </w:rPr>
        <w:t>The “Explanatory Notes on Variety Denominations under the UPOV Convention” (document UPOV/EXN/DEN/</w:t>
      </w:r>
      <w:r w:rsidR="00E163AA">
        <w:rPr>
          <w:sz w:val="20"/>
          <w:szCs w:val="20"/>
        </w:rPr>
        <w:t>3</w:t>
      </w:r>
      <w:r w:rsidRPr="00347E9E">
        <w:rPr>
          <w:sz w:val="20"/>
          <w:szCs w:val="20"/>
        </w:rPr>
        <w:t xml:space="preserve">) states that: </w:t>
      </w:r>
    </w:p>
    <w:p w14:paraId="1061CB9C" w14:textId="77777777" w:rsidR="00473CC7" w:rsidRDefault="00473CC7" w:rsidP="008520FE">
      <w:pPr>
        <w:pStyle w:val="Default"/>
        <w:jc w:val="both"/>
        <w:rPr>
          <w:spacing w:val="-4"/>
          <w:sz w:val="20"/>
          <w:szCs w:val="20"/>
        </w:rPr>
      </w:pPr>
    </w:p>
    <w:p w14:paraId="547B2A72" w14:textId="277C5C74" w:rsidR="00473CC7" w:rsidRPr="001A35E6" w:rsidRDefault="00473CC7" w:rsidP="001A35E6">
      <w:pPr>
        <w:ind w:left="567" w:right="567"/>
        <w:rPr>
          <w:sz w:val="18"/>
          <w:szCs w:val="18"/>
        </w:rPr>
      </w:pPr>
      <w:r w:rsidRPr="001A35E6">
        <w:rPr>
          <w:sz w:val="18"/>
          <w:szCs w:val="18"/>
        </w:rPr>
        <w:t xml:space="preserve">“2.5.2 </w:t>
      </w:r>
      <w:r w:rsidRPr="001A35E6">
        <w:rPr>
          <w:sz w:val="18"/>
          <w:szCs w:val="18"/>
        </w:rPr>
        <w:tab/>
        <w:t xml:space="preserve">The variety denomination classes are as follows: </w:t>
      </w:r>
    </w:p>
    <w:p w14:paraId="7D9F0603" w14:textId="77777777" w:rsidR="00473CC7" w:rsidRPr="001A35E6" w:rsidRDefault="00473CC7" w:rsidP="001A35E6">
      <w:pPr>
        <w:ind w:left="567" w:right="567"/>
        <w:rPr>
          <w:sz w:val="18"/>
          <w:szCs w:val="18"/>
        </w:rPr>
      </w:pPr>
    </w:p>
    <w:p w14:paraId="14184569" w14:textId="625FB6E1" w:rsidR="00473CC7" w:rsidRPr="001A35E6" w:rsidRDefault="00473CC7" w:rsidP="001A35E6">
      <w:pPr>
        <w:ind w:left="567" w:right="567" w:firstLine="567"/>
        <w:rPr>
          <w:sz w:val="18"/>
          <w:szCs w:val="18"/>
        </w:rPr>
      </w:pPr>
      <w:r w:rsidRPr="001A35E6">
        <w:rPr>
          <w:sz w:val="18"/>
          <w:szCs w:val="18"/>
        </w:rPr>
        <w:t>“(a)</w:t>
      </w:r>
      <w:r w:rsidRPr="001A35E6">
        <w:rPr>
          <w:sz w:val="18"/>
          <w:szCs w:val="18"/>
        </w:rPr>
        <w:tab/>
        <w:t xml:space="preserve">General Rule (one genus / one class): for genera and species not covered by the List of Classes in Annex I, a genus is considered to be a class; </w:t>
      </w:r>
    </w:p>
    <w:p w14:paraId="7203043B" w14:textId="77777777" w:rsidR="00473CC7" w:rsidRPr="001A35E6" w:rsidRDefault="00473CC7" w:rsidP="001A35E6">
      <w:pPr>
        <w:ind w:left="567" w:right="567"/>
        <w:rPr>
          <w:sz w:val="18"/>
          <w:szCs w:val="18"/>
        </w:rPr>
      </w:pPr>
    </w:p>
    <w:p w14:paraId="022B9980" w14:textId="0CF7C948" w:rsidR="00473CC7" w:rsidRPr="001A35E6" w:rsidRDefault="00473CC7" w:rsidP="001A35E6">
      <w:pPr>
        <w:ind w:left="567" w:right="567" w:firstLine="567"/>
        <w:rPr>
          <w:sz w:val="18"/>
          <w:szCs w:val="18"/>
        </w:rPr>
      </w:pPr>
      <w:r w:rsidRPr="001A35E6">
        <w:rPr>
          <w:sz w:val="18"/>
          <w:szCs w:val="18"/>
        </w:rPr>
        <w:t>“(b)</w:t>
      </w:r>
      <w:r w:rsidRPr="001A35E6">
        <w:rPr>
          <w:sz w:val="18"/>
          <w:szCs w:val="18"/>
        </w:rPr>
        <w:tab/>
        <w:t xml:space="preserve">Exceptions to the General Rule (list of classes): </w:t>
      </w:r>
    </w:p>
    <w:p w14:paraId="3C6BE9BE" w14:textId="77777777" w:rsidR="00546E74" w:rsidRPr="001A35E6" w:rsidRDefault="00546E74" w:rsidP="001A35E6">
      <w:pPr>
        <w:ind w:left="567" w:right="567"/>
        <w:rPr>
          <w:sz w:val="18"/>
          <w:szCs w:val="18"/>
        </w:rPr>
      </w:pPr>
    </w:p>
    <w:p w14:paraId="5DAC7A7F" w14:textId="0E83A56D" w:rsidR="00473CC7" w:rsidRPr="001A35E6" w:rsidRDefault="00473CC7" w:rsidP="001A35E6">
      <w:pPr>
        <w:ind w:left="1701" w:right="567"/>
        <w:rPr>
          <w:sz w:val="18"/>
          <w:szCs w:val="18"/>
        </w:rPr>
      </w:pPr>
      <w:r w:rsidRPr="001A35E6">
        <w:rPr>
          <w:sz w:val="18"/>
          <w:szCs w:val="18"/>
        </w:rPr>
        <w:t>“(</w:t>
      </w:r>
      <w:proofErr w:type="spellStart"/>
      <w:r w:rsidRPr="001A35E6">
        <w:rPr>
          <w:sz w:val="18"/>
          <w:szCs w:val="18"/>
        </w:rPr>
        <w:t>i</w:t>
      </w:r>
      <w:proofErr w:type="spellEnd"/>
      <w:r w:rsidRPr="001A35E6">
        <w:rPr>
          <w:sz w:val="18"/>
          <w:szCs w:val="18"/>
        </w:rPr>
        <w:t>)</w:t>
      </w:r>
      <w:r w:rsidRPr="001A35E6">
        <w:rPr>
          <w:sz w:val="18"/>
          <w:szCs w:val="18"/>
        </w:rPr>
        <w:tab/>
        <w:t xml:space="preserve">classes within a genus: List of classes in Annex I: Part I; </w:t>
      </w:r>
    </w:p>
    <w:p w14:paraId="0F71BB92" w14:textId="77777777" w:rsidR="00546E74" w:rsidRPr="001A35E6" w:rsidRDefault="00546E74" w:rsidP="001A35E6">
      <w:pPr>
        <w:ind w:left="567" w:right="567"/>
        <w:rPr>
          <w:sz w:val="18"/>
          <w:szCs w:val="18"/>
        </w:rPr>
      </w:pPr>
    </w:p>
    <w:p w14:paraId="3CE4406B" w14:textId="1B0C6EC3" w:rsidR="00473CC7" w:rsidRPr="001A35E6" w:rsidRDefault="00473CC7" w:rsidP="001A35E6">
      <w:pPr>
        <w:ind w:left="1701" w:right="567"/>
        <w:rPr>
          <w:sz w:val="18"/>
          <w:szCs w:val="18"/>
        </w:rPr>
      </w:pPr>
      <w:r w:rsidRPr="001A35E6">
        <w:rPr>
          <w:sz w:val="18"/>
          <w:szCs w:val="18"/>
        </w:rPr>
        <w:t>“(ii)</w:t>
      </w:r>
      <w:r w:rsidRPr="001A35E6">
        <w:rPr>
          <w:sz w:val="18"/>
          <w:szCs w:val="18"/>
        </w:rPr>
        <w:tab/>
        <w:t>classes encompassing more than one genus: List of classes in Annex I: Part II.”</w:t>
      </w:r>
    </w:p>
    <w:p w14:paraId="3751B435" w14:textId="77777777" w:rsidR="00473CC7" w:rsidRPr="00546E74" w:rsidRDefault="00473CC7" w:rsidP="00546E74">
      <w:pPr>
        <w:ind w:right="567"/>
        <w:rPr>
          <w:sz w:val="18"/>
          <w:szCs w:val="18"/>
        </w:rPr>
      </w:pPr>
    </w:p>
    <w:p w14:paraId="3978235C" w14:textId="23ACA436" w:rsidR="006C5855" w:rsidRPr="00F56A7F" w:rsidRDefault="006C5855" w:rsidP="008520FE">
      <w:r w:rsidRPr="00F56A7F">
        <w:fldChar w:fldCharType="begin"/>
      </w:r>
      <w:r w:rsidRPr="00F56A7F">
        <w:instrText xml:space="preserve"> AUTONUM  </w:instrText>
      </w:r>
      <w:r w:rsidRPr="00F56A7F">
        <w:fldChar w:fldCharType="end"/>
      </w:r>
      <w:r w:rsidRPr="00F56A7F">
        <w:tab/>
        <w:t>The TC</w:t>
      </w:r>
      <w:r w:rsidR="007654A3" w:rsidRPr="005B4D21">
        <w:rPr>
          <w:rFonts w:cs="Arial"/>
          <w:color w:val="000000"/>
          <w:vertAlign w:val="superscript"/>
        </w:rPr>
        <w:fldChar w:fldCharType="begin"/>
      </w:r>
      <w:r w:rsidR="007654A3" w:rsidRPr="005B4D21">
        <w:rPr>
          <w:rFonts w:cs="Arial"/>
          <w:color w:val="000000"/>
          <w:vertAlign w:val="superscript"/>
        </w:rPr>
        <w:instrText xml:space="preserve"> NOTEREF _Ref162969248 \h  \* MERGEFORMAT </w:instrText>
      </w:r>
      <w:r w:rsidR="007654A3" w:rsidRPr="005B4D21">
        <w:rPr>
          <w:rFonts w:cs="Arial"/>
          <w:color w:val="000000"/>
          <w:vertAlign w:val="superscript"/>
        </w:rPr>
      </w:r>
      <w:r w:rsidR="007654A3" w:rsidRPr="005B4D21">
        <w:rPr>
          <w:rFonts w:cs="Arial"/>
          <w:color w:val="000000"/>
          <w:vertAlign w:val="superscript"/>
        </w:rPr>
        <w:fldChar w:fldCharType="separate"/>
      </w:r>
      <w:r w:rsidR="00027BEE">
        <w:rPr>
          <w:rFonts w:cs="Arial"/>
          <w:color w:val="000000"/>
          <w:vertAlign w:val="superscript"/>
        </w:rPr>
        <w:t>1</w:t>
      </w:r>
      <w:r w:rsidR="007654A3" w:rsidRPr="005B4D21">
        <w:rPr>
          <w:rFonts w:cs="Arial"/>
          <w:color w:val="000000"/>
          <w:vertAlign w:val="superscript"/>
        </w:rPr>
        <w:fldChar w:fldCharType="end"/>
      </w:r>
      <w:r w:rsidR="007654A3">
        <w:rPr>
          <w:rFonts w:cs="Arial"/>
          <w:color w:val="000000"/>
          <w:vertAlign w:val="superscript"/>
        </w:rPr>
        <w:t>, </w:t>
      </w:r>
      <w:r w:rsidR="008B3B75">
        <w:rPr>
          <w:rStyle w:val="FootnoteReference"/>
        </w:rPr>
        <w:footnoteReference w:id="6"/>
      </w:r>
      <w:r w:rsidR="002E6292" w:rsidRPr="00F56A7F">
        <w:rPr>
          <w:rFonts w:cs="Arial"/>
          <w:color w:val="000000"/>
        </w:rPr>
        <w:t xml:space="preserve"> </w:t>
      </w:r>
      <w:r w:rsidRPr="00F56A7F">
        <w:t xml:space="preserve">considered the creation of new variety denomination classes within the genus </w:t>
      </w:r>
      <w:r w:rsidRPr="00F56A7F">
        <w:rPr>
          <w:i/>
          <w:iCs/>
        </w:rPr>
        <w:t>Prunus</w:t>
      </w:r>
      <w:r w:rsidRPr="00F56A7F">
        <w:t xml:space="preserve">, as </w:t>
      </w:r>
      <w:r w:rsidR="008520FE">
        <w:t xml:space="preserve">follows </w:t>
      </w:r>
      <w:r w:rsidR="008520FE" w:rsidRPr="00F56A7F">
        <w:rPr>
          <w:spacing w:val="-2"/>
        </w:rPr>
        <w:t xml:space="preserve">(additions indicated with highlighting and </w:t>
      </w:r>
      <w:r w:rsidR="008520FE" w:rsidRPr="00F56A7F">
        <w:rPr>
          <w:spacing w:val="-2"/>
          <w:highlight w:val="lightGray"/>
          <w:u w:val="single"/>
        </w:rPr>
        <w:t>underline</w:t>
      </w:r>
      <w:r w:rsidR="008520FE" w:rsidRPr="00F56A7F">
        <w:rPr>
          <w:spacing w:val="-2"/>
        </w:rPr>
        <w:t>)</w:t>
      </w:r>
      <w:r w:rsidR="007E5AA1">
        <w:t xml:space="preserve">: </w:t>
      </w:r>
    </w:p>
    <w:p w14:paraId="1D7FC1FC" w14:textId="77777777" w:rsidR="007E5AA1" w:rsidRPr="00F56A7F" w:rsidRDefault="007E5AA1" w:rsidP="007E5AA1">
      <w:pPr>
        <w:spacing w:before="60"/>
        <w:ind w:left="284" w:hanging="284"/>
        <w:rPr>
          <w:rFonts w:eastAsia="MS Mincho"/>
          <w:sz w:val="16"/>
        </w:rPr>
      </w:pPr>
    </w:p>
    <w:p w14:paraId="4941A568" w14:textId="77777777" w:rsidR="007E5AA1" w:rsidRPr="00F56A7F" w:rsidRDefault="007E5AA1" w:rsidP="007E5AA1">
      <w:pPr>
        <w:jc w:val="center"/>
        <w:rPr>
          <w:rFonts w:eastAsia="MS Mincho"/>
          <w:i/>
        </w:rPr>
      </w:pPr>
      <w:r w:rsidRPr="00F56A7F">
        <w:rPr>
          <w:rFonts w:eastAsia="MS Mincho"/>
          <w:i/>
        </w:rPr>
        <w:t>Classes within a genus</w:t>
      </w:r>
    </w:p>
    <w:p w14:paraId="76735DD8" w14:textId="77777777" w:rsidR="007E5AA1" w:rsidRPr="00F56A7F" w:rsidRDefault="007E5AA1" w:rsidP="007E5AA1"/>
    <w:p w14:paraId="42E42A38" w14:textId="77777777" w:rsidR="007E5AA1" w:rsidRPr="00F56A7F" w:rsidRDefault="007E5AA1" w:rsidP="007E5AA1">
      <w:pPr>
        <w:pStyle w:val="BasistekstNaktuinbouw"/>
        <w:keepNext/>
        <w:jc w:val="both"/>
        <w:rPr>
          <w:highlight w:val="lightGray"/>
          <w:u w:val="single"/>
          <w:lang w:val="en-US"/>
        </w:rPr>
      </w:pPr>
      <w:r w:rsidRPr="00F56A7F">
        <w:rPr>
          <w:highlight w:val="lightGray"/>
          <w:u w:val="single"/>
          <w:lang w:val="en-US"/>
        </w:rPr>
        <w:t>Denominations for varieties identified at genus level only, where the variety belongs to one of the genera included in the following list of “Classes within a genus” must be different from denominations within that genus.</w:t>
      </w:r>
    </w:p>
    <w:p w14:paraId="46347ED6" w14:textId="77777777" w:rsidR="007E5AA1" w:rsidRPr="00F56A7F" w:rsidRDefault="007E5AA1" w:rsidP="007E5AA1">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4191"/>
        <w:gridCol w:w="4030"/>
      </w:tblGrid>
      <w:tr w:rsidR="007E5AA1" w:rsidRPr="00F56A7F" w14:paraId="1ED4B96E" w14:textId="77777777" w:rsidTr="008520FE">
        <w:trPr>
          <w:cantSplit/>
          <w:tblHeader/>
        </w:trPr>
        <w:tc>
          <w:tcPr>
            <w:tcW w:w="1418" w:type="dxa"/>
            <w:shd w:val="clear" w:color="auto" w:fill="D9D9D9" w:themeFill="background1" w:themeFillShade="D9"/>
            <w:vAlign w:val="center"/>
          </w:tcPr>
          <w:p w14:paraId="66F29F12" w14:textId="77777777" w:rsidR="007E5AA1" w:rsidRPr="00F56A7F" w:rsidRDefault="007E5AA1" w:rsidP="000E13A6">
            <w:pPr>
              <w:spacing w:before="40" w:after="60"/>
              <w:jc w:val="left"/>
              <w:rPr>
                <w:rFonts w:eastAsia="MS Mincho"/>
                <w:sz w:val="18"/>
                <w:u w:val="single"/>
              </w:rPr>
            </w:pPr>
          </w:p>
        </w:tc>
        <w:tc>
          <w:tcPr>
            <w:tcW w:w="4191" w:type="dxa"/>
            <w:shd w:val="clear" w:color="auto" w:fill="D9D9D9" w:themeFill="background1" w:themeFillShade="D9"/>
            <w:vAlign w:val="center"/>
          </w:tcPr>
          <w:p w14:paraId="04CD72C0" w14:textId="77777777" w:rsidR="007E5AA1" w:rsidRPr="00F56A7F" w:rsidRDefault="007E5AA1" w:rsidP="000E13A6">
            <w:pPr>
              <w:spacing w:before="40" w:after="60"/>
              <w:jc w:val="center"/>
              <w:rPr>
                <w:rFonts w:eastAsia="MS Mincho"/>
                <w:sz w:val="18"/>
                <w:u w:val="single"/>
              </w:rPr>
            </w:pPr>
            <w:r w:rsidRPr="00F56A7F">
              <w:rPr>
                <w:rFonts w:eastAsia="MS Mincho"/>
                <w:sz w:val="18"/>
                <w:u w:val="single"/>
              </w:rPr>
              <w:t>Botanical names</w:t>
            </w:r>
          </w:p>
        </w:tc>
        <w:tc>
          <w:tcPr>
            <w:tcW w:w="4030" w:type="dxa"/>
            <w:shd w:val="clear" w:color="auto" w:fill="D9D9D9" w:themeFill="background1" w:themeFillShade="D9"/>
            <w:vAlign w:val="center"/>
          </w:tcPr>
          <w:p w14:paraId="58B7D0DE" w14:textId="77777777" w:rsidR="007E5AA1" w:rsidRPr="00F56A7F" w:rsidRDefault="007E5AA1" w:rsidP="000E13A6">
            <w:pPr>
              <w:spacing w:before="40" w:after="60"/>
              <w:jc w:val="center"/>
              <w:rPr>
                <w:rFonts w:eastAsia="MS Mincho"/>
                <w:sz w:val="18"/>
                <w:u w:val="single"/>
              </w:rPr>
            </w:pPr>
            <w:r w:rsidRPr="00F56A7F">
              <w:rPr>
                <w:rFonts w:eastAsia="MS Mincho"/>
                <w:sz w:val="18"/>
                <w:u w:val="single"/>
              </w:rPr>
              <w:t>UPOV codes</w:t>
            </w:r>
          </w:p>
        </w:tc>
      </w:tr>
    </w:tbl>
    <w:p w14:paraId="140F3A0F" w14:textId="77777777" w:rsidR="007E5AA1" w:rsidRPr="00F56A7F" w:rsidRDefault="007E5AA1" w:rsidP="007E5AA1">
      <w:pPr>
        <w:jc w:val="center"/>
      </w:pPr>
      <w:r w:rsidRPr="00F56A7F">
        <w:t>[…]</w:t>
      </w:r>
    </w:p>
    <w:p w14:paraId="6C05E19F" w14:textId="77777777" w:rsidR="007E5AA1" w:rsidRPr="00F56A7F" w:rsidRDefault="007E5AA1" w:rsidP="008520FE">
      <w:pPr>
        <w:pStyle w:val="BasistekstNaktuinbouw"/>
        <w:jc w:val="both"/>
        <w:rPr>
          <w:sz w:val="18"/>
          <w:highlight w:val="lightGray"/>
          <w:u w:val="single"/>
          <w:lang w:val="en-US"/>
        </w:rPr>
      </w:pPr>
      <w:r w:rsidRPr="00F56A7F">
        <w:rPr>
          <w:highlight w:val="lightGray"/>
          <w:u w:val="single"/>
          <w:lang w:val="en-US"/>
        </w:rPr>
        <w:t xml:space="preserve">Class 6: </w:t>
      </w:r>
      <w:r w:rsidRPr="00F56A7F">
        <w:rPr>
          <w:i/>
          <w:iCs/>
          <w:highlight w:val="lightGray"/>
          <w:u w:val="single"/>
          <w:lang w:val="en-US"/>
        </w:rPr>
        <w:t>Prunus</w:t>
      </w:r>
      <w:r w:rsidRPr="00F56A7F">
        <w:rPr>
          <w:highlight w:val="lightGray"/>
          <w:u w:val="single"/>
          <w:lang w:val="en-US"/>
        </w:rPr>
        <w:t xml:space="preserve">: Denominations of interspecific hybrids in Class 6 must be different from denominations in classes of all the parent species.  </w:t>
      </w:r>
    </w:p>
    <w:p w14:paraId="38AD7312" w14:textId="77777777" w:rsidR="007E5AA1" w:rsidRPr="00F56A7F" w:rsidRDefault="007E5AA1" w:rsidP="008520FE">
      <w:pPr>
        <w:pStyle w:val="BasistekstNaktuinbouw"/>
        <w:jc w:val="both"/>
        <w:rPr>
          <w:sz w:val="18"/>
          <w:highlight w:val="lightGray"/>
          <w:u w:val="single"/>
          <w:lang w:val="en-US"/>
        </w:rPr>
      </w:pPr>
    </w:p>
    <w:tbl>
      <w:tblPr>
        <w:tblW w:w="9634" w:type="dxa"/>
        <w:tblCellMar>
          <w:left w:w="0" w:type="dxa"/>
          <w:right w:w="0" w:type="dxa"/>
        </w:tblCellMar>
        <w:tblLook w:val="04A0" w:firstRow="1" w:lastRow="0" w:firstColumn="1" w:lastColumn="0" w:noHBand="0" w:noVBand="1"/>
      </w:tblPr>
      <w:tblGrid>
        <w:gridCol w:w="1413"/>
        <w:gridCol w:w="4252"/>
        <w:gridCol w:w="3969"/>
      </w:tblGrid>
      <w:tr w:rsidR="007E5AA1" w:rsidRPr="00F56A7F" w14:paraId="72FD54A5" w14:textId="77777777" w:rsidTr="00DC6FAC">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1243900" w14:textId="77777777" w:rsidR="007E5AA1" w:rsidRPr="00F56A7F" w:rsidRDefault="007E5AA1" w:rsidP="008520FE">
            <w:pPr>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6.1</w:t>
            </w:r>
          </w:p>
        </w:tc>
        <w:tc>
          <w:tcPr>
            <w:tcW w:w="425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5ABAF70" w14:textId="77777777" w:rsidR="007E5AA1" w:rsidRPr="00247A89" w:rsidRDefault="007E5AA1" w:rsidP="008520FE">
            <w:pPr>
              <w:spacing w:before="40" w:after="40"/>
              <w:jc w:val="left"/>
              <w:rPr>
                <w:rFonts w:cs="Arial"/>
                <w:sz w:val="18"/>
                <w:szCs w:val="18"/>
                <w:highlight w:val="lightGray"/>
                <w:u w:val="single"/>
                <w:lang w:val="fr-FR"/>
              </w:rPr>
            </w:pPr>
            <w:r w:rsidRPr="00247A89">
              <w:rPr>
                <w:rFonts w:cs="Arial"/>
                <w:i/>
                <w:sz w:val="18"/>
                <w:szCs w:val="18"/>
                <w:highlight w:val="lightGray"/>
                <w:u w:val="single"/>
                <w:lang w:val="fr-FR"/>
              </w:rPr>
              <w:t xml:space="preserve">Prunus </w:t>
            </w:r>
            <w:proofErr w:type="spellStart"/>
            <w:r w:rsidRPr="00247A89">
              <w:rPr>
                <w:rFonts w:cs="Arial"/>
                <w:i/>
                <w:sz w:val="18"/>
                <w:szCs w:val="18"/>
                <w:highlight w:val="lightGray"/>
                <w:u w:val="single"/>
                <w:lang w:val="fr-FR"/>
              </w:rPr>
              <w:t>avium</w:t>
            </w:r>
            <w:proofErr w:type="spellEnd"/>
            <w:r w:rsidRPr="00247A89">
              <w:rPr>
                <w:rFonts w:cs="Arial"/>
                <w:sz w:val="18"/>
                <w:szCs w:val="18"/>
                <w:highlight w:val="lightGray"/>
                <w:u w:val="single"/>
                <w:lang w:val="fr-FR"/>
              </w:rPr>
              <w:t xml:space="preserve"> (L.) L.</w:t>
            </w:r>
          </w:p>
          <w:p w14:paraId="767607AB" w14:textId="77777777" w:rsidR="007E5AA1" w:rsidRPr="00247A89" w:rsidRDefault="007E5AA1" w:rsidP="008520FE">
            <w:pPr>
              <w:spacing w:before="40" w:after="40"/>
              <w:jc w:val="left"/>
              <w:rPr>
                <w:rFonts w:cs="Arial"/>
                <w:sz w:val="18"/>
                <w:szCs w:val="18"/>
                <w:highlight w:val="lightGray"/>
                <w:u w:val="single"/>
                <w:lang w:val="fr-FR"/>
              </w:rPr>
            </w:pPr>
            <w:r w:rsidRPr="00247A89">
              <w:rPr>
                <w:rFonts w:cs="Arial"/>
                <w:i/>
                <w:sz w:val="18"/>
                <w:szCs w:val="18"/>
                <w:highlight w:val="lightGray"/>
                <w:u w:val="single"/>
                <w:lang w:val="fr-FR"/>
              </w:rPr>
              <w:t xml:space="preserve">Prunus </w:t>
            </w:r>
            <w:proofErr w:type="spellStart"/>
            <w:r w:rsidRPr="00247A89">
              <w:rPr>
                <w:rFonts w:cs="Arial"/>
                <w:i/>
                <w:sz w:val="18"/>
                <w:szCs w:val="18"/>
                <w:highlight w:val="lightGray"/>
                <w:u w:val="single"/>
                <w:lang w:val="fr-FR"/>
              </w:rPr>
              <w:t>cerasus</w:t>
            </w:r>
            <w:proofErr w:type="spellEnd"/>
            <w:r w:rsidRPr="00247A89">
              <w:rPr>
                <w:rFonts w:cs="Arial"/>
                <w:sz w:val="18"/>
                <w:szCs w:val="18"/>
                <w:highlight w:val="lightGray"/>
                <w:u w:val="single"/>
                <w:lang w:val="fr-FR"/>
              </w:rPr>
              <w:t xml:space="preserve"> L.</w:t>
            </w:r>
          </w:p>
          <w:p w14:paraId="29111CDD" w14:textId="77777777" w:rsidR="007E5AA1" w:rsidRPr="00247A89" w:rsidRDefault="007E5AA1" w:rsidP="008520FE">
            <w:pPr>
              <w:spacing w:before="40" w:after="40"/>
              <w:jc w:val="left"/>
              <w:rPr>
                <w:rFonts w:cs="Arial"/>
                <w:sz w:val="18"/>
                <w:szCs w:val="18"/>
                <w:highlight w:val="lightGray"/>
                <w:u w:val="single"/>
                <w:lang w:val="fr-FR"/>
              </w:rPr>
            </w:pPr>
          </w:p>
        </w:tc>
        <w:tc>
          <w:tcPr>
            <w:tcW w:w="396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08D19F0" w14:textId="77777777" w:rsidR="007E5AA1" w:rsidRPr="00F56A7F" w:rsidRDefault="007E5AA1" w:rsidP="008520FE">
            <w:pPr>
              <w:spacing w:before="40" w:after="40"/>
              <w:jc w:val="left"/>
              <w:rPr>
                <w:rFonts w:cs="Arial"/>
                <w:sz w:val="18"/>
                <w:szCs w:val="18"/>
                <w:highlight w:val="lightGray"/>
                <w:u w:val="single"/>
              </w:rPr>
            </w:pPr>
            <w:r w:rsidRPr="00F56A7F">
              <w:rPr>
                <w:rFonts w:cs="Arial"/>
                <w:sz w:val="18"/>
                <w:szCs w:val="18"/>
                <w:highlight w:val="lightGray"/>
                <w:u w:val="single"/>
              </w:rPr>
              <w:t>PRUNU_AVI</w:t>
            </w:r>
          </w:p>
          <w:p w14:paraId="1028C2E3" w14:textId="77777777" w:rsidR="007E5AA1" w:rsidRDefault="007E5AA1" w:rsidP="008520FE">
            <w:pPr>
              <w:spacing w:before="40" w:after="40"/>
              <w:jc w:val="left"/>
              <w:rPr>
                <w:rFonts w:cs="Arial"/>
                <w:sz w:val="18"/>
                <w:szCs w:val="18"/>
                <w:highlight w:val="lightGray"/>
                <w:u w:val="single"/>
              </w:rPr>
            </w:pPr>
            <w:r w:rsidRPr="00F56A7F">
              <w:rPr>
                <w:rFonts w:cs="Arial"/>
                <w:sz w:val="18"/>
                <w:szCs w:val="18"/>
                <w:highlight w:val="lightGray"/>
                <w:u w:val="single"/>
              </w:rPr>
              <w:t>PRUNU_CSS</w:t>
            </w:r>
          </w:p>
          <w:p w14:paraId="1E317DB2" w14:textId="77777777" w:rsidR="008520FE" w:rsidRPr="00F56A7F" w:rsidRDefault="008520FE" w:rsidP="008520FE">
            <w:pPr>
              <w:spacing w:before="40" w:after="40"/>
              <w:jc w:val="left"/>
              <w:rPr>
                <w:rFonts w:cs="Arial"/>
                <w:sz w:val="18"/>
                <w:szCs w:val="18"/>
                <w:highlight w:val="lightGray"/>
                <w:u w:val="single"/>
              </w:rPr>
            </w:pPr>
          </w:p>
          <w:p w14:paraId="06C948DF" w14:textId="5EE07201" w:rsidR="008520FE" w:rsidRPr="00DC6FAC" w:rsidRDefault="007E5AA1" w:rsidP="00DC6FAC">
            <w:pPr>
              <w:spacing w:before="40" w:after="120"/>
              <w:jc w:val="left"/>
              <w:rPr>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7E5AA1" w:rsidRPr="00F56A7F" w14:paraId="1938BF2F" w14:textId="77777777" w:rsidTr="00DC6FAC">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BA542A3" w14:textId="77777777" w:rsidR="007E5AA1" w:rsidRPr="00F56A7F" w:rsidRDefault="007E5AA1" w:rsidP="008520FE">
            <w:pPr>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6.2</w:t>
            </w:r>
          </w:p>
        </w:tc>
        <w:tc>
          <w:tcPr>
            <w:tcW w:w="425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DFA5B6F" w14:textId="77777777" w:rsidR="007E5AA1" w:rsidRPr="0044353D" w:rsidRDefault="007E5AA1" w:rsidP="008520FE">
            <w:pPr>
              <w:spacing w:before="40" w:after="40"/>
              <w:jc w:val="left"/>
              <w:rPr>
                <w:rFonts w:cs="Arial"/>
                <w:sz w:val="18"/>
                <w:szCs w:val="18"/>
                <w:highlight w:val="lightGray"/>
                <w:u w:val="single"/>
              </w:rPr>
            </w:pPr>
            <w:r w:rsidRPr="0044353D">
              <w:rPr>
                <w:rFonts w:cs="Arial"/>
                <w:i/>
                <w:sz w:val="18"/>
                <w:szCs w:val="18"/>
                <w:highlight w:val="lightGray"/>
                <w:u w:val="single"/>
              </w:rPr>
              <w:t>Prunus domestica</w:t>
            </w:r>
            <w:r w:rsidRPr="0044353D">
              <w:rPr>
                <w:rFonts w:cs="Arial"/>
                <w:sz w:val="18"/>
                <w:szCs w:val="18"/>
                <w:highlight w:val="lightGray"/>
                <w:u w:val="single"/>
              </w:rPr>
              <w:t xml:space="preserve"> L.</w:t>
            </w:r>
          </w:p>
          <w:p w14:paraId="58925A4F" w14:textId="77777777" w:rsidR="007E5AA1" w:rsidRPr="0044353D" w:rsidRDefault="007E5AA1" w:rsidP="008520FE">
            <w:pPr>
              <w:spacing w:before="40" w:after="40"/>
              <w:jc w:val="left"/>
              <w:rPr>
                <w:rFonts w:cs="Arial"/>
                <w:sz w:val="18"/>
                <w:szCs w:val="18"/>
                <w:highlight w:val="lightGray"/>
                <w:u w:val="single"/>
              </w:rPr>
            </w:pPr>
            <w:r w:rsidRPr="0044353D">
              <w:rPr>
                <w:rFonts w:cs="Arial"/>
                <w:i/>
                <w:sz w:val="18"/>
                <w:szCs w:val="18"/>
                <w:highlight w:val="lightGray"/>
                <w:u w:val="single"/>
              </w:rPr>
              <w:t xml:space="preserve">Prunus </w:t>
            </w:r>
            <w:proofErr w:type="spellStart"/>
            <w:r w:rsidRPr="0044353D">
              <w:rPr>
                <w:rFonts w:cs="Arial"/>
                <w:i/>
                <w:sz w:val="18"/>
                <w:szCs w:val="18"/>
                <w:highlight w:val="lightGray"/>
                <w:u w:val="single"/>
              </w:rPr>
              <w:t>salicina</w:t>
            </w:r>
            <w:proofErr w:type="spellEnd"/>
            <w:r w:rsidRPr="0044353D">
              <w:rPr>
                <w:rFonts w:cs="Arial"/>
                <w:sz w:val="18"/>
                <w:szCs w:val="18"/>
                <w:highlight w:val="lightGray"/>
                <w:u w:val="single"/>
              </w:rPr>
              <w:t xml:space="preserve"> Lindley</w:t>
            </w:r>
          </w:p>
          <w:p w14:paraId="019F7041" w14:textId="77777777" w:rsidR="007E5AA1" w:rsidRPr="00F56A7F" w:rsidRDefault="007E5AA1" w:rsidP="008520FE">
            <w:pPr>
              <w:spacing w:before="40" w:after="40"/>
              <w:jc w:val="left"/>
              <w:rPr>
                <w:rFonts w:cs="Arial"/>
                <w:sz w:val="18"/>
                <w:szCs w:val="18"/>
                <w:highlight w:val="lightGray"/>
                <w:u w:val="single"/>
              </w:rPr>
            </w:pPr>
            <w:r w:rsidRPr="00F56A7F">
              <w:rPr>
                <w:rFonts w:cs="Arial"/>
                <w:i/>
                <w:sz w:val="18"/>
                <w:szCs w:val="18"/>
                <w:highlight w:val="lightGray"/>
                <w:u w:val="single"/>
              </w:rPr>
              <w:t xml:space="preserve">Prunus </w:t>
            </w:r>
            <w:proofErr w:type="spellStart"/>
            <w:r w:rsidRPr="00F56A7F">
              <w:rPr>
                <w:rFonts w:cs="Arial"/>
                <w:i/>
                <w:sz w:val="18"/>
                <w:szCs w:val="18"/>
                <w:highlight w:val="lightGray"/>
                <w:u w:val="single"/>
              </w:rPr>
              <w:t>armeniaca</w:t>
            </w:r>
            <w:proofErr w:type="spellEnd"/>
            <w:r w:rsidRPr="00F56A7F">
              <w:rPr>
                <w:rFonts w:cs="Arial"/>
                <w:sz w:val="18"/>
                <w:szCs w:val="18"/>
                <w:highlight w:val="lightGray"/>
                <w:u w:val="single"/>
              </w:rPr>
              <w:t xml:space="preserve"> L.</w:t>
            </w:r>
          </w:p>
          <w:p w14:paraId="5CA22223" w14:textId="77777777" w:rsidR="007E5AA1" w:rsidRPr="00F56A7F" w:rsidRDefault="007E5AA1" w:rsidP="008520FE">
            <w:pPr>
              <w:spacing w:before="40" w:after="40"/>
              <w:jc w:val="left"/>
              <w:rPr>
                <w:rFonts w:cs="Arial"/>
                <w:sz w:val="18"/>
                <w:szCs w:val="18"/>
                <w:highlight w:val="lightGray"/>
                <w:u w:val="single"/>
              </w:rPr>
            </w:pPr>
            <w:r w:rsidRPr="00F56A7F">
              <w:rPr>
                <w:rFonts w:cs="Arial"/>
                <w:i/>
                <w:sz w:val="18"/>
                <w:szCs w:val="18"/>
                <w:highlight w:val="lightGray"/>
                <w:u w:val="single"/>
              </w:rPr>
              <w:t xml:space="preserve">Prunus </w:t>
            </w:r>
            <w:proofErr w:type="spellStart"/>
            <w:r w:rsidRPr="00F56A7F">
              <w:rPr>
                <w:rFonts w:cs="Arial"/>
                <w:i/>
                <w:sz w:val="18"/>
                <w:szCs w:val="18"/>
                <w:highlight w:val="lightGray"/>
                <w:u w:val="single"/>
              </w:rPr>
              <w:t>mume</w:t>
            </w:r>
            <w:proofErr w:type="spellEnd"/>
            <w:r w:rsidRPr="00F56A7F">
              <w:rPr>
                <w:rFonts w:cs="Arial"/>
                <w:sz w:val="18"/>
                <w:szCs w:val="18"/>
                <w:highlight w:val="lightGray"/>
                <w:u w:val="single"/>
              </w:rPr>
              <w:t xml:space="preserve"> Siebold &amp; </w:t>
            </w:r>
            <w:proofErr w:type="spellStart"/>
            <w:r w:rsidRPr="00F56A7F">
              <w:rPr>
                <w:rFonts w:cs="Arial"/>
                <w:sz w:val="18"/>
                <w:szCs w:val="18"/>
                <w:highlight w:val="lightGray"/>
                <w:u w:val="single"/>
              </w:rPr>
              <w:t>Zucc</w:t>
            </w:r>
            <w:proofErr w:type="spellEnd"/>
            <w:r w:rsidRPr="00F56A7F">
              <w:rPr>
                <w:rFonts w:cs="Arial"/>
                <w:sz w:val="18"/>
                <w:szCs w:val="18"/>
                <w:highlight w:val="lightGray"/>
                <w:u w:val="single"/>
              </w:rPr>
              <w:t>.</w:t>
            </w:r>
          </w:p>
          <w:p w14:paraId="53047F38" w14:textId="77777777" w:rsidR="007E5AA1" w:rsidRPr="00F56A7F" w:rsidRDefault="007E5AA1" w:rsidP="008520FE">
            <w:pPr>
              <w:spacing w:before="40" w:after="40"/>
              <w:jc w:val="left"/>
              <w:rPr>
                <w:rFonts w:cs="Arial"/>
                <w:sz w:val="18"/>
                <w:szCs w:val="18"/>
                <w:highlight w:val="lightGray"/>
                <w:u w:val="single"/>
              </w:rPr>
            </w:pPr>
          </w:p>
        </w:tc>
        <w:tc>
          <w:tcPr>
            <w:tcW w:w="396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E9158DD" w14:textId="77777777" w:rsidR="007E5AA1" w:rsidRPr="00247A89" w:rsidRDefault="007E5AA1" w:rsidP="008520FE">
            <w:pPr>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PRUNU_DOM</w:t>
            </w:r>
          </w:p>
          <w:p w14:paraId="590B081A" w14:textId="77777777" w:rsidR="007E5AA1" w:rsidRPr="00247A89" w:rsidRDefault="007E5AA1" w:rsidP="008520FE">
            <w:pPr>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PRUNU_SAL</w:t>
            </w:r>
          </w:p>
          <w:p w14:paraId="1742A3FE" w14:textId="77777777" w:rsidR="007E5AA1" w:rsidRPr="00247A89" w:rsidRDefault="007E5AA1" w:rsidP="008520FE">
            <w:pPr>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PRUNU_ARM</w:t>
            </w:r>
          </w:p>
          <w:p w14:paraId="7299F2E1" w14:textId="77777777" w:rsidR="007E5AA1" w:rsidRDefault="007E5AA1" w:rsidP="008520FE">
            <w:pPr>
              <w:spacing w:before="40" w:after="40"/>
              <w:jc w:val="left"/>
              <w:rPr>
                <w:rFonts w:cs="Arial"/>
                <w:sz w:val="18"/>
                <w:szCs w:val="18"/>
                <w:highlight w:val="lightGray"/>
                <w:u w:val="single"/>
              </w:rPr>
            </w:pPr>
            <w:r w:rsidRPr="00F56A7F">
              <w:rPr>
                <w:rFonts w:cs="Arial"/>
                <w:sz w:val="18"/>
                <w:szCs w:val="18"/>
                <w:highlight w:val="lightGray"/>
                <w:u w:val="single"/>
              </w:rPr>
              <w:t>PRUNU_MUM</w:t>
            </w:r>
          </w:p>
          <w:p w14:paraId="2CFDCECC" w14:textId="77777777" w:rsidR="008520FE" w:rsidRPr="00F56A7F" w:rsidRDefault="008520FE" w:rsidP="008520FE">
            <w:pPr>
              <w:spacing w:before="40" w:after="40"/>
              <w:jc w:val="left"/>
              <w:rPr>
                <w:rFonts w:cs="Arial"/>
                <w:sz w:val="18"/>
                <w:szCs w:val="18"/>
                <w:highlight w:val="lightGray"/>
                <w:u w:val="single"/>
              </w:rPr>
            </w:pPr>
          </w:p>
          <w:p w14:paraId="17079701" w14:textId="63828806" w:rsidR="008520FE" w:rsidRPr="00DC6FAC" w:rsidRDefault="007E5AA1" w:rsidP="00DC6FAC">
            <w:pPr>
              <w:spacing w:before="40" w:after="120"/>
              <w:jc w:val="left"/>
              <w:rPr>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7E5AA1" w:rsidRPr="00F56A7F" w14:paraId="3C58936E" w14:textId="77777777" w:rsidTr="00DC6FAC">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10B1BEE" w14:textId="77777777" w:rsidR="007E5AA1" w:rsidRPr="00F56A7F" w:rsidRDefault="007E5AA1" w:rsidP="008520FE">
            <w:pPr>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6.3</w:t>
            </w:r>
          </w:p>
        </w:tc>
        <w:tc>
          <w:tcPr>
            <w:tcW w:w="425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23B5999" w14:textId="77777777" w:rsidR="007E5AA1" w:rsidRPr="00F56A7F" w:rsidRDefault="007E5AA1" w:rsidP="008520FE">
            <w:pPr>
              <w:spacing w:before="40" w:after="40"/>
              <w:jc w:val="left"/>
              <w:rPr>
                <w:rFonts w:cs="Arial"/>
                <w:sz w:val="18"/>
                <w:szCs w:val="18"/>
                <w:highlight w:val="lightGray"/>
                <w:u w:val="single"/>
              </w:rPr>
            </w:pPr>
            <w:r w:rsidRPr="00F56A7F">
              <w:rPr>
                <w:rFonts w:cs="Arial"/>
                <w:i/>
                <w:sz w:val="18"/>
                <w:szCs w:val="18"/>
                <w:highlight w:val="lightGray"/>
                <w:u w:val="single"/>
              </w:rPr>
              <w:t>Prunus persica</w:t>
            </w:r>
            <w:r w:rsidRPr="00F56A7F">
              <w:rPr>
                <w:rFonts w:cs="Arial"/>
                <w:sz w:val="18"/>
                <w:szCs w:val="18"/>
                <w:highlight w:val="lightGray"/>
                <w:u w:val="single"/>
              </w:rPr>
              <w:t xml:space="preserve"> (L.) </w:t>
            </w:r>
            <w:proofErr w:type="spellStart"/>
            <w:r w:rsidRPr="00F56A7F">
              <w:rPr>
                <w:rFonts w:cs="Arial"/>
                <w:sz w:val="18"/>
                <w:szCs w:val="18"/>
                <w:highlight w:val="lightGray"/>
                <w:u w:val="single"/>
              </w:rPr>
              <w:t>Batsch</w:t>
            </w:r>
            <w:proofErr w:type="spellEnd"/>
            <w:r w:rsidRPr="00F56A7F">
              <w:rPr>
                <w:rFonts w:cs="Arial"/>
                <w:sz w:val="18"/>
                <w:szCs w:val="18"/>
                <w:highlight w:val="lightGray"/>
                <w:u w:val="single"/>
              </w:rPr>
              <w:t>.</w:t>
            </w:r>
          </w:p>
          <w:p w14:paraId="09E8F7C9" w14:textId="77777777" w:rsidR="007E5AA1" w:rsidRPr="007B36FA" w:rsidRDefault="007E5AA1" w:rsidP="008520FE">
            <w:pPr>
              <w:spacing w:before="40" w:after="40"/>
              <w:jc w:val="left"/>
              <w:rPr>
                <w:rFonts w:cs="Arial"/>
                <w:sz w:val="18"/>
                <w:szCs w:val="18"/>
                <w:highlight w:val="lightGray"/>
                <w:u w:val="single"/>
                <w:lang w:val="fr-FR"/>
              </w:rPr>
            </w:pPr>
            <w:r w:rsidRPr="007B36FA">
              <w:rPr>
                <w:rFonts w:eastAsia="Yu Gothic" w:cs="Arial"/>
                <w:i/>
                <w:sz w:val="18"/>
                <w:szCs w:val="18"/>
                <w:highlight w:val="lightGray"/>
                <w:u w:val="single"/>
                <w:lang w:val="fr-FR" w:eastAsia="ja-JP"/>
              </w:rPr>
              <w:t xml:space="preserve">Prunus </w:t>
            </w:r>
            <w:proofErr w:type="spellStart"/>
            <w:r w:rsidRPr="007B36FA">
              <w:rPr>
                <w:rFonts w:eastAsia="Yu Gothic" w:cs="Arial"/>
                <w:i/>
                <w:sz w:val="18"/>
                <w:szCs w:val="18"/>
                <w:highlight w:val="lightGray"/>
                <w:u w:val="single"/>
                <w:lang w:val="fr-FR" w:eastAsia="ja-JP"/>
              </w:rPr>
              <w:t>dulcis</w:t>
            </w:r>
            <w:proofErr w:type="spellEnd"/>
            <w:r w:rsidRPr="007B36FA">
              <w:rPr>
                <w:rFonts w:eastAsia="Yu Gothic" w:cs="Arial"/>
                <w:sz w:val="18"/>
                <w:szCs w:val="18"/>
                <w:highlight w:val="lightGray"/>
                <w:u w:val="single"/>
                <w:lang w:val="fr-FR" w:eastAsia="ja-JP"/>
              </w:rPr>
              <w:t xml:space="preserve"> (Mill.) D. A. Webb</w:t>
            </w:r>
          </w:p>
        </w:tc>
        <w:tc>
          <w:tcPr>
            <w:tcW w:w="396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9768C25" w14:textId="77777777" w:rsidR="007E5AA1" w:rsidRPr="00F56A7F" w:rsidRDefault="007E5AA1" w:rsidP="008520FE">
            <w:pPr>
              <w:spacing w:before="40" w:after="40"/>
              <w:jc w:val="left"/>
              <w:rPr>
                <w:rFonts w:cs="Arial"/>
                <w:sz w:val="18"/>
                <w:szCs w:val="18"/>
                <w:highlight w:val="lightGray"/>
                <w:u w:val="single"/>
              </w:rPr>
            </w:pPr>
            <w:r w:rsidRPr="00F56A7F">
              <w:rPr>
                <w:rFonts w:cs="Arial"/>
                <w:sz w:val="18"/>
                <w:szCs w:val="18"/>
                <w:highlight w:val="lightGray"/>
                <w:u w:val="single"/>
              </w:rPr>
              <w:t>PRUNU_PER</w:t>
            </w:r>
          </w:p>
          <w:p w14:paraId="63EB5522" w14:textId="77777777" w:rsidR="007E5AA1" w:rsidRDefault="007E5AA1" w:rsidP="008520FE">
            <w:pPr>
              <w:spacing w:before="40" w:after="40"/>
              <w:jc w:val="left"/>
              <w:rPr>
                <w:rFonts w:cs="Arial"/>
                <w:sz w:val="18"/>
                <w:szCs w:val="18"/>
                <w:highlight w:val="lightGray"/>
                <w:u w:val="single"/>
              </w:rPr>
            </w:pPr>
            <w:r w:rsidRPr="00F56A7F">
              <w:rPr>
                <w:rFonts w:cs="Arial"/>
                <w:sz w:val="18"/>
                <w:szCs w:val="18"/>
                <w:highlight w:val="lightGray"/>
                <w:u w:val="single"/>
              </w:rPr>
              <w:t>PRUNU_DUL</w:t>
            </w:r>
          </w:p>
          <w:p w14:paraId="324AACB8" w14:textId="77777777" w:rsidR="008520FE" w:rsidRPr="00F56A7F" w:rsidRDefault="008520FE" w:rsidP="008520FE">
            <w:pPr>
              <w:spacing w:before="40" w:after="40"/>
              <w:jc w:val="left"/>
              <w:rPr>
                <w:rFonts w:cs="Arial"/>
                <w:sz w:val="18"/>
                <w:szCs w:val="18"/>
                <w:highlight w:val="lightGray"/>
                <w:u w:val="single"/>
              </w:rPr>
            </w:pPr>
          </w:p>
          <w:p w14:paraId="562DF68E" w14:textId="21A92B18" w:rsidR="008520FE" w:rsidRPr="00DC6FAC" w:rsidRDefault="007E5AA1" w:rsidP="00DC6FAC">
            <w:pPr>
              <w:spacing w:before="40" w:after="120"/>
              <w:jc w:val="left"/>
              <w:rPr>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7E5AA1" w:rsidRPr="00F56A7F" w14:paraId="45B9D135" w14:textId="77777777" w:rsidTr="00DC6FAC">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2D1CC7BE" w14:textId="77777777" w:rsidR="007E5AA1" w:rsidRPr="00F56A7F" w:rsidRDefault="007E5AA1" w:rsidP="008520FE">
            <w:pPr>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6.4</w:t>
            </w:r>
          </w:p>
        </w:tc>
        <w:tc>
          <w:tcPr>
            <w:tcW w:w="4252"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44278343" w14:textId="77777777" w:rsidR="007E5AA1" w:rsidRPr="00F56A7F" w:rsidRDefault="007E5AA1" w:rsidP="008520FE">
            <w:pPr>
              <w:spacing w:before="40" w:after="40"/>
              <w:jc w:val="left"/>
              <w:rPr>
                <w:rFonts w:cs="Arial"/>
                <w:sz w:val="18"/>
                <w:szCs w:val="18"/>
                <w:highlight w:val="lightGray"/>
                <w:u w:val="single"/>
              </w:rPr>
            </w:pPr>
            <w:r w:rsidRPr="00F56A7F">
              <w:rPr>
                <w:rFonts w:cs="Arial"/>
                <w:i/>
                <w:sz w:val="18"/>
                <w:szCs w:val="18"/>
                <w:highlight w:val="lightGray"/>
                <w:u w:val="single"/>
              </w:rPr>
              <w:t>Prunus</w:t>
            </w:r>
            <w:r w:rsidRPr="00F56A7F">
              <w:rPr>
                <w:rFonts w:cs="Arial"/>
                <w:sz w:val="18"/>
                <w:szCs w:val="18"/>
                <w:highlight w:val="lightGray"/>
                <w:u w:val="single"/>
              </w:rPr>
              <w:t xml:space="preserve"> other than classes 6.1, 6.2 and 6.3, including PRUNU in more than one class.</w:t>
            </w:r>
          </w:p>
        </w:tc>
        <w:tc>
          <w:tcPr>
            <w:tcW w:w="3969"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AE386DE" w14:textId="77777777" w:rsidR="007E5AA1" w:rsidRPr="00F56A7F" w:rsidRDefault="007E5AA1" w:rsidP="00DC6FAC">
            <w:pPr>
              <w:spacing w:before="40" w:after="120"/>
              <w:jc w:val="left"/>
              <w:rPr>
                <w:rFonts w:cs="Arial"/>
                <w:sz w:val="18"/>
                <w:szCs w:val="18"/>
                <w:highlight w:val="lightGray"/>
                <w:u w:val="single"/>
              </w:rPr>
            </w:pPr>
            <w:r w:rsidRPr="00F56A7F">
              <w:rPr>
                <w:rFonts w:cs="Arial"/>
                <w:sz w:val="18"/>
                <w:szCs w:val="18"/>
                <w:highlight w:val="lightGray"/>
                <w:u w:val="single"/>
              </w:rPr>
              <w:t xml:space="preserve">other than classes 6.1, 6.2 and 6.3, including PRUNU in more than one class.  </w:t>
            </w:r>
          </w:p>
        </w:tc>
      </w:tr>
    </w:tbl>
    <w:p w14:paraId="61446650" w14:textId="77777777" w:rsidR="00FD690C" w:rsidRDefault="00FD690C" w:rsidP="006C5855"/>
    <w:p w14:paraId="1F56916A" w14:textId="77777777" w:rsidR="00FD690C" w:rsidRDefault="00FD690C" w:rsidP="006C5855"/>
    <w:p w14:paraId="569388D6" w14:textId="181601FA" w:rsidR="006C5855" w:rsidRPr="00F56A7F" w:rsidRDefault="006C5855" w:rsidP="006C5855">
      <w:r w:rsidRPr="00F56A7F">
        <w:lastRenderedPageBreak/>
        <w:fldChar w:fldCharType="begin"/>
      </w:r>
      <w:r w:rsidRPr="00F56A7F">
        <w:instrText xml:space="preserve"> AUTONUM  </w:instrText>
      </w:r>
      <w:r w:rsidRPr="00F56A7F">
        <w:fldChar w:fldCharType="end"/>
      </w:r>
      <w:r w:rsidRPr="00F56A7F">
        <w:tab/>
        <w:t xml:space="preserve">The TC considered the proposed explanation that “denominations of interspecific hybrids </w:t>
      </w:r>
      <w:r w:rsidR="00A91429">
        <w:t>must</w:t>
      </w:r>
      <w:r w:rsidRPr="00F56A7F">
        <w:t xml:space="preserve"> be different from denominations in the denomination classes of all the parent species” and agreed that the situation was applicable to all the genera in the list of classes within a genus and not only to </w:t>
      </w:r>
      <w:r w:rsidRPr="00F56A7F">
        <w:rPr>
          <w:i/>
          <w:iCs/>
        </w:rPr>
        <w:t>Prunus</w:t>
      </w:r>
      <w:r w:rsidR="004E3A6E">
        <w:t xml:space="preserve"> (see document TC/59/28 “Report”, paragraphs 23 to 25)</w:t>
      </w:r>
      <w:r w:rsidRPr="00F56A7F">
        <w:rPr>
          <w:i/>
          <w:iCs/>
        </w:rPr>
        <w:t>.</w:t>
      </w:r>
      <w:r w:rsidRPr="00F56A7F">
        <w:t xml:space="preserve"> </w:t>
      </w:r>
    </w:p>
    <w:p w14:paraId="74F56E1A" w14:textId="77777777" w:rsidR="006C5855" w:rsidRDefault="006C5855" w:rsidP="006C5855"/>
    <w:p w14:paraId="51D16BE9" w14:textId="77777777" w:rsidR="001D339E" w:rsidRPr="0044353D" w:rsidRDefault="001D339E" w:rsidP="001D339E">
      <w:r>
        <w:fldChar w:fldCharType="begin"/>
      </w:r>
      <w:r>
        <w:instrText xml:space="preserve"> AUTONUM  </w:instrText>
      </w:r>
      <w:r>
        <w:fldChar w:fldCharType="end"/>
      </w:r>
      <w:r>
        <w:tab/>
      </w:r>
      <w:r w:rsidRPr="0044353D">
        <w:t>The TC agreed to invite the TWPs, at their sessions in 2024, to consider other situations when a denomination should be compared with denominations in other classes within a genus or the entire genus, such as:</w:t>
      </w:r>
    </w:p>
    <w:p w14:paraId="6A259FCF" w14:textId="77777777" w:rsidR="001D339E" w:rsidRPr="0044353D" w:rsidRDefault="001D339E" w:rsidP="001D339E"/>
    <w:p w14:paraId="4070C40E" w14:textId="77777777" w:rsidR="001D339E" w:rsidRPr="0044353D" w:rsidRDefault="001D339E" w:rsidP="001D339E">
      <w:pPr>
        <w:pStyle w:val="ListParagraph"/>
        <w:numPr>
          <w:ilvl w:val="0"/>
          <w:numId w:val="3"/>
        </w:numPr>
      </w:pPr>
      <w:r w:rsidRPr="0044353D">
        <w:t>Denominations for varieties identified at genus level only, where the variety belongs to one of the genera included in the following list of “Classes within a genus” must be different from denominations within that genus.</w:t>
      </w:r>
    </w:p>
    <w:p w14:paraId="411E3097" w14:textId="77777777" w:rsidR="001D339E" w:rsidRPr="0044353D" w:rsidRDefault="001D339E" w:rsidP="001D339E"/>
    <w:p w14:paraId="3E3AF316" w14:textId="77777777" w:rsidR="001D339E" w:rsidRPr="0044353D" w:rsidRDefault="001D339E" w:rsidP="001D339E">
      <w:pPr>
        <w:pStyle w:val="ListParagraph"/>
        <w:numPr>
          <w:ilvl w:val="0"/>
          <w:numId w:val="3"/>
        </w:numPr>
      </w:pPr>
      <w:r w:rsidRPr="0044353D">
        <w:t>Denominations for varieties belonging to one of the “Classes within a genus” must be different from all denominations for varieties identified at genus level only.</w:t>
      </w:r>
    </w:p>
    <w:p w14:paraId="768C71D9" w14:textId="77777777" w:rsidR="001D339E" w:rsidRPr="0044353D" w:rsidRDefault="001D339E" w:rsidP="001D339E"/>
    <w:p w14:paraId="04F89064" w14:textId="77777777" w:rsidR="001D339E" w:rsidRPr="0044353D" w:rsidRDefault="001D339E" w:rsidP="001D339E">
      <w:pPr>
        <w:pStyle w:val="ListParagraph"/>
        <w:numPr>
          <w:ilvl w:val="0"/>
          <w:numId w:val="3"/>
        </w:numPr>
      </w:pPr>
      <w:r w:rsidRPr="0044353D">
        <w:t>Denominations of interspecific hybrids must be different from denominations of varieties in classes of all the parent species.</w:t>
      </w:r>
    </w:p>
    <w:p w14:paraId="4EC7F7DC" w14:textId="77777777" w:rsidR="001D339E" w:rsidRPr="0044353D" w:rsidRDefault="001D339E" w:rsidP="001D339E"/>
    <w:p w14:paraId="687CA137" w14:textId="77777777" w:rsidR="001D339E" w:rsidRPr="0044353D" w:rsidRDefault="001D339E" w:rsidP="001D339E">
      <w:pPr>
        <w:pStyle w:val="ListParagraph"/>
        <w:numPr>
          <w:ilvl w:val="0"/>
          <w:numId w:val="3"/>
        </w:numPr>
      </w:pPr>
      <w:r w:rsidRPr="0044353D">
        <w:t>Denominations for varieties belonging to one of the “Classes within a genus” must be different from all denominations for varieties of interspecific hybrids with at least one parent species within that class.</w:t>
      </w:r>
    </w:p>
    <w:p w14:paraId="1041A335" w14:textId="77777777" w:rsidR="001D339E" w:rsidRPr="0044353D" w:rsidRDefault="001D339E" w:rsidP="001D339E"/>
    <w:p w14:paraId="194898B4" w14:textId="022E78D4" w:rsidR="00246C06" w:rsidRDefault="00246C06" w:rsidP="001D339E">
      <w:r w:rsidRPr="0044353D">
        <w:fldChar w:fldCharType="begin"/>
      </w:r>
      <w:r w:rsidRPr="0044353D">
        <w:instrText xml:space="preserve"> AUTONUM  </w:instrText>
      </w:r>
      <w:r w:rsidRPr="0044353D">
        <w:fldChar w:fldCharType="end"/>
      </w:r>
      <w:r w:rsidRPr="0044353D">
        <w:tab/>
        <w:t xml:space="preserve">Guidance on the situations when a denomination should be compared with denominations in other classes within a genus or the entire genus would be considered for inclusion in document </w:t>
      </w:r>
      <w:r w:rsidR="004037AB" w:rsidRPr="0044353D">
        <w:t>UPOV/EXN/DEN “Explanatory Notes on Variety Denominations under the UPOV Convention” for</w:t>
      </w:r>
      <w:r w:rsidRPr="0044353D">
        <w:t xml:space="preserve"> all the genera in the list of classes within a genus</w:t>
      </w:r>
      <w:r w:rsidR="004037AB" w:rsidRPr="0044353D">
        <w:t>.</w:t>
      </w:r>
    </w:p>
    <w:p w14:paraId="59849574" w14:textId="77777777" w:rsidR="008F4F2F" w:rsidRDefault="008F4F2F" w:rsidP="001D339E"/>
    <w:p w14:paraId="1B764946" w14:textId="349C7C16" w:rsidR="001D339E" w:rsidRPr="00D42A0D" w:rsidRDefault="001D339E" w:rsidP="00D42A0D">
      <w:pPr>
        <w:tabs>
          <w:tab w:val="left" w:pos="5387"/>
        </w:tabs>
        <w:ind w:left="4820"/>
        <w:rPr>
          <w:i/>
          <w:iCs/>
        </w:rPr>
      </w:pPr>
      <w:r w:rsidRPr="00D42A0D">
        <w:rPr>
          <w:i/>
          <w:iCs/>
        </w:rPr>
        <w:fldChar w:fldCharType="begin"/>
      </w:r>
      <w:r w:rsidRPr="00D42A0D">
        <w:rPr>
          <w:i/>
          <w:iCs/>
        </w:rPr>
        <w:instrText xml:space="preserve"> AUTONUM  </w:instrText>
      </w:r>
      <w:r w:rsidRPr="00D42A0D">
        <w:rPr>
          <w:i/>
          <w:iCs/>
        </w:rPr>
        <w:fldChar w:fldCharType="end"/>
      </w:r>
      <w:r w:rsidRPr="00D42A0D">
        <w:rPr>
          <w:i/>
          <w:iCs/>
        </w:rPr>
        <w:tab/>
      </w:r>
      <w:r w:rsidR="00D42A0D" w:rsidRPr="00D42A0D">
        <w:rPr>
          <w:i/>
          <w:iCs/>
        </w:rPr>
        <w:t xml:space="preserve">The TWPs are invited to consider situations when a denomination should be compared with denominations in other classes within a genus or the entire genus, as set out in </w:t>
      </w:r>
      <w:r w:rsidR="00D42A0D" w:rsidRPr="00911270">
        <w:rPr>
          <w:i/>
          <w:iCs/>
        </w:rPr>
        <w:t>paragraph 1</w:t>
      </w:r>
      <w:r w:rsidR="0044353D" w:rsidRPr="00911270">
        <w:rPr>
          <w:i/>
          <w:iCs/>
        </w:rPr>
        <w:t>1</w:t>
      </w:r>
      <w:r w:rsidR="00D42A0D" w:rsidRPr="00E6491B">
        <w:rPr>
          <w:i/>
          <w:iCs/>
        </w:rPr>
        <w:t xml:space="preserve"> of</w:t>
      </w:r>
      <w:r w:rsidR="00D42A0D" w:rsidRPr="00D42A0D">
        <w:rPr>
          <w:i/>
          <w:iCs/>
        </w:rPr>
        <w:t xml:space="preserve"> this document. </w:t>
      </w:r>
    </w:p>
    <w:p w14:paraId="43404040" w14:textId="77777777" w:rsidR="001D339E" w:rsidRPr="00F56A7F" w:rsidRDefault="001D339E" w:rsidP="006C5855"/>
    <w:p w14:paraId="2CE79946" w14:textId="77777777" w:rsidR="006C5855" w:rsidRPr="00F56A7F" w:rsidRDefault="006C5855" w:rsidP="006C5855"/>
    <w:p w14:paraId="4BEFEF7D" w14:textId="77777777" w:rsidR="006C5855" w:rsidRPr="00F56A7F" w:rsidRDefault="006C5855" w:rsidP="007C740C">
      <w:pPr>
        <w:pStyle w:val="Heading2"/>
      </w:pPr>
      <w:bookmarkStart w:id="9" w:name="_Toc144998023"/>
      <w:bookmarkStart w:id="10" w:name="_Toc162975789"/>
      <w:r w:rsidRPr="00F56A7F">
        <w:t>(b)</w:t>
      </w:r>
      <w:r w:rsidRPr="00F56A7F">
        <w:tab/>
        <w:t>TGP Documents</w:t>
      </w:r>
      <w:bookmarkEnd w:id="9"/>
      <w:bookmarkEnd w:id="10"/>
      <w:r w:rsidRPr="00F56A7F">
        <w:t xml:space="preserve"> </w:t>
      </w:r>
    </w:p>
    <w:p w14:paraId="4EC37F2D" w14:textId="77777777" w:rsidR="006C5855" w:rsidRPr="00F56A7F" w:rsidRDefault="006C5855" w:rsidP="00504E9D">
      <w:pPr>
        <w:keepNext/>
      </w:pPr>
    </w:p>
    <w:p w14:paraId="3CF2C959" w14:textId="77777777" w:rsidR="006C5855" w:rsidRPr="00F56A7F" w:rsidRDefault="006C5855" w:rsidP="007C740C">
      <w:pPr>
        <w:pStyle w:val="Heading3"/>
        <w:rPr>
          <w:i w:val="0"/>
        </w:rPr>
      </w:pPr>
      <w:bookmarkStart w:id="11" w:name="_Toc162975790"/>
      <w:r w:rsidRPr="00F56A7F">
        <w:t>TGP/5: Section 6 “UPOV Report on Technical Examination and UPOV Variety Description” (Revision)</w:t>
      </w:r>
      <w:bookmarkEnd w:id="11"/>
    </w:p>
    <w:p w14:paraId="42E63D3E" w14:textId="77777777" w:rsidR="00682866" w:rsidRDefault="00682866" w:rsidP="00682866">
      <w:pPr>
        <w:keepNext/>
      </w:pPr>
    </w:p>
    <w:p w14:paraId="6AB21985" w14:textId="2372A4DE" w:rsidR="00CC2D47" w:rsidRDefault="00CC2D47" w:rsidP="00CC2D47">
      <w:pPr>
        <w:pStyle w:val="Heading4"/>
      </w:pPr>
      <w:bookmarkStart w:id="12" w:name="_Toc162975791"/>
      <w:r>
        <w:t>Background</w:t>
      </w:r>
      <w:bookmarkEnd w:id="12"/>
    </w:p>
    <w:p w14:paraId="3E380AB8" w14:textId="77777777" w:rsidR="00CC2D47" w:rsidRDefault="00CC2D47" w:rsidP="00682866">
      <w:pPr>
        <w:keepNext/>
      </w:pPr>
    </w:p>
    <w:p w14:paraId="15C85A1A" w14:textId="2CFBE24B" w:rsidR="00682866" w:rsidRDefault="00682866" w:rsidP="00682866">
      <w:pPr>
        <w:keepNext/>
      </w:pPr>
      <w:r>
        <w:fldChar w:fldCharType="begin"/>
      </w:r>
      <w:r>
        <w:instrText xml:space="preserve"> AUTONUM  </w:instrText>
      </w:r>
      <w:r>
        <w:fldChar w:fldCharType="end"/>
      </w:r>
      <w:r>
        <w:tab/>
        <w:t xml:space="preserve">To facilitate cooperation in DUS testing as considered appropriate by members of the Union, UPOV has developed document TGP/5 “Experience and Cooperation in DUS Testing”, which contains </w:t>
      </w:r>
      <w:r w:rsidRPr="001506C2">
        <w:t>Section 6 “UPOV</w:t>
      </w:r>
      <w:r w:rsidR="00E6491B">
        <w:t> </w:t>
      </w:r>
      <w:r w:rsidRPr="001506C2">
        <w:t>Report on Technical Examination and UPOV Variety Description”</w:t>
      </w:r>
      <w:r>
        <w:t xml:space="preserve">.  </w:t>
      </w:r>
      <w:r w:rsidR="00246C06">
        <w:t>Document TGP/5, Section 6,</w:t>
      </w:r>
      <w:r>
        <w:t xml:space="preserve"> provides </w:t>
      </w:r>
      <w:r w:rsidR="00246C06">
        <w:t>an information</w:t>
      </w:r>
      <w:r>
        <w:t xml:space="preserve"> template for authorities to </w:t>
      </w:r>
      <w:proofErr w:type="gramStart"/>
      <w:r>
        <w:t>take into account</w:t>
      </w:r>
      <w:proofErr w:type="gramEnd"/>
      <w:r>
        <w:t xml:space="preserve"> the results of growing trials, or other tests, which have already been carried out by another member of the Union. </w:t>
      </w:r>
    </w:p>
    <w:p w14:paraId="2624D155" w14:textId="77777777" w:rsidR="00F11D4D" w:rsidRDefault="00F11D4D" w:rsidP="00F56A7F">
      <w:pPr>
        <w:keepNext/>
      </w:pPr>
    </w:p>
    <w:p w14:paraId="7A33A050" w14:textId="210669E6" w:rsidR="00F56A7F" w:rsidRPr="00F56A7F" w:rsidRDefault="00F56A7F" w:rsidP="00F56A7F">
      <w:pPr>
        <w:pStyle w:val="Heading4"/>
        <w:rPr>
          <w:snapToGrid w:val="0"/>
        </w:rPr>
      </w:pPr>
      <w:bookmarkStart w:id="13" w:name="_Toc162975792"/>
      <w:r>
        <w:rPr>
          <w:snapToGrid w:val="0"/>
        </w:rPr>
        <w:t>Subsection “UPOV Variety Description”, item 16</w:t>
      </w:r>
      <w:r w:rsidR="00BC18CB">
        <w:rPr>
          <w:snapToGrid w:val="0"/>
        </w:rPr>
        <w:t xml:space="preserve"> “Similar varieties and differences from these varieties”</w:t>
      </w:r>
      <w:bookmarkEnd w:id="13"/>
    </w:p>
    <w:p w14:paraId="323A2183" w14:textId="77777777" w:rsidR="003B0E07" w:rsidRDefault="003B0E07" w:rsidP="003B0E07">
      <w:pPr>
        <w:rPr>
          <w:rFonts w:cs="Arial"/>
        </w:rPr>
      </w:pPr>
    </w:p>
    <w:p w14:paraId="79E595FC" w14:textId="2D5A60F4" w:rsidR="00746C7E" w:rsidRDefault="00746C7E" w:rsidP="003B0E07">
      <w:pPr>
        <w:rPr>
          <w:rFonts w:cs="Arial"/>
        </w:rPr>
      </w:pPr>
      <w:r>
        <w:rPr>
          <w:rFonts w:cs="Arial"/>
        </w:rPr>
        <w:fldChar w:fldCharType="begin"/>
      </w:r>
      <w:r>
        <w:rPr>
          <w:rFonts w:cs="Arial"/>
        </w:rPr>
        <w:instrText xml:space="preserve"> AUTONUM  </w:instrText>
      </w:r>
      <w:r>
        <w:rPr>
          <w:rFonts w:cs="Arial"/>
        </w:rPr>
        <w:fldChar w:fldCharType="end"/>
      </w:r>
      <w:r>
        <w:rPr>
          <w:rFonts w:cs="Arial"/>
        </w:rPr>
        <w:tab/>
        <w:t>The “UPOV Variety Description” in document TGP/5, Section 6, invites the reporting authority to provide the following information</w:t>
      </w:r>
      <w:r w:rsidR="00682866">
        <w:rPr>
          <w:rFonts w:cs="Arial"/>
        </w:rPr>
        <w:t xml:space="preserve"> under item 16</w:t>
      </w:r>
      <w:r>
        <w:rPr>
          <w:rFonts w:cs="Arial"/>
        </w:rPr>
        <w:t xml:space="preserve">: </w:t>
      </w:r>
    </w:p>
    <w:p w14:paraId="3BCB7CE4" w14:textId="77777777" w:rsidR="00746C7E" w:rsidRDefault="00746C7E" w:rsidP="003B0E07">
      <w:pPr>
        <w:rPr>
          <w:rFonts w:cs="Arial"/>
        </w:rPr>
      </w:pPr>
    </w:p>
    <w:p w14:paraId="66ABF179" w14:textId="0655C4E9" w:rsidR="00746C7E" w:rsidRPr="00E76F45" w:rsidRDefault="00746C7E" w:rsidP="003B0E07">
      <w:pPr>
        <w:rPr>
          <w:rFonts w:cs="Arial"/>
          <w:sz w:val="18"/>
          <w:szCs w:val="18"/>
        </w:rPr>
      </w:pPr>
      <w:r w:rsidRPr="00E76F45">
        <w:rPr>
          <w:rFonts w:cs="Arial"/>
          <w:sz w:val="18"/>
          <w:szCs w:val="18"/>
        </w:rPr>
        <w:tab/>
        <w:t>[…]</w:t>
      </w:r>
    </w:p>
    <w:p w14:paraId="7B246698" w14:textId="6BCD2D0D" w:rsidR="003B0E07" w:rsidRPr="00C02F23" w:rsidRDefault="00746C7E" w:rsidP="00746C7E">
      <w:pPr>
        <w:ind w:right="425"/>
        <w:rPr>
          <w:rFonts w:cs="Arial"/>
          <w:sz w:val="18"/>
          <w:szCs w:val="18"/>
        </w:rPr>
      </w:pPr>
      <w:r w:rsidRPr="00C02F23">
        <w:rPr>
          <w:rFonts w:cs="Arial"/>
          <w:sz w:val="18"/>
          <w:szCs w:val="18"/>
        </w:rPr>
        <w:tab/>
      </w:r>
      <w:r w:rsidR="00B96B90" w:rsidRPr="00C02F23">
        <w:rPr>
          <w:rFonts w:cs="Arial"/>
          <w:sz w:val="18"/>
          <w:szCs w:val="18"/>
        </w:rPr>
        <w:t>“</w:t>
      </w:r>
      <w:r w:rsidR="003B0E07" w:rsidRPr="00C02F23">
        <w:rPr>
          <w:rFonts w:cs="Arial"/>
          <w:sz w:val="18"/>
          <w:szCs w:val="18"/>
        </w:rPr>
        <w:t>16.</w:t>
      </w:r>
      <w:r w:rsidR="003B0E07" w:rsidRPr="00C02F23">
        <w:rPr>
          <w:rFonts w:cs="Arial"/>
          <w:sz w:val="18"/>
          <w:szCs w:val="18"/>
        </w:rPr>
        <w:tab/>
      </w:r>
      <w:r w:rsidR="003B0E07" w:rsidRPr="00C02F23">
        <w:rPr>
          <w:rFonts w:cs="Arial"/>
          <w:sz w:val="18"/>
          <w:szCs w:val="18"/>
          <w:u w:val="single"/>
        </w:rPr>
        <w:t>Similar Varieties and Differences from These Varieties</w:t>
      </w:r>
    </w:p>
    <w:p w14:paraId="3E80C46A" w14:textId="77777777" w:rsidR="003B0E07" w:rsidRPr="00C02F23" w:rsidRDefault="003B0E07" w:rsidP="00746C7E">
      <w:pPr>
        <w:ind w:right="425"/>
        <w:rPr>
          <w:rFonts w:cs="Arial"/>
          <w:sz w:val="18"/>
          <w:szCs w:val="18"/>
        </w:rPr>
      </w:pPr>
    </w:p>
    <w:tbl>
      <w:tblPr>
        <w:tblW w:w="8647"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1985"/>
        <w:gridCol w:w="2126"/>
        <w:gridCol w:w="2410"/>
        <w:gridCol w:w="2126"/>
      </w:tblGrid>
      <w:tr w:rsidR="003B0E07" w:rsidRPr="00C02F23" w14:paraId="7CA45A01" w14:textId="77777777" w:rsidTr="00C02F23">
        <w:tc>
          <w:tcPr>
            <w:tcW w:w="1985" w:type="dxa"/>
            <w:vAlign w:val="center"/>
          </w:tcPr>
          <w:p w14:paraId="6CFBDF43" w14:textId="77777777" w:rsidR="003B0E07" w:rsidRPr="00C02F23" w:rsidRDefault="003B0E07" w:rsidP="00E66E45">
            <w:pPr>
              <w:ind w:right="73"/>
              <w:jc w:val="center"/>
              <w:rPr>
                <w:rFonts w:cs="Arial"/>
                <w:sz w:val="18"/>
                <w:szCs w:val="18"/>
              </w:rPr>
            </w:pPr>
            <w:r w:rsidRPr="00C02F23">
              <w:rPr>
                <w:rFonts w:cs="Arial"/>
                <w:sz w:val="18"/>
                <w:szCs w:val="18"/>
              </w:rPr>
              <w:t>Denomination(s) of variety(</w:t>
            </w:r>
            <w:proofErr w:type="spellStart"/>
            <w:r w:rsidRPr="00C02F23">
              <w:rPr>
                <w:rFonts w:cs="Arial"/>
                <w:sz w:val="18"/>
                <w:szCs w:val="18"/>
              </w:rPr>
              <w:t>ies</w:t>
            </w:r>
            <w:proofErr w:type="spellEnd"/>
            <w:r w:rsidRPr="00C02F23">
              <w:rPr>
                <w:rFonts w:cs="Arial"/>
                <w:sz w:val="18"/>
                <w:szCs w:val="18"/>
              </w:rPr>
              <w:t>) similar to the candidate variety</w:t>
            </w:r>
          </w:p>
        </w:tc>
        <w:tc>
          <w:tcPr>
            <w:tcW w:w="2126" w:type="dxa"/>
            <w:vAlign w:val="center"/>
          </w:tcPr>
          <w:p w14:paraId="15B0F57E" w14:textId="77777777" w:rsidR="003B0E07" w:rsidRPr="00C02F23" w:rsidRDefault="003B0E07" w:rsidP="00E66E45">
            <w:pPr>
              <w:jc w:val="center"/>
              <w:rPr>
                <w:rFonts w:cs="Arial"/>
                <w:sz w:val="18"/>
                <w:szCs w:val="18"/>
              </w:rPr>
            </w:pPr>
            <w:r w:rsidRPr="00C02F23">
              <w:rPr>
                <w:rFonts w:cs="Arial"/>
                <w:sz w:val="18"/>
                <w:szCs w:val="18"/>
              </w:rPr>
              <w:t>Characteristic(s) in which the candidate variety differs from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1)</w:t>
            </w:r>
          </w:p>
        </w:tc>
        <w:tc>
          <w:tcPr>
            <w:tcW w:w="2410" w:type="dxa"/>
            <w:vAlign w:val="center"/>
          </w:tcPr>
          <w:p w14:paraId="40C6A8D5" w14:textId="77777777" w:rsidR="003B0E07" w:rsidRPr="00C02F23" w:rsidRDefault="003B0E07" w:rsidP="00E66E45">
            <w:pPr>
              <w:ind w:right="171"/>
              <w:jc w:val="center"/>
              <w:rPr>
                <w:rFonts w:cs="Arial"/>
                <w:sz w:val="18"/>
                <w:szCs w:val="18"/>
              </w:rPr>
            </w:pPr>
            <w:r w:rsidRPr="00C02F23">
              <w:rPr>
                <w:rFonts w:cs="Arial"/>
                <w:sz w:val="18"/>
                <w:szCs w:val="18"/>
              </w:rPr>
              <w:t>State of expression of the characteristic(s) for the similar variety(</w:t>
            </w:r>
            <w:proofErr w:type="spellStart"/>
            <w:r w:rsidRPr="00C02F23">
              <w:rPr>
                <w:rFonts w:cs="Arial"/>
                <w:sz w:val="18"/>
                <w:szCs w:val="18"/>
              </w:rPr>
              <w:t>ies</w:t>
            </w:r>
            <w:proofErr w:type="spellEnd"/>
            <w:r w:rsidRPr="00C02F23">
              <w:rPr>
                <w:rFonts w:cs="Arial"/>
                <w:sz w:val="18"/>
                <w:szCs w:val="18"/>
              </w:rPr>
              <w:t>)</w:t>
            </w:r>
            <w:r w:rsidRPr="00C02F23">
              <w:rPr>
                <w:rFonts w:cs="Arial"/>
                <w:sz w:val="18"/>
                <w:szCs w:val="18"/>
                <w:vertAlign w:val="superscript"/>
              </w:rPr>
              <w:t xml:space="preserve"> 2)</w:t>
            </w:r>
          </w:p>
        </w:tc>
        <w:tc>
          <w:tcPr>
            <w:tcW w:w="2126" w:type="dxa"/>
            <w:vAlign w:val="center"/>
          </w:tcPr>
          <w:p w14:paraId="2047C6DA" w14:textId="77777777" w:rsidR="003B0E07" w:rsidRPr="00C02F23" w:rsidRDefault="003B0E07" w:rsidP="00E66E45">
            <w:pPr>
              <w:jc w:val="center"/>
              <w:rPr>
                <w:rFonts w:cs="Arial"/>
                <w:sz w:val="18"/>
                <w:szCs w:val="18"/>
              </w:rPr>
            </w:pPr>
            <w:r w:rsidRPr="00C02F23">
              <w:rPr>
                <w:rFonts w:cs="Arial"/>
                <w:sz w:val="18"/>
                <w:szCs w:val="18"/>
              </w:rPr>
              <w:t>State of expression of the characteristic(s) for the candidate variety</w:t>
            </w:r>
            <w:r w:rsidRPr="00C02F23">
              <w:rPr>
                <w:rFonts w:cs="Arial"/>
                <w:sz w:val="18"/>
                <w:szCs w:val="18"/>
                <w:vertAlign w:val="superscript"/>
              </w:rPr>
              <w:t>2)</w:t>
            </w:r>
          </w:p>
        </w:tc>
      </w:tr>
    </w:tbl>
    <w:p w14:paraId="44C2EA9A" w14:textId="77777777" w:rsidR="00E66E45" w:rsidRPr="00C02F23" w:rsidRDefault="00E66E45" w:rsidP="00746C7E">
      <w:pPr>
        <w:ind w:right="425"/>
        <w:rPr>
          <w:rFonts w:cs="Arial"/>
          <w:sz w:val="18"/>
          <w:szCs w:val="18"/>
        </w:rPr>
      </w:pPr>
    </w:p>
    <w:p w14:paraId="4FF3E089" w14:textId="67C31D35" w:rsidR="003B0E07" w:rsidRPr="00C02F23" w:rsidRDefault="00B96B90" w:rsidP="00746C7E">
      <w:pPr>
        <w:ind w:left="567" w:right="425"/>
        <w:rPr>
          <w:rFonts w:cs="Arial"/>
          <w:sz w:val="18"/>
          <w:szCs w:val="18"/>
        </w:rPr>
      </w:pPr>
      <w:r w:rsidRPr="00C02F23">
        <w:rPr>
          <w:rFonts w:cs="Arial"/>
          <w:sz w:val="18"/>
          <w:szCs w:val="18"/>
        </w:rPr>
        <w:t>“</w:t>
      </w:r>
      <w:r w:rsidR="003B0E07" w:rsidRPr="00C02F23">
        <w:rPr>
          <w:rFonts w:cs="Arial"/>
          <w:sz w:val="18"/>
          <w:szCs w:val="18"/>
        </w:rPr>
        <w:t>1)</w:t>
      </w:r>
      <w:r w:rsidR="003B0E07" w:rsidRPr="00C02F23">
        <w:rPr>
          <w:rFonts w:cs="Arial"/>
          <w:sz w:val="18"/>
          <w:szCs w:val="18"/>
        </w:rPr>
        <w:tab/>
        <w:t>In the case of identical states of expression of both varieties, please indicate the size of the difference.</w:t>
      </w:r>
    </w:p>
    <w:p w14:paraId="59F9C7D4" w14:textId="77777777" w:rsidR="003B0E07" w:rsidRPr="00C02F23" w:rsidRDefault="003B0E07" w:rsidP="00746C7E">
      <w:pPr>
        <w:ind w:left="567" w:right="425"/>
        <w:rPr>
          <w:rFonts w:cs="Arial"/>
          <w:sz w:val="18"/>
          <w:szCs w:val="18"/>
        </w:rPr>
      </w:pPr>
    </w:p>
    <w:p w14:paraId="6813B169" w14:textId="48A8AE1E" w:rsidR="00746C7E" w:rsidRPr="00C02F23" w:rsidRDefault="00B96B90" w:rsidP="00B96B90">
      <w:pPr>
        <w:ind w:left="567" w:right="425"/>
        <w:rPr>
          <w:sz w:val="18"/>
          <w:szCs w:val="18"/>
          <w:lang w:val="en-GB"/>
        </w:rPr>
      </w:pPr>
      <w:r w:rsidRPr="00C02F23">
        <w:rPr>
          <w:sz w:val="18"/>
          <w:szCs w:val="18"/>
        </w:rPr>
        <w:t>“</w:t>
      </w:r>
      <w:r w:rsidR="003B0E07" w:rsidRPr="00C02F23">
        <w:rPr>
          <w:sz w:val="18"/>
          <w:szCs w:val="18"/>
          <w:lang w:val="en-GB"/>
        </w:rPr>
        <w:t>2)</w:t>
      </w:r>
      <w:r w:rsidR="003B0E07" w:rsidRPr="00C02F23">
        <w:rPr>
          <w:sz w:val="18"/>
          <w:szCs w:val="18"/>
          <w:lang w:val="en-GB"/>
        </w:rPr>
        <w:tab/>
        <w:t>The state of expression of the candidate variety and similar variety(</w:t>
      </w:r>
      <w:proofErr w:type="spellStart"/>
      <w:r w:rsidR="003B0E07" w:rsidRPr="00C02F23">
        <w:rPr>
          <w:sz w:val="18"/>
          <w:szCs w:val="18"/>
          <w:lang w:val="en-GB"/>
        </w:rPr>
        <w:t>ies</w:t>
      </w:r>
      <w:proofErr w:type="spellEnd"/>
      <w:r w:rsidR="003B0E07" w:rsidRPr="00C02F23">
        <w:rPr>
          <w:sz w:val="18"/>
          <w:szCs w:val="18"/>
          <w:lang w:val="en-GB"/>
        </w:rPr>
        <w:t xml:space="preserve">) relate to the DUS examination </w:t>
      </w:r>
      <w:r w:rsidRPr="00C02F23">
        <w:rPr>
          <w:sz w:val="18"/>
          <w:szCs w:val="18"/>
          <w:lang w:val="en-GB"/>
        </w:rPr>
        <w:t>conducted at the testing station, place and period of testing indicated in 11 and 12.”</w:t>
      </w:r>
    </w:p>
    <w:p w14:paraId="21DD6B44" w14:textId="77777777" w:rsidR="00B96B90" w:rsidRDefault="00B96B90" w:rsidP="00746C7E">
      <w:pPr>
        <w:ind w:left="567" w:right="425"/>
        <w:rPr>
          <w:sz w:val="18"/>
          <w:szCs w:val="18"/>
        </w:rPr>
      </w:pPr>
    </w:p>
    <w:p w14:paraId="62D93C61" w14:textId="77777777" w:rsidR="00D32D29" w:rsidRPr="00746C7E" w:rsidRDefault="00D32D29" w:rsidP="00746C7E">
      <w:pPr>
        <w:ind w:left="567" w:right="425"/>
        <w:rPr>
          <w:sz w:val="18"/>
          <w:szCs w:val="18"/>
        </w:rPr>
      </w:pPr>
    </w:p>
    <w:p w14:paraId="3FEDC41F" w14:textId="38A5CC3A" w:rsidR="00746C7E" w:rsidRDefault="00502D77" w:rsidP="00E66E45">
      <w:pPr>
        <w:ind w:right="425"/>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explanation is provided on item 16:</w:t>
      </w:r>
    </w:p>
    <w:p w14:paraId="3A95A6D3" w14:textId="77777777" w:rsidR="00502D77" w:rsidRPr="00E66E45" w:rsidRDefault="00502D77" w:rsidP="00E66E45">
      <w:pPr>
        <w:ind w:right="425"/>
        <w:rPr>
          <w:rFonts w:cs="Arial"/>
        </w:rPr>
      </w:pPr>
    </w:p>
    <w:p w14:paraId="1F89C190" w14:textId="4EFF1F03" w:rsidR="00746C7E" w:rsidRPr="00746C7E" w:rsidRDefault="00B96B90" w:rsidP="00E76F45">
      <w:pPr>
        <w:ind w:left="567" w:right="567"/>
        <w:rPr>
          <w:rFonts w:cs="Arial"/>
          <w:sz w:val="18"/>
          <w:szCs w:val="18"/>
        </w:rPr>
      </w:pPr>
      <w:r>
        <w:rPr>
          <w:rFonts w:cs="Arial"/>
          <w:sz w:val="18"/>
          <w:szCs w:val="18"/>
        </w:rPr>
        <w:t>“</w:t>
      </w:r>
      <w:r w:rsidR="00746C7E" w:rsidRPr="00746C7E">
        <w:rPr>
          <w:rFonts w:cs="Arial"/>
          <w:sz w:val="18"/>
          <w:szCs w:val="18"/>
        </w:rPr>
        <w:t>(d)</w:t>
      </w:r>
      <w:r w:rsidR="00746C7E" w:rsidRPr="00746C7E">
        <w:rPr>
          <w:rFonts w:cs="Arial"/>
          <w:sz w:val="18"/>
          <w:szCs w:val="18"/>
        </w:rPr>
        <w:tab/>
      </w:r>
      <w:r w:rsidR="00746C7E" w:rsidRPr="00746C7E">
        <w:rPr>
          <w:rFonts w:cs="Arial"/>
          <w:sz w:val="18"/>
          <w:szCs w:val="18"/>
          <w:u w:val="single"/>
        </w:rPr>
        <w:t>Ad Number 16 (Annex: UPOV Variety Description)</w:t>
      </w:r>
    </w:p>
    <w:p w14:paraId="02D38529" w14:textId="77777777" w:rsidR="00746C7E" w:rsidRPr="00746C7E" w:rsidRDefault="00746C7E" w:rsidP="00E76F45">
      <w:pPr>
        <w:ind w:left="567" w:right="567"/>
        <w:rPr>
          <w:rFonts w:cs="Arial"/>
          <w:sz w:val="18"/>
          <w:szCs w:val="18"/>
        </w:rPr>
      </w:pPr>
    </w:p>
    <w:p w14:paraId="07A83331" w14:textId="23BA4B57" w:rsidR="00746C7E" w:rsidRPr="00746C7E" w:rsidRDefault="00B96B90" w:rsidP="00E76F45">
      <w:pPr>
        <w:pStyle w:val="BlockText"/>
      </w:pPr>
      <w:r>
        <w:t>“</w:t>
      </w:r>
      <w:r w:rsidR="00746C7E" w:rsidRPr="00746C7E">
        <w:t xml:space="preserve">Only those characteristics that show sufficient differences to establish distinctness should be given.  Information on differences between two varieties should always contain the states of expression with their notes for both </w:t>
      </w:r>
      <w:proofErr w:type="gramStart"/>
      <w:r w:rsidR="00746C7E" w:rsidRPr="00746C7E">
        <w:t>varieties;  if</w:t>
      </w:r>
      <w:proofErr w:type="gramEnd"/>
      <w:r w:rsidR="00746C7E" w:rsidRPr="00746C7E">
        <w:t xml:space="preserve"> possible, in columns if more varieties are mentioned.</w:t>
      </w:r>
      <w:r>
        <w:t>”</w:t>
      </w:r>
    </w:p>
    <w:p w14:paraId="37D06263" w14:textId="77777777" w:rsidR="00CC2D47" w:rsidRDefault="00CC2D47" w:rsidP="0095591E"/>
    <w:p w14:paraId="6B0ECE04" w14:textId="77777777" w:rsidR="00F11D4D" w:rsidRDefault="00F11D4D" w:rsidP="00F11D4D">
      <w:r w:rsidRPr="00715657">
        <w:fldChar w:fldCharType="begin"/>
      </w:r>
      <w:r w:rsidRPr="00715657">
        <w:instrText xml:space="preserve"> AUTONUM  </w:instrText>
      </w:r>
      <w:r w:rsidRPr="00715657">
        <w:fldChar w:fldCharType="end"/>
      </w:r>
      <w:r>
        <w:tab/>
        <w:t xml:space="preserve">Further background to this matter is provided in </w:t>
      </w:r>
      <w:r w:rsidRPr="00911270">
        <w:t>Annex II t</w:t>
      </w:r>
      <w:r>
        <w:t>o this document.</w:t>
      </w:r>
    </w:p>
    <w:p w14:paraId="2AC0D518" w14:textId="77777777" w:rsidR="00F11D4D" w:rsidRDefault="00F11D4D" w:rsidP="0095591E"/>
    <w:p w14:paraId="36BC1425" w14:textId="40B81F09" w:rsidR="00F11D4D" w:rsidRDefault="00F11D4D" w:rsidP="00F11D4D">
      <w:pPr>
        <w:pStyle w:val="Heading4"/>
      </w:pPr>
      <w:bookmarkStart w:id="14" w:name="_Toc162975793"/>
      <w:r>
        <w:t>Proposal:</w:t>
      </w:r>
      <w:bookmarkEnd w:id="14"/>
    </w:p>
    <w:p w14:paraId="68B25F33" w14:textId="77777777" w:rsidR="00F11D4D" w:rsidRDefault="00F11D4D" w:rsidP="0095591E"/>
    <w:p w14:paraId="568A0AB2" w14:textId="5FDBD9CA" w:rsidR="00746C7E" w:rsidRDefault="0095591E" w:rsidP="00746C7E">
      <w:r w:rsidRPr="00911270">
        <w:fldChar w:fldCharType="begin"/>
      </w:r>
      <w:r w:rsidRPr="00911270">
        <w:instrText xml:space="preserve"> AUTONUM  </w:instrText>
      </w:r>
      <w:r w:rsidRPr="00911270">
        <w:fldChar w:fldCharType="end"/>
      </w:r>
      <w:r>
        <w:tab/>
      </w:r>
      <w:r w:rsidRPr="002B6407">
        <w:t>The TC</w:t>
      </w:r>
      <w:bookmarkStart w:id="15" w:name="_Ref162970555"/>
      <w:r w:rsidR="004E3A6E">
        <w:rPr>
          <w:rStyle w:val="FootnoteReference"/>
        </w:rPr>
        <w:footnoteReference w:id="7"/>
      </w:r>
      <w:bookmarkEnd w:id="15"/>
      <w:r w:rsidR="00C075CD">
        <w:t>, at its fifty-ninth session</w:t>
      </w:r>
      <w:r w:rsidR="003C5A8E" w:rsidRPr="003C5A8E">
        <w:rPr>
          <w:vertAlign w:val="superscript"/>
        </w:rPr>
        <w:fldChar w:fldCharType="begin"/>
      </w:r>
      <w:r w:rsidR="003C5A8E" w:rsidRPr="003C5A8E">
        <w:rPr>
          <w:vertAlign w:val="superscript"/>
        </w:rPr>
        <w:instrText xml:space="preserve"> NOTEREF _Ref162969248 \h </w:instrText>
      </w:r>
      <w:r w:rsidR="003C5A8E">
        <w:rPr>
          <w:vertAlign w:val="superscript"/>
        </w:rPr>
        <w:instrText xml:space="preserve"> \* MERGEFORMAT </w:instrText>
      </w:r>
      <w:r w:rsidR="003C5A8E" w:rsidRPr="003C5A8E">
        <w:rPr>
          <w:vertAlign w:val="superscript"/>
        </w:rPr>
      </w:r>
      <w:r w:rsidR="003C5A8E" w:rsidRPr="003C5A8E">
        <w:rPr>
          <w:vertAlign w:val="superscript"/>
        </w:rPr>
        <w:fldChar w:fldCharType="separate"/>
      </w:r>
      <w:r w:rsidR="00027BEE">
        <w:rPr>
          <w:vertAlign w:val="superscript"/>
        </w:rPr>
        <w:t>1</w:t>
      </w:r>
      <w:r w:rsidR="003C5A8E" w:rsidRPr="003C5A8E">
        <w:rPr>
          <w:vertAlign w:val="superscript"/>
        </w:rPr>
        <w:fldChar w:fldCharType="end"/>
      </w:r>
      <w:r w:rsidR="00C075CD">
        <w:t xml:space="preserve">, </w:t>
      </w:r>
      <w:r w:rsidRPr="002B6407">
        <w:t xml:space="preserve">agreed to invite the TWPs, at their sessions in 2024, to consider the </w:t>
      </w:r>
      <w:r w:rsidR="00B96B90">
        <w:t xml:space="preserve">following </w:t>
      </w:r>
      <w:r w:rsidR="00F514BB" w:rsidRPr="00F56A7F">
        <w:t>proposal</w:t>
      </w:r>
      <w:r w:rsidR="00F514BB">
        <w:t xml:space="preserve"> </w:t>
      </w:r>
      <w:r w:rsidR="00F514BB" w:rsidRPr="00F56A7F">
        <w:t xml:space="preserve">to </w:t>
      </w:r>
      <w:r w:rsidR="00F514BB">
        <w:t>include</w:t>
      </w:r>
      <w:r w:rsidR="00F514BB" w:rsidRPr="00F56A7F">
        <w:t xml:space="preserve"> additional explanations under item 16 “Similar varieties and differences from these varieties”</w:t>
      </w:r>
      <w:r w:rsidR="00F514BB">
        <w:t xml:space="preserve"> a</w:t>
      </w:r>
      <w:r>
        <w:t xml:space="preserve">nd whether </w:t>
      </w:r>
      <w:r w:rsidRPr="002B6407">
        <w:t>to provide further guidance on information about similar varieties considered in the examination</w:t>
      </w:r>
      <w:r w:rsidR="00F514BB">
        <w:t xml:space="preserve"> </w:t>
      </w:r>
      <w:r w:rsidR="00746C7E" w:rsidRPr="00F56A7F">
        <w:t xml:space="preserve">(additions indicated with highlighting and </w:t>
      </w:r>
      <w:r w:rsidR="00746C7E" w:rsidRPr="00F56A7F">
        <w:rPr>
          <w:highlight w:val="lightGray"/>
          <w:u w:val="single"/>
        </w:rPr>
        <w:t>underline</w:t>
      </w:r>
      <w:r w:rsidR="00746C7E" w:rsidRPr="00F56A7F">
        <w:t>):</w:t>
      </w:r>
    </w:p>
    <w:p w14:paraId="667F12A2" w14:textId="77777777" w:rsidR="003B0E07" w:rsidRDefault="003B0E07" w:rsidP="003B0E07">
      <w:pPr>
        <w:ind w:left="567" w:hanging="567"/>
        <w:rPr>
          <w:lang w:val="en-GB"/>
        </w:rPr>
      </w:pPr>
    </w:p>
    <w:p w14:paraId="28C82501" w14:textId="58574230" w:rsidR="003B0E07" w:rsidRPr="00F56A7F" w:rsidRDefault="003B0E07" w:rsidP="00E76F45">
      <w:pPr>
        <w:keepNext/>
        <w:numPr>
          <w:ilvl w:val="0"/>
          <w:numId w:val="4"/>
        </w:numPr>
        <w:spacing w:after="160" w:line="259" w:lineRule="auto"/>
        <w:ind w:left="1134" w:hanging="567"/>
        <w:rPr>
          <w:rFonts w:eastAsia="Calibri" w:cs="Arial"/>
          <w:snapToGrid w:val="0"/>
          <w:highlight w:val="lightGray"/>
          <w:u w:val="single"/>
        </w:rPr>
      </w:pPr>
      <w:r w:rsidRPr="00F56A7F">
        <w:rPr>
          <w:rFonts w:eastAsia="Calibri" w:cs="Arial"/>
          <w:snapToGrid w:val="0"/>
          <w:highlight w:val="lightGray"/>
          <w:u w:val="single"/>
        </w:rPr>
        <w:t>All similar/closest/reference varieties as determined by the Examiner. If there is no such variety(s), a sentence such as “No similar/closest variety was identified in the growing trial” should be stated.</w:t>
      </w:r>
    </w:p>
    <w:p w14:paraId="21405CD3" w14:textId="77777777" w:rsidR="003B0E07" w:rsidRPr="00F56A7F" w:rsidRDefault="003B0E07" w:rsidP="00E76F45">
      <w:pPr>
        <w:numPr>
          <w:ilvl w:val="0"/>
          <w:numId w:val="4"/>
        </w:numPr>
        <w:spacing w:after="160" w:line="259" w:lineRule="auto"/>
        <w:ind w:left="1134" w:hanging="567"/>
        <w:rPr>
          <w:rFonts w:eastAsia="Calibri" w:cs="Arial"/>
          <w:snapToGrid w:val="0"/>
          <w:highlight w:val="lightGray"/>
          <w:u w:val="single"/>
        </w:rPr>
      </w:pPr>
      <w:r w:rsidRPr="00F56A7F">
        <w:rPr>
          <w:rFonts w:eastAsia="Calibri" w:cs="Arial"/>
          <w:snapToGrid w:val="0"/>
          <w:highlight w:val="lightGray"/>
          <w:u w:val="single"/>
        </w:rPr>
        <w:t xml:space="preserve">Only varieties which have been tested under the same growing conditions as the candidate variety. </w:t>
      </w:r>
    </w:p>
    <w:p w14:paraId="3D35CCBD" w14:textId="77777777" w:rsidR="003B0E07" w:rsidRPr="00F56A7F" w:rsidRDefault="003B0E07" w:rsidP="00E76F45">
      <w:pPr>
        <w:numPr>
          <w:ilvl w:val="0"/>
          <w:numId w:val="4"/>
        </w:numPr>
        <w:spacing w:after="160" w:line="259" w:lineRule="auto"/>
        <w:ind w:left="1134" w:hanging="567"/>
        <w:rPr>
          <w:rFonts w:eastAsia="Calibri" w:cs="Arial"/>
          <w:snapToGrid w:val="0"/>
          <w:highlight w:val="lightGray"/>
          <w:u w:val="single"/>
        </w:rPr>
      </w:pPr>
      <w:r w:rsidRPr="00F56A7F">
        <w:rPr>
          <w:rFonts w:eastAsia="Calibri" w:cs="Arial"/>
          <w:snapToGrid w:val="0"/>
          <w:highlight w:val="lightGray"/>
          <w:u w:val="single"/>
        </w:rPr>
        <w:t xml:space="preserve">Varieties that express the least number of characteristic differences from the candidate variety. </w:t>
      </w:r>
    </w:p>
    <w:p w14:paraId="53FC5071" w14:textId="77777777" w:rsidR="003B0E07" w:rsidRPr="00F56A7F" w:rsidRDefault="003B0E07" w:rsidP="00E76F45">
      <w:pPr>
        <w:numPr>
          <w:ilvl w:val="0"/>
          <w:numId w:val="4"/>
        </w:numPr>
        <w:spacing w:line="259" w:lineRule="auto"/>
        <w:ind w:left="1134" w:hanging="567"/>
        <w:rPr>
          <w:highlight w:val="lightGray"/>
          <w:u w:val="single"/>
        </w:rPr>
      </w:pPr>
      <w:r w:rsidRPr="00F56A7F">
        <w:rPr>
          <w:rFonts w:eastAsia="Calibri" w:cs="Arial"/>
          <w:snapToGrid w:val="0"/>
          <w:highlight w:val="lightGray"/>
          <w:u w:val="single"/>
        </w:rPr>
        <w:t xml:space="preserve">All characteristics are treated equally, with all characteristics providing distinctness to be included for each similar variety. </w:t>
      </w:r>
    </w:p>
    <w:p w14:paraId="11A6DA77" w14:textId="77777777" w:rsidR="003B0E07" w:rsidRDefault="003B0E07" w:rsidP="00E76F45"/>
    <w:p w14:paraId="2988E9C6" w14:textId="77777777" w:rsidR="00E44F8A" w:rsidRDefault="00F514BB" w:rsidP="00E76F45">
      <w:pPr>
        <w:tabs>
          <w:tab w:val="left" w:pos="5387"/>
        </w:tabs>
        <w:ind w:left="4820"/>
        <w:rPr>
          <w:i/>
          <w:iCs/>
        </w:rPr>
      </w:pPr>
      <w:r w:rsidRPr="00D42A0D">
        <w:rPr>
          <w:i/>
          <w:iCs/>
        </w:rPr>
        <w:fldChar w:fldCharType="begin"/>
      </w:r>
      <w:r w:rsidRPr="00D42A0D">
        <w:rPr>
          <w:i/>
          <w:iCs/>
        </w:rPr>
        <w:instrText xml:space="preserve"> AUTONUM  </w:instrText>
      </w:r>
      <w:r w:rsidRPr="00D42A0D">
        <w:rPr>
          <w:i/>
          <w:iCs/>
        </w:rPr>
        <w:fldChar w:fldCharType="end"/>
      </w:r>
      <w:r w:rsidRPr="00D42A0D">
        <w:rPr>
          <w:i/>
          <w:iCs/>
        </w:rPr>
        <w:tab/>
        <w:t>The TWPs are invited to consider</w:t>
      </w:r>
      <w:r w:rsidR="00E44F8A">
        <w:rPr>
          <w:i/>
          <w:iCs/>
        </w:rPr>
        <w:t>:</w:t>
      </w:r>
    </w:p>
    <w:p w14:paraId="4D9C2B77" w14:textId="77777777" w:rsidR="00E44F8A" w:rsidRDefault="00E44F8A" w:rsidP="00F514BB">
      <w:pPr>
        <w:tabs>
          <w:tab w:val="left" w:pos="5387"/>
        </w:tabs>
        <w:ind w:left="4820"/>
        <w:rPr>
          <w:i/>
          <w:iCs/>
        </w:rPr>
      </w:pPr>
    </w:p>
    <w:p w14:paraId="57C724FE" w14:textId="7457A2C5" w:rsidR="00E44F8A" w:rsidRDefault="00F514BB" w:rsidP="00E44F8A">
      <w:pPr>
        <w:pStyle w:val="ListParagraph"/>
        <w:numPr>
          <w:ilvl w:val="0"/>
          <w:numId w:val="46"/>
        </w:numPr>
        <w:tabs>
          <w:tab w:val="left" w:pos="5387"/>
          <w:tab w:val="left" w:pos="5954"/>
        </w:tabs>
        <w:ind w:left="4962" w:firstLine="428"/>
        <w:rPr>
          <w:i/>
          <w:iCs/>
        </w:rPr>
      </w:pPr>
      <w:r w:rsidRPr="00E44F8A">
        <w:rPr>
          <w:i/>
          <w:iCs/>
        </w:rPr>
        <w:t xml:space="preserve">the additional explanations </w:t>
      </w:r>
      <w:r w:rsidR="00D17F3B" w:rsidRPr="00E44F8A">
        <w:rPr>
          <w:i/>
          <w:iCs/>
        </w:rPr>
        <w:t xml:space="preserve">proposed for inclusion </w:t>
      </w:r>
      <w:r w:rsidRPr="00E44F8A">
        <w:rPr>
          <w:i/>
          <w:iCs/>
        </w:rPr>
        <w:t xml:space="preserve">under </w:t>
      </w:r>
      <w:r w:rsidR="008671A6">
        <w:rPr>
          <w:i/>
          <w:iCs/>
        </w:rPr>
        <w:t xml:space="preserve">Item 16 </w:t>
      </w:r>
      <w:r w:rsidRPr="00E44F8A">
        <w:rPr>
          <w:i/>
          <w:iCs/>
        </w:rPr>
        <w:t>“Similar varieties and differences from these varieties” in the “UPOV Variety Description”</w:t>
      </w:r>
      <w:r w:rsidR="00E44F8A">
        <w:rPr>
          <w:i/>
          <w:iCs/>
        </w:rPr>
        <w:t>,</w:t>
      </w:r>
      <w:r w:rsidRPr="00E44F8A">
        <w:rPr>
          <w:i/>
          <w:iCs/>
        </w:rPr>
        <w:t xml:space="preserve"> </w:t>
      </w:r>
      <w:r w:rsidR="00E44F8A" w:rsidRPr="00E44F8A">
        <w:rPr>
          <w:i/>
          <w:iCs/>
        </w:rPr>
        <w:t xml:space="preserve">as set out in </w:t>
      </w:r>
      <w:r w:rsidR="00E44F8A" w:rsidRPr="00911270">
        <w:rPr>
          <w:i/>
          <w:iCs/>
        </w:rPr>
        <w:t>paragraph 1</w:t>
      </w:r>
      <w:r w:rsidR="006358A7" w:rsidRPr="00911270">
        <w:rPr>
          <w:i/>
          <w:iCs/>
        </w:rPr>
        <w:t>8</w:t>
      </w:r>
      <w:r w:rsidR="00E44F8A" w:rsidRPr="00E33C13">
        <w:rPr>
          <w:i/>
          <w:iCs/>
        </w:rPr>
        <w:t xml:space="preserve"> of</w:t>
      </w:r>
      <w:r w:rsidR="00E44F8A" w:rsidRPr="00E44F8A">
        <w:rPr>
          <w:i/>
          <w:iCs/>
        </w:rPr>
        <w:t xml:space="preserve"> this document</w:t>
      </w:r>
      <w:r w:rsidR="00E44F8A">
        <w:rPr>
          <w:i/>
          <w:iCs/>
        </w:rPr>
        <w:t>;</w:t>
      </w:r>
      <w:r w:rsidR="00E44F8A" w:rsidRPr="00E44F8A">
        <w:rPr>
          <w:i/>
          <w:iCs/>
        </w:rPr>
        <w:t xml:space="preserve"> </w:t>
      </w:r>
      <w:r w:rsidRPr="00E44F8A">
        <w:rPr>
          <w:i/>
          <w:iCs/>
        </w:rPr>
        <w:t>and</w:t>
      </w:r>
    </w:p>
    <w:p w14:paraId="5235C99A" w14:textId="77777777" w:rsidR="00E44F8A" w:rsidRDefault="00E44F8A" w:rsidP="00E44F8A">
      <w:pPr>
        <w:pStyle w:val="ListParagraph"/>
        <w:tabs>
          <w:tab w:val="left" w:pos="5387"/>
          <w:tab w:val="left" w:pos="5954"/>
        </w:tabs>
        <w:ind w:left="5390"/>
        <w:rPr>
          <w:i/>
          <w:iCs/>
        </w:rPr>
      </w:pPr>
    </w:p>
    <w:p w14:paraId="2D0CFFE3" w14:textId="2CE8503D" w:rsidR="00F514BB" w:rsidRPr="00E44F8A" w:rsidRDefault="00F514BB" w:rsidP="00E44F8A">
      <w:pPr>
        <w:pStyle w:val="ListParagraph"/>
        <w:numPr>
          <w:ilvl w:val="0"/>
          <w:numId w:val="46"/>
        </w:numPr>
        <w:tabs>
          <w:tab w:val="left" w:pos="5387"/>
          <w:tab w:val="left" w:pos="5954"/>
        </w:tabs>
        <w:ind w:left="4962" w:firstLine="428"/>
        <w:rPr>
          <w:i/>
          <w:iCs/>
        </w:rPr>
      </w:pPr>
      <w:r w:rsidRPr="00E44F8A">
        <w:rPr>
          <w:i/>
          <w:iCs/>
        </w:rPr>
        <w:t>whether to provide further guidance on information about similar varieties considered in the examination</w:t>
      </w:r>
      <w:r w:rsidR="00E44F8A">
        <w:rPr>
          <w:i/>
          <w:iCs/>
        </w:rPr>
        <w:t>.</w:t>
      </w:r>
    </w:p>
    <w:p w14:paraId="1F161149" w14:textId="77777777" w:rsidR="003B0E07" w:rsidRDefault="003B0E07" w:rsidP="003B0E07">
      <w:pPr>
        <w:rPr>
          <w:rFonts w:cs="Arial"/>
        </w:rPr>
      </w:pPr>
    </w:p>
    <w:p w14:paraId="2856DE84" w14:textId="77777777" w:rsidR="00AD6A52" w:rsidRDefault="00AD6A52" w:rsidP="00AD6A52">
      <w:pPr>
        <w:keepNext/>
      </w:pPr>
    </w:p>
    <w:p w14:paraId="27A33D74" w14:textId="26388700" w:rsidR="00AD6A52" w:rsidRPr="00F56A7F" w:rsidRDefault="00AD6A52" w:rsidP="00AD6A52">
      <w:pPr>
        <w:pStyle w:val="Heading4"/>
        <w:rPr>
          <w:snapToGrid w:val="0"/>
        </w:rPr>
      </w:pPr>
      <w:bookmarkStart w:id="16" w:name="_Toc162975794"/>
      <w:r>
        <w:rPr>
          <w:snapToGrid w:val="0"/>
        </w:rPr>
        <w:t xml:space="preserve">Subsection “UPOV Variety Description”, </w:t>
      </w:r>
      <w:r w:rsidRPr="00E76F45">
        <w:rPr>
          <w:snapToGrid w:val="0"/>
        </w:rPr>
        <w:t>item 17</w:t>
      </w:r>
      <w:r w:rsidR="00BC18CB">
        <w:rPr>
          <w:snapToGrid w:val="0"/>
        </w:rPr>
        <w:t xml:space="preserve"> “Additional information”</w:t>
      </w:r>
      <w:bookmarkEnd w:id="16"/>
    </w:p>
    <w:p w14:paraId="3C795A44" w14:textId="77777777" w:rsidR="00AD6A52" w:rsidRDefault="00AD6A52" w:rsidP="00AD6A52">
      <w:pPr>
        <w:rPr>
          <w:rFonts w:cs="Arial"/>
        </w:rPr>
      </w:pPr>
    </w:p>
    <w:p w14:paraId="1688B55A" w14:textId="3BCC5788" w:rsidR="00AD6A52" w:rsidRDefault="00AD6A52" w:rsidP="00AD6A52">
      <w:pPr>
        <w:rPr>
          <w:rFonts w:cs="Arial"/>
        </w:rPr>
      </w:pPr>
      <w:r>
        <w:rPr>
          <w:rFonts w:cs="Arial"/>
        </w:rPr>
        <w:fldChar w:fldCharType="begin"/>
      </w:r>
      <w:r>
        <w:rPr>
          <w:rFonts w:cs="Arial"/>
        </w:rPr>
        <w:instrText xml:space="preserve"> AUTONUM  </w:instrText>
      </w:r>
      <w:r>
        <w:rPr>
          <w:rFonts w:cs="Arial"/>
        </w:rPr>
        <w:fldChar w:fldCharType="end"/>
      </w:r>
      <w:r>
        <w:rPr>
          <w:rFonts w:cs="Arial"/>
        </w:rPr>
        <w:tab/>
        <w:t>The “UPOV Variety Description” in document TGP/5, Section 6, invites the reporting authority to provide the following information under item 1</w:t>
      </w:r>
      <w:r w:rsidR="00EB7481">
        <w:rPr>
          <w:rFonts w:cs="Arial"/>
        </w:rPr>
        <w:t>7</w:t>
      </w:r>
      <w:r>
        <w:rPr>
          <w:rFonts w:cs="Arial"/>
        </w:rPr>
        <w:t xml:space="preserve">: </w:t>
      </w:r>
    </w:p>
    <w:p w14:paraId="15A1FE96" w14:textId="77777777" w:rsidR="00AD6A52" w:rsidRDefault="00AD6A52" w:rsidP="00AD6A52">
      <w:pPr>
        <w:rPr>
          <w:rFonts w:cs="Arial"/>
        </w:rPr>
      </w:pPr>
    </w:p>
    <w:p w14:paraId="304BFD4D" w14:textId="080A10F8" w:rsidR="003B0E07" w:rsidRPr="00EB7481" w:rsidRDefault="00EB7481" w:rsidP="00EB7481">
      <w:pPr>
        <w:ind w:left="567"/>
        <w:rPr>
          <w:rFonts w:cs="Arial"/>
          <w:sz w:val="18"/>
          <w:szCs w:val="18"/>
        </w:rPr>
      </w:pPr>
      <w:r>
        <w:rPr>
          <w:rFonts w:cs="Arial"/>
          <w:sz w:val="18"/>
          <w:szCs w:val="18"/>
        </w:rPr>
        <w:t>“</w:t>
      </w:r>
      <w:r w:rsidR="003B0E07" w:rsidRPr="00EB7481">
        <w:rPr>
          <w:rFonts w:cs="Arial"/>
          <w:sz w:val="18"/>
          <w:szCs w:val="18"/>
        </w:rPr>
        <w:t>17.</w:t>
      </w:r>
      <w:r w:rsidR="003B0E07" w:rsidRPr="00EB7481">
        <w:rPr>
          <w:rFonts w:cs="Arial"/>
          <w:sz w:val="18"/>
          <w:szCs w:val="18"/>
        </w:rPr>
        <w:tab/>
      </w:r>
      <w:r w:rsidR="003B0E07" w:rsidRPr="00EB7481">
        <w:rPr>
          <w:rFonts w:cs="Arial"/>
          <w:sz w:val="18"/>
          <w:szCs w:val="18"/>
          <w:u w:val="single"/>
        </w:rPr>
        <w:t>Additional Information</w:t>
      </w:r>
    </w:p>
    <w:p w14:paraId="6E4143D1" w14:textId="77777777" w:rsidR="003B0E07" w:rsidRPr="00EB7481" w:rsidRDefault="003B0E07" w:rsidP="00EB7481">
      <w:pPr>
        <w:ind w:left="567"/>
        <w:rPr>
          <w:rFonts w:cs="Arial"/>
          <w:sz w:val="18"/>
          <w:szCs w:val="18"/>
        </w:rPr>
      </w:pPr>
    </w:p>
    <w:p w14:paraId="58D3A8C1" w14:textId="3440FF24" w:rsidR="003B0E07" w:rsidRPr="00EB7481" w:rsidRDefault="003B0E07" w:rsidP="00EB7481">
      <w:pPr>
        <w:ind w:left="567"/>
        <w:rPr>
          <w:rFonts w:cs="Arial"/>
          <w:sz w:val="18"/>
          <w:szCs w:val="18"/>
        </w:rPr>
      </w:pPr>
      <w:r w:rsidRPr="00EB7481">
        <w:rPr>
          <w:rFonts w:cs="Arial"/>
          <w:sz w:val="18"/>
          <w:szCs w:val="18"/>
        </w:rPr>
        <w:tab/>
      </w:r>
      <w:r w:rsidR="00EB7481">
        <w:rPr>
          <w:rFonts w:cs="Arial"/>
          <w:sz w:val="18"/>
          <w:szCs w:val="18"/>
        </w:rPr>
        <w:t>“</w:t>
      </w:r>
      <w:r w:rsidRPr="00EB7481">
        <w:rPr>
          <w:rFonts w:cs="Arial"/>
          <w:sz w:val="18"/>
          <w:szCs w:val="18"/>
        </w:rPr>
        <w:t>(a)</w:t>
      </w:r>
      <w:r w:rsidRPr="00EB7481">
        <w:rPr>
          <w:rFonts w:cs="Arial"/>
          <w:sz w:val="18"/>
          <w:szCs w:val="18"/>
        </w:rPr>
        <w:tab/>
        <w:t>Additional Data</w:t>
      </w:r>
    </w:p>
    <w:p w14:paraId="4AFDC975" w14:textId="77777777" w:rsidR="003B0E07" w:rsidRPr="00EB7481" w:rsidRDefault="003B0E07" w:rsidP="00EB7481">
      <w:pPr>
        <w:ind w:left="567"/>
        <w:rPr>
          <w:rFonts w:cs="Arial"/>
          <w:sz w:val="18"/>
          <w:szCs w:val="18"/>
        </w:rPr>
      </w:pPr>
    </w:p>
    <w:p w14:paraId="05266313" w14:textId="0FC4C38A" w:rsidR="003B0E07" w:rsidRPr="00EB7481" w:rsidRDefault="003B0E07" w:rsidP="00EB7481">
      <w:pPr>
        <w:ind w:left="567"/>
        <w:rPr>
          <w:rFonts w:cs="Arial"/>
          <w:color w:val="000000"/>
          <w:sz w:val="18"/>
          <w:szCs w:val="18"/>
        </w:rPr>
      </w:pPr>
      <w:r w:rsidRPr="00EB7481">
        <w:rPr>
          <w:rFonts w:cs="Arial"/>
          <w:sz w:val="18"/>
          <w:szCs w:val="18"/>
        </w:rPr>
        <w:tab/>
      </w:r>
      <w:r w:rsidR="00EB7481">
        <w:rPr>
          <w:rFonts w:cs="Arial"/>
          <w:sz w:val="18"/>
          <w:szCs w:val="18"/>
        </w:rPr>
        <w:t>“</w:t>
      </w:r>
      <w:r w:rsidRPr="00EB7481">
        <w:rPr>
          <w:rFonts w:cs="Arial"/>
          <w:color w:val="000000"/>
          <w:sz w:val="18"/>
          <w:szCs w:val="18"/>
        </w:rPr>
        <w:t>(b)</w:t>
      </w:r>
      <w:r w:rsidRPr="00EB7481">
        <w:rPr>
          <w:rFonts w:cs="Arial"/>
          <w:color w:val="000000"/>
          <w:sz w:val="18"/>
          <w:szCs w:val="18"/>
        </w:rPr>
        <w:tab/>
        <w:t>Photograph (if appropriate)</w:t>
      </w:r>
    </w:p>
    <w:p w14:paraId="2CB39403" w14:textId="77777777" w:rsidR="003B0E07" w:rsidRPr="00EB7481" w:rsidRDefault="003B0E07" w:rsidP="00EB7481">
      <w:pPr>
        <w:ind w:left="567"/>
        <w:rPr>
          <w:rFonts w:cs="Arial"/>
          <w:sz w:val="18"/>
          <w:szCs w:val="18"/>
        </w:rPr>
      </w:pPr>
    </w:p>
    <w:p w14:paraId="00421534" w14:textId="34684D18" w:rsidR="003B0E07" w:rsidRPr="00EB7481" w:rsidRDefault="003B0E07" w:rsidP="00EB7481">
      <w:pPr>
        <w:ind w:left="567"/>
        <w:rPr>
          <w:rFonts w:cs="Arial"/>
          <w:color w:val="000000"/>
          <w:sz w:val="18"/>
          <w:szCs w:val="18"/>
        </w:rPr>
      </w:pPr>
      <w:r w:rsidRPr="00EB7481">
        <w:rPr>
          <w:rFonts w:cs="Arial"/>
          <w:sz w:val="18"/>
          <w:szCs w:val="18"/>
        </w:rPr>
        <w:tab/>
      </w:r>
      <w:r w:rsidR="00EB7481">
        <w:rPr>
          <w:rFonts w:cs="Arial"/>
          <w:sz w:val="18"/>
          <w:szCs w:val="18"/>
        </w:rPr>
        <w:t>“</w:t>
      </w:r>
      <w:r w:rsidRPr="00EB7481">
        <w:rPr>
          <w:rFonts w:cs="Arial"/>
          <w:color w:val="000000"/>
          <w:sz w:val="18"/>
          <w:szCs w:val="18"/>
        </w:rPr>
        <w:t>(c)</w:t>
      </w:r>
      <w:r w:rsidRPr="00EB7481">
        <w:rPr>
          <w:rFonts w:cs="Arial"/>
          <w:color w:val="000000"/>
          <w:sz w:val="18"/>
          <w:szCs w:val="18"/>
        </w:rPr>
        <w:tab/>
        <w:t xml:space="preserve">RHS </w:t>
      </w:r>
      <w:proofErr w:type="spellStart"/>
      <w:r w:rsidRPr="00EB7481">
        <w:rPr>
          <w:rFonts w:cs="Arial"/>
          <w:color w:val="000000"/>
          <w:sz w:val="18"/>
          <w:szCs w:val="18"/>
        </w:rPr>
        <w:t>Colour</w:t>
      </w:r>
      <w:proofErr w:type="spellEnd"/>
      <w:r w:rsidRPr="00EB7481">
        <w:rPr>
          <w:rFonts w:cs="Arial"/>
          <w:color w:val="000000"/>
          <w:sz w:val="18"/>
          <w:szCs w:val="18"/>
        </w:rPr>
        <w:t xml:space="preserve"> Chart version used (if appropriate)</w:t>
      </w:r>
    </w:p>
    <w:p w14:paraId="023424C4" w14:textId="77777777" w:rsidR="003B0E07" w:rsidRPr="00EB7481" w:rsidRDefault="003B0E07" w:rsidP="00EB7481">
      <w:pPr>
        <w:ind w:left="567"/>
        <w:rPr>
          <w:rFonts w:cs="Arial"/>
          <w:sz w:val="18"/>
          <w:szCs w:val="18"/>
        </w:rPr>
      </w:pPr>
    </w:p>
    <w:p w14:paraId="25732183" w14:textId="47E96A8A" w:rsidR="003B0E07" w:rsidRPr="00EB7481" w:rsidRDefault="003B0E07" w:rsidP="00EB7481">
      <w:pPr>
        <w:tabs>
          <w:tab w:val="left" w:pos="284"/>
        </w:tabs>
        <w:ind w:left="567"/>
        <w:rPr>
          <w:rFonts w:cs="Arial"/>
          <w:sz w:val="18"/>
          <w:szCs w:val="18"/>
        </w:rPr>
      </w:pPr>
      <w:r w:rsidRPr="00EB7481">
        <w:rPr>
          <w:rFonts w:cs="Arial"/>
          <w:sz w:val="18"/>
          <w:szCs w:val="18"/>
        </w:rPr>
        <w:tab/>
      </w:r>
      <w:r w:rsidR="00EB7481">
        <w:rPr>
          <w:rFonts w:cs="Arial"/>
          <w:sz w:val="18"/>
          <w:szCs w:val="18"/>
        </w:rPr>
        <w:t>“</w:t>
      </w:r>
      <w:r w:rsidRPr="00EB7481">
        <w:rPr>
          <w:rFonts w:cs="Arial"/>
          <w:sz w:val="18"/>
          <w:szCs w:val="18"/>
        </w:rPr>
        <w:t>(d)</w:t>
      </w:r>
      <w:r w:rsidRPr="00EB7481">
        <w:rPr>
          <w:rFonts w:cs="Arial"/>
          <w:sz w:val="18"/>
          <w:szCs w:val="18"/>
        </w:rPr>
        <w:tab/>
        <w:t>Remarks</w:t>
      </w:r>
      <w:r w:rsidR="00EB7481">
        <w:rPr>
          <w:rFonts w:cs="Arial"/>
          <w:sz w:val="18"/>
          <w:szCs w:val="18"/>
        </w:rPr>
        <w:t>”</w:t>
      </w:r>
    </w:p>
    <w:p w14:paraId="23523C2E" w14:textId="77777777" w:rsidR="00EB7481" w:rsidRDefault="00EB7481" w:rsidP="00EB7481"/>
    <w:p w14:paraId="12E4661B" w14:textId="77777777" w:rsidR="00F11D4D" w:rsidRDefault="00F11D4D" w:rsidP="00F11D4D">
      <w:pPr>
        <w:pStyle w:val="Heading4"/>
      </w:pPr>
      <w:bookmarkStart w:id="17" w:name="_Toc162975795"/>
      <w:r>
        <w:t>Proposal:</w:t>
      </w:r>
      <w:bookmarkEnd w:id="17"/>
    </w:p>
    <w:p w14:paraId="653E40C9" w14:textId="77777777" w:rsidR="00F11D4D" w:rsidRDefault="00F11D4D" w:rsidP="00EB7481"/>
    <w:p w14:paraId="24DB74AC" w14:textId="238FE5E5" w:rsidR="00EB7481" w:rsidRDefault="00EB7481" w:rsidP="00EB7481">
      <w:r w:rsidRPr="00911270">
        <w:fldChar w:fldCharType="begin"/>
      </w:r>
      <w:r w:rsidRPr="00911270">
        <w:instrText xml:space="preserve"> AUTONUM  </w:instrText>
      </w:r>
      <w:r w:rsidRPr="00911270">
        <w:fldChar w:fldCharType="end"/>
      </w:r>
      <w:r>
        <w:tab/>
      </w:r>
      <w:r w:rsidR="001B2C35" w:rsidRPr="002B6407">
        <w:t>The TC</w:t>
      </w:r>
      <w:r w:rsidR="007654A3" w:rsidRPr="003C5A8E">
        <w:rPr>
          <w:vertAlign w:val="superscript"/>
        </w:rPr>
        <w:fldChar w:fldCharType="begin"/>
      </w:r>
      <w:r w:rsidR="007654A3" w:rsidRPr="003C5A8E">
        <w:rPr>
          <w:vertAlign w:val="superscript"/>
        </w:rPr>
        <w:instrText xml:space="preserve"> NOTEREF _Ref162969248 \h </w:instrText>
      </w:r>
      <w:r w:rsidR="007654A3">
        <w:rPr>
          <w:vertAlign w:val="superscript"/>
        </w:rPr>
        <w:instrText xml:space="preserve"> \* MERGEFORMAT </w:instrText>
      </w:r>
      <w:r w:rsidR="007654A3" w:rsidRPr="003C5A8E">
        <w:rPr>
          <w:vertAlign w:val="superscript"/>
        </w:rPr>
      </w:r>
      <w:r w:rsidR="007654A3" w:rsidRPr="003C5A8E">
        <w:rPr>
          <w:vertAlign w:val="superscript"/>
        </w:rPr>
        <w:fldChar w:fldCharType="separate"/>
      </w:r>
      <w:r w:rsidR="00027BEE">
        <w:rPr>
          <w:vertAlign w:val="superscript"/>
        </w:rPr>
        <w:t>1</w:t>
      </w:r>
      <w:r w:rsidR="007654A3" w:rsidRPr="003C5A8E">
        <w:rPr>
          <w:vertAlign w:val="superscript"/>
        </w:rPr>
        <w:fldChar w:fldCharType="end"/>
      </w:r>
      <w:r w:rsidR="007654A3">
        <w:rPr>
          <w:vertAlign w:val="superscript"/>
        </w:rPr>
        <w:t>, </w:t>
      </w:r>
      <w:r w:rsidR="00E33C13" w:rsidRPr="00E33C13">
        <w:rPr>
          <w:vertAlign w:val="superscript"/>
        </w:rPr>
        <w:fldChar w:fldCharType="begin"/>
      </w:r>
      <w:r w:rsidR="00E33C13" w:rsidRPr="00E33C13">
        <w:rPr>
          <w:vertAlign w:val="superscript"/>
        </w:rPr>
        <w:instrText xml:space="preserve"> NOTEREF _Ref162970555 \h </w:instrText>
      </w:r>
      <w:r w:rsidR="00E33C13">
        <w:rPr>
          <w:vertAlign w:val="superscript"/>
        </w:rPr>
        <w:instrText xml:space="preserve"> \* MERGEFORMAT </w:instrText>
      </w:r>
      <w:r w:rsidR="00E33C13" w:rsidRPr="00E33C13">
        <w:rPr>
          <w:vertAlign w:val="superscript"/>
        </w:rPr>
      </w:r>
      <w:r w:rsidR="00E33C13" w:rsidRPr="00E33C13">
        <w:rPr>
          <w:vertAlign w:val="superscript"/>
        </w:rPr>
        <w:fldChar w:fldCharType="separate"/>
      </w:r>
      <w:r w:rsidR="00027BEE">
        <w:rPr>
          <w:vertAlign w:val="superscript"/>
        </w:rPr>
        <w:t>6</w:t>
      </w:r>
      <w:r w:rsidR="00E33C13" w:rsidRPr="00E33C13">
        <w:rPr>
          <w:vertAlign w:val="superscript"/>
        </w:rPr>
        <w:fldChar w:fldCharType="end"/>
      </w:r>
      <w:r w:rsidR="00E33C13" w:rsidRPr="00E33C13">
        <w:t xml:space="preserve"> </w:t>
      </w:r>
      <w:r w:rsidR="001B2C35" w:rsidRPr="002B6407">
        <w:t xml:space="preserve">agreed to invite the TWPs, at their sessions in 2024, to consider the </w:t>
      </w:r>
      <w:r w:rsidR="001B2C35">
        <w:t>following</w:t>
      </w:r>
      <w:r w:rsidR="001B2C35" w:rsidRPr="002B6407">
        <w:t xml:space="preserve"> revision to document TGP/5, Section 6, item 17</w:t>
      </w:r>
      <w:r w:rsidR="001B2C35">
        <w:t>,</w:t>
      </w:r>
      <w:r w:rsidR="001B2C35" w:rsidRPr="002B6407">
        <w:t xml:space="preserve"> </w:t>
      </w:r>
      <w:r w:rsidR="001B2C35">
        <w:t xml:space="preserve">and whether </w:t>
      </w:r>
      <w:r w:rsidR="001B2C35" w:rsidRPr="002B6407">
        <w:t>to provide further guidance on a</w:t>
      </w:r>
      <w:r w:rsidR="001B2C35" w:rsidRPr="002B6407">
        <w:rPr>
          <w:rFonts w:eastAsia="MS Mincho"/>
          <w:spacing w:val="-2"/>
        </w:rPr>
        <w:t>dditional information that could be provided with variety descriptions</w:t>
      </w:r>
      <w:r w:rsidR="001B2C35">
        <w:rPr>
          <w:rFonts w:eastAsia="MS Mincho"/>
          <w:spacing w:val="-2"/>
        </w:rPr>
        <w:t xml:space="preserve"> </w:t>
      </w:r>
      <w:r w:rsidR="001B2C35" w:rsidRPr="00F56A7F">
        <w:t xml:space="preserve">(additions indicated with highlighting and </w:t>
      </w:r>
      <w:r w:rsidR="001B2C35" w:rsidRPr="00F56A7F">
        <w:rPr>
          <w:highlight w:val="lightGray"/>
          <w:u w:val="single"/>
        </w:rPr>
        <w:t>underline</w:t>
      </w:r>
      <w:r w:rsidR="001B2C35" w:rsidRPr="00F56A7F">
        <w:t xml:space="preserve">; and deletions indicated with highlighting and </w:t>
      </w:r>
      <w:r w:rsidR="001B2C35" w:rsidRPr="00F56A7F">
        <w:rPr>
          <w:strike/>
          <w:highlight w:val="lightGray"/>
        </w:rPr>
        <w:t>strikethrough</w:t>
      </w:r>
      <w:r w:rsidR="001B2C35" w:rsidRPr="00F56A7F">
        <w:t>)</w:t>
      </w:r>
      <w:r w:rsidRPr="00F56A7F">
        <w:t>:</w:t>
      </w:r>
    </w:p>
    <w:p w14:paraId="1C8CB0A4" w14:textId="77777777" w:rsidR="006B5D52" w:rsidRDefault="006B5D52" w:rsidP="006B5D52">
      <w:pPr>
        <w:rPr>
          <w:rFonts w:eastAsia="Calibri"/>
          <w:snapToGrid w:val="0"/>
          <w:lang w:val="en-NZ"/>
        </w:rPr>
      </w:pPr>
    </w:p>
    <w:p w14:paraId="619EA420" w14:textId="2AB4ABDE" w:rsidR="008671A6" w:rsidRPr="009E7BC1" w:rsidRDefault="008671A6" w:rsidP="008671A6">
      <w:pPr>
        <w:ind w:firstLine="567"/>
        <w:rPr>
          <w:rFonts w:eastAsia="Calibri"/>
          <w:snapToGrid w:val="0"/>
          <w:sz w:val="18"/>
          <w:szCs w:val="18"/>
          <w:lang w:val="en-NZ"/>
        </w:rPr>
      </w:pPr>
      <w:r w:rsidRPr="009E7BC1">
        <w:rPr>
          <w:rFonts w:eastAsia="Calibri"/>
          <w:snapToGrid w:val="0"/>
          <w:sz w:val="18"/>
          <w:szCs w:val="18"/>
          <w:lang w:val="en-NZ"/>
        </w:rPr>
        <w:lastRenderedPageBreak/>
        <w:t>17.</w:t>
      </w:r>
      <w:r w:rsidRPr="009E7BC1">
        <w:rPr>
          <w:rFonts w:eastAsia="Calibri"/>
          <w:snapToGrid w:val="0"/>
          <w:sz w:val="18"/>
          <w:szCs w:val="18"/>
          <w:lang w:val="en-NZ"/>
        </w:rPr>
        <w:tab/>
        <w:t>Additional Information</w:t>
      </w:r>
    </w:p>
    <w:p w14:paraId="304F1467" w14:textId="77777777" w:rsidR="008671A6" w:rsidRPr="009E7BC1" w:rsidRDefault="008671A6" w:rsidP="006B5D52">
      <w:pPr>
        <w:rPr>
          <w:rFonts w:eastAsia="Calibri"/>
          <w:snapToGrid w:val="0"/>
          <w:sz w:val="18"/>
          <w:szCs w:val="18"/>
          <w:lang w:val="en-NZ"/>
        </w:rPr>
      </w:pPr>
    </w:p>
    <w:p w14:paraId="5C6140A5" w14:textId="70321F83" w:rsidR="006B5D52" w:rsidRPr="009E7BC1" w:rsidRDefault="006B5D52" w:rsidP="00275611">
      <w:pPr>
        <w:ind w:left="1701" w:right="567" w:hanging="567"/>
        <w:rPr>
          <w:rFonts w:eastAsia="Calibri"/>
          <w:snapToGrid w:val="0"/>
          <w:sz w:val="18"/>
          <w:lang w:val="en-NZ"/>
        </w:rPr>
      </w:pPr>
      <w:r w:rsidRPr="009E7BC1">
        <w:rPr>
          <w:rFonts w:eastAsia="Calibri"/>
          <w:snapToGrid w:val="0"/>
          <w:sz w:val="18"/>
          <w:lang w:val="en-NZ"/>
        </w:rPr>
        <w:t>(a)</w:t>
      </w:r>
      <w:r w:rsidR="00275611">
        <w:rPr>
          <w:rFonts w:eastAsia="Calibri"/>
          <w:snapToGrid w:val="0"/>
          <w:sz w:val="18"/>
          <w:lang w:val="en-NZ"/>
        </w:rPr>
        <w:tab/>
      </w:r>
      <w:r w:rsidRPr="009E7BC1">
        <w:rPr>
          <w:rFonts w:eastAsia="Calibri"/>
          <w:snapToGrid w:val="0"/>
          <w:sz w:val="18"/>
          <w:lang w:val="en-NZ"/>
        </w:rPr>
        <w:t xml:space="preserve">Additional Data </w:t>
      </w:r>
      <w:r w:rsidRPr="009E7BC1">
        <w:rPr>
          <w:rFonts w:eastAsia="Calibri"/>
          <w:snapToGrid w:val="0"/>
          <w:sz w:val="18"/>
          <w:highlight w:val="lightGray"/>
          <w:u w:val="single"/>
          <w:lang w:val="en-NZ"/>
        </w:rPr>
        <w:t>(</w:t>
      </w:r>
      <w:proofErr w:type="gramStart"/>
      <w:r w:rsidRPr="009E7BC1">
        <w:rPr>
          <w:rFonts w:eastAsia="Calibri"/>
          <w:snapToGrid w:val="0"/>
          <w:sz w:val="18"/>
          <w:highlight w:val="lightGray"/>
          <w:u w:val="single"/>
          <w:lang w:val="en-NZ"/>
        </w:rPr>
        <w:t>e.g.</w:t>
      </w:r>
      <w:proofErr w:type="gramEnd"/>
      <w:r w:rsidRPr="009E7BC1">
        <w:rPr>
          <w:rFonts w:eastAsia="Calibri"/>
          <w:snapToGrid w:val="0"/>
          <w:sz w:val="18"/>
          <w:highlight w:val="lightGray"/>
          <w:u w:val="single"/>
          <w:lang w:val="en-NZ"/>
        </w:rPr>
        <w:t xml:space="preserve"> COYU or COYD results, measured data supporting certain characteristics, scales for measured characters for example varieties)</w:t>
      </w:r>
      <w:r w:rsidRPr="009E7BC1">
        <w:rPr>
          <w:rFonts w:eastAsia="Calibri"/>
          <w:snapToGrid w:val="0"/>
          <w:sz w:val="18"/>
          <w:lang w:val="en-NZ"/>
        </w:rPr>
        <w:t xml:space="preserve"> </w:t>
      </w:r>
    </w:p>
    <w:p w14:paraId="19F9D535" w14:textId="77777777" w:rsidR="006B5D52" w:rsidRPr="009E7BC1" w:rsidRDefault="006B5D52" w:rsidP="006B5D52">
      <w:pPr>
        <w:ind w:left="567" w:right="567"/>
        <w:rPr>
          <w:rFonts w:eastAsia="Calibri"/>
          <w:snapToGrid w:val="0"/>
          <w:sz w:val="18"/>
          <w:lang w:val="en-NZ"/>
        </w:rPr>
      </w:pPr>
    </w:p>
    <w:p w14:paraId="20750EE0" w14:textId="4DEFE9D0" w:rsidR="006B5D52" w:rsidRPr="009E7BC1" w:rsidRDefault="006B5D52" w:rsidP="00275611">
      <w:pPr>
        <w:ind w:left="1701" w:right="567" w:hanging="567"/>
        <w:rPr>
          <w:rFonts w:eastAsia="Calibri"/>
          <w:snapToGrid w:val="0"/>
          <w:sz w:val="18"/>
          <w:lang w:val="en-NZ"/>
        </w:rPr>
      </w:pPr>
      <w:r w:rsidRPr="009E7BC1">
        <w:rPr>
          <w:rFonts w:eastAsia="Calibri"/>
          <w:snapToGrid w:val="0"/>
          <w:sz w:val="18"/>
          <w:lang w:val="en-NZ"/>
        </w:rPr>
        <w:t>(b)</w:t>
      </w:r>
      <w:r w:rsidR="00275611">
        <w:rPr>
          <w:rFonts w:eastAsia="Calibri"/>
          <w:snapToGrid w:val="0"/>
          <w:sz w:val="18"/>
          <w:lang w:val="en-NZ"/>
        </w:rPr>
        <w:tab/>
      </w:r>
      <w:r w:rsidRPr="009E7BC1">
        <w:rPr>
          <w:rFonts w:eastAsia="Calibri"/>
          <w:snapToGrid w:val="0"/>
          <w:sz w:val="18"/>
          <w:lang w:val="en-NZ"/>
        </w:rPr>
        <w:t>Photograph (if appropriate)</w:t>
      </w:r>
    </w:p>
    <w:p w14:paraId="45C858D4" w14:textId="77777777" w:rsidR="006B5D52" w:rsidRPr="009E7BC1" w:rsidRDefault="006B5D52" w:rsidP="00275611">
      <w:pPr>
        <w:ind w:left="1701" w:right="567" w:hanging="567"/>
        <w:rPr>
          <w:rFonts w:eastAsia="Calibri"/>
          <w:snapToGrid w:val="0"/>
          <w:sz w:val="18"/>
          <w:lang w:val="en-NZ"/>
        </w:rPr>
      </w:pPr>
    </w:p>
    <w:p w14:paraId="3204925C" w14:textId="07E9A8E8" w:rsidR="006B5D52" w:rsidRPr="009E7BC1" w:rsidRDefault="006B5D52" w:rsidP="00275611">
      <w:pPr>
        <w:ind w:left="1701" w:right="567" w:hanging="567"/>
        <w:rPr>
          <w:rFonts w:eastAsia="Calibri"/>
          <w:snapToGrid w:val="0"/>
          <w:sz w:val="18"/>
          <w:lang w:val="en-NZ"/>
        </w:rPr>
      </w:pPr>
      <w:r w:rsidRPr="009E7BC1">
        <w:rPr>
          <w:rFonts w:eastAsia="Calibri"/>
          <w:snapToGrid w:val="0"/>
          <w:sz w:val="18"/>
          <w:lang w:val="en-NZ"/>
        </w:rPr>
        <w:t>(c)</w:t>
      </w:r>
      <w:r w:rsidR="00275611">
        <w:rPr>
          <w:rFonts w:eastAsia="Calibri"/>
          <w:snapToGrid w:val="0"/>
          <w:sz w:val="18"/>
          <w:lang w:val="en-NZ"/>
        </w:rPr>
        <w:tab/>
      </w:r>
      <w:r w:rsidRPr="009E7BC1">
        <w:rPr>
          <w:rFonts w:eastAsia="Calibri"/>
          <w:snapToGrid w:val="0"/>
          <w:sz w:val="18"/>
          <w:lang w:val="en-NZ"/>
        </w:rPr>
        <w:t>RHS Colour Chart version used (if appropriate)</w:t>
      </w:r>
    </w:p>
    <w:p w14:paraId="746FA8FD" w14:textId="77777777" w:rsidR="006B5D52" w:rsidRPr="009E7BC1" w:rsidRDefault="006B5D52" w:rsidP="00275611">
      <w:pPr>
        <w:ind w:left="1701" w:right="567" w:hanging="567"/>
        <w:rPr>
          <w:rFonts w:eastAsia="Calibri"/>
          <w:snapToGrid w:val="0"/>
          <w:sz w:val="18"/>
          <w:lang w:val="en-NZ"/>
        </w:rPr>
      </w:pPr>
    </w:p>
    <w:p w14:paraId="7AB2DC61" w14:textId="49FC5937" w:rsidR="006B5D52" w:rsidRPr="009E7BC1" w:rsidRDefault="006B5D52" w:rsidP="00275611">
      <w:pPr>
        <w:ind w:left="1701" w:right="567" w:hanging="567"/>
        <w:rPr>
          <w:rFonts w:eastAsia="Calibri"/>
          <w:snapToGrid w:val="0"/>
          <w:sz w:val="18"/>
          <w:lang w:val="en-NZ"/>
        </w:rPr>
      </w:pPr>
      <w:r w:rsidRPr="009E7BC1">
        <w:rPr>
          <w:rFonts w:eastAsia="Calibri"/>
          <w:snapToGrid w:val="0"/>
          <w:sz w:val="18"/>
          <w:lang w:val="en-NZ"/>
        </w:rPr>
        <w:t>(d)</w:t>
      </w:r>
      <w:r w:rsidR="00275611">
        <w:rPr>
          <w:rFonts w:eastAsia="Calibri"/>
          <w:snapToGrid w:val="0"/>
          <w:sz w:val="18"/>
          <w:lang w:val="en-NZ"/>
        </w:rPr>
        <w:tab/>
      </w:r>
      <w:r w:rsidRPr="009E7BC1">
        <w:rPr>
          <w:rFonts w:eastAsia="Calibri"/>
          <w:snapToGrid w:val="0"/>
          <w:sz w:val="18"/>
          <w:highlight w:val="lightGray"/>
          <w:u w:val="single"/>
          <w:lang w:val="en-NZ"/>
        </w:rPr>
        <w:t>Examples varieties used in testing</w:t>
      </w:r>
      <w:r w:rsidRPr="009E7BC1">
        <w:rPr>
          <w:rFonts w:eastAsia="Calibri"/>
          <w:snapToGrid w:val="0"/>
          <w:sz w:val="18"/>
          <w:lang w:val="en-NZ"/>
        </w:rPr>
        <w:t xml:space="preserve"> </w:t>
      </w:r>
    </w:p>
    <w:p w14:paraId="3ABD79C9" w14:textId="77777777" w:rsidR="006B5D52" w:rsidRPr="009E7BC1" w:rsidRDefault="006B5D52" w:rsidP="00275611">
      <w:pPr>
        <w:ind w:left="1134" w:right="567"/>
        <w:rPr>
          <w:rFonts w:eastAsia="Calibri"/>
          <w:snapToGrid w:val="0"/>
          <w:sz w:val="18"/>
          <w:lang w:val="en-NZ"/>
        </w:rPr>
      </w:pPr>
    </w:p>
    <w:p w14:paraId="11F5FA4D" w14:textId="09E4B78A" w:rsidR="006B5D52" w:rsidRPr="009E7BC1" w:rsidRDefault="006B5D52" w:rsidP="00275611">
      <w:pPr>
        <w:ind w:left="1134" w:right="567"/>
        <w:rPr>
          <w:rFonts w:eastAsia="Calibri"/>
          <w:snapToGrid w:val="0"/>
          <w:sz w:val="18"/>
          <w:lang w:val="en-NZ"/>
        </w:rPr>
      </w:pPr>
      <w:r w:rsidRPr="009E7BC1">
        <w:rPr>
          <w:rFonts w:eastAsia="Calibri"/>
          <w:snapToGrid w:val="0"/>
          <w:sz w:val="18"/>
          <w:highlight w:val="lightGray"/>
          <w:u w:val="single"/>
          <w:lang w:val="en-NZ"/>
        </w:rPr>
        <w:t>(e)</w:t>
      </w:r>
      <w:r w:rsidR="00275611">
        <w:rPr>
          <w:rFonts w:eastAsia="Calibri"/>
          <w:snapToGrid w:val="0"/>
          <w:sz w:val="18"/>
          <w:lang w:val="en-NZ"/>
        </w:rPr>
        <w:tab/>
      </w:r>
      <w:r w:rsidRPr="009E7BC1">
        <w:rPr>
          <w:rFonts w:eastAsia="Calibri"/>
          <w:snapToGrid w:val="0"/>
          <w:sz w:val="18"/>
          <w:lang w:val="en-NZ"/>
        </w:rPr>
        <w:t>Remarks</w:t>
      </w:r>
    </w:p>
    <w:p w14:paraId="24900D21" w14:textId="77777777" w:rsidR="006B5D52" w:rsidRDefault="006B5D52" w:rsidP="006B5D52">
      <w:pPr>
        <w:rPr>
          <w:rFonts w:eastAsia="Calibri"/>
          <w:lang w:val="en-NZ"/>
        </w:rPr>
      </w:pPr>
    </w:p>
    <w:p w14:paraId="4F0F9572" w14:textId="77777777" w:rsidR="008671A6" w:rsidRDefault="008671A6" w:rsidP="008671A6">
      <w:pPr>
        <w:tabs>
          <w:tab w:val="left" w:pos="5387"/>
        </w:tabs>
        <w:ind w:left="4820"/>
        <w:rPr>
          <w:i/>
          <w:iCs/>
        </w:rPr>
      </w:pPr>
      <w:r w:rsidRPr="00D42A0D">
        <w:rPr>
          <w:i/>
          <w:iCs/>
        </w:rPr>
        <w:fldChar w:fldCharType="begin"/>
      </w:r>
      <w:r w:rsidRPr="00D42A0D">
        <w:rPr>
          <w:i/>
          <w:iCs/>
        </w:rPr>
        <w:instrText xml:space="preserve"> AUTONUM  </w:instrText>
      </w:r>
      <w:r w:rsidRPr="00D42A0D">
        <w:rPr>
          <w:i/>
          <w:iCs/>
        </w:rPr>
        <w:fldChar w:fldCharType="end"/>
      </w:r>
      <w:r w:rsidRPr="00D42A0D">
        <w:rPr>
          <w:i/>
          <w:iCs/>
        </w:rPr>
        <w:tab/>
        <w:t>The TWPs are invited to consider</w:t>
      </w:r>
      <w:r>
        <w:rPr>
          <w:i/>
          <w:iCs/>
        </w:rPr>
        <w:t>:</w:t>
      </w:r>
    </w:p>
    <w:p w14:paraId="23E511D4" w14:textId="77777777" w:rsidR="008671A6" w:rsidRDefault="008671A6" w:rsidP="008671A6">
      <w:pPr>
        <w:tabs>
          <w:tab w:val="left" w:pos="5387"/>
        </w:tabs>
        <w:ind w:left="4820"/>
        <w:rPr>
          <w:i/>
          <w:iCs/>
        </w:rPr>
      </w:pPr>
    </w:p>
    <w:p w14:paraId="25E9BC92" w14:textId="0BBBCAD1" w:rsidR="008671A6" w:rsidRDefault="008671A6" w:rsidP="008671A6">
      <w:pPr>
        <w:pStyle w:val="ListParagraph"/>
        <w:numPr>
          <w:ilvl w:val="0"/>
          <w:numId w:val="47"/>
        </w:numPr>
        <w:tabs>
          <w:tab w:val="left" w:pos="5387"/>
          <w:tab w:val="left" w:pos="5954"/>
        </w:tabs>
        <w:ind w:left="4820" w:firstLine="570"/>
        <w:rPr>
          <w:i/>
          <w:iCs/>
        </w:rPr>
      </w:pPr>
      <w:r w:rsidRPr="00E44F8A">
        <w:rPr>
          <w:i/>
          <w:iCs/>
        </w:rPr>
        <w:t xml:space="preserve">the additional explanations proposed for inclusion under </w:t>
      </w:r>
      <w:r>
        <w:rPr>
          <w:i/>
          <w:iCs/>
        </w:rPr>
        <w:t xml:space="preserve">item 17 </w:t>
      </w:r>
      <w:r w:rsidRPr="00E44F8A">
        <w:rPr>
          <w:i/>
          <w:iCs/>
        </w:rPr>
        <w:t>“</w:t>
      </w:r>
      <w:r>
        <w:rPr>
          <w:i/>
          <w:iCs/>
        </w:rPr>
        <w:t>Additional Information</w:t>
      </w:r>
      <w:r w:rsidRPr="00E44F8A">
        <w:rPr>
          <w:i/>
          <w:iCs/>
        </w:rPr>
        <w:t>” in the “UPOV Variety Description”</w:t>
      </w:r>
      <w:r>
        <w:rPr>
          <w:i/>
          <w:iCs/>
        </w:rPr>
        <w:t>,</w:t>
      </w:r>
      <w:r w:rsidRPr="00E44F8A">
        <w:rPr>
          <w:i/>
          <w:iCs/>
        </w:rPr>
        <w:t xml:space="preserve"> as set out in </w:t>
      </w:r>
      <w:r w:rsidRPr="00911270">
        <w:rPr>
          <w:i/>
          <w:iCs/>
        </w:rPr>
        <w:t>paragraph 2</w:t>
      </w:r>
      <w:r w:rsidR="00DA75C4" w:rsidRPr="00911270">
        <w:rPr>
          <w:i/>
          <w:iCs/>
        </w:rPr>
        <w:t>1</w:t>
      </w:r>
      <w:r w:rsidRPr="00911270">
        <w:rPr>
          <w:i/>
          <w:iCs/>
        </w:rPr>
        <w:t xml:space="preserve"> </w:t>
      </w:r>
      <w:r w:rsidRPr="00317307">
        <w:rPr>
          <w:i/>
          <w:iCs/>
        </w:rPr>
        <w:t>of</w:t>
      </w:r>
      <w:r w:rsidRPr="00E44F8A">
        <w:rPr>
          <w:i/>
          <w:iCs/>
        </w:rPr>
        <w:t xml:space="preserve"> this document</w:t>
      </w:r>
      <w:r>
        <w:rPr>
          <w:i/>
          <w:iCs/>
        </w:rPr>
        <w:t>;</w:t>
      </w:r>
      <w:r w:rsidRPr="00E44F8A">
        <w:rPr>
          <w:i/>
          <w:iCs/>
        </w:rPr>
        <w:t xml:space="preserve"> and</w:t>
      </w:r>
    </w:p>
    <w:p w14:paraId="12F3FC9E" w14:textId="77777777" w:rsidR="008671A6" w:rsidRDefault="008671A6" w:rsidP="008671A6">
      <w:pPr>
        <w:pStyle w:val="ListParagraph"/>
        <w:tabs>
          <w:tab w:val="left" w:pos="5387"/>
          <w:tab w:val="left" w:pos="5954"/>
        </w:tabs>
        <w:ind w:left="4820" w:firstLine="570"/>
        <w:rPr>
          <w:i/>
          <w:iCs/>
        </w:rPr>
      </w:pPr>
    </w:p>
    <w:p w14:paraId="352EE921" w14:textId="48E5B5BF" w:rsidR="008671A6" w:rsidRPr="00E44F8A" w:rsidRDefault="008671A6" w:rsidP="008671A6">
      <w:pPr>
        <w:pStyle w:val="ListParagraph"/>
        <w:numPr>
          <w:ilvl w:val="0"/>
          <w:numId w:val="47"/>
        </w:numPr>
        <w:tabs>
          <w:tab w:val="left" w:pos="5387"/>
          <w:tab w:val="left" w:pos="5954"/>
        </w:tabs>
        <w:ind w:left="4820" w:firstLine="570"/>
        <w:rPr>
          <w:i/>
          <w:iCs/>
        </w:rPr>
      </w:pPr>
      <w:r w:rsidRPr="00E44F8A">
        <w:rPr>
          <w:i/>
          <w:iCs/>
        </w:rPr>
        <w:t xml:space="preserve">whether to provide further guidance on </w:t>
      </w:r>
      <w:r w:rsidRPr="008671A6">
        <w:rPr>
          <w:i/>
          <w:iCs/>
        </w:rPr>
        <w:t>additional information that could be provided with variety descriptions</w:t>
      </w:r>
      <w:r>
        <w:rPr>
          <w:i/>
          <w:iCs/>
        </w:rPr>
        <w:t>.</w:t>
      </w:r>
    </w:p>
    <w:p w14:paraId="3F7A9F1E" w14:textId="77777777" w:rsidR="006C5855" w:rsidRDefault="006C5855" w:rsidP="006C5855"/>
    <w:p w14:paraId="56E092ED" w14:textId="77777777" w:rsidR="00E71793" w:rsidRPr="00F56A7F" w:rsidRDefault="00E71793" w:rsidP="006C5855"/>
    <w:p w14:paraId="545CFC46" w14:textId="77777777" w:rsidR="008A3CC3" w:rsidRDefault="006C5855" w:rsidP="007358C2">
      <w:pPr>
        <w:pStyle w:val="Heading3"/>
      </w:pPr>
      <w:bookmarkStart w:id="18" w:name="_Toc162975796"/>
      <w:bookmarkStart w:id="19" w:name="_Hlk162632520"/>
      <w:r w:rsidRPr="00F56A7F">
        <w:t>TGP/7</w:t>
      </w:r>
      <w:r w:rsidR="007358C2" w:rsidRPr="00F56A7F">
        <w:t xml:space="preserve"> “</w:t>
      </w:r>
      <w:r w:rsidRPr="00F56A7F">
        <w:t>Development of Test Guidelines</w:t>
      </w:r>
      <w:r w:rsidR="007358C2" w:rsidRPr="00F56A7F">
        <w:t>”</w:t>
      </w:r>
      <w:r w:rsidRPr="00F56A7F">
        <w:t xml:space="preserve"> (Revision)</w:t>
      </w:r>
      <w:bookmarkEnd w:id="18"/>
    </w:p>
    <w:p w14:paraId="52D89A7B" w14:textId="77777777" w:rsidR="00131032" w:rsidRPr="00F56A7F" w:rsidRDefault="00131032" w:rsidP="006C5855"/>
    <w:p w14:paraId="0142A854" w14:textId="719FD1A1" w:rsidR="006C5855" w:rsidRPr="00F56A7F" w:rsidRDefault="0068160B" w:rsidP="008A3CC3">
      <w:pPr>
        <w:pStyle w:val="Heading4"/>
      </w:pPr>
      <w:bookmarkStart w:id="20" w:name="_Toc144998032"/>
      <w:bookmarkStart w:id="21" w:name="_Toc162975797"/>
      <w:r w:rsidRPr="004077BD">
        <w:t>Additional Standard Wording</w:t>
      </w:r>
      <w:r w:rsidRPr="00330E52">
        <w:t xml:space="preserve"> </w:t>
      </w:r>
      <w:r>
        <w:t xml:space="preserve">(ASW) </w:t>
      </w:r>
      <w:r w:rsidR="006C5855" w:rsidRPr="00F56A7F">
        <w:t xml:space="preserve">3 </w:t>
      </w:r>
      <w:r w:rsidR="008A3CC3">
        <w:t>“</w:t>
      </w:r>
      <w:r w:rsidR="006C5855" w:rsidRPr="00F56A7F">
        <w:t>Explanation of the growing cycle</w:t>
      </w:r>
      <w:bookmarkEnd w:id="20"/>
      <w:r w:rsidR="008A3CC3">
        <w:t>”</w:t>
      </w:r>
      <w:bookmarkEnd w:id="21"/>
    </w:p>
    <w:bookmarkEnd w:id="19"/>
    <w:p w14:paraId="7540416E" w14:textId="77777777" w:rsidR="006C5855" w:rsidRDefault="006C5855" w:rsidP="00504E9D">
      <w:pPr>
        <w:keepNext/>
      </w:pPr>
    </w:p>
    <w:p w14:paraId="1E9943E9" w14:textId="01D852C3" w:rsidR="00131032" w:rsidRPr="00AB41D9" w:rsidRDefault="00131032" w:rsidP="00504E9D">
      <w:pPr>
        <w:keepNext/>
      </w:pPr>
      <w:r>
        <w:fldChar w:fldCharType="begin"/>
      </w:r>
      <w:r>
        <w:instrText xml:space="preserve"> AUTONUM  </w:instrText>
      </w:r>
      <w:r>
        <w:fldChar w:fldCharType="end"/>
      </w:r>
      <w:r>
        <w:tab/>
      </w:r>
      <w:r w:rsidR="00DB4BC6">
        <w:t xml:space="preserve">Test Guidelines represent an agreed and harmonized approach for the examination of new varieties of particular species or other group(s) of varieties.  </w:t>
      </w:r>
      <w:r>
        <w:t>Chapter 3.1</w:t>
      </w:r>
      <w:r w:rsidR="00DB4BC6">
        <w:t xml:space="preserve"> of the Test Guidelines </w:t>
      </w:r>
      <w:r w:rsidR="00547502">
        <w:t>refers</w:t>
      </w:r>
      <w:r w:rsidR="00DB4BC6">
        <w:t xml:space="preserve"> to the number of growing cycles.</w:t>
      </w:r>
      <w:r w:rsidR="005A24DE">
        <w:t xml:space="preserve"> </w:t>
      </w:r>
      <w:r>
        <w:t xml:space="preserve"> In some </w:t>
      </w:r>
      <w:r w:rsidR="00DB4BC6">
        <w:t>cases,</w:t>
      </w:r>
      <w:r>
        <w:t xml:space="preserve"> it may be necessary to clarify what is meant by a growing cycle. </w:t>
      </w:r>
      <w:r w:rsidR="005A24DE">
        <w:t xml:space="preserve"> </w:t>
      </w:r>
      <w:r>
        <w:t>Additional standard wording has been developed for some situations</w:t>
      </w:r>
      <w:r w:rsidR="00DB4BC6">
        <w:t>, as provided in document TGP/7, Annex</w:t>
      </w:r>
      <w:r w:rsidR="005A24DE">
        <w:t> </w:t>
      </w:r>
      <w:r w:rsidR="00DB4BC6">
        <w:t xml:space="preserve">2 </w:t>
      </w:r>
      <w:r w:rsidR="00DB4BC6" w:rsidRPr="00AB41D9">
        <w:t xml:space="preserve">“Additional Standard Wording” (ASW), </w:t>
      </w:r>
      <w:r w:rsidRPr="00AB41D9">
        <w:t>ASW 3</w:t>
      </w:r>
      <w:r w:rsidR="00DB4BC6" w:rsidRPr="00AB41D9">
        <w:t xml:space="preserve"> “Explanation of the growing cycle”</w:t>
      </w:r>
      <w:r w:rsidRPr="00AB41D9">
        <w:t>.</w:t>
      </w:r>
    </w:p>
    <w:p w14:paraId="38D79E54" w14:textId="77777777" w:rsidR="00131032" w:rsidRPr="00AB41D9" w:rsidRDefault="00131032" w:rsidP="00504E9D">
      <w:pPr>
        <w:keepNext/>
      </w:pPr>
    </w:p>
    <w:p w14:paraId="53C8D013" w14:textId="7CB2E6B0" w:rsidR="00C5169D" w:rsidRDefault="006C5855" w:rsidP="006C5855">
      <w:r w:rsidRPr="00911270">
        <w:fldChar w:fldCharType="begin"/>
      </w:r>
      <w:r w:rsidRPr="00911270">
        <w:instrText xml:space="preserve"> AUTONUM  </w:instrText>
      </w:r>
      <w:r w:rsidRPr="00911270">
        <w:fldChar w:fldCharType="end"/>
      </w:r>
      <w:r w:rsidRPr="00AB41D9">
        <w:tab/>
        <w:t>The TC</w:t>
      </w:r>
      <w:r w:rsidR="007654A3" w:rsidRPr="003C5A8E">
        <w:rPr>
          <w:vertAlign w:val="superscript"/>
        </w:rPr>
        <w:fldChar w:fldCharType="begin"/>
      </w:r>
      <w:r w:rsidR="007654A3" w:rsidRPr="003C5A8E">
        <w:rPr>
          <w:vertAlign w:val="superscript"/>
        </w:rPr>
        <w:instrText xml:space="preserve"> NOTEREF _Ref162969248 \h </w:instrText>
      </w:r>
      <w:r w:rsidR="007654A3">
        <w:rPr>
          <w:vertAlign w:val="superscript"/>
        </w:rPr>
        <w:instrText xml:space="preserve"> \* MERGEFORMAT </w:instrText>
      </w:r>
      <w:r w:rsidR="007654A3" w:rsidRPr="003C5A8E">
        <w:rPr>
          <w:vertAlign w:val="superscript"/>
        </w:rPr>
      </w:r>
      <w:r w:rsidR="007654A3" w:rsidRPr="003C5A8E">
        <w:rPr>
          <w:vertAlign w:val="superscript"/>
        </w:rPr>
        <w:fldChar w:fldCharType="separate"/>
      </w:r>
      <w:r w:rsidR="00027BEE">
        <w:rPr>
          <w:vertAlign w:val="superscript"/>
        </w:rPr>
        <w:t>1</w:t>
      </w:r>
      <w:r w:rsidR="007654A3" w:rsidRPr="003C5A8E">
        <w:rPr>
          <w:vertAlign w:val="superscript"/>
        </w:rPr>
        <w:fldChar w:fldCharType="end"/>
      </w:r>
      <w:r w:rsidR="007654A3">
        <w:rPr>
          <w:vertAlign w:val="superscript"/>
        </w:rPr>
        <w:t>, </w:t>
      </w:r>
      <w:r w:rsidR="00E67AF2" w:rsidRPr="00AB41D9">
        <w:rPr>
          <w:rStyle w:val="FootnoteReference"/>
        </w:rPr>
        <w:footnoteReference w:id="8"/>
      </w:r>
      <w:r w:rsidR="005A24DE" w:rsidRPr="00E33C13">
        <w:t xml:space="preserve"> </w:t>
      </w:r>
      <w:r w:rsidR="00605E71" w:rsidRPr="00AB41D9">
        <w:t xml:space="preserve">agreed to invite the TWPs to consider whether </w:t>
      </w:r>
      <w:r w:rsidRPr="00AB41D9">
        <w:t>to amend the current standard wording of</w:t>
      </w:r>
      <w:r w:rsidRPr="00F56A7F">
        <w:t xml:space="preserve"> growing cycle for “fruit species with clearly defined dormant period”</w:t>
      </w:r>
      <w:r w:rsidR="008B319B">
        <w:t>,</w:t>
      </w:r>
      <w:r w:rsidRPr="00F56A7F">
        <w:t xml:space="preserve"> </w:t>
      </w:r>
      <w:r w:rsidR="00C5169D">
        <w:t xml:space="preserve">to read as follows </w:t>
      </w:r>
      <w:r w:rsidR="009754BF" w:rsidRPr="00F56A7F">
        <w:t xml:space="preserve">(additions indicated with highlighting and </w:t>
      </w:r>
      <w:r w:rsidR="009754BF" w:rsidRPr="00F56A7F">
        <w:rPr>
          <w:highlight w:val="lightGray"/>
          <w:u w:val="single"/>
        </w:rPr>
        <w:t>underline</w:t>
      </w:r>
      <w:r w:rsidR="009754BF" w:rsidRPr="00F56A7F">
        <w:t xml:space="preserve">; and deletions indicated with highlighting and </w:t>
      </w:r>
      <w:r w:rsidR="009754BF" w:rsidRPr="00F56A7F">
        <w:rPr>
          <w:strike/>
          <w:highlight w:val="lightGray"/>
        </w:rPr>
        <w:t>strikethrough</w:t>
      </w:r>
      <w:r w:rsidR="009754BF" w:rsidRPr="00F56A7F">
        <w:t>)</w:t>
      </w:r>
      <w:r w:rsidR="00C5169D">
        <w:t>:</w:t>
      </w:r>
    </w:p>
    <w:p w14:paraId="020ADC17" w14:textId="77777777" w:rsidR="00C5169D" w:rsidRDefault="00C5169D" w:rsidP="006C5855"/>
    <w:p w14:paraId="05B394B5" w14:textId="77777777" w:rsidR="006C5855" w:rsidRPr="00F56A7F" w:rsidRDefault="006C5855" w:rsidP="005A24DE">
      <w:pPr>
        <w:keepNext/>
        <w:tabs>
          <w:tab w:val="left" w:pos="1134"/>
        </w:tabs>
        <w:ind w:left="567" w:right="567"/>
        <w:contextualSpacing/>
        <w:rPr>
          <w:sz w:val="18"/>
          <w:szCs w:val="18"/>
        </w:rPr>
      </w:pPr>
      <w:bookmarkStart w:id="22" w:name="_Toc47696963"/>
      <w:r w:rsidRPr="00F56A7F">
        <w:rPr>
          <w:sz w:val="18"/>
          <w:szCs w:val="18"/>
        </w:rPr>
        <w:t>“(a)</w:t>
      </w:r>
      <w:r w:rsidRPr="00F56A7F">
        <w:rPr>
          <w:sz w:val="18"/>
          <w:szCs w:val="18"/>
        </w:rPr>
        <w:tab/>
        <w:t>Fruit species with clearly defined dormant period</w:t>
      </w:r>
      <w:bookmarkEnd w:id="22"/>
    </w:p>
    <w:p w14:paraId="555CA192" w14:textId="77777777" w:rsidR="006C5855" w:rsidRPr="00F56A7F" w:rsidRDefault="006C5855" w:rsidP="005A24DE">
      <w:pPr>
        <w:keepNext/>
        <w:tabs>
          <w:tab w:val="left" w:pos="1134"/>
        </w:tabs>
        <w:ind w:left="567" w:right="567"/>
        <w:contextualSpacing/>
        <w:rPr>
          <w:sz w:val="18"/>
          <w:szCs w:val="18"/>
        </w:rPr>
      </w:pPr>
    </w:p>
    <w:p w14:paraId="5DAF3242" w14:textId="77777777" w:rsidR="006C5855" w:rsidRPr="00F56A7F" w:rsidRDefault="006C5855" w:rsidP="005A24DE">
      <w:pPr>
        <w:keepNext/>
        <w:tabs>
          <w:tab w:val="left" w:pos="851"/>
          <w:tab w:val="left" w:pos="1134"/>
        </w:tabs>
        <w:ind w:left="567" w:right="567"/>
        <w:rPr>
          <w:sz w:val="18"/>
          <w:szCs w:val="18"/>
        </w:rPr>
      </w:pPr>
      <w:r w:rsidRPr="00F56A7F">
        <w:rPr>
          <w:sz w:val="18"/>
          <w:szCs w:val="18"/>
        </w:rPr>
        <w:t>“3.1.2</w:t>
      </w:r>
      <w:r w:rsidRPr="00F56A7F">
        <w:rPr>
          <w:sz w:val="18"/>
          <w:szCs w:val="18"/>
        </w:rPr>
        <w:tab/>
        <w:t xml:space="preserve">The growing cycle is considered to be the duration of a single growing season, beginning with </w:t>
      </w:r>
      <w:r w:rsidRPr="00F56A7F">
        <w:rPr>
          <w:sz w:val="18"/>
          <w:szCs w:val="18"/>
          <w:highlight w:val="lightGray"/>
          <w:u w:val="single"/>
        </w:rPr>
        <w:t>the dormancy period, followed by</w:t>
      </w:r>
      <w:r w:rsidRPr="00F56A7F">
        <w:rPr>
          <w:sz w:val="18"/>
          <w:szCs w:val="18"/>
        </w:rPr>
        <w:t xml:space="preserve"> bud burst (flowering and/or vegetative), flowering and fruit harvest and concluding when the following dormant period </w:t>
      </w:r>
      <w:r w:rsidRPr="00F56A7F">
        <w:rPr>
          <w:sz w:val="18"/>
          <w:szCs w:val="18"/>
          <w:highlight w:val="lightGray"/>
          <w:u w:val="single"/>
        </w:rPr>
        <w:t>starts</w:t>
      </w:r>
      <w:r w:rsidRPr="00F56A7F">
        <w:rPr>
          <w:sz w:val="18"/>
          <w:szCs w:val="18"/>
        </w:rPr>
        <w:t xml:space="preserve"> </w:t>
      </w:r>
      <w:r w:rsidRPr="00F56A7F">
        <w:rPr>
          <w:strike/>
          <w:sz w:val="18"/>
          <w:szCs w:val="18"/>
          <w:highlight w:val="lightGray"/>
        </w:rPr>
        <w:t>ends with the swelling of new season buds</w:t>
      </w:r>
      <w:r w:rsidRPr="00F56A7F">
        <w:rPr>
          <w:sz w:val="18"/>
          <w:szCs w:val="18"/>
        </w:rPr>
        <w:t>.”</w:t>
      </w:r>
    </w:p>
    <w:p w14:paraId="2527EE1D" w14:textId="65CBAFB1" w:rsidR="006C5855" w:rsidRDefault="006C5855" w:rsidP="006C5855"/>
    <w:p w14:paraId="530207E9" w14:textId="18B055D8" w:rsidR="00C5169D" w:rsidRPr="00F56A7F" w:rsidRDefault="00C5169D" w:rsidP="00C5169D">
      <w:pPr>
        <w:pStyle w:val="DecisionParagraphs"/>
      </w:pPr>
      <w:r w:rsidRPr="00F56A7F">
        <w:fldChar w:fldCharType="begin"/>
      </w:r>
      <w:r w:rsidRPr="00F56A7F">
        <w:instrText xml:space="preserve"> AUTONUM  </w:instrText>
      </w:r>
      <w:r w:rsidRPr="00F56A7F">
        <w:fldChar w:fldCharType="end"/>
      </w:r>
      <w:r w:rsidRPr="00F56A7F">
        <w:tab/>
      </w:r>
      <w:r w:rsidR="00330E52">
        <w:t>The</w:t>
      </w:r>
      <w:r w:rsidRPr="00F56A7F">
        <w:t xml:space="preserve"> TWPs</w:t>
      </w:r>
      <w:r w:rsidR="00330E52">
        <w:t xml:space="preserve"> are invited </w:t>
      </w:r>
      <w:r w:rsidRPr="00F56A7F">
        <w:t xml:space="preserve">to consider </w:t>
      </w:r>
      <w:r w:rsidR="004077BD">
        <w:t xml:space="preserve">a proposal to </w:t>
      </w:r>
      <w:r w:rsidRPr="00F56A7F">
        <w:t>amend</w:t>
      </w:r>
      <w:r w:rsidR="00330E52">
        <w:t xml:space="preserve"> the </w:t>
      </w:r>
      <w:r w:rsidR="00330E52" w:rsidRPr="00AB41D9">
        <w:t>standard wording of</w:t>
      </w:r>
      <w:r w:rsidR="00330E52" w:rsidRPr="00F56A7F">
        <w:t xml:space="preserve"> growing cycle for “fruit species with clearly defined dormant period”</w:t>
      </w:r>
      <w:r w:rsidR="004077BD">
        <w:t xml:space="preserve"> in </w:t>
      </w:r>
      <w:r w:rsidRPr="00F56A7F">
        <w:t>document TGP/7, ASW</w:t>
      </w:r>
      <w:r>
        <w:t> </w:t>
      </w:r>
      <w:r w:rsidRPr="00F56A7F">
        <w:t xml:space="preserve">3(a), as set out in </w:t>
      </w:r>
      <w:r w:rsidRPr="00911270">
        <w:t>paragraph </w:t>
      </w:r>
      <w:r w:rsidR="00887AC5" w:rsidRPr="00911270">
        <w:t>2</w:t>
      </w:r>
      <w:r w:rsidR="004077BD" w:rsidRPr="00911270">
        <w:t>4</w:t>
      </w:r>
      <w:r w:rsidR="00451F0B" w:rsidRPr="00911270">
        <w:t xml:space="preserve"> of</w:t>
      </w:r>
      <w:r w:rsidR="00451F0B" w:rsidRPr="00451F0B">
        <w:t xml:space="preserve"> this document</w:t>
      </w:r>
      <w:r w:rsidRPr="00451F0B">
        <w:t>.</w:t>
      </w:r>
    </w:p>
    <w:p w14:paraId="522003A0" w14:textId="77777777" w:rsidR="00C5169D" w:rsidRDefault="00C5169D" w:rsidP="006C5855"/>
    <w:p w14:paraId="79292002" w14:textId="77777777" w:rsidR="00605E71" w:rsidRPr="00F56A7F" w:rsidRDefault="00605E71" w:rsidP="006C5855"/>
    <w:p w14:paraId="07E683BD" w14:textId="18C543BF" w:rsidR="006C5855" w:rsidRPr="00F56A7F" w:rsidRDefault="0068160B" w:rsidP="00314B12">
      <w:pPr>
        <w:pStyle w:val="Heading4"/>
      </w:pPr>
      <w:bookmarkStart w:id="23" w:name="_Toc47696980"/>
      <w:bookmarkStart w:id="24" w:name="_Toc144998033"/>
      <w:bookmarkStart w:id="25" w:name="_Toc162975798"/>
      <w:r w:rsidRPr="004077BD">
        <w:t>Additional Standard Wording</w:t>
      </w:r>
      <w:r w:rsidRPr="00330E52">
        <w:t xml:space="preserve"> </w:t>
      </w:r>
      <w:r>
        <w:t xml:space="preserve">(ASW) </w:t>
      </w:r>
      <w:r w:rsidR="006C5855" w:rsidRPr="00F56A7F">
        <w:t xml:space="preserve">7(b) </w:t>
      </w:r>
      <w:r w:rsidR="00314B12">
        <w:t>“</w:t>
      </w:r>
      <w:r w:rsidR="006C5855" w:rsidRPr="00F56A7F">
        <w:t>Number of plants / parts of plants to be examined</w:t>
      </w:r>
      <w:bookmarkEnd w:id="23"/>
      <w:bookmarkEnd w:id="24"/>
      <w:r w:rsidR="00314B12">
        <w:t>”</w:t>
      </w:r>
      <w:bookmarkEnd w:id="25"/>
    </w:p>
    <w:p w14:paraId="31589BCA" w14:textId="77777777" w:rsidR="006C5855" w:rsidRPr="00887AC5" w:rsidRDefault="006C5855" w:rsidP="006C5855"/>
    <w:p w14:paraId="2AA73623" w14:textId="4830AC58" w:rsidR="00887AC5" w:rsidRDefault="00887AC5" w:rsidP="006C5855">
      <w:r w:rsidRPr="00887AC5">
        <w:fldChar w:fldCharType="begin"/>
      </w:r>
      <w:r w:rsidRPr="00887AC5">
        <w:instrText xml:space="preserve"> AUTONUM  </w:instrText>
      </w:r>
      <w:r w:rsidRPr="00887AC5">
        <w:fldChar w:fldCharType="end"/>
      </w:r>
      <w:r w:rsidRPr="00887AC5">
        <w:tab/>
      </w:r>
      <w:r>
        <w:t xml:space="preserve">Chapter 4 of the Test Guidelines refers to the assessment of distinctness. </w:t>
      </w:r>
      <w:r w:rsidR="00163591">
        <w:t xml:space="preserve"> </w:t>
      </w:r>
      <w:r>
        <w:t>Section 4.1.4 provide</w:t>
      </w:r>
      <w:r w:rsidR="00163591">
        <w:t>s</w:t>
      </w:r>
      <w:r>
        <w:t xml:space="preserve"> information on the number of plants or parts of plants to be examined. </w:t>
      </w:r>
      <w:r w:rsidR="00163591">
        <w:t xml:space="preserve"> </w:t>
      </w:r>
      <w:r>
        <w:t xml:space="preserve">The following standard wording is provided in all Test Guidelines, where </w:t>
      </w:r>
      <w:proofErr w:type="gramStart"/>
      <w:r>
        <w:t>“</w:t>
      </w:r>
      <w:r w:rsidRPr="00784E02">
        <w:t>{ x</w:t>
      </w:r>
      <w:proofErr w:type="gramEnd"/>
      <w:r w:rsidRPr="00784E02">
        <w:t> }</w:t>
      </w:r>
      <w:r>
        <w:t>” is the number of plants or parts of plants to be observed:</w:t>
      </w:r>
    </w:p>
    <w:p w14:paraId="1D6BD560" w14:textId="77777777" w:rsidR="00887AC5" w:rsidRPr="00784E02" w:rsidRDefault="00887AC5" w:rsidP="00887AC5"/>
    <w:p w14:paraId="4CE58151" w14:textId="50A46A64" w:rsidR="00887AC5" w:rsidRPr="00887AC5" w:rsidRDefault="00887AC5" w:rsidP="00887AC5">
      <w:pPr>
        <w:pStyle w:val="BlockText"/>
      </w:pPr>
      <w:r w:rsidRPr="00887AC5">
        <w:t xml:space="preserve">“Unless otherwise indicated, for the purposes of distinctness, all observations on single plants should be made on </w:t>
      </w:r>
      <w:proofErr w:type="gramStart"/>
      <w:r w:rsidRPr="00887AC5">
        <w:t>{ x</w:t>
      </w:r>
      <w:proofErr w:type="gramEnd"/>
      <w:r w:rsidRPr="00887AC5">
        <w:t> } plants or parts taken from each of { x } plants and any other observations made on all plants in the test, disregarding any off-type plants.”</w:t>
      </w:r>
    </w:p>
    <w:p w14:paraId="1B9ED82B" w14:textId="58E3B8FC" w:rsidR="00887AC5" w:rsidRDefault="00887AC5" w:rsidP="004F6D65">
      <w:pPr>
        <w:pStyle w:val="Normaltg"/>
        <w:tabs>
          <w:tab w:val="clear" w:pos="709"/>
          <w:tab w:val="clear" w:pos="1418"/>
          <w:tab w:val="left" w:pos="1659"/>
        </w:tabs>
        <w:rPr>
          <w:lang w:val="en-US"/>
        </w:rPr>
      </w:pPr>
    </w:p>
    <w:p w14:paraId="260D1A5F" w14:textId="7A602468" w:rsidR="004F6D65" w:rsidRPr="00D1599D" w:rsidRDefault="004F6D65" w:rsidP="00E5703E">
      <w:pPr>
        <w:keepNext/>
        <w:rPr>
          <w:rFonts w:cs="Arial"/>
        </w:rPr>
      </w:pPr>
      <w:r>
        <w:lastRenderedPageBreak/>
        <w:fldChar w:fldCharType="begin"/>
      </w:r>
      <w:r>
        <w:instrText xml:space="preserve"> AUTONUM  </w:instrText>
      </w:r>
      <w:r>
        <w:fldChar w:fldCharType="end"/>
      </w:r>
      <w:r>
        <w:tab/>
      </w:r>
      <w:r w:rsidRPr="00784E02">
        <w:t>The following sentence may be added where appropriate</w:t>
      </w:r>
      <w:r>
        <w:t xml:space="preserve"> </w:t>
      </w:r>
      <w:r w:rsidR="00D1599D">
        <w:t>(</w:t>
      </w:r>
      <w:r w:rsidR="00D1599D" w:rsidRPr="008B319B">
        <w:rPr>
          <w:rFonts w:cs="Arial"/>
        </w:rPr>
        <w:t xml:space="preserve">Additional Standard Wording </w:t>
      </w:r>
      <w:r w:rsidR="00D1599D">
        <w:rPr>
          <w:rFonts w:cs="Arial"/>
        </w:rPr>
        <w:t xml:space="preserve">(ASW) </w:t>
      </w:r>
      <w:r w:rsidR="00D1599D" w:rsidRPr="008B319B">
        <w:rPr>
          <w:rFonts w:cs="Arial"/>
        </w:rPr>
        <w:t>7(b)</w:t>
      </w:r>
      <w:r w:rsidR="00D1599D">
        <w:rPr>
          <w:rFonts w:cs="Arial"/>
        </w:rPr>
        <w:t>):</w:t>
      </w:r>
    </w:p>
    <w:p w14:paraId="5FB9868D" w14:textId="77777777" w:rsidR="004F6D65" w:rsidRPr="00784E02" w:rsidRDefault="004F6D65" w:rsidP="00E5703E">
      <w:pPr>
        <w:keepNext/>
      </w:pPr>
    </w:p>
    <w:p w14:paraId="6B6BB978" w14:textId="77777777" w:rsidR="004F6D65" w:rsidRPr="00784E02" w:rsidRDefault="004F6D65" w:rsidP="004F6D65">
      <w:pPr>
        <w:ind w:left="567" w:right="567"/>
      </w:pPr>
      <w:r w:rsidRPr="00784E02">
        <w:t xml:space="preserve">“In the case of observations of parts taken from single plants, the number of parts to be taken from each of the plants should be </w:t>
      </w:r>
      <w:proofErr w:type="gramStart"/>
      <w:r w:rsidRPr="00784E02">
        <w:t>{ y</w:t>
      </w:r>
      <w:proofErr w:type="gramEnd"/>
      <w:r w:rsidRPr="00784E02">
        <w:t xml:space="preserve"> }.”</w:t>
      </w:r>
    </w:p>
    <w:p w14:paraId="2EBB31FB" w14:textId="77777777" w:rsidR="004F6D65" w:rsidRPr="00784E02" w:rsidRDefault="004F6D65" w:rsidP="004F6D65">
      <w:pPr>
        <w:pStyle w:val="Normaltg"/>
        <w:tabs>
          <w:tab w:val="clear" w:pos="709"/>
          <w:tab w:val="clear" w:pos="1418"/>
          <w:tab w:val="left" w:pos="1659"/>
        </w:tabs>
        <w:rPr>
          <w:lang w:val="en-US"/>
        </w:rPr>
      </w:pPr>
    </w:p>
    <w:p w14:paraId="209DE479" w14:textId="68F2B53B" w:rsidR="008B319B" w:rsidRDefault="006C5855" w:rsidP="006C5855">
      <w:pPr>
        <w:rPr>
          <w:rFonts w:cs="Arial"/>
        </w:rPr>
      </w:pPr>
      <w:r w:rsidRPr="00911270">
        <w:fldChar w:fldCharType="begin"/>
      </w:r>
      <w:r w:rsidRPr="00911270">
        <w:instrText xml:space="preserve"> AUTONUM  </w:instrText>
      </w:r>
      <w:r w:rsidRPr="00911270">
        <w:fldChar w:fldCharType="end"/>
      </w:r>
      <w:r w:rsidRPr="00F56A7F">
        <w:tab/>
      </w:r>
      <w:r w:rsidR="00DF3CF9">
        <w:t>At the request of the TWF, t</w:t>
      </w:r>
      <w:r w:rsidRPr="00F56A7F">
        <w:t>he TC</w:t>
      </w:r>
      <w:r w:rsidR="004E3A6E">
        <w:rPr>
          <w:rStyle w:val="FootnoteReference"/>
        </w:rPr>
        <w:footnoteReference w:id="9"/>
      </w:r>
      <w:r w:rsidR="00E5703E">
        <w:t>,</w:t>
      </w:r>
      <w:r w:rsidR="00E5703E" w:rsidRPr="00E33C13">
        <w:t xml:space="preserve"> </w:t>
      </w:r>
      <w:r w:rsidR="00E5703E">
        <w:t>at its fifty-ninth session</w:t>
      </w:r>
      <w:r w:rsidR="00E5703E" w:rsidRPr="003C5A8E">
        <w:rPr>
          <w:vertAlign w:val="superscript"/>
        </w:rPr>
        <w:fldChar w:fldCharType="begin"/>
      </w:r>
      <w:r w:rsidR="00E5703E" w:rsidRPr="003C5A8E">
        <w:rPr>
          <w:vertAlign w:val="superscript"/>
        </w:rPr>
        <w:instrText xml:space="preserve"> NOTEREF _Ref162969248 \h </w:instrText>
      </w:r>
      <w:r w:rsidR="00E5703E">
        <w:rPr>
          <w:vertAlign w:val="superscript"/>
        </w:rPr>
        <w:instrText xml:space="preserve"> \* MERGEFORMAT </w:instrText>
      </w:r>
      <w:r w:rsidR="00E5703E" w:rsidRPr="003C5A8E">
        <w:rPr>
          <w:vertAlign w:val="superscript"/>
        </w:rPr>
      </w:r>
      <w:r w:rsidR="00E5703E" w:rsidRPr="003C5A8E">
        <w:rPr>
          <w:vertAlign w:val="superscript"/>
        </w:rPr>
        <w:fldChar w:fldCharType="separate"/>
      </w:r>
      <w:r w:rsidR="00027BEE">
        <w:rPr>
          <w:vertAlign w:val="superscript"/>
        </w:rPr>
        <w:t>1</w:t>
      </w:r>
      <w:r w:rsidR="00E5703E" w:rsidRPr="003C5A8E">
        <w:rPr>
          <w:vertAlign w:val="superscript"/>
        </w:rPr>
        <w:fldChar w:fldCharType="end"/>
      </w:r>
      <w:r w:rsidR="00E5703E">
        <w:t xml:space="preserve">, </w:t>
      </w:r>
      <w:r w:rsidR="00DF3CF9">
        <w:t xml:space="preserve">agreed to invite the TWPs to consider </w:t>
      </w:r>
      <w:r w:rsidR="00DF3CF9">
        <w:rPr>
          <w:rFonts w:cs="Arial"/>
        </w:rPr>
        <w:t xml:space="preserve">a </w:t>
      </w:r>
      <w:r w:rsidRPr="00F56A7F">
        <w:rPr>
          <w:rFonts w:cs="Arial"/>
        </w:rPr>
        <w:t xml:space="preserve">proposal to amend </w:t>
      </w:r>
      <w:r w:rsidR="004F6D65">
        <w:t>ASW 7(b)</w:t>
      </w:r>
      <w:r w:rsidR="004F6D65" w:rsidRPr="00F56A7F">
        <w:rPr>
          <w:rFonts w:cs="Arial"/>
        </w:rPr>
        <w:t xml:space="preserve"> </w:t>
      </w:r>
      <w:r w:rsidRPr="00F56A7F">
        <w:rPr>
          <w:rFonts w:cs="Arial"/>
        </w:rPr>
        <w:t>to clarify that the number provided was an indication of minimum quantity</w:t>
      </w:r>
      <w:r w:rsidR="004F6D65">
        <w:rPr>
          <w:rFonts w:cs="Arial"/>
        </w:rPr>
        <w:t xml:space="preserve">, </w:t>
      </w:r>
      <w:r w:rsidR="008B319B" w:rsidRPr="008B319B">
        <w:rPr>
          <w:rFonts w:cs="Arial"/>
        </w:rPr>
        <w:t>to read as follows</w:t>
      </w:r>
      <w:r w:rsidR="004F6D65">
        <w:rPr>
          <w:rFonts w:cs="Arial"/>
        </w:rPr>
        <w:t>:</w:t>
      </w:r>
    </w:p>
    <w:p w14:paraId="5265F70E" w14:textId="77777777" w:rsidR="008B319B" w:rsidRDefault="008B319B" w:rsidP="006C5855">
      <w:pPr>
        <w:rPr>
          <w:rFonts w:cs="Arial"/>
        </w:rPr>
      </w:pPr>
    </w:p>
    <w:p w14:paraId="6415F9DD" w14:textId="77777777" w:rsidR="008B319B" w:rsidRPr="00F56A7F" w:rsidRDefault="008B319B" w:rsidP="008B319B">
      <w:pPr>
        <w:ind w:left="567" w:right="567"/>
        <w:rPr>
          <w:sz w:val="18"/>
        </w:rPr>
      </w:pPr>
      <w:r w:rsidRPr="00F56A7F">
        <w:rPr>
          <w:sz w:val="18"/>
        </w:rPr>
        <w:t xml:space="preserve">“In the case of observations of parts taken from single plants, the number of parts to be taken from each of the plants should be </w:t>
      </w:r>
      <w:r w:rsidRPr="00F56A7F">
        <w:rPr>
          <w:sz w:val="18"/>
          <w:highlight w:val="lightGray"/>
          <w:u w:val="single"/>
        </w:rPr>
        <w:t>at least</w:t>
      </w:r>
      <w:r w:rsidRPr="00F56A7F">
        <w:rPr>
          <w:sz w:val="18"/>
        </w:rPr>
        <w:t xml:space="preserve"> </w:t>
      </w:r>
      <w:proofErr w:type="gramStart"/>
      <w:r w:rsidRPr="00F56A7F">
        <w:rPr>
          <w:sz w:val="18"/>
        </w:rPr>
        <w:t>{ y</w:t>
      </w:r>
      <w:proofErr w:type="gramEnd"/>
      <w:r w:rsidRPr="00F56A7F">
        <w:rPr>
          <w:sz w:val="18"/>
        </w:rPr>
        <w:t xml:space="preserve"> }.”</w:t>
      </w:r>
    </w:p>
    <w:p w14:paraId="3A1F8780" w14:textId="77777777" w:rsidR="008B319B" w:rsidRPr="00F56A7F" w:rsidRDefault="008B319B" w:rsidP="008B319B">
      <w:pPr>
        <w:ind w:left="567" w:right="567"/>
        <w:rPr>
          <w:szCs w:val="22"/>
        </w:rPr>
      </w:pPr>
    </w:p>
    <w:p w14:paraId="2F5D5BB7" w14:textId="1E349E15" w:rsidR="006C5855" w:rsidRPr="00F8429E" w:rsidRDefault="008B319B" w:rsidP="008B319B">
      <w:pPr>
        <w:pStyle w:val="DecisionParagraphs"/>
      </w:pPr>
      <w:r w:rsidRPr="00F56A7F">
        <w:fldChar w:fldCharType="begin"/>
      </w:r>
      <w:r w:rsidRPr="00F56A7F">
        <w:instrText xml:space="preserve"> AUTONUM  </w:instrText>
      </w:r>
      <w:r w:rsidRPr="00F56A7F">
        <w:fldChar w:fldCharType="end"/>
      </w:r>
      <w:r w:rsidRPr="00F56A7F">
        <w:tab/>
      </w:r>
      <w:bookmarkStart w:id="26" w:name="_Hlk162632838"/>
      <w:r w:rsidR="00DA3221" w:rsidRPr="00F8429E">
        <w:t xml:space="preserve">The TWPs are invited to consider the proposal to amend document TGP/7, ASW 7(b), on the number of parts to be examined from single plants, as set out in </w:t>
      </w:r>
      <w:r w:rsidR="00DA3221" w:rsidRPr="00911270">
        <w:t>paragraph 28</w:t>
      </w:r>
      <w:r w:rsidR="00DA3221" w:rsidRPr="00F8429E">
        <w:t xml:space="preserve"> of this document.</w:t>
      </w:r>
    </w:p>
    <w:bookmarkEnd w:id="26"/>
    <w:p w14:paraId="29B565E3" w14:textId="77777777" w:rsidR="00E31CB5" w:rsidRDefault="00E31CB5" w:rsidP="00E31CB5">
      <w:pPr>
        <w:pStyle w:val="Heading3"/>
      </w:pPr>
    </w:p>
    <w:p w14:paraId="7705F8C6" w14:textId="77777777" w:rsidR="00E31CB5" w:rsidRPr="00E31CB5" w:rsidRDefault="00E31CB5" w:rsidP="00E31CB5"/>
    <w:p w14:paraId="2F127E12" w14:textId="77777777" w:rsidR="00E31CB5" w:rsidRPr="00F56A7F" w:rsidRDefault="00E31CB5" w:rsidP="00E31CB5">
      <w:pPr>
        <w:pStyle w:val="Heading4"/>
      </w:pPr>
      <w:bookmarkStart w:id="27" w:name="_Toc162975799"/>
      <w:r>
        <w:t xml:space="preserve">Guidance Note (GN) 28 “Example Varieties” – </w:t>
      </w:r>
      <w:r w:rsidRPr="00F56A7F">
        <w:t>Example varieties for asterisked quantitative characteristics when illustrations are provided</w:t>
      </w:r>
      <w:bookmarkEnd w:id="27"/>
    </w:p>
    <w:p w14:paraId="737B52C0" w14:textId="77777777" w:rsidR="00E31CB5" w:rsidRPr="00F56A7F" w:rsidRDefault="00E31CB5" w:rsidP="00E31CB5">
      <w:pPr>
        <w:jc w:val="left"/>
        <w:rPr>
          <w:i/>
        </w:rPr>
      </w:pPr>
    </w:p>
    <w:p w14:paraId="5D228443" w14:textId="4F6F0B10" w:rsidR="00E31CB5" w:rsidRDefault="00E31CB5" w:rsidP="00E31CB5">
      <w:pPr>
        <w:tabs>
          <w:tab w:val="left" w:pos="567"/>
          <w:tab w:val="left" w:pos="5387"/>
        </w:tabs>
        <w:rPr>
          <w:iCs/>
        </w:rPr>
      </w:pPr>
      <w:r w:rsidRPr="00F56A7F">
        <w:rPr>
          <w:iCs/>
        </w:rPr>
        <w:fldChar w:fldCharType="begin"/>
      </w:r>
      <w:r w:rsidRPr="00F56A7F">
        <w:rPr>
          <w:iCs/>
        </w:rPr>
        <w:instrText xml:space="preserve"> AUTONUM  </w:instrText>
      </w:r>
      <w:r w:rsidRPr="00F56A7F">
        <w:rPr>
          <w:iCs/>
        </w:rPr>
        <w:fldChar w:fldCharType="end"/>
      </w:r>
      <w:r w:rsidRPr="00F56A7F">
        <w:rPr>
          <w:iCs/>
        </w:rPr>
        <w:tab/>
      </w:r>
      <w:r w:rsidRPr="00235C60">
        <w:rPr>
          <w:iCs/>
          <w:spacing w:val="-2"/>
        </w:rPr>
        <w:t>The TC</w:t>
      </w:r>
      <w:r w:rsidR="000575B9" w:rsidRPr="003C5A8E">
        <w:rPr>
          <w:vertAlign w:val="superscript"/>
        </w:rPr>
        <w:fldChar w:fldCharType="begin"/>
      </w:r>
      <w:r w:rsidR="000575B9" w:rsidRPr="003C5A8E">
        <w:rPr>
          <w:vertAlign w:val="superscript"/>
        </w:rPr>
        <w:instrText xml:space="preserve"> NOTEREF _Ref162969248 \h </w:instrText>
      </w:r>
      <w:r w:rsidR="000575B9">
        <w:rPr>
          <w:vertAlign w:val="superscript"/>
        </w:rPr>
        <w:instrText xml:space="preserve"> \* MERGEFORMAT </w:instrText>
      </w:r>
      <w:r w:rsidR="000575B9" w:rsidRPr="003C5A8E">
        <w:rPr>
          <w:vertAlign w:val="superscript"/>
        </w:rPr>
      </w:r>
      <w:r w:rsidR="000575B9" w:rsidRPr="003C5A8E">
        <w:rPr>
          <w:vertAlign w:val="superscript"/>
        </w:rPr>
        <w:fldChar w:fldCharType="separate"/>
      </w:r>
      <w:r w:rsidR="00027BEE">
        <w:rPr>
          <w:vertAlign w:val="superscript"/>
        </w:rPr>
        <w:t>1</w:t>
      </w:r>
      <w:r w:rsidR="000575B9" w:rsidRPr="003C5A8E">
        <w:rPr>
          <w:vertAlign w:val="superscript"/>
        </w:rPr>
        <w:fldChar w:fldCharType="end"/>
      </w:r>
      <w:r w:rsidRPr="00235C60">
        <w:rPr>
          <w:iCs/>
          <w:spacing w:val="-2"/>
        </w:rPr>
        <w:t xml:space="preserve"> </w:t>
      </w:r>
      <w:r w:rsidRPr="00F56A7F">
        <w:rPr>
          <w:iCs/>
        </w:rPr>
        <w:t>noted discussions on possible amendments to document TGP/7, GN</w:t>
      </w:r>
      <w:r>
        <w:rPr>
          <w:iCs/>
        </w:rPr>
        <w:t> </w:t>
      </w:r>
      <w:r w:rsidRPr="00F56A7F">
        <w:rPr>
          <w:iCs/>
        </w:rPr>
        <w:t xml:space="preserve">28 “Example Varieties” reported in </w:t>
      </w:r>
      <w:r w:rsidRPr="00911270">
        <w:rPr>
          <w:iCs/>
        </w:rPr>
        <w:t>Annex I</w:t>
      </w:r>
      <w:r w:rsidR="009F1732" w:rsidRPr="00911270">
        <w:rPr>
          <w:iCs/>
        </w:rPr>
        <w:t>II</w:t>
      </w:r>
      <w:r>
        <w:rPr>
          <w:iCs/>
        </w:rPr>
        <w:t xml:space="preserve"> </w:t>
      </w:r>
      <w:r w:rsidRPr="00F56A7F">
        <w:rPr>
          <w:iCs/>
        </w:rPr>
        <w:t xml:space="preserve">to this document.  The TC noted that the TWA had invited the expert from Germany to draft a proposal to </w:t>
      </w:r>
      <w:bookmarkStart w:id="28" w:name="_Hlk162465372"/>
      <w:r w:rsidRPr="00F56A7F">
        <w:rPr>
          <w:iCs/>
        </w:rPr>
        <w:t xml:space="preserve">amend the guidance in document TGP/7, GN 28, concerning the situations where illustrations could replace example varieties and their complementary role to clarify the states of expression of a characteristic </w:t>
      </w:r>
      <w:bookmarkEnd w:id="28"/>
      <w:r w:rsidRPr="00F56A7F">
        <w:rPr>
          <w:iCs/>
        </w:rPr>
        <w:t>for consideration at the TWPs, at their sessions in 2024.</w:t>
      </w:r>
    </w:p>
    <w:p w14:paraId="1038E991" w14:textId="77777777" w:rsidR="00E31CB5" w:rsidRDefault="00E31CB5" w:rsidP="00E31CB5">
      <w:pPr>
        <w:tabs>
          <w:tab w:val="left" w:pos="567"/>
          <w:tab w:val="left" w:pos="5387"/>
        </w:tabs>
        <w:rPr>
          <w:iCs/>
        </w:rPr>
      </w:pPr>
    </w:p>
    <w:p w14:paraId="72651060" w14:textId="77777777" w:rsidR="00E31CB5" w:rsidRDefault="00E31CB5" w:rsidP="00E31CB5">
      <w:pPr>
        <w:tabs>
          <w:tab w:val="left" w:pos="567"/>
          <w:tab w:val="left" w:pos="5387"/>
        </w:tabs>
        <w:rPr>
          <w:iCs/>
        </w:rPr>
      </w:pPr>
      <w:r>
        <w:rPr>
          <w:iCs/>
        </w:rPr>
        <w:fldChar w:fldCharType="begin"/>
      </w:r>
      <w:r>
        <w:rPr>
          <w:iCs/>
        </w:rPr>
        <w:instrText xml:space="preserve"> AUTONUM  </w:instrText>
      </w:r>
      <w:r>
        <w:rPr>
          <w:iCs/>
        </w:rPr>
        <w:fldChar w:fldCharType="end"/>
      </w:r>
      <w:r>
        <w:rPr>
          <w:iCs/>
        </w:rPr>
        <w:tab/>
        <w:t>Further developments on this topic would be reported to the TWPs under a separate document.</w:t>
      </w:r>
    </w:p>
    <w:p w14:paraId="2A3235A0" w14:textId="77777777" w:rsidR="00E31CB5" w:rsidRDefault="00E31CB5" w:rsidP="00E31CB5">
      <w:pPr>
        <w:tabs>
          <w:tab w:val="left" w:pos="567"/>
          <w:tab w:val="left" w:pos="5387"/>
        </w:tabs>
        <w:rPr>
          <w:iCs/>
        </w:rPr>
      </w:pPr>
    </w:p>
    <w:p w14:paraId="6340139D" w14:textId="77777777" w:rsidR="00E31CB5" w:rsidRPr="00F56A7F" w:rsidRDefault="00E31CB5" w:rsidP="00E67AF2">
      <w:pPr>
        <w:pStyle w:val="DecisionParagraphs"/>
        <w:keepLines/>
      </w:pPr>
      <w:r w:rsidRPr="00F56A7F">
        <w:fldChar w:fldCharType="begin"/>
      </w:r>
      <w:r w:rsidRPr="00F56A7F">
        <w:instrText xml:space="preserve"> AUTONUM  </w:instrText>
      </w:r>
      <w:r w:rsidRPr="00F56A7F">
        <w:fldChar w:fldCharType="end"/>
      </w:r>
      <w:r w:rsidRPr="00F56A7F">
        <w:tab/>
      </w:r>
      <w:r>
        <w:t>The TWPs are invited to note that developments would be reported under a separate document concerning a proposal for the revision of document TGP/7 “Development of Test Guidelines”, GN28, on situations</w:t>
      </w:r>
      <w:r w:rsidRPr="00F56A7F">
        <w:rPr>
          <w:iCs/>
        </w:rPr>
        <w:t xml:space="preserve"> where illustrations could replace example varieties</w:t>
      </w:r>
      <w:r>
        <w:t>.</w:t>
      </w:r>
    </w:p>
    <w:p w14:paraId="2B945253" w14:textId="4853EBB4" w:rsidR="006C5855" w:rsidRPr="00911270" w:rsidRDefault="006C5855" w:rsidP="006C5855"/>
    <w:p w14:paraId="5686439D" w14:textId="77777777" w:rsidR="008257DE" w:rsidRPr="00911270" w:rsidRDefault="008257DE" w:rsidP="006C5855"/>
    <w:p w14:paraId="39646E2B" w14:textId="77777777" w:rsidR="006C5855" w:rsidRPr="008257DE" w:rsidRDefault="006C5855" w:rsidP="008257DE">
      <w:pPr>
        <w:pStyle w:val="Heading3"/>
      </w:pPr>
      <w:bookmarkStart w:id="29" w:name="_Toc144998034"/>
      <w:bookmarkStart w:id="30" w:name="_Toc162975800"/>
      <w:r w:rsidRPr="00F56A7F">
        <w:t>TGP/12: Guidance on Certain Physiological Characteristics</w:t>
      </w:r>
      <w:bookmarkEnd w:id="29"/>
      <w:bookmarkEnd w:id="30"/>
    </w:p>
    <w:p w14:paraId="02CDFD0A" w14:textId="77777777" w:rsidR="00405881" w:rsidRDefault="00405881" w:rsidP="00405881">
      <w:pPr>
        <w:pStyle w:val="Annexparagraphnumbering"/>
        <w:numPr>
          <w:ilvl w:val="0"/>
          <w:numId w:val="0"/>
        </w:numPr>
        <w:spacing w:after="0"/>
      </w:pPr>
    </w:p>
    <w:p w14:paraId="72B45C19" w14:textId="4FE04626" w:rsidR="002222F1" w:rsidRPr="0088502A" w:rsidRDefault="002222F1" w:rsidP="00950C64">
      <w:r>
        <w:fldChar w:fldCharType="begin"/>
      </w:r>
      <w:r>
        <w:instrText xml:space="preserve"> AUTONUM  </w:instrText>
      </w:r>
      <w:r>
        <w:fldChar w:fldCharType="end"/>
      </w:r>
      <w:r>
        <w:tab/>
      </w:r>
      <w:r w:rsidRPr="0088502A">
        <w:t>The TWV</w:t>
      </w:r>
      <w:bookmarkStart w:id="31" w:name="_Ref164159912"/>
      <w:r w:rsidR="00306BD4">
        <w:rPr>
          <w:rStyle w:val="FootnoteReference"/>
        </w:rPr>
        <w:footnoteReference w:id="10"/>
      </w:r>
      <w:bookmarkEnd w:id="31"/>
      <w:r w:rsidR="00306BD4">
        <w:t xml:space="preserve"> </w:t>
      </w:r>
      <w:r w:rsidRPr="0088502A">
        <w:t xml:space="preserve">received a presentation on “Disease resistance characteristics” by an expert from </w:t>
      </w:r>
      <w:proofErr w:type="spellStart"/>
      <w:r w:rsidRPr="0088502A">
        <w:t>Euroseeds</w:t>
      </w:r>
      <w:proofErr w:type="spellEnd"/>
      <w:r w:rsidRPr="0088502A">
        <w:t xml:space="preserve">, on behalf of CropLife International, </w:t>
      </w:r>
      <w:proofErr w:type="spellStart"/>
      <w:r w:rsidRPr="0088502A">
        <w:t>Euroseeds</w:t>
      </w:r>
      <w:proofErr w:type="spellEnd"/>
      <w:r w:rsidRPr="0088502A">
        <w:t xml:space="preserve"> and the </w:t>
      </w:r>
      <w:bookmarkStart w:id="32" w:name="_Hlk145000480"/>
      <w:r w:rsidRPr="0088502A">
        <w:t>International Seed Federation (ISF)</w:t>
      </w:r>
      <w:bookmarkEnd w:id="32"/>
      <w:r w:rsidRPr="0088502A">
        <w:t xml:space="preserve">.  A copy of the presentation is presented in document TWV/57/10 Add </w:t>
      </w:r>
      <w:r w:rsidRPr="00733D31">
        <w:rPr>
          <w:rFonts w:eastAsia="MS Mincho"/>
        </w:rPr>
        <w:t>(see document</w:t>
      </w:r>
      <w:r w:rsidR="005723B7">
        <w:rPr>
          <w:rFonts w:eastAsia="MS Mincho"/>
        </w:rPr>
        <w:t xml:space="preserve"> </w:t>
      </w:r>
      <w:r w:rsidRPr="00733D31">
        <w:rPr>
          <w:rFonts w:eastAsia="MS Mincho"/>
        </w:rPr>
        <w:t>TWV/57/26 “Report”, paragraphs 25 to</w:t>
      </w:r>
      <w:r w:rsidR="000575B9">
        <w:rPr>
          <w:rFonts w:eastAsia="MS Mincho"/>
        </w:rPr>
        <w:t> </w:t>
      </w:r>
      <w:r w:rsidRPr="00733D31">
        <w:rPr>
          <w:rFonts w:eastAsia="MS Mincho"/>
        </w:rPr>
        <w:t>28)</w:t>
      </w:r>
      <w:r w:rsidRPr="0088502A">
        <w:t>.</w:t>
      </w:r>
    </w:p>
    <w:p w14:paraId="6B568EE2" w14:textId="77777777" w:rsidR="002222F1" w:rsidRPr="005723B7" w:rsidRDefault="002222F1" w:rsidP="005723B7"/>
    <w:p w14:paraId="0CF8549B" w14:textId="3FE2AF27" w:rsidR="00E67AF2" w:rsidRDefault="00E67AF2" w:rsidP="00950C64">
      <w:r w:rsidRPr="00911270">
        <w:fldChar w:fldCharType="begin"/>
      </w:r>
      <w:r w:rsidRPr="00911270">
        <w:instrText xml:space="preserve"> AUTONUM  </w:instrText>
      </w:r>
      <w:r w:rsidRPr="00911270">
        <w:fldChar w:fldCharType="end"/>
      </w:r>
      <w:r>
        <w:tab/>
      </w:r>
      <w:r w:rsidRPr="0088502A">
        <w:t xml:space="preserve">The </w:t>
      </w:r>
      <w:r w:rsidR="00393658" w:rsidRPr="0088502A">
        <w:t>TWV</w:t>
      </w:r>
      <w:r w:rsidR="00F11DAD" w:rsidRPr="00F11DAD">
        <w:rPr>
          <w:vertAlign w:val="superscript"/>
        </w:rPr>
        <w:fldChar w:fldCharType="begin"/>
      </w:r>
      <w:r w:rsidR="00F11DAD" w:rsidRPr="00F11DAD">
        <w:rPr>
          <w:vertAlign w:val="superscript"/>
        </w:rPr>
        <w:instrText xml:space="preserve"> NOTEREF _Ref164159912 \h </w:instrText>
      </w:r>
      <w:r w:rsidR="00F11DAD" w:rsidRPr="00F11DAD">
        <w:rPr>
          <w:vertAlign w:val="superscript"/>
        </w:rPr>
      </w:r>
      <w:r w:rsidR="00F11DAD">
        <w:rPr>
          <w:vertAlign w:val="superscript"/>
        </w:rPr>
        <w:instrText xml:space="preserve"> \* MERGEFORMAT </w:instrText>
      </w:r>
      <w:r w:rsidR="00F11DAD" w:rsidRPr="00F11DAD">
        <w:rPr>
          <w:vertAlign w:val="superscript"/>
        </w:rPr>
        <w:fldChar w:fldCharType="separate"/>
      </w:r>
      <w:r w:rsidR="00027BEE">
        <w:rPr>
          <w:vertAlign w:val="superscript"/>
        </w:rPr>
        <w:t>9</w:t>
      </w:r>
      <w:r w:rsidR="00F11DAD" w:rsidRPr="00F11DAD">
        <w:rPr>
          <w:vertAlign w:val="superscript"/>
        </w:rPr>
        <w:fldChar w:fldCharType="end"/>
      </w:r>
      <w:r w:rsidR="00306BD4">
        <w:t xml:space="preserve"> </w:t>
      </w:r>
      <w:r w:rsidRPr="0088502A">
        <w:t xml:space="preserve">noted that the terminology used in the condensed scale of notes (notes 1; 2; 3) for quantitative disease resistance characteristics in UPOV Test Guidelines differed from the terminology used in the vegetable seed sector. </w:t>
      </w:r>
      <w:r>
        <w:t xml:space="preserve"> </w:t>
      </w:r>
      <w:r w:rsidRPr="0088502A">
        <w:t>The TWV agreed that the following table provided the equivalence of states of expression in UPOV Test Guidelines with the terminology used in the vegetable seed sector</w:t>
      </w:r>
      <w:bookmarkStart w:id="33" w:name="_Ref164159577"/>
      <w:r w:rsidR="00405881">
        <w:rPr>
          <w:rStyle w:val="FootnoteReference"/>
        </w:rPr>
        <w:footnoteReference w:id="11"/>
      </w:r>
      <w:bookmarkEnd w:id="33"/>
      <w:r w:rsidRPr="0088502A">
        <w:t>:</w:t>
      </w:r>
    </w:p>
    <w:p w14:paraId="499BDB55" w14:textId="77777777" w:rsidR="00950C64" w:rsidRPr="0088502A" w:rsidRDefault="00950C64" w:rsidP="00950C64"/>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E67AF2" w:rsidRPr="0088502A" w14:paraId="786CB86E" w14:textId="77777777" w:rsidTr="00CA62C0">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266FF" w14:textId="77777777" w:rsidR="00E67AF2" w:rsidRPr="0088502A" w:rsidRDefault="00E67AF2" w:rsidP="00CA62C0">
            <w:pPr>
              <w:jc w:val="left"/>
              <w:rPr>
                <w:rFonts w:cs="Arial"/>
                <w:color w:val="000000"/>
                <w:sz w:val="18"/>
              </w:rPr>
            </w:pPr>
            <w:r w:rsidRPr="0088502A">
              <w:rPr>
                <w:rFonts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7BC61050" w14:textId="77777777" w:rsidR="00E67AF2" w:rsidRPr="0088502A" w:rsidRDefault="00E67AF2" w:rsidP="00CA62C0">
            <w:pPr>
              <w:jc w:val="center"/>
              <w:rPr>
                <w:rFonts w:cs="Arial"/>
                <w:color w:val="000000"/>
                <w:sz w:val="18"/>
              </w:rPr>
            </w:pPr>
            <w:r w:rsidRPr="0088502A">
              <w:rPr>
                <w:rFonts w:cs="Arial"/>
                <w:color w:val="000000"/>
                <w:sz w:val="18"/>
              </w:rPr>
              <w:t>Equivalence of states of expression in UPOV Test Guidelines with the terminology used in the vegetable seed sector</w:t>
            </w:r>
          </w:p>
        </w:tc>
      </w:tr>
      <w:tr w:rsidR="00E67AF2" w:rsidRPr="0088502A" w14:paraId="2129F8AD" w14:textId="77777777" w:rsidTr="00CA62C0">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DEC5F66" w14:textId="77777777" w:rsidR="00E67AF2" w:rsidRPr="0088502A" w:rsidRDefault="00E67AF2" w:rsidP="00CA62C0">
            <w:pPr>
              <w:jc w:val="left"/>
              <w:rPr>
                <w:rFonts w:cs="Arial"/>
                <w:sz w:val="18"/>
              </w:rPr>
            </w:pPr>
            <w:r w:rsidRPr="0088502A">
              <w:rPr>
                <w:rFonts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7014CD9A" w14:textId="77777777" w:rsidR="00E67AF2" w:rsidRPr="0088502A" w:rsidRDefault="00E67AF2" w:rsidP="00CA62C0">
            <w:pPr>
              <w:jc w:val="center"/>
              <w:rPr>
                <w:rFonts w:cs="Arial"/>
                <w:bCs/>
                <w:sz w:val="18"/>
              </w:rPr>
            </w:pPr>
            <w:r w:rsidRPr="0088502A">
              <w:rPr>
                <w:rFonts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69208F65" w14:textId="77777777" w:rsidR="00E67AF2" w:rsidRPr="0088502A" w:rsidRDefault="00E67AF2" w:rsidP="00CA62C0">
            <w:pPr>
              <w:jc w:val="center"/>
              <w:rPr>
                <w:rFonts w:cs="Arial"/>
                <w:bCs/>
                <w:sz w:val="18"/>
              </w:rPr>
            </w:pPr>
            <w:r w:rsidRPr="0088502A">
              <w:rPr>
                <w:rFonts w:cs="Arial"/>
                <w:bCs/>
                <w:sz w:val="18"/>
              </w:rPr>
              <w:t>Terminology used in the vegetable seed sector</w:t>
            </w:r>
            <w:r w:rsidRPr="0088502A">
              <w:rPr>
                <w:rStyle w:val="FootnoteReference"/>
                <w:rFonts w:cs="Arial"/>
                <w:bCs/>
                <w:sz w:val="18"/>
              </w:rPr>
              <w:footnoteReference w:id="12"/>
            </w:r>
          </w:p>
        </w:tc>
      </w:tr>
      <w:tr w:rsidR="00E67AF2" w:rsidRPr="0088502A" w14:paraId="309737BF" w14:textId="77777777" w:rsidTr="00CA62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235B64C" w14:textId="77777777" w:rsidR="00E67AF2" w:rsidRPr="0088502A" w:rsidRDefault="00E67AF2" w:rsidP="00CA62C0">
            <w:pPr>
              <w:jc w:val="left"/>
              <w:rPr>
                <w:rFonts w:cs="Arial"/>
                <w:sz w:val="18"/>
              </w:rPr>
            </w:pPr>
            <w:r w:rsidRPr="0088502A">
              <w:rPr>
                <w:rFonts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419F7D51" w14:textId="77777777" w:rsidR="00E67AF2" w:rsidRPr="0088502A" w:rsidRDefault="00E67AF2" w:rsidP="00CA62C0">
            <w:pPr>
              <w:jc w:val="left"/>
              <w:rPr>
                <w:rFonts w:cs="Arial"/>
                <w:sz w:val="18"/>
              </w:rPr>
            </w:pPr>
            <w:r w:rsidRPr="0088502A">
              <w:rPr>
                <w:rFonts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1E9761FF" w14:textId="77777777" w:rsidR="00E67AF2" w:rsidRPr="0088502A" w:rsidRDefault="00E67AF2" w:rsidP="00CA62C0">
            <w:pPr>
              <w:jc w:val="left"/>
              <w:rPr>
                <w:rFonts w:cs="Arial"/>
                <w:sz w:val="18"/>
              </w:rPr>
            </w:pPr>
            <w:r w:rsidRPr="0088502A">
              <w:rPr>
                <w:rFonts w:cs="Arial"/>
                <w:sz w:val="18"/>
              </w:rPr>
              <w:t>Reaction of a plant variety to a specific pest is:</w:t>
            </w:r>
          </w:p>
        </w:tc>
      </w:tr>
      <w:tr w:rsidR="00E67AF2" w:rsidRPr="0088502A" w14:paraId="0612AC72" w14:textId="77777777" w:rsidTr="00CA62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442787F" w14:textId="77777777" w:rsidR="00E67AF2" w:rsidRPr="0088502A" w:rsidRDefault="00E67AF2" w:rsidP="00CA62C0">
            <w:pPr>
              <w:jc w:val="right"/>
              <w:rPr>
                <w:rFonts w:cs="Arial"/>
                <w:sz w:val="18"/>
              </w:rPr>
            </w:pPr>
            <w:r w:rsidRPr="0088502A">
              <w:rPr>
                <w:rFonts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75157F5E" w14:textId="77777777" w:rsidR="00E67AF2" w:rsidRPr="0088502A" w:rsidRDefault="00E67AF2" w:rsidP="00CA62C0">
            <w:pPr>
              <w:jc w:val="left"/>
              <w:rPr>
                <w:rFonts w:cs="Arial"/>
                <w:sz w:val="18"/>
              </w:rPr>
            </w:pPr>
            <w:r w:rsidRPr="0088502A">
              <w:rPr>
                <w:rFonts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54C4342E" w14:textId="77777777" w:rsidR="00E67AF2" w:rsidRPr="0088502A" w:rsidRDefault="00E67AF2" w:rsidP="00CA62C0">
            <w:pPr>
              <w:jc w:val="left"/>
              <w:rPr>
                <w:rFonts w:cs="Arial"/>
                <w:sz w:val="18"/>
              </w:rPr>
            </w:pPr>
            <w:r w:rsidRPr="0088502A">
              <w:rPr>
                <w:rFonts w:cs="Arial"/>
                <w:sz w:val="18"/>
              </w:rPr>
              <w:t>Susceptibility (S)</w:t>
            </w:r>
          </w:p>
        </w:tc>
      </w:tr>
      <w:tr w:rsidR="00E67AF2" w:rsidRPr="0088502A" w14:paraId="5000CB85" w14:textId="77777777" w:rsidTr="00CA62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56E3BD4" w14:textId="77777777" w:rsidR="00E67AF2" w:rsidRPr="0088502A" w:rsidRDefault="00E67AF2" w:rsidP="00CA62C0">
            <w:pPr>
              <w:jc w:val="right"/>
              <w:rPr>
                <w:rFonts w:cs="Arial"/>
                <w:sz w:val="18"/>
              </w:rPr>
            </w:pPr>
            <w:r w:rsidRPr="0088502A">
              <w:rPr>
                <w:rFonts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40F9E026" w14:textId="77777777" w:rsidR="00E67AF2" w:rsidRPr="0088502A" w:rsidRDefault="00E67AF2" w:rsidP="00CA62C0">
            <w:pPr>
              <w:jc w:val="left"/>
              <w:rPr>
                <w:rFonts w:cs="Arial"/>
                <w:sz w:val="18"/>
              </w:rPr>
            </w:pPr>
            <w:r w:rsidRPr="0088502A">
              <w:rPr>
                <w:rFonts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4D18EB1E" w14:textId="77777777" w:rsidR="00E67AF2" w:rsidRPr="0088502A" w:rsidRDefault="00E67AF2" w:rsidP="00CA62C0">
            <w:pPr>
              <w:jc w:val="left"/>
              <w:rPr>
                <w:rFonts w:cs="Arial"/>
                <w:sz w:val="18"/>
              </w:rPr>
            </w:pPr>
            <w:r w:rsidRPr="0088502A">
              <w:rPr>
                <w:rFonts w:cs="Arial"/>
                <w:sz w:val="18"/>
              </w:rPr>
              <w:t>Intermediate Resistance (IR)</w:t>
            </w:r>
          </w:p>
        </w:tc>
      </w:tr>
      <w:tr w:rsidR="00E67AF2" w:rsidRPr="0088502A" w14:paraId="1ED5746A" w14:textId="77777777" w:rsidTr="00CA62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98C7D31" w14:textId="77777777" w:rsidR="00E67AF2" w:rsidRPr="0088502A" w:rsidRDefault="00E67AF2" w:rsidP="00CA62C0">
            <w:pPr>
              <w:jc w:val="right"/>
              <w:rPr>
                <w:rFonts w:cs="Arial"/>
                <w:sz w:val="18"/>
              </w:rPr>
            </w:pPr>
            <w:r w:rsidRPr="0088502A">
              <w:rPr>
                <w:rFonts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2DAB8C68" w14:textId="77777777" w:rsidR="00E67AF2" w:rsidRPr="0088502A" w:rsidRDefault="00E67AF2" w:rsidP="00CA62C0">
            <w:pPr>
              <w:jc w:val="left"/>
              <w:rPr>
                <w:rFonts w:cs="Arial"/>
                <w:sz w:val="18"/>
              </w:rPr>
            </w:pPr>
            <w:r w:rsidRPr="0088502A">
              <w:rPr>
                <w:rFonts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29362FD3" w14:textId="77777777" w:rsidR="00E67AF2" w:rsidRPr="0088502A" w:rsidRDefault="00E67AF2" w:rsidP="00CA62C0">
            <w:pPr>
              <w:jc w:val="left"/>
              <w:rPr>
                <w:rFonts w:cs="Arial"/>
                <w:sz w:val="18"/>
              </w:rPr>
            </w:pPr>
            <w:r w:rsidRPr="0088502A">
              <w:rPr>
                <w:rFonts w:cs="Arial"/>
                <w:sz w:val="18"/>
              </w:rPr>
              <w:t>High Resistance (HR)</w:t>
            </w:r>
          </w:p>
        </w:tc>
      </w:tr>
    </w:tbl>
    <w:p w14:paraId="7DDFDA46" w14:textId="77777777" w:rsidR="00E67AF2" w:rsidRPr="0088502A" w:rsidRDefault="00E67AF2" w:rsidP="00E67AF2"/>
    <w:p w14:paraId="0FC5B27C" w14:textId="51959200" w:rsidR="00E67AF2" w:rsidRPr="0088502A" w:rsidRDefault="00E67AF2" w:rsidP="001051AE">
      <w:r>
        <w:lastRenderedPageBreak/>
        <w:fldChar w:fldCharType="begin"/>
      </w:r>
      <w:r>
        <w:instrText xml:space="preserve"> AUTONUM  </w:instrText>
      </w:r>
      <w:r>
        <w:fldChar w:fldCharType="end"/>
      </w:r>
      <w:r>
        <w:tab/>
      </w:r>
      <w:r w:rsidRPr="0088502A">
        <w:t>The TWV agreed to propose that the table of equivalence was added to document TGP/12 “Guidance on Certain Physiological Characteristics” as part of the explanations to the Standard Resistance Protocol in that document.  The TWV agreed that the same table should be included in explanations for quantitative disease resistance characteristics when the condensed scale of notes was used.</w:t>
      </w:r>
    </w:p>
    <w:p w14:paraId="1E0C7A8F" w14:textId="77777777" w:rsidR="00E67AF2" w:rsidRPr="00F56A7F" w:rsidRDefault="00E67AF2" w:rsidP="001051AE"/>
    <w:p w14:paraId="6A9A57E3" w14:textId="4C2D3280" w:rsidR="00954448" w:rsidRDefault="006C5855" w:rsidP="001051AE">
      <w:r w:rsidRPr="00F56A7F">
        <w:fldChar w:fldCharType="begin"/>
      </w:r>
      <w:r w:rsidRPr="00F56A7F">
        <w:instrText xml:space="preserve"> AUTONUM  </w:instrText>
      </w:r>
      <w:r w:rsidRPr="00F56A7F">
        <w:fldChar w:fldCharType="end"/>
      </w:r>
      <w:r w:rsidRPr="00F56A7F">
        <w:tab/>
        <w:t>The TC</w:t>
      </w:r>
      <w:r w:rsidR="003D2711" w:rsidRPr="003C5A8E">
        <w:rPr>
          <w:vertAlign w:val="superscript"/>
        </w:rPr>
        <w:fldChar w:fldCharType="begin"/>
      </w:r>
      <w:r w:rsidR="003D2711" w:rsidRPr="003C5A8E">
        <w:rPr>
          <w:vertAlign w:val="superscript"/>
        </w:rPr>
        <w:instrText xml:space="preserve"> NOTEREF _Ref162969248 \h </w:instrText>
      </w:r>
      <w:r w:rsidR="003D2711">
        <w:rPr>
          <w:vertAlign w:val="superscript"/>
        </w:rPr>
        <w:instrText xml:space="preserve"> \* MERGEFORMAT </w:instrText>
      </w:r>
      <w:r w:rsidR="003D2711" w:rsidRPr="003C5A8E">
        <w:rPr>
          <w:vertAlign w:val="superscript"/>
        </w:rPr>
      </w:r>
      <w:r w:rsidR="003D2711" w:rsidRPr="003C5A8E">
        <w:rPr>
          <w:vertAlign w:val="superscript"/>
        </w:rPr>
        <w:fldChar w:fldCharType="separate"/>
      </w:r>
      <w:r w:rsidR="00027BEE">
        <w:rPr>
          <w:vertAlign w:val="superscript"/>
        </w:rPr>
        <w:t>1</w:t>
      </w:r>
      <w:r w:rsidR="003D2711" w:rsidRPr="003C5A8E">
        <w:rPr>
          <w:vertAlign w:val="superscript"/>
        </w:rPr>
        <w:fldChar w:fldCharType="end"/>
      </w:r>
      <w:r w:rsidR="003D2711">
        <w:rPr>
          <w:vertAlign w:val="superscript"/>
        </w:rPr>
        <w:t>, </w:t>
      </w:r>
      <w:r w:rsidR="001051AE">
        <w:rPr>
          <w:rStyle w:val="FootnoteReference"/>
        </w:rPr>
        <w:footnoteReference w:id="13"/>
      </w:r>
      <w:r w:rsidR="00954448">
        <w:t xml:space="preserve"> </w:t>
      </w:r>
      <w:bookmarkStart w:id="34" w:name="_Hlk162621603"/>
      <w:r w:rsidR="004E4BE7">
        <w:t>considered the proposal from the TWV</w:t>
      </w:r>
      <w:r w:rsidR="00954448">
        <w:t xml:space="preserve">. </w:t>
      </w:r>
      <w:r w:rsidR="001051AE">
        <w:t xml:space="preserve"> </w:t>
      </w:r>
      <w:r w:rsidR="00954448">
        <w:t>The TC</w:t>
      </w:r>
      <w:r w:rsidR="004E4BE7">
        <w:t xml:space="preserve"> </w:t>
      </w:r>
      <w:r w:rsidR="008C3B46" w:rsidRPr="009E62CA">
        <w:t xml:space="preserve">agreed to invite the TWPs, at their sessions in 2024, to consider </w:t>
      </w:r>
      <w:r w:rsidR="004E4BE7">
        <w:t>whether</w:t>
      </w:r>
      <w:r w:rsidR="008C3B46" w:rsidRPr="009E62CA">
        <w:t xml:space="preserve"> to amend document TGP/12</w:t>
      </w:r>
      <w:r w:rsidR="008C3B46">
        <w:t xml:space="preserve"> </w:t>
      </w:r>
      <w:r w:rsidR="008C3B46" w:rsidRPr="009E62CA">
        <w:t>to include a table of equivalence of states of expression in Test Guidelines with terminology used in the vegetable seed sector</w:t>
      </w:r>
      <w:r w:rsidR="008C3B46">
        <w:t xml:space="preserve">.  </w:t>
      </w:r>
    </w:p>
    <w:p w14:paraId="7FEF4652" w14:textId="77777777" w:rsidR="00954448" w:rsidRDefault="00954448" w:rsidP="001051AE"/>
    <w:p w14:paraId="7A1A4D6E" w14:textId="7A1BB544" w:rsidR="008C3B46" w:rsidRDefault="00954448" w:rsidP="001051AE">
      <w:r>
        <w:fldChar w:fldCharType="begin"/>
      </w:r>
      <w:r>
        <w:instrText xml:space="preserve"> AUTONUM  </w:instrText>
      </w:r>
      <w:r>
        <w:fldChar w:fldCharType="end"/>
      </w:r>
      <w:r>
        <w:tab/>
      </w:r>
      <w:r w:rsidR="008C3B46">
        <w:t xml:space="preserve">The TC agreed to invite the TWPs to consider </w:t>
      </w:r>
      <w:r w:rsidR="008C3B46" w:rsidRPr="009E62CA">
        <w:t xml:space="preserve">whether to add an explanation that the table could be used in case of equivalence between </w:t>
      </w:r>
      <w:r w:rsidR="008C3B46">
        <w:t xml:space="preserve">the </w:t>
      </w:r>
      <w:r w:rsidR="008C3B46" w:rsidRPr="009E62CA">
        <w:t>states of expression</w:t>
      </w:r>
      <w:r w:rsidR="008C3B46">
        <w:t xml:space="preserve"> according to the method described in the explanation of the characteristic (Section 8.2 of the Test Guidelines).</w:t>
      </w:r>
      <w:bookmarkEnd w:id="34"/>
      <w:r w:rsidR="008C3B46">
        <w:t xml:space="preserve">  </w:t>
      </w:r>
    </w:p>
    <w:p w14:paraId="0FEA7271" w14:textId="77777777" w:rsidR="008C3B46" w:rsidRPr="00F56A7F" w:rsidRDefault="008C3B46" w:rsidP="001051AE"/>
    <w:p w14:paraId="41D6317A" w14:textId="67F860D5" w:rsidR="008257DE" w:rsidRDefault="006C5855" w:rsidP="008257DE">
      <w:pPr>
        <w:pStyle w:val="DecisionParagraphs"/>
      </w:pPr>
      <w:r w:rsidRPr="00F56A7F">
        <w:fldChar w:fldCharType="begin"/>
      </w:r>
      <w:r w:rsidRPr="00F56A7F">
        <w:instrText xml:space="preserve"> AUTONUM  </w:instrText>
      </w:r>
      <w:r w:rsidRPr="00F56A7F">
        <w:fldChar w:fldCharType="end"/>
      </w:r>
      <w:r w:rsidRPr="00F56A7F">
        <w:tab/>
        <w:t xml:space="preserve">The </w:t>
      </w:r>
      <w:r w:rsidR="00E155FE">
        <w:t xml:space="preserve">TWPs are invited to </w:t>
      </w:r>
      <w:r w:rsidR="008257DE">
        <w:t>consider:</w:t>
      </w:r>
    </w:p>
    <w:p w14:paraId="7893B4DF" w14:textId="77777777" w:rsidR="008257DE" w:rsidRDefault="008257DE" w:rsidP="008257DE">
      <w:pPr>
        <w:pStyle w:val="DecisionParagraphs"/>
      </w:pPr>
    </w:p>
    <w:p w14:paraId="7325E551" w14:textId="16BAC452" w:rsidR="008257DE" w:rsidRDefault="008257DE" w:rsidP="008257DE">
      <w:pPr>
        <w:pStyle w:val="DecisionParagraphs"/>
      </w:pPr>
      <w:r>
        <w:tab/>
        <w:t>(a)</w:t>
      </w:r>
      <w:r>
        <w:tab/>
      </w:r>
      <w:r w:rsidR="00CB15A5">
        <w:t>a</w:t>
      </w:r>
      <w:r w:rsidR="00386782">
        <w:t xml:space="preserve"> </w:t>
      </w:r>
      <w:r w:rsidR="006C5855" w:rsidRPr="00F56A7F">
        <w:t>proposal to amend document TGP/12</w:t>
      </w:r>
      <w:r w:rsidR="00E155FE">
        <w:t xml:space="preserve"> “</w:t>
      </w:r>
      <w:r w:rsidR="00E155FE" w:rsidRPr="00F56A7F">
        <w:t>Guidance on Certain Physiological Characteristics</w:t>
      </w:r>
      <w:r w:rsidR="00E155FE">
        <w:t>”</w:t>
      </w:r>
      <w:r w:rsidR="006C5855" w:rsidRPr="00F56A7F">
        <w:t xml:space="preserve"> to include a table of equivalence of states of expression in Test Guidelines with terminology used in the vegetable seed sector</w:t>
      </w:r>
      <w:r w:rsidR="00386782">
        <w:t xml:space="preserve">, as set out in </w:t>
      </w:r>
      <w:r w:rsidR="00386782" w:rsidRPr="00911270">
        <w:t>paragraph </w:t>
      </w:r>
      <w:r w:rsidR="00E155FE" w:rsidRPr="00911270">
        <w:t>3</w:t>
      </w:r>
      <w:r w:rsidR="00CB15A5" w:rsidRPr="00911270">
        <w:t>4</w:t>
      </w:r>
      <w:r w:rsidR="00E155FE" w:rsidRPr="00911270">
        <w:t xml:space="preserve"> of</w:t>
      </w:r>
      <w:r w:rsidR="00E155FE">
        <w:t xml:space="preserve"> this document</w:t>
      </w:r>
      <w:r>
        <w:t>;</w:t>
      </w:r>
      <w:r w:rsidR="000C78B1">
        <w:t xml:space="preserve"> and</w:t>
      </w:r>
    </w:p>
    <w:p w14:paraId="6BE2FAE3" w14:textId="77777777" w:rsidR="008257DE" w:rsidRDefault="008257DE" w:rsidP="008257DE">
      <w:pPr>
        <w:pStyle w:val="DecisionParagraphs"/>
      </w:pPr>
    </w:p>
    <w:p w14:paraId="16373056" w14:textId="31632449" w:rsidR="006C5855" w:rsidRDefault="008257DE" w:rsidP="00E67AF2">
      <w:pPr>
        <w:pStyle w:val="DecisionParagraphs"/>
        <w:keepLines/>
      </w:pPr>
      <w:r>
        <w:tab/>
        <w:t>(b)</w:t>
      </w:r>
      <w:r>
        <w:tab/>
      </w:r>
      <w:r w:rsidR="006C5855" w:rsidRPr="00F56A7F">
        <w:t>whether to add an explanation that the table could be used in case of equivalence between the states of expression according to the method described in the explanation of the characteristic (Section 8.2 of the Test Guidelines).</w:t>
      </w:r>
    </w:p>
    <w:p w14:paraId="599AF542" w14:textId="77777777" w:rsidR="00E15B42" w:rsidRPr="00F56A7F" w:rsidRDefault="00E15B42" w:rsidP="00F948ED">
      <w:pPr>
        <w:pStyle w:val="EndnoteText"/>
      </w:pPr>
    </w:p>
    <w:p w14:paraId="4906A3C7" w14:textId="7F1E8692" w:rsidR="00E15B42" w:rsidRPr="00F56A7F" w:rsidRDefault="00243779" w:rsidP="00E15B42">
      <w:pPr>
        <w:pStyle w:val="Heading2"/>
      </w:pPr>
      <w:bookmarkStart w:id="35" w:name="_Toc162975801"/>
      <w:r>
        <w:t>(c)</w:t>
      </w:r>
      <w:r>
        <w:tab/>
      </w:r>
      <w:r w:rsidR="00E15B42" w:rsidRPr="00F56A7F">
        <w:t>Access to plant material for the purpose of management of variety collections and DUS examination</w:t>
      </w:r>
      <w:bookmarkEnd w:id="35"/>
    </w:p>
    <w:p w14:paraId="1EC5D6D9" w14:textId="77777777" w:rsidR="00E15B42" w:rsidRDefault="00E15B42" w:rsidP="00E15B42">
      <w:pPr>
        <w:keepNext/>
      </w:pPr>
    </w:p>
    <w:p w14:paraId="26CFF63C" w14:textId="359A5F84" w:rsidR="00E15B42" w:rsidRPr="00F56A7F" w:rsidRDefault="00E15B42" w:rsidP="00E15B42">
      <w:r w:rsidRPr="00F56A7F">
        <w:fldChar w:fldCharType="begin"/>
      </w:r>
      <w:r w:rsidRPr="00F56A7F">
        <w:instrText xml:space="preserve"> AUTONUM  </w:instrText>
      </w:r>
      <w:r w:rsidRPr="00F56A7F">
        <w:fldChar w:fldCharType="end"/>
      </w:r>
      <w:r w:rsidRPr="00F56A7F">
        <w:tab/>
      </w:r>
      <w:r w:rsidR="00EC5D7E">
        <w:t xml:space="preserve">The </w:t>
      </w:r>
      <w:r w:rsidR="00EC5D7E" w:rsidRPr="00F56A7F">
        <w:t>TC</w:t>
      </w:r>
      <w:r w:rsidR="003D2711" w:rsidRPr="003C5A8E">
        <w:rPr>
          <w:vertAlign w:val="superscript"/>
        </w:rPr>
        <w:fldChar w:fldCharType="begin"/>
      </w:r>
      <w:r w:rsidR="003D2711" w:rsidRPr="003C5A8E">
        <w:rPr>
          <w:vertAlign w:val="superscript"/>
        </w:rPr>
        <w:instrText xml:space="preserve"> NOTEREF _Ref162969248 \h </w:instrText>
      </w:r>
      <w:r w:rsidR="003D2711">
        <w:rPr>
          <w:vertAlign w:val="superscript"/>
        </w:rPr>
        <w:instrText xml:space="preserve"> \* MERGEFORMAT </w:instrText>
      </w:r>
      <w:r w:rsidR="003D2711" w:rsidRPr="003C5A8E">
        <w:rPr>
          <w:vertAlign w:val="superscript"/>
        </w:rPr>
      </w:r>
      <w:r w:rsidR="003D2711" w:rsidRPr="003C5A8E">
        <w:rPr>
          <w:vertAlign w:val="superscript"/>
        </w:rPr>
        <w:fldChar w:fldCharType="separate"/>
      </w:r>
      <w:r w:rsidR="00027BEE">
        <w:rPr>
          <w:vertAlign w:val="superscript"/>
        </w:rPr>
        <w:t>1</w:t>
      </w:r>
      <w:r w:rsidR="003D2711" w:rsidRPr="003C5A8E">
        <w:rPr>
          <w:vertAlign w:val="superscript"/>
        </w:rPr>
        <w:fldChar w:fldCharType="end"/>
      </w:r>
      <w:r w:rsidR="003D2711">
        <w:rPr>
          <w:vertAlign w:val="superscript"/>
        </w:rPr>
        <w:t>, </w:t>
      </w:r>
      <w:r w:rsidR="009B122D">
        <w:rPr>
          <w:rStyle w:val="FootnoteReference"/>
        </w:rPr>
        <w:footnoteReference w:id="14"/>
      </w:r>
      <w:r w:rsidR="00EC5D7E">
        <w:t xml:space="preserve"> </w:t>
      </w:r>
      <w:r w:rsidRPr="00F56A7F">
        <w:t xml:space="preserve">considered the proposal from the TWF to develop guidance on </w:t>
      </w:r>
      <w:r w:rsidRPr="00F56A7F">
        <w:rPr>
          <w:rFonts w:eastAsia="Cambria"/>
        </w:rPr>
        <w:t xml:space="preserve">elements for inclusion in requests for the submission of plant material of candidate varieties and varieties of common knowledge for DUS examination, as </w:t>
      </w:r>
      <w:r w:rsidRPr="00F56A7F">
        <w:t xml:space="preserve">set out in </w:t>
      </w:r>
      <w:r w:rsidRPr="00911270">
        <w:t xml:space="preserve">Annex </w:t>
      </w:r>
      <w:r w:rsidR="003D41B5" w:rsidRPr="00911270">
        <w:t>I</w:t>
      </w:r>
      <w:r w:rsidR="00611D7B" w:rsidRPr="00911270">
        <w:t>V</w:t>
      </w:r>
      <w:r w:rsidRPr="00F56A7F">
        <w:t xml:space="preserve"> to this document.</w:t>
      </w:r>
    </w:p>
    <w:p w14:paraId="13262681" w14:textId="77777777" w:rsidR="00E15B42" w:rsidRPr="00F56A7F" w:rsidRDefault="00E15B42" w:rsidP="00E15B42"/>
    <w:p w14:paraId="736E35CF" w14:textId="611ACC8E" w:rsidR="00F948ED" w:rsidRDefault="00E15B42" w:rsidP="00F948ED">
      <w:pPr>
        <w:rPr>
          <w:rFonts w:eastAsia="Cambria"/>
        </w:rPr>
      </w:pPr>
      <w:r w:rsidRPr="00F56A7F">
        <w:fldChar w:fldCharType="begin"/>
      </w:r>
      <w:r w:rsidRPr="00F56A7F">
        <w:instrText xml:space="preserve"> AUTONUM  </w:instrText>
      </w:r>
      <w:r w:rsidRPr="00F56A7F">
        <w:fldChar w:fldCharType="end"/>
      </w:r>
      <w:r w:rsidRPr="00F56A7F">
        <w:tab/>
        <w:t>The TC agreed that it would not be appropriate to include the proposed guidance in document TGP/5, Section 11 “Examples of policies and contracts for material submitted by the breeder”.</w:t>
      </w:r>
      <w:r w:rsidR="00F948ED">
        <w:t xml:space="preserve"> </w:t>
      </w:r>
      <w:r w:rsidR="00F948ED">
        <w:rPr>
          <w:rFonts w:eastAsia="Cambria"/>
        </w:rPr>
        <w:t xml:space="preserve"> The TC agreed that a suitable place to make this information available should be identified and not necessarily in a TGP document.</w:t>
      </w:r>
    </w:p>
    <w:p w14:paraId="5D434611" w14:textId="77777777" w:rsidR="00F948ED" w:rsidRDefault="00F948ED" w:rsidP="00E15B42"/>
    <w:p w14:paraId="3F030441" w14:textId="77777777" w:rsidR="00F948ED" w:rsidRDefault="00F948ED" w:rsidP="00F948ED">
      <w:pPr>
        <w:rPr>
          <w:rFonts w:eastAsia="Cambria"/>
        </w:rPr>
      </w:pPr>
      <w:r>
        <w:fldChar w:fldCharType="begin"/>
      </w:r>
      <w:r>
        <w:instrText xml:space="preserve"> AUTONUM  </w:instrText>
      </w:r>
      <w:r>
        <w:fldChar w:fldCharType="end"/>
      </w:r>
      <w:r>
        <w:tab/>
        <w:t xml:space="preserve">The TC agreed to invite the TWPs, at their sessions in 2024, to consider the elements </w:t>
      </w:r>
      <w:r>
        <w:rPr>
          <w:rFonts w:eastAsia="Cambria"/>
        </w:rPr>
        <w:t>proposed by the TWF and further experiences and policies on requesting plant material from breeders, as follows:</w:t>
      </w:r>
    </w:p>
    <w:p w14:paraId="7BCA35EA" w14:textId="77777777" w:rsidR="00F948ED" w:rsidRDefault="00F948ED" w:rsidP="00F948ED">
      <w:pPr>
        <w:rPr>
          <w:rFonts w:eastAsia="Cambria"/>
        </w:rPr>
      </w:pPr>
    </w:p>
    <w:p w14:paraId="078BC72C" w14:textId="77777777" w:rsidR="00F948ED" w:rsidRPr="00F948ED" w:rsidRDefault="00F948ED" w:rsidP="00F948ED">
      <w:pPr>
        <w:pStyle w:val="ListParagraph"/>
        <w:numPr>
          <w:ilvl w:val="0"/>
          <w:numId w:val="14"/>
        </w:numPr>
        <w:ind w:left="1134" w:hanging="567"/>
      </w:pPr>
      <w:r w:rsidRPr="00F948ED">
        <w:t xml:space="preserve">Letter to be addressed to the </w:t>
      </w:r>
      <w:r w:rsidRPr="0044353D">
        <w:t>PVP holder</w:t>
      </w:r>
      <w:r w:rsidRPr="00F948ED">
        <w:t xml:space="preserve"> of the variety or their formal representative in the territory</w:t>
      </w:r>
    </w:p>
    <w:p w14:paraId="1864889A" w14:textId="77777777" w:rsidR="00F948ED" w:rsidRPr="00F948ED" w:rsidRDefault="00F948ED" w:rsidP="00F948ED">
      <w:pPr>
        <w:ind w:left="1134" w:hanging="567"/>
        <w:rPr>
          <w:sz w:val="18"/>
        </w:rPr>
      </w:pPr>
    </w:p>
    <w:p w14:paraId="63D93676" w14:textId="77777777" w:rsidR="00F948ED" w:rsidRPr="00F948ED" w:rsidRDefault="00F948ED" w:rsidP="00F948ED">
      <w:pPr>
        <w:pStyle w:val="ListParagraph"/>
        <w:numPr>
          <w:ilvl w:val="0"/>
          <w:numId w:val="14"/>
        </w:numPr>
        <w:ind w:left="1134" w:hanging="567"/>
      </w:pPr>
      <w:r w:rsidRPr="00F948ED">
        <w:t>Technical details, especially quality, quantity, date and place of submission.  In the fruit sector, material of the desired quality often may need to be organized more than one year in advance. The authority should accept some flexibility in its availability.</w:t>
      </w:r>
    </w:p>
    <w:p w14:paraId="1F0B47C0" w14:textId="77777777" w:rsidR="00F948ED" w:rsidRPr="00F948ED" w:rsidRDefault="00F948ED" w:rsidP="00F948ED">
      <w:pPr>
        <w:ind w:left="1134" w:hanging="567"/>
        <w:rPr>
          <w:sz w:val="18"/>
        </w:rPr>
      </w:pPr>
    </w:p>
    <w:p w14:paraId="0ECC6665" w14:textId="77777777" w:rsidR="00F948ED" w:rsidRPr="00F948ED" w:rsidRDefault="00F948ED" w:rsidP="00F948ED">
      <w:pPr>
        <w:pStyle w:val="ListParagraph"/>
        <w:numPr>
          <w:ilvl w:val="0"/>
          <w:numId w:val="14"/>
        </w:numPr>
        <w:ind w:left="1134" w:hanging="567"/>
      </w:pPr>
      <w:r w:rsidRPr="00F948ED">
        <w:t>Detailed explanation of the purpose</w:t>
      </w:r>
    </w:p>
    <w:p w14:paraId="5280FBC5" w14:textId="77777777" w:rsidR="00F948ED" w:rsidRPr="00F948ED" w:rsidRDefault="00F948ED" w:rsidP="00F948ED">
      <w:pPr>
        <w:rPr>
          <w:sz w:val="16"/>
        </w:rPr>
      </w:pPr>
    </w:p>
    <w:p w14:paraId="39478E8E" w14:textId="77777777" w:rsidR="00F948ED" w:rsidRPr="00F948ED" w:rsidRDefault="00F948ED" w:rsidP="00F948ED">
      <w:pPr>
        <w:pStyle w:val="ListParagraph"/>
        <w:numPr>
          <w:ilvl w:val="0"/>
          <w:numId w:val="15"/>
        </w:numPr>
        <w:ind w:left="1701" w:hanging="567"/>
      </w:pPr>
      <w:r w:rsidRPr="00F948ED">
        <w:t>Variety collection</w:t>
      </w:r>
    </w:p>
    <w:p w14:paraId="0934BD33" w14:textId="77777777" w:rsidR="00F948ED" w:rsidRPr="00F948ED" w:rsidRDefault="00F948ED" w:rsidP="00F948ED">
      <w:pPr>
        <w:pStyle w:val="ListParagraph"/>
        <w:numPr>
          <w:ilvl w:val="0"/>
          <w:numId w:val="15"/>
        </w:numPr>
        <w:ind w:left="1701" w:hanging="567"/>
      </w:pPr>
      <w:r w:rsidRPr="00F948ED">
        <w:t xml:space="preserve">Side by side comparison with a potentially similar candidate variety </w:t>
      </w:r>
    </w:p>
    <w:p w14:paraId="474AF850" w14:textId="77777777" w:rsidR="00F948ED" w:rsidRPr="00F948ED" w:rsidRDefault="00F948ED" w:rsidP="00F948ED">
      <w:pPr>
        <w:rPr>
          <w:sz w:val="18"/>
        </w:rPr>
      </w:pPr>
    </w:p>
    <w:p w14:paraId="2224E40A" w14:textId="77777777" w:rsidR="00F948ED" w:rsidRPr="00F948ED" w:rsidRDefault="00F948ED" w:rsidP="00F948ED">
      <w:pPr>
        <w:pStyle w:val="ListParagraph"/>
        <w:numPr>
          <w:ilvl w:val="0"/>
          <w:numId w:val="16"/>
        </w:numPr>
        <w:ind w:left="1134" w:hanging="567"/>
      </w:pPr>
      <w:r w:rsidRPr="00F948ED">
        <w:t>What will and will not be done with the material during and after the trial, including DNA sampling and DNA profiles</w:t>
      </w:r>
    </w:p>
    <w:p w14:paraId="7C4D1857" w14:textId="77777777" w:rsidR="00F948ED" w:rsidRPr="00F948ED" w:rsidRDefault="00F948ED" w:rsidP="00F948ED">
      <w:pPr>
        <w:rPr>
          <w:sz w:val="16"/>
        </w:rPr>
      </w:pPr>
    </w:p>
    <w:p w14:paraId="34ABB11A" w14:textId="77777777" w:rsidR="00F948ED" w:rsidRPr="00F948ED" w:rsidRDefault="00F948ED" w:rsidP="00F948ED">
      <w:pPr>
        <w:pStyle w:val="ListParagraph"/>
        <w:numPr>
          <w:ilvl w:val="0"/>
          <w:numId w:val="17"/>
        </w:numPr>
        <w:ind w:left="1701" w:hanging="567"/>
      </w:pPr>
      <w:r w:rsidRPr="00F948ED">
        <w:t>Responsible body to enforce the policy is the PVP authority</w:t>
      </w:r>
    </w:p>
    <w:p w14:paraId="39B5F0B6" w14:textId="77777777" w:rsidR="00F948ED" w:rsidRPr="00F948ED" w:rsidRDefault="00F948ED" w:rsidP="00F948ED">
      <w:pPr>
        <w:pStyle w:val="ListParagraph"/>
        <w:numPr>
          <w:ilvl w:val="0"/>
          <w:numId w:val="17"/>
        </w:numPr>
        <w:ind w:left="1701" w:hanging="567"/>
      </w:pPr>
      <w:r w:rsidRPr="00F948ED">
        <w:t>Triggering purpose is the DUS test</w:t>
      </w:r>
    </w:p>
    <w:p w14:paraId="13E04DC9" w14:textId="77777777" w:rsidR="00F948ED" w:rsidRPr="00F948ED" w:rsidRDefault="00F948ED" w:rsidP="00F948ED">
      <w:pPr>
        <w:pStyle w:val="ListParagraph"/>
        <w:numPr>
          <w:ilvl w:val="0"/>
          <w:numId w:val="17"/>
        </w:numPr>
        <w:ind w:left="1701" w:hanging="567"/>
      </w:pPr>
      <w:r w:rsidRPr="00F948ED">
        <w:t xml:space="preserve">Physical location of the material, possibility to have access for the </w:t>
      </w:r>
      <w:r w:rsidRPr="0044353D">
        <w:t>owner</w:t>
      </w:r>
      <w:r w:rsidRPr="00F948ED">
        <w:t>, description of due care and cultivation circumstances</w:t>
      </w:r>
    </w:p>
    <w:p w14:paraId="1F14DF6E" w14:textId="77777777" w:rsidR="00F948ED" w:rsidRPr="00F948ED" w:rsidRDefault="00F948ED" w:rsidP="00F948ED">
      <w:pPr>
        <w:pStyle w:val="ListParagraph"/>
        <w:numPr>
          <w:ilvl w:val="0"/>
          <w:numId w:val="17"/>
        </w:numPr>
        <w:ind w:left="1701" w:hanging="567"/>
      </w:pPr>
      <w:r w:rsidRPr="00F948ED">
        <w:t>Ownership of the material</w:t>
      </w:r>
    </w:p>
    <w:p w14:paraId="7ECC3668" w14:textId="77777777" w:rsidR="00F948ED" w:rsidRPr="00F948ED" w:rsidRDefault="00F948ED" w:rsidP="00F948ED">
      <w:pPr>
        <w:pStyle w:val="ListParagraph"/>
        <w:numPr>
          <w:ilvl w:val="0"/>
          <w:numId w:val="17"/>
        </w:numPr>
        <w:ind w:left="1701" w:hanging="567"/>
      </w:pPr>
      <w:r w:rsidRPr="00F948ED">
        <w:t xml:space="preserve">Clarification of possible other uses, </w:t>
      </w:r>
      <w:proofErr w:type="gramStart"/>
      <w:r w:rsidRPr="00F948ED">
        <w:t>e.g.</w:t>
      </w:r>
      <w:proofErr w:type="gramEnd"/>
      <w:r w:rsidRPr="00F948ED">
        <w:t xml:space="preserve"> other official purposes, which ones</w:t>
      </w:r>
    </w:p>
    <w:p w14:paraId="7B501D80" w14:textId="77777777" w:rsidR="00F948ED" w:rsidRPr="00F948ED" w:rsidRDefault="00F948ED" w:rsidP="00C06B1C">
      <w:pPr>
        <w:pStyle w:val="ListParagraph"/>
        <w:keepNext/>
        <w:numPr>
          <w:ilvl w:val="0"/>
          <w:numId w:val="17"/>
        </w:numPr>
        <w:ind w:left="1701" w:hanging="567"/>
      </w:pPr>
      <w:r w:rsidRPr="00F948ED">
        <w:lastRenderedPageBreak/>
        <w:t>Under which circumstances the material may be made available to another party/authority</w:t>
      </w:r>
    </w:p>
    <w:p w14:paraId="4B88C317" w14:textId="77777777" w:rsidR="00F948ED" w:rsidRPr="00F948ED" w:rsidRDefault="00F948ED" w:rsidP="00F948ED">
      <w:pPr>
        <w:pStyle w:val="ListParagraph"/>
        <w:numPr>
          <w:ilvl w:val="0"/>
          <w:numId w:val="17"/>
        </w:numPr>
        <w:ind w:left="1701" w:hanging="567"/>
      </w:pPr>
      <w:r w:rsidRPr="00F948ED">
        <w:t xml:space="preserve">Clarification of situations requiring or not the consent from the </w:t>
      </w:r>
      <w:r w:rsidRPr="0044353D">
        <w:t>breeder</w:t>
      </w:r>
      <w:r w:rsidRPr="00F948ED">
        <w:t xml:space="preserve"> </w:t>
      </w:r>
    </w:p>
    <w:p w14:paraId="58B1327B" w14:textId="77777777" w:rsidR="00F948ED" w:rsidRPr="00F948ED" w:rsidRDefault="00F948ED" w:rsidP="00F948ED">
      <w:pPr>
        <w:pStyle w:val="ListParagraph"/>
        <w:numPr>
          <w:ilvl w:val="0"/>
          <w:numId w:val="17"/>
        </w:numPr>
        <w:ind w:left="1701" w:hanging="567"/>
      </w:pPr>
      <w:r w:rsidRPr="00F948ED">
        <w:t>Who has access to the material</w:t>
      </w:r>
    </w:p>
    <w:p w14:paraId="10244D56" w14:textId="511467DE" w:rsidR="008F4F2F" w:rsidRPr="00F948ED" w:rsidRDefault="00F948ED" w:rsidP="0044353D">
      <w:pPr>
        <w:pStyle w:val="ListParagraph"/>
        <w:numPr>
          <w:ilvl w:val="0"/>
          <w:numId w:val="17"/>
        </w:numPr>
        <w:ind w:left="1701" w:hanging="567"/>
      </w:pPr>
      <w:r w:rsidRPr="00F948ED">
        <w:t>Which information will need to be made available to the public as a requirement (photographs, descriptions)</w:t>
      </w:r>
    </w:p>
    <w:p w14:paraId="5C4F7AD3" w14:textId="77777777" w:rsidR="00F948ED" w:rsidRPr="00F56A7F" w:rsidRDefault="00F948ED" w:rsidP="00F948ED">
      <w:pPr>
        <w:pStyle w:val="EndnoteText"/>
      </w:pPr>
    </w:p>
    <w:p w14:paraId="259F560C" w14:textId="77777777" w:rsidR="004A7845" w:rsidRDefault="00E15B42" w:rsidP="00E15B42">
      <w:pPr>
        <w:pStyle w:val="DecisionParagraphs"/>
      </w:pPr>
      <w:r w:rsidRPr="00F56A7F">
        <w:fldChar w:fldCharType="begin"/>
      </w:r>
      <w:r w:rsidRPr="00F56A7F">
        <w:instrText xml:space="preserve"> AUTONUM  </w:instrText>
      </w:r>
      <w:r w:rsidRPr="00F56A7F">
        <w:fldChar w:fldCharType="end"/>
      </w:r>
      <w:r w:rsidRPr="00F56A7F">
        <w:tab/>
      </w:r>
      <w:r w:rsidR="004A7845">
        <w:t>T</w:t>
      </w:r>
      <w:r w:rsidRPr="00F56A7F">
        <w:t>he TWPs</w:t>
      </w:r>
      <w:r>
        <w:t xml:space="preserve"> are invited</w:t>
      </w:r>
      <w:r w:rsidRPr="00F56A7F">
        <w:t xml:space="preserve"> to conside</w:t>
      </w:r>
      <w:r w:rsidR="004A7845">
        <w:t>r:</w:t>
      </w:r>
    </w:p>
    <w:p w14:paraId="6D95C465" w14:textId="77777777" w:rsidR="004A7845" w:rsidRDefault="004A7845" w:rsidP="00E15B42">
      <w:pPr>
        <w:pStyle w:val="DecisionParagraphs"/>
      </w:pPr>
    </w:p>
    <w:p w14:paraId="70D40D1F" w14:textId="223459FA" w:rsidR="004A7845" w:rsidRDefault="004A7845" w:rsidP="00E15B42">
      <w:pPr>
        <w:pStyle w:val="DecisionParagraphs"/>
        <w:rPr>
          <w:rFonts w:eastAsia="Cambria"/>
        </w:rPr>
      </w:pPr>
      <w:r>
        <w:tab/>
        <w:t>(a)</w:t>
      </w:r>
      <w:r>
        <w:tab/>
        <w:t xml:space="preserve">the proposed </w:t>
      </w:r>
      <w:r w:rsidRPr="00F56A7F">
        <w:rPr>
          <w:rFonts w:eastAsia="Cambria"/>
        </w:rPr>
        <w:t>elements for inclusion in requests for the submission of plant material of candidate varieties and varieties of common knowledge for DUS</w:t>
      </w:r>
      <w:r w:rsidR="003731F5">
        <w:rPr>
          <w:rFonts w:eastAsia="Cambria"/>
        </w:rPr>
        <w:t xml:space="preserve"> </w:t>
      </w:r>
      <w:r w:rsidRPr="00F56A7F">
        <w:rPr>
          <w:rFonts w:eastAsia="Cambria"/>
        </w:rPr>
        <w:t>examination</w:t>
      </w:r>
      <w:r w:rsidR="002E7891">
        <w:rPr>
          <w:rFonts w:eastAsia="Cambria"/>
        </w:rPr>
        <w:t xml:space="preserve">, as set out in </w:t>
      </w:r>
      <w:r w:rsidR="002E7891" w:rsidRPr="00911270">
        <w:rPr>
          <w:rFonts w:eastAsia="Cambria"/>
        </w:rPr>
        <w:t>paragraph 41</w:t>
      </w:r>
      <w:r w:rsidR="002E7891">
        <w:rPr>
          <w:rFonts w:eastAsia="Cambria"/>
        </w:rPr>
        <w:t xml:space="preserve"> of this document</w:t>
      </w:r>
      <w:r>
        <w:rPr>
          <w:rFonts w:eastAsia="Cambria"/>
        </w:rPr>
        <w:t>;</w:t>
      </w:r>
      <w:r w:rsidR="00E15B42" w:rsidRPr="00F56A7F">
        <w:rPr>
          <w:rFonts w:eastAsia="Cambria"/>
        </w:rPr>
        <w:t xml:space="preserve"> </w:t>
      </w:r>
    </w:p>
    <w:p w14:paraId="64C99C3C" w14:textId="77777777" w:rsidR="004A7845" w:rsidRDefault="004A7845" w:rsidP="00E15B42">
      <w:pPr>
        <w:pStyle w:val="DecisionParagraphs"/>
        <w:rPr>
          <w:rFonts w:eastAsia="Cambria"/>
        </w:rPr>
      </w:pPr>
    </w:p>
    <w:p w14:paraId="7F21918E" w14:textId="7B1DCDA6" w:rsidR="004F0918" w:rsidRDefault="004F0918" w:rsidP="00E15B42">
      <w:pPr>
        <w:pStyle w:val="DecisionParagraphs"/>
        <w:rPr>
          <w:rFonts w:eastAsia="Cambria"/>
        </w:rPr>
      </w:pPr>
      <w:r>
        <w:rPr>
          <w:rFonts w:eastAsia="Cambria"/>
        </w:rPr>
        <w:tab/>
        <w:t>(b)</w:t>
      </w:r>
      <w:r>
        <w:rPr>
          <w:rFonts w:eastAsia="Cambria"/>
        </w:rPr>
        <w:tab/>
      </w:r>
      <w:r w:rsidR="00E15B42" w:rsidRPr="00F56A7F">
        <w:rPr>
          <w:rFonts w:eastAsia="Cambria"/>
        </w:rPr>
        <w:t xml:space="preserve">further experiences and policies on requesting plant material from </w:t>
      </w:r>
      <w:r w:rsidR="002E7891">
        <w:rPr>
          <w:rFonts w:eastAsia="Cambria"/>
        </w:rPr>
        <w:t xml:space="preserve">plant </w:t>
      </w:r>
      <w:r w:rsidR="00E15B42" w:rsidRPr="00F56A7F">
        <w:rPr>
          <w:rFonts w:eastAsia="Cambria"/>
        </w:rPr>
        <w:t>breeders</w:t>
      </w:r>
      <w:r>
        <w:rPr>
          <w:rFonts w:eastAsia="Cambria"/>
        </w:rPr>
        <w:t>;</w:t>
      </w:r>
      <w:r w:rsidRPr="004F0918">
        <w:rPr>
          <w:rFonts w:eastAsia="Cambria"/>
        </w:rPr>
        <w:t xml:space="preserve"> </w:t>
      </w:r>
      <w:r w:rsidRPr="00F56A7F">
        <w:rPr>
          <w:rFonts w:eastAsia="Cambria"/>
        </w:rPr>
        <w:t>and</w:t>
      </w:r>
    </w:p>
    <w:p w14:paraId="129E0D87" w14:textId="77777777" w:rsidR="004F0918" w:rsidRDefault="004F0918" w:rsidP="00E15B42">
      <w:pPr>
        <w:pStyle w:val="DecisionParagraphs"/>
        <w:rPr>
          <w:rFonts w:eastAsia="Cambria"/>
        </w:rPr>
      </w:pPr>
    </w:p>
    <w:p w14:paraId="4EF556D3" w14:textId="0D3DA1F3" w:rsidR="00E15B42" w:rsidRPr="00F56A7F" w:rsidRDefault="004F0918" w:rsidP="00E15B42">
      <w:pPr>
        <w:pStyle w:val="DecisionParagraphs"/>
        <w:rPr>
          <w:rFonts w:eastAsia="Cambria"/>
        </w:rPr>
      </w:pPr>
      <w:r>
        <w:rPr>
          <w:rFonts w:eastAsia="Cambria"/>
        </w:rPr>
        <w:tab/>
        <w:t>(c)</w:t>
      </w:r>
      <w:r>
        <w:rPr>
          <w:rFonts w:eastAsia="Cambria"/>
        </w:rPr>
        <w:tab/>
      </w:r>
      <w:r w:rsidR="00EC5D7E">
        <w:rPr>
          <w:rFonts w:eastAsia="Cambria"/>
        </w:rPr>
        <w:t xml:space="preserve">possible </w:t>
      </w:r>
      <w:r w:rsidR="00AC2F94">
        <w:rPr>
          <w:rFonts w:eastAsia="Cambria"/>
        </w:rPr>
        <w:t>alternatives</w:t>
      </w:r>
      <w:r w:rsidR="00EC5D7E">
        <w:rPr>
          <w:rFonts w:eastAsia="Cambria"/>
        </w:rPr>
        <w:t xml:space="preserve"> to make the information available</w:t>
      </w:r>
      <w:r w:rsidR="00AC2F94">
        <w:rPr>
          <w:rFonts w:eastAsia="Cambria"/>
        </w:rPr>
        <w:t xml:space="preserve">. </w:t>
      </w:r>
    </w:p>
    <w:p w14:paraId="6C31778D" w14:textId="77777777" w:rsidR="00E15B42" w:rsidRDefault="00E15B42" w:rsidP="008257DE"/>
    <w:p w14:paraId="46AAA3E6" w14:textId="77777777" w:rsidR="00E15B42" w:rsidRDefault="00E15B42" w:rsidP="008257DE"/>
    <w:p w14:paraId="142D81AB" w14:textId="77777777" w:rsidR="00E15B42" w:rsidRDefault="00E15B42" w:rsidP="008257DE"/>
    <w:p w14:paraId="5E460332" w14:textId="2309C682" w:rsidR="006C5855" w:rsidRPr="00504E9D" w:rsidRDefault="00504E9D" w:rsidP="00504E9D">
      <w:pPr>
        <w:jc w:val="right"/>
      </w:pPr>
      <w:r w:rsidRPr="00504E9D">
        <w:t xml:space="preserve">[Annex I </w:t>
      </w:r>
      <w:proofErr w:type="gramStart"/>
      <w:r w:rsidRPr="00504E9D">
        <w:t>follow</w:t>
      </w:r>
      <w:r w:rsidR="004B0F93">
        <w:t>s</w:t>
      </w:r>
      <w:proofErr w:type="gramEnd"/>
      <w:r w:rsidRPr="00504E9D">
        <w:t>]</w:t>
      </w:r>
    </w:p>
    <w:p w14:paraId="16D50918" w14:textId="77777777" w:rsidR="007C740C" w:rsidRPr="00F56A7F" w:rsidRDefault="007C740C" w:rsidP="009B440E">
      <w:pPr>
        <w:jc w:val="left"/>
        <w:sectPr w:rsidR="007C740C" w:rsidRPr="00F56A7F" w:rsidSect="00524426">
          <w:headerReference w:type="default" r:id="rId9"/>
          <w:headerReference w:type="first" r:id="rId10"/>
          <w:footnotePr>
            <w:numRestart w:val="eachSect"/>
          </w:footnotePr>
          <w:pgSz w:w="11907" w:h="16840" w:code="9"/>
          <w:pgMar w:top="510" w:right="1134" w:bottom="851" w:left="1134" w:header="510" w:footer="680" w:gutter="0"/>
          <w:pgNumType w:start="1"/>
          <w:cols w:space="720"/>
          <w:titlePg/>
        </w:sectPr>
      </w:pPr>
    </w:p>
    <w:p w14:paraId="5119F8DD" w14:textId="6C6D27A6" w:rsidR="00A908CE" w:rsidRPr="00F56A7F" w:rsidRDefault="00A908CE" w:rsidP="007C740C">
      <w:pPr>
        <w:jc w:val="center"/>
      </w:pPr>
    </w:p>
    <w:p w14:paraId="7336BD54" w14:textId="77777777" w:rsidR="00A908CE" w:rsidRPr="00F56A7F" w:rsidRDefault="00A908CE" w:rsidP="00A908CE">
      <w:pPr>
        <w:jc w:val="center"/>
      </w:pPr>
      <w:r w:rsidRPr="00F56A7F">
        <w:t>DOCUMENT UPOV/EXN/DEN:</w:t>
      </w:r>
    </w:p>
    <w:p w14:paraId="160A444B" w14:textId="77777777" w:rsidR="00A908CE" w:rsidRPr="00F56A7F" w:rsidRDefault="00A908CE" w:rsidP="00A908CE">
      <w:pPr>
        <w:jc w:val="center"/>
      </w:pPr>
      <w:r w:rsidRPr="00F56A7F">
        <w:t>EXPLANATORY NOTES ON VARIETY DENOMINATIONS UNDER THE UPOV CONVENTION (REVISION)</w:t>
      </w:r>
    </w:p>
    <w:p w14:paraId="7FF76473" w14:textId="00B2228F" w:rsidR="00A908CE" w:rsidRPr="00977A0C" w:rsidRDefault="00A908CE" w:rsidP="00977A0C">
      <w:pPr>
        <w:pStyle w:val="Header"/>
        <w:rPr>
          <w:lang w:val="en-US"/>
        </w:rPr>
      </w:pPr>
    </w:p>
    <w:p w14:paraId="4CE48025" w14:textId="77777777" w:rsidR="00A908CE" w:rsidRPr="00F56A7F" w:rsidRDefault="00A908CE" w:rsidP="007C740C">
      <w:pPr>
        <w:jc w:val="center"/>
      </w:pPr>
    </w:p>
    <w:p w14:paraId="77FD3D1F" w14:textId="14AD8F20" w:rsidR="00A908CE" w:rsidRPr="00F56A7F" w:rsidRDefault="00A908CE" w:rsidP="00A908CE">
      <w:pPr>
        <w:rPr>
          <w:iCs/>
          <w:u w:val="single"/>
        </w:rPr>
      </w:pPr>
      <w:bookmarkStart w:id="36" w:name="_Toc129334472"/>
      <w:r w:rsidRPr="00F56A7F">
        <w:rPr>
          <w:iCs/>
          <w:u w:val="single"/>
        </w:rPr>
        <w:t>New variety denomination classes for Prunus</w:t>
      </w:r>
      <w:bookmarkEnd w:id="36"/>
      <w:r w:rsidR="008971CD">
        <w:rPr>
          <w:iCs/>
          <w:u w:val="single"/>
        </w:rPr>
        <w:t xml:space="preserve"> </w:t>
      </w:r>
      <w:r w:rsidR="008971CD" w:rsidRPr="00662EF7">
        <w:rPr>
          <w:sz w:val="18"/>
          <w:szCs w:val="18"/>
        </w:rPr>
        <w:t>and situations when a denomination should be compared with other classes within a genus</w:t>
      </w:r>
    </w:p>
    <w:p w14:paraId="491EC266" w14:textId="77777777" w:rsidR="00A908CE" w:rsidRDefault="00A908CE" w:rsidP="00A908CE">
      <w:pPr>
        <w:rPr>
          <w:iCs/>
        </w:rPr>
      </w:pPr>
    </w:p>
    <w:p w14:paraId="331E96F7" w14:textId="5DC369FE" w:rsidR="00977A0C" w:rsidRDefault="00977A0C" w:rsidP="00977A0C">
      <w:pPr>
        <w:pStyle w:val="EndnoteText"/>
      </w:pPr>
      <w:r w:rsidRPr="00F56A7F">
        <w:fldChar w:fldCharType="begin"/>
      </w:r>
      <w:r w:rsidRPr="00F56A7F">
        <w:instrText xml:space="preserve"> LISTNUM  LegalDefault \l 1 </w:instrText>
      </w:r>
      <w:r w:rsidRPr="00F56A7F">
        <w:fldChar w:fldCharType="end">
          <w:numberingChange w:id="37" w:author="SANCHEZ VIZCAINO GOMEZ Rosa Maria" w:date="2024-04-02T17:44:00Z" w:original="1."/>
        </w:fldChar>
      </w:r>
      <w:r w:rsidRPr="00F56A7F">
        <w:tab/>
      </w:r>
      <w:r>
        <w:t>The background to this matter is provided in document TWP/7/4 “</w:t>
      </w:r>
      <w:r w:rsidR="00595EE0">
        <w:t xml:space="preserve">Denomination classes for </w:t>
      </w:r>
      <w:proofErr w:type="spellStart"/>
      <w:r w:rsidR="00595EE0" w:rsidRPr="00595EE0">
        <w:rPr>
          <w:i/>
          <w:iCs/>
        </w:rPr>
        <w:t>Alium</w:t>
      </w:r>
      <w:proofErr w:type="spellEnd"/>
      <w:r w:rsidR="00595EE0" w:rsidRPr="00595EE0">
        <w:rPr>
          <w:i/>
          <w:iCs/>
        </w:rPr>
        <w:t>, Brassica</w:t>
      </w:r>
      <w:r w:rsidR="00595EE0">
        <w:t xml:space="preserve"> and </w:t>
      </w:r>
      <w:r w:rsidR="00595EE0" w:rsidRPr="00595EE0">
        <w:rPr>
          <w:i/>
          <w:iCs/>
        </w:rPr>
        <w:t>Prunus</w:t>
      </w:r>
      <w:r w:rsidR="00595EE0">
        <w:t xml:space="preserve">”. </w:t>
      </w:r>
    </w:p>
    <w:p w14:paraId="4E2BEE76" w14:textId="77777777" w:rsidR="00595EE0" w:rsidRPr="00977A0C" w:rsidRDefault="00595EE0" w:rsidP="00977A0C">
      <w:pPr>
        <w:pStyle w:val="EndnoteText"/>
        <w:rPr>
          <w:iCs/>
        </w:rPr>
      </w:pPr>
    </w:p>
    <w:p w14:paraId="3C14B1E0" w14:textId="60156CBB" w:rsidR="00A908CE" w:rsidRPr="00F56A7F" w:rsidRDefault="00A908CE" w:rsidP="00A908CE">
      <w:r w:rsidRPr="00F56A7F">
        <w:fldChar w:fldCharType="begin"/>
      </w:r>
      <w:r w:rsidRPr="00F56A7F">
        <w:instrText xml:space="preserve"> LISTNUM  LegalDefault \l 1 </w:instrText>
      </w:r>
      <w:r w:rsidRPr="00F56A7F">
        <w:fldChar w:fldCharType="end">
          <w:numberingChange w:id="38" w:author="SANCHEZ VIZCAINO GOMEZ Rosa Maria" w:date="2024-04-02T17:44:00Z" w:original="2."/>
        </w:fldChar>
      </w:r>
      <w:r w:rsidRPr="00F56A7F">
        <w:tab/>
        <w:t xml:space="preserve">The genus </w:t>
      </w:r>
      <w:r w:rsidRPr="00F56A7F">
        <w:rPr>
          <w:i/>
        </w:rPr>
        <w:t>Prunus</w:t>
      </w:r>
      <w:r w:rsidRPr="00F56A7F">
        <w:t xml:space="preserve"> currently follows the General Rule (one genus</w:t>
      </w:r>
      <w:r w:rsidR="0052011B">
        <w:t xml:space="preserve"> </w:t>
      </w:r>
      <w:r w:rsidRPr="00F56A7F">
        <w:t>/</w:t>
      </w:r>
      <w:r w:rsidR="0052011B">
        <w:t xml:space="preserve"> </w:t>
      </w:r>
      <w:r w:rsidRPr="00F56A7F">
        <w:t>one class)</w:t>
      </w:r>
      <w:r w:rsidR="0081662C" w:rsidRPr="00F56A7F">
        <w:rPr>
          <w:rStyle w:val="FootnoteReference"/>
          <w:sz w:val="18"/>
        </w:rPr>
        <w:footnoteReference w:id="15"/>
      </w:r>
      <w:r w:rsidRPr="00F56A7F">
        <w:t>.</w:t>
      </w:r>
    </w:p>
    <w:p w14:paraId="00F8AAA8" w14:textId="77777777" w:rsidR="00A908CE" w:rsidRPr="00F56A7F" w:rsidRDefault="00A908CE" w:rsidP="00A908CE">
      <w:pPr>
        <w:rPr>
          <w:i/>
        </w:rPr>
      </w:pPr>
    </w:p>
    <w:p w14:paraId="5EB79F0F" w14:textId="30425250" w:rsidR="00A908CE" w:rsidRPr="00F56A7F" w:rsidRDefault="00A908CE" w:rsidP="00A908CE">
      <w:r w:rsidRPr="00F56A7F">
        <w:fldChar w:fldCharType="begin"/>
      </w:r>
      <w:r w:rsidRPr="00F56A7F">
        <w:instrText xml:space="preserve"> LISTNUM  LegalDefault \l 1 </w:instrText>
      </w:r>
      <w:r w:rsidRPr="00F56A7F">
        <w:fldChar w:fldCharType="end">
          <w:numberingChange w:id="39" w:author="SANCHEZ VIZCAINO GOMEZ Rosa Maria" w:date="2024-04-02T17:44:00Z" w:original="3."/>
        </w:fldChar>
      </w:r>
      <w:r w:rsidRPr="00F56A7F">
        <w:tab/>
        <w:t>The TWO</w:t>
      </w:r>
      <w:bookmarkStart w:id="40" w:name="_Ref145610148"/>
      <w:r w:rsidR="0029725E" w:rsidRPr="00F56A7F">
        <w:rPr>
          <w:rStyle w:val="FootnoteReference"/>
          <w:rFonts w:eastAsia="MS Mincho"/>
        </w:rPr>
        <w:footnoteReference w:id="16"/>
      </w:r>
      <w:bookmarkEnd w:id="40"/>
      <w:r w:rsidRPr="00F56A7F">
        <w:t xml:space="preserve"> considered the proposal for creating new variety denomination classes within the genus </w:t>
      </w:r>
      <w:r w:rsidRPr="00F56A7F">
        <w:rPr>
          <w:i/>
        </w:rPr>
        <w:t>Prunus</w:t>
      </w:r>
      <w:r w:rsidRPr="00F56A7F">
        <w:t xml:space="preserve">.  The TWO noted the existence of ornamental varieties of </w:t>
      </w:r>
      <w:r w:rsidRPr="00F56A7F">
        <w:rPr>
          <w:i/>
        </w:rPr>
        <w:t>Prunus</w:t>
      </w:r>
      <w:r w:rsidRPr="00F56A7F">
        <w:t xml:space="preserve">, including interspecific hybrids, and agreed to propose that the TWF take this information into consideration when discussing the possible creation of new variety denomination classes </w:t>
      </w:r>
      <w:r w:rsidRPr="00F56A7F">
        <w:rPr>
          <w:rFonts w:eastAsiaTheme="minorEastAsia" w:cs="Arial"/>
        </w:rPr>
        <w:t xml:space="preserve">(see documents </w:t>
      </w:r>
      <w:r w:rsidRPr="00F56A7F">
        <w:t xml:space="preserve">TWO/55/11 “Report”, paragraph 28; and TWF/54/13 “Report”, paragraphs 29 to 31). </w:t>
      </w:r>
    </w:p>
    <w:p w14:paraId="455DECD9" w14:textId="77777777" w:rsidR="00A908CE" w:rsidRPr="00F56A7F" w:rsidRDefault="00A908CE" w:rsidP="00A908CE"/>
    <w:p w14:paraId="3F542370" w14:textId="6E9B2CA6" w:rsidR="00A908CE" w:rsidRPr="00F56A7F" w:rsidRDefault="00A908CE" w:rsidP="00A908CE">
      <w:r w:rsidRPr="00F56A7F">
        <w:fldChar w:fldCharType="begin"/>
      </w:r>
      <w:r w:rsidRPr="00F56A7F">
        <w:instrText xml:space="preserve"> LISTNUM  LegalDefault \l 1 </w:instrText>
      </w:r>
      <w:r w:rsidRPr="00F56A7F">
        <w:fldChar w:fldCharType="end">
          <w:numberingChange w:id="41" w:author="SANCHEZ VIZCAINO GOMEZ Rosa Maria" w:date="2024-04-02T17:44:00Z" w:original="4."/>
        </w:fldChar>
      </w:r>
      <w:r w:rsidRPr="00F56A7F">
        <w:tab/>
        <w:t>The TWF</w:t>
      </w:r>
      <w:r w:rsidR="00027BEE">
        <w:rPr>
          <w:rStyle w:val="FootnoteReference"/>
        </w:rPr>
        <w:footnoteReference w:id="17"/>
      </w:r>
      <w:r w:rsidR="00027BEE">
        <w:t xml:space="preserve"> </w:t>
      </w:r>
      <w:r w:rsidRPr="00F56A7F">
        <w:t xml:space="preserve">considered the comment from the TWO, at its fifty-fifth session, on the existence of ornamental varieties of plums produced from interspecific crossings and agreed that such cases could be treated according to the proposal to apply the denomination classes of all parents involved without causing confusion concerning the identity of the variety.  </w:t>
      </w:r>
    </w:p>
    <w:p w14:paraId="19E05B07" w14:textId="2769F523" w:rsidR="00A908CE" w:rsidRDefault="00A908CE" w:rsidP="00A908CE"/>
    <w:p w14:paraId="76140049" w14:textId="002D4BB8" w:rsidR="00BF0653" w:rsidRPr="00F56A7F" w:rsidRDefault="00BF0653" w:rsidP="00A908CE">
      <w:r w:rsidRPr="00F56A7F">
        <w:fldChar w:fldCharType="begin"/>
      </w:r>
      <w:r w:rsidRPr="00F56A7F">
        <w:instrText xml:space="preserve"> LISTNUM  LegalDefault \l 1 </w:instrText>
      </w:r>
      <w:r w:rsidRPr="00F56A7F">
        <w:fldChar w:fldCharType="end">
          <w:numberingChange w:id="42" w:author="SANCHEZ VIZCAINO GOMEZ Rosa Maria" w:date="2024-04-02T17:44:00Z" w:original="5."/>
        </w:fldChar>
      </w:r>
      <w:r w:rsidRPr="00F56A7F">
        <w:tab/>
      </w:r>
      <w:r>
        <w:t>The TWF agreed that breeding of new Prunus varieties could lead to complex hybrids requiring the use of more than one denomination class and careful interpretation of the nomenclature.</w:t>
      </w:r>
    </w:p>
    <w:p w14:paraId="26EE0C25" w14:textId="77777777" w:rsidR="00A908CE" w:rsidRPr="00F56A7F" w:rsidRDefault="00A908CE" w:rsidP="00A908CE"/>
    <w:p w14:paraId="5C8D3530" w14:textId="77777777" w:rsidR="00A908CE" w:rsidRPr="00F56A7F" w:rsidRDefault="00A908CE" w:rsidP="00A908CE">
      <w:pPr>
        <w:keepNext/>
        <w:rPr>
          <w:rFonts w:cs="Maiandra GD"/>
          <w:iCs/>
          <w:color w:val="000000"/>
          <w:szCs w:val="18"/>
          <w:lang w:eastAsia="nl-NL"/>
        </w:rPr>
      </w:pPr>
      <w:r w:rsidRPr="00F56A7F">
        <w:fldChar w:fldCharType="begin"/>
      </w:r>
      <w:r w:rsidRPr="00F56A7F">
        <w:instrText xml:space="preserve"> LISTNUM  LegalDefault \l 1 </w:instrText>
      </w:r>
      <w:r w:rsidRPr="00F56A7F">
        <w:fldChar w:fldCharType="end">
          <w:numberingChange w:id="43" w:author="SANCHEZ VIZCAINO GOMEZ Rosa Maria" w:date="2024-04-02T17:44:00Z" w:original="6."/>
        </w:fldChar>
      </w:r>
      <w:r w:rsidRPr="00F56A7F">
        <w:tab/>
        <w:t xml:space="preserve">The TWF agreed to propose creation of new exceptional variety denomination classes for </w:t>
      </w:r>
      <w:r w:rsidRPr="00F56A7F">
        <w:rPr>
          <w:i/>
        </w:rPr>
        <w:t>Prunus</w:t>
      </w:r>
      <w:r w:rsidRPr="00F56A7F">
        <w:t xml:space="preserve">, as follows (additions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p>
    <w:p w14:paraId="303E5964" w14:textId="77777777" w:rsidR="00A908CE" w:rsidRPr="00F56A7F" w:rsidRDefault="00A908CE" w:rsidP="00A908CE">
      <w:pPr>
        <w:rPr>
          <w:rFonts w:eastAsia="MS Mincho"/>
        </w:rPr>
      </w:pPr>
    </w:p>
    <w:p w14:paraId="62F81AD5" w14:textId="432A9DED" w:rsidR="00A908CE" w:rsidRPr="000C4F65" w:rsidRDefault="00A908CE" w:rsidP="000C4F65">
      <w:pPr>
        <w:pStyle w:val="Header"/>
        <w:rPr>
          <w:rFonts w:eastAsia="MS Mincho"/>
          <w:lang w:val="en-US"/>
        </w:rPr>
      </w:pPr>
      <w:r w:rsidRPr="000C4F65">
        <w:rPr>
          <w:rFonts w:eastAsia="MS Mincho"/>
          <w:lang w:val="en-US"/>
        </w:rPr>
        <w:t>LIST OF CLASSES</w:t>
      </w:r>
    </w:p>
    <w:p w14:paraId="632A3E7C" w14:textId="77777777" w:rsidR="00A908CE" w:rsidRPr="00F56A7F" w:rsidRDefault="00A908CE" w:rsidP="00A908CE">
      <w:pPr>
        <w:rPr>
          <w:rFonts w:eastAsia="MS Mincho"/>
        </w:rPr>
      </w:pPr>
    </w:p>
    <w:p w14:paraId="66AC0478" w14:textId="77777777" w:rsidR="00A908CE" w:rsidRPr="00F56A7F" w:rsidRDefault="00A908CE" w:rsidP="00A908CE">
      <w:pPr>
        <w:keepNext/>
        <w:jc w:val="center"/>
        <w:outlineLvl w:val="7"/>
        <w:rPr>
          <w:rFonts w:eastAsia="MS Mincho"/>
          <w:u w:val="single"/>
        </w:rPr>
      </w:pPr>
      <w:r w:rsidRPr="00F56A7F">
        <w:rPr>
          <w:rFonts w:eastAsia="MS Mincho"/>
          <w:u w:val="single"/>
        </w:rPr>
        <w:t>Part I</w:t>
      </w:r>
    </w:p>
    <w:p w14:paraId="70345F3C" w14:textId="77777777" w:rsidR="00A908CE" w:rsidRPr="00F56A7F" w:rsidRDefault="00A908CE" w:rsidP="00A908CE">
      <w:pPr>
        <w:spacing w:before="60"/>
        <w:ind w:left="284" w:hanging="284"/>
        <w:rPr>
          <w:rFonts w:eastAsia="MS Mincho"/>
          <w:sz w:val="16"/>
        </w:rPr>
      </w:pPr>
    </w:p>
    <w:p w14:paraId="2436735D" w14:textId="77777777" w:rsidR="00A908CE" w:rsidRPr="00F56A7F" w:rsidRDefault="00A908CE" w:rsidP="00A908CE">
      <w:pPr>
        <w:jc w:val="center"/>
        <w:rPr>
          <w:rFonts w:eastAsia="MS Mincho"/>
          <w:i/>
        </w:rPr>
      </w:pPr>
      <w:r w:rsidRPr="00F56A7F">
        <w:rPr>
          <w:rFonts w:eastAsia="MS Mincho"/>
          <w:i/>
        </w:rPr>
        <w:t>Classes within a genus</w:t>
      </w:r>
    </w:p>
    <w:p w14:paraId="57F48648" w14:textId="77777777" w:rsidR="00A908CE" w:rsidRPr="00F56A7F" w:rsidRDefault="00A908CE" w:rsidP="00A908CE"/>
    <w:p w14:paraId="5AD06DA4" w14:textId="38590F31" w:rsidR="00A908CE" w:rsidRPr="00F56A7F" w:rsidRDefault="00247A89" w:rsidP="00A908CE">
      <w:pPr>
        <w:pStyle w:val="BasistekstNaktuinbouw"/>
        <w:keepNext/>
        <w:jc w:val="both"/>
        <w:rPr>
          <w:highlight w:val="lightGray"/>
          <w:u w:val="single"/>
          <w:lang w:val="en-US"/>
        </w:rPr>
      </w:pPr>
      <w:r w:rsidRPr="00F56A7F">
        <w:rPr>
          <w:highlight w:val="lightGray"/>
          <w:u w:val="single"/>
          <w:lang w:val="en-US"/>
        </w:rPr>
        <w:t>Denominations</w:t>
      </w:r>
      <w:r w:rsidR="00A908CE" w:rsidRPr="00F56A7F">
        <w:rPr>
          <w:highlight w:val="lightGray"/>
          <w:u w:val="single"/>
          <w:lang w:val="en-US"/>
        </w:rPr>
        <w:t xml:space="preserve"> for varieties identified at genus level only, where the variety belongs to one of the genera included in the following list of “Classes within a genus” must be different from denominations within that genus.</w:t>
      </w:r>
    </w:p>
    <w:p w14:paraId="090B2597" w14:textId="77777777" w:rsidR="00A908CE" w:rsidRPr="00F56A7F" w:rsidRDefault="00A908CE" w:rsidP="00A908CE">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A908CE" w:rsidRPr="00F56A7F" w14:paraId="4227928E" w14:textId="77777777" w:rsidTr="004B24FE">
        <w:trPr>
          <w:cantSplit/>
          <w:tblHeader/>
        </w:trPr>
        <w:tc>
          <w:tcPr>
            <w:tcW w:w="1418" w:type="dxa"/>
            <w:shd w:val="clear" w:color="auto" w:fill="D9D9D9" w:themeFill="background1" w:themeFillShade="D9"/>
            <w:vAlign w:val="center"/>
          </w:tcPr>
          <w:p w14:paraId="0BADD2BF" w14:textId="77777777" w:rsidR="00A908CE" w:rsidRPr="00F56A7F" w:rsidRDefault="00A908CE" w:rsidP="004B24FE">
            <w:pPr>
              <w:spacing w:before="40" w:after="60"/>
              <w:jc w:val="left"/>
              <w:rPr>
                <w:rFonts w:eastAsia="MS Mincho"/>
                <w:sz w:val="18"/>
                <w:u w:val="single"/>
              </w:rPr>
            </w:pPr>
          </w:p>
        </w:tc>
        <w:tc>
          <w:tcPr>
            <w:tcW w:w="5670" w:type="dxa"/>
            <w:shd w:val="clear" w:color="auto" w:fill="D9D9D9" w:themeFill="background1" w:themeFillShade="D9"/>
            <w:vAlign w:val="center"/>
          </w:tcPr>
          <w:p w14:paraId="267AA867" w14:textId="77777777" w:rsidR="00A908CE" w:rsidRPr="00F56A7F" w:rsidRDefault="00A908CE" w:rsidP="004B24FE">
            <w:pPr>
              <w:spacing w:before="40" w:after="60"/>
              <w:jc w:val="center"/>
              <w:rPr>
                <w:rFonts w:eastAsia="MS Mincho"/>
                <w:sz w:val="18"/>
                <w:u w:val="single"/>
              </w:rPr>
            </w:pPr>
            <w:r w:rsidRPr="00F56A7F">
              <w:rPr>
                <w:rFonts w:eastAsia="MS Mincho"/>
                <w:sz w:val="18"/>
                <w:u w:val="single"/>
              </w:rPr>
              <w:t>Botanical names</w:t>
            </w:r>
          </w:p>
        </w:tc>
        <w:tc>
          <w:tcPr>
            <w:tcW w:w="2551" w:type="dxa"/>
            <w:shd w:val="clear" w:color="auto" w:fill="D9D9D9" w:themeFill="background1" w:themeFillShade="D9"/>
            <w:vAlign w:val="center"/>
          </w:tcPr>
          <w:p w14:paraId="4A9B480A" w14:textId="77777777" w:rsidR="00A908CE" w:rsidRPr="00F56A7F" w:rsidRDefault="00A908CE" w:rsidP="004B24FE">
            <w:pPr>
              <w:spacing w:before="40" w:after="60"/>
              <w:jc w:val="center"/>
              <w:rPr>
                <w:rFonts w:eastAsia="MS Mincho"/>
                <w:sz w:val="18"/>
                <w:u w:val="single"/>
              </w:rPr>
            </w:pPr>
            <w:r w:rsidRPr="00F56A7F">
              <w:rPr>
                <w:rFonts w:eastAsia="MS Mincho"/>
                <w:sz w:val="18"/>
                <w:u w:val="single"/>
              </w:rPr>
              <w:t>UPOV codes</w:t>
            </w:r>
          </w:p>
        </w:tc>
      </w:tr>
    </w:tbl>
    <w:p w14:paraId="1E6CD8F4" w14:textId="77777777" w:rsidR="00A908CE" w:rsidRPr="000C4F65" w:rsidRDefault="00A908CE" w:rsidP="000C4F65">
      <w:pPr>
        <w:pStyle w:val="Header"/>
        <w:rPr>
          <w:lang w:val="en-US"/>
        </w:rPr>
      </w:pPr>
      <w:r w:rsidRPr="000C4F65">
        <w:rPr>
          <w:lang w:val="en-US"/>
        </w:rPr>
        <w:t>[…]</w:t>
      </w:r>
    </w:p>
    <w:p w14:paraId="328C989E" w14:textId="77777777" w:rsidR="00A908CE" w:rsidRPr="00F56A7F" w:rsidRDefault="00A908CE" w:rsidP="000C4F65">
      <w:pPr>
        <w:pStyle w:val="BasistekstNaktuinbouw"/>
        <w:jc w:val="both"/>
        <w:rPr>
          <w:sz w:val="18"/>
          <w:highlight w:val="lightGray"/>
          <w:u w:val="single"/>
          <w:lang w:val="en-US"/>
        </w:rPr>
      </w:pPr>
      <w:r w:rsidRPr="00F56A7F">
        <w:rPr>
          <w:highlight w:val="lightGray"/>
          <w:u w:val="single"/>
          <w:lang w:val="en-US"/>
        </w:rPr>
        <w:t xml:space="preserve">Class 6: </w:t>
      </w:r>
      <w:r w:rsidRPr="00F56A7F">
        <w:rPr>
          <w:i/>
          <w:iCs/>
          <w:highlight w:val="lightGray"/>
          <w:u w:val="single"/>
          <w:lang w:val="en-US"/>
        </w:rPr>
        <w:t>Prunus</w:t>
      </w:r>
      <w:r w:rsidRPr="00F56A7F">
        <w:rPr>
          <w:highlight w:val="lightGray"/>
          <w:u w:val="single"/>
          <w:lang w:val="en-US"/>
        </w:rPr>
        <w:t xml:space="preserve">: Denominations of interspecific hybrids in Class 6 must be different from denominations in classes of all the parent species.  </w:t>
      </w:r>
    </w:p>
    <w:p w14:paraId="56C7BCFD" w14:textId="77777777" w:rsidR="00A908CE" w:rsidRPr="00F56A7F" w:rsidRDefault="00A908CE" w:rsidP="000C4F65">
      <w:pPr>
        <w:pStyle w:val="BasistekstNaktuinbouw"/>
        <w:jc w:val="both"/>
        <w:rPr>
          <w:sz w:val="18"/>
          <w:highlight w:val="lightGray"/>
          <w:u w:val="single"/>
          <w:lang w:val="en-US"/>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A908CE" w:rsidRPr="00F56A7F" w14:paraId="0F579402" w14:textId="77777777" w:rsidTr="000C4F65">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7AA1CB6" w14:textId="77777777" w:rsidR="00A908CE" w:rsidRPr="00F56A7F" w:rsidRDefault="00A908CE" w:rsidP="000C4F65">
            <w:pPr>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41C540C" w14:textId="77777777" w:rsidR="00A908CE" w:rsidRPr="00247A89" w:rsidRDefault="00A908CE" w:rsidP="000C4F65">
            <w:pPr>
              <w:spacing w:before="40" w:after="40"/>
              <w:jc w:val="left"/>
              <w:rPr>
                <w:rFonts w:cs="Arial"/>
                <w:sz w:val="18"/>
                <w:szCs w:val="18"/>
                <w:highlight w:val="lightGray"/>
                <w:u w:val="single"/>
                <w:lang w:val="fr-FR"/>
              </w:rPr>
            </w:pPr>
            <w:r w:rsidRPr="00247A89">
              <w:rPr>
                <w:rFonts w:cs="Arial"/>
                <w:i/>
                <w:sz w:val="18"/>
                <w:szCs w:val="18"/>
                <w:highlight w:val="lightGray"/>
                <w:u w:val="single"/>
                <w:lang w:val="fr-FR"/>
              </w:rPr>
              <w:t xml:space="preserve">Prunus </w:t>
            </w:r>
            <w:proofErr w:type="spellStart"/>
            <w:r w:rsidRPr="00247A89">
              <w:rPr>
                <w:rFonts w:cs="Arial"/>
                <w:i/>
                <w:sz w:val="18"/>
                <w:szCs w:val="18"/>
                <w:highlight w:val="lightGray"/>
                <w:u w:val="single"/>
                <w:lang w:val="fr-FR"/>
              </w:rPr>
              <w:t>avium</w:t>
            </w:r>
            <w:proofErr w:type="spellEnd"/>
            <w:r w:rsidRPr="00247A89">
              <w:rPr>
                <w:rFonts w:cs="Arial"/>
                <w:sz w:val="18"/>
                <w:szCs w:val="18"/>
                <w:highlight w:val="lightGray"/>
                <w:u w:val="single"/>
                <w:lang w:val="fr-FR"/>
              </w:rPr>
              <w:t xml:space="preserve"> (L.) L.</w:t>
            </w:r>
          </w:p>
          <w:p w14:paraId="2DD139B6" w14:textId="77777777" w:rsidR="00A908CE" w:rsidRPr="00247A89" w:rsidRDefault="00A908CE" w:rsidP="000C4F65">
            <w:pPr>
              <w:spacing w:before="40" w:after="40"/>
              <w:jc w:val="left"/>
              <w:rPr>
                <w:rFonts w:cs="Arial"/>
                <w:sz w:val="18"/>
                <w:szCs w:val="18"/>
                <w:highlight w:val="lightGray"/>
                <w:u w:val="single"/>
                <w:lang w:val="fr-FR"/>
              </w:rPr>
            </w:pPr>
            <w:r w:rsidRPr="00247A89">
              <w:rPr>
                <w:rFonts w:cs="Arial"/>
                <w:i/>
                <w:sz w:val="18"/>
                <w:szCs w:val="18"/>
                <w:highlight w:val="lightGray"/>
                <w:u w:val="single"/>
                <w:lang w:val="fr-FR"/>
              </w:rPr>
              <w:t xml:space="preserve">Prunus </w:t>
            </w:r>
            <w:proofErr w:type="spellStart"/>
            <w:r w:rsidRPr="00247A89">
              <w:rPr>
                <w:rFonts w:cs="Arial"/>
                <w:i/>
                <w:sz w:val="18"/>
                <w:szCs w:val="18"/>
                <w:highlight w:val="lightGray"/>
                <w:u w:val="single"/>
                <w:lang w:val="fr-FR"/>
              </w:rPr>
              <w:t>cerasus</w:t>
            </w:r>
            <w:proofErr w:type="spellEnd"/>
            <w:r w:rsidRPr="00247A89">
              <w:rPr>
                <w:rFonts w:cs="Arial"/>
                <w:sz w:val="18"/>
                <w:szCs w:val="18"/>
                <w:highlight w:val="lightGray"/>
                <w:u w:val="single"/>
                <w:lang w:val="fr-FR"/>
              </w:rPr>
              <w:t xml:space="preserve"> L.</w:t>
            </w:r>
          </w:p>
          <w:p w14:paraId="4E9FBD6E" w14:textId="77777777" w:rsidR="00A908CE" w:rsidRPr="00247A89" w:rsidRDefault="00A908CE" w:rsidP="000C4F65">
            <w:pPr>
              <w:spacing w:before="40" w:after="40"/>
              <w:jc w:val="left"/>
              <w:rPr>
                <w:rFonts w:cs="Arial"/>
                <w:sz w:val="18"/>
                <w:szCs w:val="18"/>
                <w:highlight w:val="lightGray"/>
                <w:u w:val="single"/>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132F548" w14:textId="77777777" w:rsidR="00A908CE" w:rsidRPr="00F56A7F" w:rsidRDefault="00A908CE" w:rsidP="000C4F65">
            <w:pPr>
              <w:spacing w:before="40" w:after="40"/>
              <w:jc w:val="left"/>
              <w:rPr>
                <w:rFonts w:cs="Arial"/>
                <w:sz w:val="18"/>
                <w:szCs w:val="18"/>
                <w:highlight w:val="lightGray"/>
                <w:u w:val="single"/>
              </w:rPr>
            </w:pPr>
            <w:r w:rsidRPr="00F56A7F">
              <w:rPr>
                <w:rFonts w:cs="Arial"/>
                <w:sz w:val="18"/>
                <w:szCs w:val="18"/>
                <w:highlight w:val="lightGray"/>
                <w:u w:val="single"/>
              </w:rPr>
              <w:t>PRUNU_AVI</w:t>
            </w:r>
          </w:p>
          <w:p w14:paraId="7AF8C091" w14:textId="77777777" w:rsidR="00A908CE" w:rsidRPr="00F56A7F" w:rsidRDefault="00A908CE" w:rsidP="000C4F65">
            <w:pPr>
              <w:spacing w:before="40" w:after="40"/>
              <w:jc w:val="left"/>
              <w:rPr>
                <w:rFonts w:cs="Arial"/>
                <w:sz w:val="18"/>
                <w:szCs w:val="18"/>
                <w:highlight w:val="lightGray"/>
                <w:u w:val="single"/>
              </w:rPr>
            </w:pPr>
            <w:r w:rsidRPr="00F56A7F">
              <w:rPr>
                <w:rFonts w:cs="Arial"/>
                <w:sz w:val="18"/>
                <w:szCs w:val="18"/>
                <w:highlight w:val="lightGray"/>
                <w:u w:val="single"/>
              </w:rPr>
              <w:t>PRUNU_CSS</w:t>
            </w:r>
          </w:p>
          <w:p w14:paraId="34006CB8" w14:textId="77777777" w:rsidR="00A908CE" w:rsidRPr="00F56A7F" w:rsidRDefault="00A908CE" w:rsidP="000C4F65">
            <w:pPr>
              <w:spacing w:before="40" w:after="40"/>
              <w:jc w:val="left"/>
              <w:rPr>
                <w:rFonts w:cs="Arial"/>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A908CE" w:rsidRPr="00F56A7F" w14:paraId="5809949D" w14:textId="77777777" w:rsidTr="004B24FE">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DD5B6F1" w14:textId="77777777" w:rsidR="00A908CE" w:rsidRPr="00F56A7F" w:rsidRDefault="00A908CE" w:rsidP="004B24FE">
            <w:pPr>
              <w:keepNext/>
              <w:spacing w:before="40" w:after="40"/>
              <w:ind w:left="-1529" w:firstLine="1529"/>
              <w:jc w:val="left"/>
              <w:rPr>
                <w:rFonts w:cs="Arial"/>
                <w:sz w:val="18"/>
                <w:szCs w:val="18"/>
                <w:highlight w:val="lightGray"/>
                <w:u w:val="single"/>
              </w:rPr>
            </w:pPr>
            <w:r w:rsidRPr="00F56A7F">
              <w:rPr>
                <w:rFonts w:cs="Arial"/>
                <w:sz w:val="18"/>
                <w:szCs w:val="18"/>
                <w:highlight w:val="lightGray"/>
                <w:u w:val="single"/>
              </w:rPr>
              <w:lastRenderedPageBreak/>
              <w:t>New Class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AD80773" w14:textId="77777777" w:rsidR="00A908CE" w:rsidRPr="0044353D" w:rsidRDefault="00A908CE" w:rsidP="004B24FE">
            <w:pPr>
              <w:keepNext/>
              <w:spacing w:before="40" w:after="40"/>
              <w:jc w:val="left"/>
              <w:rPr>
                <w:rFonts w:cs="Arial"/>
                <w:sz w:val="18"/>
                <w:szCs w:val="18"/>
                <w:highlight w:val="lightGray"/>
                <w:u w:val="single"/>
              </w:rPr>
            </w:pPr>
            <w:r w:rsidRPr="0044353D">
              <w:rPr>
                <w:rFonts w:cs="Arial"/>
                <w:i/>
                <w:sz w:val="18"/>
                <w:szCs w:val="18"/>
                <w:highlight w:val="lightGray"/>
                <w:u w:val="single"/>
              </w:rPr>
              <w:t>Prunus domestica</w:t>
            </w:r>
            <w:r w:rsidRPr="0044353D">
              <w:rPr>
                <w:rFonts w:cs="Arial"/>
                <w:sz w:val="18"/>
                <w:szCs w:val="18"/>
                <w:highlight w:val="lightGray"/>
                <w:u w:val="single"/>
              </w:rPr>
              <w:t xml:space="preserve"> L.</w:t>
            </w:r>
          </w:p>
          <w:p w14:paraId="4CA2C70E" w14:textId="77777777" w:rsidR="00A908CE" w:rsidRPr="0044353D" w:rsidRDefault="00A908CE" w:rsidP="004B24FE">
            <w:pPr>
              <w:keepNext/>
              <w:spacing w:before="40" w:after="40"/>
              <w:jc w:val="left"/>
              <w:rPr>
                <w:rFonts w:cs="Arial"/>
                <w:sz w:val="18"/>
                <w:szCs w:val="18"/>
                <w:highlight w:val="lightGray"/>
                <w:u w:val="single"/>
              </w:rPr>
            </w:pPr>
            <w:r w:rsidRPr="0044353D">
              <w:rPr>
                <w:rFonts w:cs="Arial"/>
                <w:i/>
                <w:sz w:val="18"/>
                <w:szCs w:val="18"/>
                <w:highlight w:val="lightGray"/>
                <w:u w:val="single"/>
              </w:rPr>
              <w:t xml:space="preserve">Prunus </w:t>
            </w:r>
            <w:proofErr w:type="spellStart"/>
            <w:r w:rsidRPr="0044353D">
              <w:rPr>
                <w:rFonts w:cs="Arial"/>
                <w:i/>
                <w:sz w:val="18"/>
                <w:szCs w:val="18"/>
                <w:highlight w:val="lightGray"/>
                <w:u w:val="single"/>
              </w:rPr>
              <w:t>salicina</w:t>
            </w:r>
            <w:proofErr w:type="spellEnd"/>
            <w:r w:rsidRPr="0044353D">
              <w:rPr>
                <w:rFonts w:cs="Arial"/>
                <w:sz w:val="18"/>
                <w:szCs w:val="18"/>
                <w:highlight w:val="lightGray"/>
                <w:u w:val="single"/>
              </w:rPr>
              <w:t xml:space="preserve"> Lindley</w:t>
            </w:r>
          </w:p>
          <w:p w14:paraId="1BBB3CBB"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i/>
                <w:sz w:val="18"/>
                <w:szCs w:val="18"/>
                <w:highlight w:val="lightGray"/>
                <w:u w:val="single"/>
              </w:rPr>
              <w:t xml:space="preserve">Prunus </w:t>
            </w:r>
            <w:proofErr w:type="spellStart"/>
            <w:r w:rsidRPr="00F56A7F">
              <w:rPr>
                <w:rFonts w:cs="Arial"/>
                <w:i/>
                <w:sz w:val="18"/>
                <w:szCs w:val="18"/>
                <w:highlight w:val="lightGray"/>
                <w:u w:val="single"/>
              </w:rPr>
              <w:t>armeniaca</w:t>
            </w:r>
            <w:proofErr w:type="spellEnd"/>
            <w:r w:rsidRPr="00F56A7F">
              <w:rPr>
                <w:rFonts w:cs="Arial"/>
                <w:sz w:val="18"/>
                <w:szCs w:val="18"/>
                <w:highlight w:val="lightGray"/>
                <w:u w:val="single"/>
              </w:rPr>
              <w:t xml:space="preserve"> L.</w:t>
            </w:r>
          </w:p>
          <w:p w14:paraId="791580D6"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i/>
                <w:sz w:val="18"/>
                <w:szCs w:val="18"/>
                <w:highlight w:val="lightGray"/>
                <w:u w:val="single"/>
              </w:rPr>
              <w:t xml:space="preserve">Prunus </w:t>
            </w:r>
            <w:proofErr w:type="spellStart"/>
            <w:r w:rsidRPr="00F56A7F">
              <w:rPr>
                <w:rFonts w:cs="Arial"/>
                <w:i/>
                <w:sz w:val="18"/>
                <w:szCs w:val="18"/>
                <w:highlight w:val="lightGray"/>
                <w:u w:val="single"/>
              </w:rPr>
              <w:t>mume</w:t>
            </w:r>
            <w:proofErr w:type="spellEnd"/>
            <w:r w:rsidRPr="00F56A7F">
              <w:rPr>
                <w:rFonts w:cs="Arial"/>
                <w:sz w:val="18"/>
                <w:szCs w:val="18"/>
                <w:highlight w:val="lightGray"/>
                <w:u w:val="single"/>
              </w:rPr>
              <w:t xml:space="preserve"> Siebold &amp; </w:t>
            </w:r>
            <w:proofErr w:type="spellStart"/>
            <w:r w:rsidRPr="00F56A7F">
              <w:rPr>
                <w:rFonts w:cs="Arial"/>
                <w:sz w:val="18"/>
                <w:szCs w:val="18"/>
                <w:highlight w:val="lightGray"/>
                <w:u w:val="single"/>
              </w:rPr>
              <w:t>Zucc</w:t>
            </w:r>
            <w:proofErr w:type="spellEnd"/>
            <w:r w:rsidRPr="00F56A7F">
              <w:rPr>
                <w:rFonts w:cs="Arial"/>
                <w:sz w:val="18"/>
                <w:szCs w:val="18"/>
                <w:highlight w:val="lightGray"/>
                <w:u w:val="single"/>
              </w:rPr>
              <w:t>.</w:t>
            </w:r>
          </w:p>
          <w:p w14:paraId="48FC86B4" w14:textId="77777777" w:rsidR="00A908CE" w:rsidRPr="00F56A7F" w:rsidRDefault="00A908CE" w:rsidP="004B24FE">
            <w:pPr>
              <w:keepNext/>
              <w:spacing w:before="40" w:after="40"/>
              <w:jc w:val="left"/>
              <w:rPr>
                <w:rFonts w:cs="Arial"/>
                <w:sz w:val="18"/>
                <w:szCs w:val="18"/>
                <w:highlight w:val="lightGray"/>
                <w:u w:val="single"/>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AC89610" w14:textId="77777777" w:rsidR="00A908CE" w:rsidRPr="00247A89" w:rsidRDefault="00A908CE" w:rsidP="004B24FE">
            <w:pPr>
              <w:keepNext/>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PRUNU_DOM</w:t>
            </w:r>
          </w:p>
          <w:p w14:paraId="1C31A228" w14:textId="77777777" w:rsidR="00A908CE" w:rsidRPr="00247A89" w:rsidRDefault="00A908CE" w:rsidP="004B24FE">
            <w:pPr>
              <w:keepNext/>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PRUNU_SAL</w:t>
            </w:r>
          </w:p>
          <w:p w14:paraId="372690CE" w14:textId="77777777" w:rsidR="00A908CE" w:rsidRPr="00247A89" w:rsidRDefault="00A908CE" w:rsidP="004B24FE">
            <w:pPr>
              <w:keepNext/>
              <w:spacing w:before="40" w:after="40"/>
              <w:jc w:val="left"/>
              <w:rPr>
                <w:rFonts w:cs="Arial"/>
                <w:sz w:val="18"/>
                <w:szCs w:val="18"/>
                <w:highlight w:val="lightGray"/>
                <w:u w:val="single"/>
                <w:lang w:val="fr-FR"/>
              </w:rPr>
            </w:pPr>
            <w:r w:rsidRPr="00247A89">
              <w:rPr>
                <w:rFonts w:cs="Arial"/>
                <w:sz w:val="18"/>
                <w:szCs w:val="18"/>
                <w:highlight w:val="lightGray"/>
                <w:u w:val="single"/>
                <w:lang w:val="fr-FR"/>
              </w:rPr>
              <w:t>PRUNU_ARM</w:t>
            </w:r>
          </w:p>
          <w:p w14:paraId="5D8DF21F"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sz w:val="18"/>
                <w:szCs w:val="18"/>
                <w:highlight w:val="lightGray"/>
                <w:u w:val="single"/>
              </w:rPr>
              <w:t>PRUNU_MUM</w:t>
            </w:r>
          </w:p>
          <w:p w14:paraId="298E6D73" w14:textId="77777777" w:rsidR="00A908CE" w:rsidRPr="00F56A7F" w:rsidRDefault="00A908CE" w:rsidP="004B24FE">
            <w:pPr>
              <w:keepNext/>
              <w:spacing w:before="40" w:after="40"/>
              <w:jc w:val="left"/>
              <w:rPr>
                <w:rFonts w:cs="Arial"/>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A908CE" w:rsidRPr="00F56A7F" w14:paraId="51297630" w14:textId="77777777" w:rsidTr="004B24FE">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29741F3" w14:textId="77777777" w:rsidR="00A908CE" w:rsidRPr="00F56A7F" w:rsidRDefault="00A908CE" w:rsidP="004B24FE">
            <w:pPr>
              <w:keepNext/>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7FC9C4DD"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i/>
                <w:sz w:val="18"/>
                <w:szCs w:val="18"/>
                <w:highlight w:val="lightGray"/>
                <w:u w:val="single"/>
              </w:rPr>
              <w:t>Prunus persica</w:t>
            </w:r>
            <w:r w:rsidRPr="00F56A7F">
              <w:rPr>
                <w:rFonts w:cs="Arial"/>
                <w:sz w:val="18"/>
                <w:szCs w:val="18"/>
                <w:highlight w:val="lightGray"/>
                <w:u w:val="single"/>
              </w:rPr>
              <w:t xml:space="preserve"> (L.) </w:t>
            </w:r>
            <w:proofErr w:type="spellStart"/>
            <w:r w:rsidRPr="00F56A7F">
              <w:rPr>
                <w:rFonts w:cs="Arial"/>
                <w:sz w:val="18"/>
                <w:szCs w:val="18"/>
                <w:highlight w:val="lightGray"/>
                <w:u w:val="single"/>
              </w:rPr>
              <w:t>Batsch</w:t>
            </w:r>
            <w:proofErr w:type="spellEnd"/>
            <w:r w:rsidRPr="00F56A7F">
              <w:rPr>
                <w:rFonts w:cs="Arial"/>
                <w:sz w:val="18"/>
                <w:szCs w:val="18"/>
                <w:highlight w:val="lightGray"/>
                <w:u w:val="single"/>
              </w:rPr>
              <w:t>.</w:t>
            </w:r>
          </w:p>
          <w:p w14:paraId="7A925E53" w14:textId="77777777" w:rsidR="00A908CE" w:rsidRPr="007B36FA" w:rsidRDefault="00A908CE" w:rsidP="004B24FE">
            <w:pPr>
              <w:keepNext/>
              <w:spacing w:before="40" w:after="40"/>
              <w:jc w:val="left"/>
              <w:rPr>
                <w:rFonts w:cs="Arial"/>
                <w:sz w:val="18"/>
                <w:szCs w:val="18"/>
                <w:highlight w:val="lightGray"/>
                <w:u w:val="single"/>
                <w:lang w:val="fr-FR"/>
              </w:rPr>
            </w:pPr>
            <w:r w:rsidRPr="007B36FA">
              <w:rPr>
                <w:rFonts w:eastAsia="Yu Gothic" w:cs="Arial"/>
                <w:i/>
                <w:sz w:val="18"/>
                <w:szCs w:val="18"/>
                <w:highlight w:val="lightGray"/>
                <w:u w:val="single"/>
                <w:lang w:val="fr-FR" w:eastAsia="ja-JP"/>
              </w:rPr>
              <w:t xml:space="preserve">Prunus </w:t>
            </w:r>
            <w:proofErr w:type="spellStart"/>
            <w:r w:rsidRPr="007B36FA">
              <w:rPr>
                <w:rFonts w:eastAsia="Yu Gothic" w:cs="Arial"/>
                <w:i/>
                <w:sz w:val="18"/>
                <w:szCs w:val="18"/>
                <w:highlight w:val="lightGray"/>
                <w:u w:val="single"/>
                <w:lang w:val="fr-FR" w:eastAsia="ja-JP"/>
              </w:rPr>
              <w:t>dulcis</w:t>
            </w:r>
            <w:proofErr w:type="spellEnd"/>
            <w:r w:rsidRPr="007B36FA">
              <w:rPr>
                <w:rFonts w:eastAsia="Yu Gothic" w:cs="Arial"/>
                <w:sz w:val="18"/>
                <w:szCs w:val="18"/>
                <w:highlight w:val="lightGray"/>
                <w:u w:val="single"/>
                <w:lang w:val="fr-FR" w:eastAsia="ja-JP"/>
              </w:rPr>
              <w:t xml:space="preserve"> (Mill.) D. A. Webb</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C3999A6"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sz w:val="18"/>
                <w:szCs w:val="18"/>
                <w:highlight w:val="lightGray"/>
                <w:u w:val="single"/>
              </w:rPr>
              <w:t>PRUNU_PER</w:t>
            </w:r>
          </w:p>
          <w:p w14:paraId="28C86D1E"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sz w:val="18"/>
                <w:szCs w:val="18"/>
                <w:highlight w:val="lightGray"/>
                <w:u w:val="single"/>
              </w:rPr>
              <w:t>PRUNU_DUL</w:t>
            </w:r>
          </w:p>
          <w:p w14:paraId="2C0EDC62" w14:textId="77777777" w:rsidR="00A908CE" w:rsidRPr="00F56A7F" w:rsidRDefault="00A908CE" w:rsidP="004B24FE">
            <w:pPr>
              <w:keepNext/>
              <w:spacing w:before="40" w:after="40"/>
              <w:jc w:val="left"/>
              <w:rPr>
                <w:rFonts w:cs="Arial"/>
                <w:sz w:val="18"/>
                <w:szCs w:val="18"/>
                <w:highlight w:val="lightGray"/>
                <w:u w:val="single"/>
              </w:rPr>
            </w:pPr>
            <w:r w:rsidRPr="00F56A7F">
              <w:rPr>
                <w:sz w:val="18"/>
                <w:szCs w:val="18"/>
                <w:highlight w:val="lightGray"/>
                <w:u w:val="single"/>
              </w:rPr>
              <w:t>In the case of interspecific crosses, the classes of all parent species involved are applied.</w:t>
            </w:r>
          </w:p>
        </w:tc>
      </w:tr>
      <w:tr w:rsidR="00A908CE" w:rsidRPr="00F56A7F" w14:paraId="525610A4" w14:textId="77777777" w:rsidTr="004B24FE">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EA8006E" w14:textId="77777777" w:rsidR="00A908CE" w:rsidRPr="00F56A7F" w:rsidRDefault="00A908CE" w:rsidP="004B24FE">
            <w:pPr>
              <w:keepNext/>
              <w:spacing w:before="40" w:after="40"/>
              <w:ind w:left="-1529" w:firstLine="1529"/>
              <w:jc w:val="left"/>
              <w:rPr>
                <w:rFonts w:cs="Arial"/>
                <w:sz w:val="18"/>
                <w:szCs w:val="18"/>
                <w:highlight w:val="lightGray"/>
                <w:u w:val="single"/>
              </w:rPr>
            </w:pPr>
            <w:r w:rsidRPr="00F56A7F">
              <w:rPr>
                <w:rFonts w:cs="Arial"/>
                <w:sz w:val="18"/>
                <w:szCs w:val="18"/>
                <w:highlight w:val="lightGray"/>
                <w:u w:val="single"/>
              </w:rPr>
              <w:t>New Class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4E255281" w14:textId="77777777" w:rsidR="00A908CE" w:rsidRPr="00F56A7F" w:rsidRDefault="00A908CE" w:rsidP="004B24FE">
            <w:pPr>
              <w:keepNext/>
              <w:spacing w:before="40" w:after="40"/>
              <w:jc w:val="left"/>
              <w:rPr>
                <w:rFonts w:cs="Arial"/>
                <w:sz w:val="18"/>
                <w:szCs w:val="18"/>
                <w:highlight w:val="lightGray"/>
                <w:u w:val="single"/>
              </w:rPr>
            </w:pPr>
            <w:r w:rsidRPr="00F56A7F">
              <w:rPr>
                <w:rFonts w:cs="Arial"/>
                <w:i/>
                <w:sz w:val="18"/>
                <w:szCs w:val="18"/>
                <w:highlight w:val="lightGray"/>
                <w:u w:val="single"/>
              </w:rPr>
              <w:t>Prunus</w:t>
            </w:r>
            <w:r w:rsidRPr="00F56A7F">
              <w:rPr>
                <w:rFonts w:cs="Arial"/>
                <w:sz w:val="18"/>
                <w:szCs w:val="18"/>
                <w:highlight w:val="lightGray"/>
                <w:u w:val="single"/>
              </w:rPr>
              <w:t xml:space="preserve"> other than classes 6.1, 6.2 and 6.3, including PRUNU in more than one class.</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8DAF0D7" w14:textId="77777777" w:rsidR="00A908CE" w:rsidRPr="00F56A7F" w:rsidRDefault="00A908CE" w:rsidP="004B24FE">
            <w:pPr>
              <w:jc w:val="left"/>
              <w:rPr>
                <w:rFonts w:cs="Arial"/>
                <w:sz w:val="18"/>
                <w:szCs w:val="18"/>
                <w:highlight w:val="lightGray"/>
                <w:u w:val="single"/>
              </w:rPr>
            </w:pPr>
            <w:r w:rsidRPr="00F56A7F">
              <w:rPr>
                <w:rFonts w:cs="Arial"/>
                <w:sz w:val="18"/>
                <w:szCs w:val="18"/>
                <w:highlight w:val="lightGray"/>
                <w:u w:val="single"/>
              </w:rPr>
              <w:t xml:space="preserve">other than classes 6.1, 6.2 and 6.3, including PRUNU in more than one class.  </w:t>
            </w:r>
          </w:p>
        </w:tc>
      </w:tr>
    </w:tbl>
    <w:p w14:paraId="2B79A45A" w14:textId="77777777" w:rsidR="001373D3" w:rsidRPr="00F56A7F" w:rsidRDefault="001373D3" w:rsidP="00A908CE">
      <w:pPr>
        <w:rPr>
          <w:i/>
        </w:rPr>
      </w:pPr>
    </w:p>
    <w:p w14:paraId="26CFD1D4" w14:textId="77777777" w:rsidR="00A908CE" w:rsidRPr="00F56A7F" w:rsidRDefault="00A908CE" w:rsidP="00A908CE">
      <w:r w:rsidRPr="00F56A7F">
        <w:fldChar w:fldCharType="begin"/>
      </w:r>
      <w:r w:rsidRPr="00F56A7F">
        <w:instrText xml:space="preserve"> LISTNUM  LegalDefault \l 1 </w:instrText>
      </w:r>
      <w:r w:rsidRPr="00F56A7F">
        <w:fldChar w:fldCharType="end">
          <w:numberingChange w:id="44" w:author="SANCHEZ VIZCAINO GOMEZ Rosa Maria" w:date="2024-04-02T17:44:00Z" w:original="7."/>
        </w:fldChar>
      </w:r>
      <w:r w:rsidRPr="00F56A7F">
        <w:tab/>
        <w:t>It should be noted that this approach would introduce a requirement for denominations of interspecific hybrids to be different from denominations in classes of all the parent species.  A similar requirement already exists for varieties identified at genus level only where the variety belongs to one of the denomination classes included in document UPOV/EXN/DEN, List of Classes, Part I, “Classes within a genus”.</w:t>
      </w:r>
    </w:p>
    <w:p w14:paraId="41691952" w14:textId="2CBC8FDE" w:rsidR="00A908CE" w:rsidRDefault="00A908CE" w:rsidP="00BF0653">
      <w:pPr>
        <w:tabs>
          <w:tab w:val="left" w:pos="945"/>
        </w:tabs>
      </w:pPr>
    </w:p>
    <w:p w14:paraId="32EC714D" w14:textId="77777777" w:rsidR="000C4F65" w:rsidRPr="00F56A7F" w:rsidRDefault="000C4F65" w:rsidP="00BF0653">
      <w:pPr>
        <w:tabs>
          <w:tab w:val="left" w:pos="945"/>
        </w:tabs>
      </w:pPr>
    </w:p>
    <w:p w14:paraId="34906B47" w14:textId="2370403C" w:rsidR="00C76349" w:rsidRPr="00F56A7F" w:rsidRDefault="00C76349" w:rsidP="00A908CE"/>
    <w:p w14:paraId="245D158A" w14:textId="6073790A" w:rsidR="00C76349" w:rsidRPr="00F56A7F" w:rsidRDefault="00C76349" w:rsidP="00C76349">
      <w:pPr>
        <w:jc w:val="right"/>
      </w:pPr>
      <w:r w:rsidRPr="00F56A7F">
        <w:t>[Annex II follows}</w:t>
      </w:r>
    </w:p>
    <w:p w14:paraId="5F48DDEA" w14:textId="19D074AE" w:rsidR="00C76349" w:rsidRPr="00F56A7F" w:rsidRDefault="00C76349" w:rsidP="00A908CE"/>
    <w:p w14:paraId="3CBBE332" w14:textId="77777777" w:rsidR="001373D3" w:rsidRPr="00F56A7F" w:rsidRDefault="001373D3" w:rsidP="00A908CE">
      <w:pPr>
        <w:sectPr w:rsidR="001373D3" w:rsidRPr="00F56A7F" w:rsidSect="00447653">
          <w:headerReference w:type="default" r:id="rId11"/>
          <w:headerReference w:type="first" r:id="rId12"/>
          <w:footnotePr>
            <w:numRestart w:val="eachSect"/>
          </w:footnotePr>
          <w:pgSz w:w="11907" w:h="16840" w:code="9"/>
          <w:pgMar w:top="510" w:right="1134" w:bottom="993" w:left="1134" w:header="510" w:footer="680" w:gutter="0"/>
          <w:pgNumType w:start="1"/>
          <w:cols w:space="720"/>
          <w:titlePg/>
        </w:sectPr>
      </w:pPr>
    </w:p>
    <w:p w14:paraId="4DDC0FD9" w14:textId="77777777" w:rsidR="001373D3" w:rsidRPr="00F56A7F" w:rsidRDefault="001373D3" w:rsidP="001373D3">
      <w:pPr>
        <w:jc w:val="center"/>
      </w:pPr>
    </w:p>
    <w:p w14:paraId="6BD6D568" w14:textId="2A207376" w:rsidR="001373D3" w:rsidRPr="00F56A7F" w:rsidRDefault="001373D3" w:rsidP="001373D3">
      <w:pPr>
        <w:jc w:val="center"/>
      </w:pPr>
      <w:r w:rsidRPr="00F56A7F">
        <w:t>DOCUMENT TGP/5: SECTION 6</w:t>
      </w:r>
    </w:p>
    <w:p w14:paraId="2BC5F6AF" w14:textId="40EB2849" w:rsidR="001373D3" w:rsidRPr="00F56A7F" w:rsidRDefault="001373D3" w:rsidP="001373D3">
      <w:pPr>
        <w:jc w:val="center"/>
      </w:pPr>
      <w:r w:rsidRPr="00F56A7F">
        <w:t>UPOV REPORT ON TECHNICAL EXAMINATION AND UPOV VARIETY DESCRIPTION (REVISION)</w:t>
      </w:r>
    </w:p>
    <w:p w14:paraId="5488BD0A" w14:textId="77777777" w:rsidR="001373D3" w:rsidRPr="00F56A7F" w:rsidRDefault="001373D3" w:rsidP="001373D3">
      <w:pPr>
        <w:jc w:val="center"/>
      </w:pPr>
    </w:p>
    <w:p w14:paraId="1CC9179B" w14:textId="77777777" w:rsidR="001373D3" w:rsidRPr="00F56A7F" w:rsidRDefault="001373D3" w:rsidP="001373D3">
      <w:pPr>
        <w:jc w:val="center"/>
      </w:pPr>
    </w:p>
    <w:p w14:paraId="0BE7A140" w14:textId="77183466" w:rsidR="001373D3" w:rsidRPr="00F56A7F" w:rsidRDefault="001373D3" w:rsidP="001373D3">
      <w:pPr>
        <w:rPr>
          <w:u w:val="single"/>
        </w:rPr>
      </w:pPr>
      <w:bookmarkStart w:id="45" w:name="_Toc140511422"/>
      <w:r w:rsidRPr="00F56A7F">
        <w:rPr>
          <w:u w:val="single"/>
        </w:rPr>
        <w:t>New proposal to amend Section “UPOV Variety Description”, item 16 “Similar varieties and differences from these varieties”</w:t>
      </w:r>
      <w:bookmarkEnd w:id="45"/>
    </w:p>
    <w:p w14:paraId="5021C45A" w14:textId="77777777" w:rsidR="001373D3" w:rsidRPr="00F56A7F" w:rsidRDefault="001373D3" w:rsidP="001373D3"/>
    <w:p w14:paraId="3A76A210" w14:textId="13AF64A0" w:rsidR="001373D3" w:rsidRPr="00F56A7F" w:rsidRDefault="001373D3" w:rsidP="003E0941">
      <w:pPr>
        <w:pStyle w:val="Annexparagraphnumbering"/>
      </w:pPr>
      <w:r w:rsidRPr="00F56A7F">
        <w:t>The TWF</w:t>
      </w:r>
      <w:r w:rsidRPr="00F56A7F">
        <w:rPr>
          <w:rStyle w:val="FootnoteReference"/>
        </w:rPr>
        <w:footnoteReference w:id="18"/>
      </w:r>
      <w:r w:rsidRPr="00F56A7F">
        <w:t xml:space="preserve"> considered document TWF/54/7 </w:t>
      </w:r>
      <w:bookmarkStart w:id="46" w:name="_Hlk145584363"/>
      <w:r w:rsidRPr="00F56A7F">
        <w:t>“Cooperation in examination”</w:t>
      </w:r>
      <w:bookmarkEnd w:id="46"/>
      <w:r w:rsidRPr="00F56A7F">
        <w:t>, presented by an expert from New Zealand (see document TWF/54/13 “Report”, paragraphs 17 and 18).</w:t>
      </w:r>
    </w:p>
    <w:p w14:paraId="0CC3591D" w14:textId="57954C63" w:rsidR="001373D3" w:rsidRPr="00F56A7F" w:rsidRDefault="001373D3" w:rsidP="003E0941">
      <w:pPr>
        <w:pStyle w:val="Annexparagraphnumbering"/>
      </w:pPr>
      <w:r w:rsidRPr="00F56A7F">
        <w:t>The TWF agreed to propose amending document TGP/5, Section 6 “UPOV Report on Technical Examination and UPOV Variety Description” to provide further guidance on information about similar varieties considered in the examination.</w:t>
      </w:r>
    </w:p>
    <w:p w14:paraId="3D3E5805" w14:textId="33795BFA" w:rsidR="001373D3" w:rsidRPr="00F56A7F" w:rsidRDefault="001373D3" w:rsidP="003E0941">
      <w:pPr>
        <w:pStyle w:val="Annexparagraphnumbering"/>
      </w:pPr>
      <w:r w:rsidRPr="00F56A7F">
        <w:t xml:space="preserve">The TWF agreed to propose including the following additional explanations under item 16 “Similar varieties and differences from these varieties” to clarify which varieties should be reported in the UPOV variety description (additions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p>
    <w:p w14:paraId="38A94C5A" w14:textId="77777777" w:rsidR="001373D3" w:rsidRPr="00F56A7F" w:rsidRDefault="001373D3" w:rsidP="001373D3">
      <w:pPr>
        <w:keepNext/>
        <w:numPr>
          <w:ilvl w:val="0"/>
          <w:numId w:val="4"/>
        </w:numPr>
        <w:spacing w:after="160" w:line="259" w:lineRule="auto"/>
        <w:ind w:left="1134" w:right="567" w:hanging="567"/>
        <w:rPr>
          <w:rFonts w:eastAsia="Calibri" w:cs="Arial"/>
          <w:snapToGrid w:val="0"/>
          <w:highlight w:val="lightGray"/>
          <w:u w:val="single"/>
        </w:rPr>
      </w:pPr>
      <w:r w:rsidRPr="00F56A7F">
        <w:rPr>
          <w:rFonts w:eastAsia="Calibri" w:cs="Arial"/>
          <w:snapToGrid w:val="0"/>
          <w:highlight w:val="lightGray"/>
          <w:u w:val="single"/>
        </w:rPr>
        <w:t>All similar/closest/reference varieties as determined by the Examiner. If there is no such variety(s), a sentence such as “No similar/closest variety was identified in the growing trial” should be stated.</w:t>
      </w:r>
    </w:p>
    <w:p w14:paraId="51E2E053" w14:textId="77777777" w:rsidR="001373D3" w:rsidRPr="00F56A7F" w:rsidRDefault="001373D3" w:rsidP="001373D3">
      <w:pPr>
        <w:numPr>
          <w:ilvl w:val="0"/>
          <w:numId w:val="4"/>
        </w:numPr>
        <w:spacing w:after="160" w:line="259" w:lineRule="auto"/>
        <w:ind w:left="1134" w:right="567" w:hanging="567"/>
        <w:rPr>
          <w:rFonts w:eastAsia="Calibri" w:cs="Arial"/>
          <w:snapToGrid w:val="0"/>
          <w:highlight w:val="lightGray"/>
          <w:u w:val="single"/>
        </w:rPr>
      </w:pPr>
      <w:r w:rsidRPr="00F56A7F">
        <w:rPr>
          <w:rFonts w:eastAsia="Calibri" w:cs="Arial"/>
          <w:snapToGrid w:val="0"/>
          <w:highlight w:val="lightGray"/>
          <w:u w:val="single"/>
        </w:rPr>
        <w:t xml:space="preserve">Only varieties which have been tested under the same growing conditions as the candidate variety. </w:t>
      </w:r>
    </w:p>
    <w:p w14:paraId="07C4C2DF" w14:textId="77777777" w:rsidR="001373D3" w:rsidRPr="00F56A7F" w:rsidRDefault="001373D3" w:rsidP="001373D3">
      <w:pPr>
        <w:numPr>
          <w:ilvl w:val="0"/>
          <w:numId w:val="4"/>
        </w:numPr>
        <w:spacing w:after="160" w:line="259" w:lineRule="auto"/>
        <w:ind w:left="1134" w:right="567" w:hanging="567"/>
        <w:rPr>
          <w:rFonts w:eastAsia="Calibri" w:cs="Arial"/>
          <w:snapToGrid w:val="0"/>
          <w:highlight w:val="lightGray"/>
          <w:u w:val="single"/>
        </w:rPr>
      </w:pPr>
      <w:r w:rsidRPr="00F56A7F">
        <w:rPr>
          <w:rFonts w:eastAsia="Calibri" w:cs="Arial"/>
          <w:snapToGrid w:val="0"/>
          <w:highlight w:val="lightGray"/>
          <w:u w:val="single"/>
        </w:rPr>
        <w:t xml:space="preserve">Varieties that express the least number of characteristic differences from the candidate variety. </w:t>
      </w:r>
    </w:p>
    <w:p w14:paraId="22749C03" w14:textId="77777777" w:rsidR="001373D3" w:rsidRPr="00F56A7F" w:rsidRDefault="001373D3" w:rsidP="001373D3">
      <w:pPr>
        <w:numPr>
          <w:ilvl w:val="0"/>
          <w:numId w:val="4"/>
        </w:numPr>
        <w:spacing w:after="160" w:line="259" w:lineRule="auto"/>
        <w:ind w:left="1134" w:right="567" w:hanging="567"/>
        <w:rPr>
          <w:highlight w:val="lightGray"/>
          <w:u w:val="single"/>
        </w:rPr>
      </w:pPr>
      <w:r w:rsidRPr="00F56A7F">
        <w:rPr>
          <w:rFonts w:eastAsia="Calibri" w:cs="Arial"/>
          <w:snapToGrid w:val="0"/>
          <w:highlight w:val="lightGray"/>
          <w:u w:val="single"/>
        </w:rPr>
        <w:t xml:space="preserve">All characteristics are treated equally, with all characteristics providing distinctness to be included for each similar variety. </w:t>
      </w:r>
    </w:p>
    <w:p w14:paraId="6E91DF00" w14:textId="7C676F4B" w:rsidR="001373D3" w:rsidRPr="00F56A7F" w:rsidRDefault="001373D3" w:rsidP="001373D3"/>
    <w:p w14:paraId="27258CC7" w14:textId="77777777" w:rsidR="00EA3432" w:rsidRPr="00F56A7F" w:rsidRDefault="00EA3432" w:rsidP="001373D3"/>
    <w:p w14:paraId="6D2500E1" w14:textId="63DF852A" w:rsidR="001373D3" w:rsidRPr="00F56A7F" w:rsidRDefault="001373D3" w:rsidP="001373D3">
      <w:pPr>
        <w:rPr>
          <w:u w:val="single"/>
        </w:rPr>
      </w:pPr>
      <w:bookmarkStart w:id="47" w:name="_Toc140511421"/>
      <w:r w:rsidRPr="00F56A7F">
        <w:rPr>
          <w:u w:val="single"/>
        </w:rPr>
        <w:t>New proposal to amend Section “UPOV Variety Description”, item 17 “Additional information”</w:t>
      </w:r>
      <w:bookmarkEnd w:id="47"/>
    </w:p>
    <w:p w14:paraId="3F9F9792" w14:textId="77777777" w:rsidR="001373D3" w:rsidRPr="00F56A7F" w:rsidRDefault="001373D3" w:rsidP="001373D3"/>
    <w:p w14:paraId="6886A22A" w14:textId="0A0A42A1" w:rsidR="001373D3" w:rsidRPr="00F56A7F" w:rsidRDefault="001373D3" w:rsidP="003E0941">
      <w:pPr>
        <w:pStyle w:val="Annexparagraphnumbering"/>
        <w:rPr>
          <w:rFonts w:eastAsia="MS Mincho"/>
        </w:rPr>
      </w:pPr>
      <w:r w:rsidRPr="00F56A7F">
        <w:rPr>
          <w:rFonts w:eastAsia="MS Mincho"/>
        </w:rPr>
        <w:t>The TWO</w:t>
      </w:r>
      <w:bookmarkStart w:id="48" w:name="_Ref158811121"/>
      <w:r w:rsidR="00EA3432" w:rsidRPr="00F56A7F">
        <w:rPr>
          <w:rStyle w:val="FootnoteReference"/>
          <w:rFonts w:eastAsia="MS Mincho"/>
        </w:rPr>
        <w:footnoteReference w:id="19"/>
      </w:r>
      <w:bookmarkEnd w:id="48"/>
      <w:r w:rsidRPr="00F56A7F">
        <w:rPr>
          <w:rFonts w:eastAsia="MS Mincho"/>
        </w:rPr>
        <w:t xml:space="preserve"> considered document TWO/55/6 presented by an expert from New Zealand (see document TWO/55/11 “Report”, paragraphs 21 to 25). </w:t>
      </w:r>
    </w:p>
    <w:p w14:paraId="21222D9B" w14:textId="04CCE8EA" w:rsidR="001373D3" w:rsidRPr="00F56A7F" w:rsidRDefault="001373D3" w:rsidP="003E0941">
      <w:pPr>
        <w:pStyle w:val="Annexparagraphnumbering"/>
        <w:rPr>
          <w:rFonts w:eastAsia="MS Mincho"/>
        </w:rPr>
      </w:pPr>
      <w:r w:rsidRPr="00F56A7F">
        <w:rPr>
          <w:rFonts w:eastAsia="MS Mincho"/>
        </w:rPr>
        <w:t>The TWO considered the proposal presented in document TWO/55/6</w:t>
      </w:r>
      <w:bookmarkStart w:id="49" w:name="_Hlk145586199"/>
      <w:r w:rsidRPr="00F56A7F">
        <w:rPr>
          <w:rFonts w:eastAsia="MS Mincho"/>
        </w:rPr>
        <w:t xml:space="preserve"> </w:t>
      </w:r>
      <w:bookmarkStart w:id="50" w:name="_Hlk145584469"/>
      <w:r w:rsidRPr="00F56A7F">
        <w:rPr>
          <w:rFonts w:eastAsia="MS Mincho"/>
        </w:rPr>
        <w:t>“Information required to enhance the use of existing DUS test reports”</w:t>
      </w:r>
      <w:bookmarkEnd w:id="49"/>
      <w:bookmarkEnd w:id="50"/>
      <w:r w:rsidRPr="00F56A7F">
        <w:rPr>
          <w:rFonts w:eastAsia="MS Mincho"/>
        </w:rPr>
        <w:t xml:space="preserve"> to amend document TGP/5, Section 6 “UPOV variety description”, </w:t>
      </w:r>
      <w:r w:rsidR="00EA3432" w:rsidRPr="00F56A7F">
        <w:rPr>
          <w:rFonts w:eastAsia="MS Mincho"/>
        </w:rPr>
        <w:t>i</w:t>
      </w:r>
      <w:r w:rsidRPr="00F56A7F">
        <w:rPr>
          <w:rFonts w:eastAsia="MS Mincho"/>
        </w:rPr>
        <w:t>tem</w:t>
      </w:r>
      <w:r w:rsidR="00EA3432" w:rsidRPr="00F56A7F">
        <w:rPr>
          <w:rFonts w:eastAsia="MS Mincho"/>
        </w:rPr>
        <w:t> </w:t>
      </w:r>
      <w:r w:rsidRPr="00F56A7F">
        <w:rPr>
          <w:rFonts w:eastAsia="MS Mincho"/>
        </w:rPr>
        <w:t xml:space="preserve">17 “Additional information” to include examples of “(a) additional data” that could be provided with variety descriptions.  </w:t>
      </w:r>
    </w:p>
    <w:p w14:paraId="202C2AE8" w14:textId="3EFD8650" w:rsidR="001373D3" w:rsidRPr="00F56A7F" w:rsidRDefault="001373D3" w:rsidP="003E0941">
      <w:pPr>
        <w:pStyle w:val="Annexparagraphnumbering"/>
        <w:rPr>
          <w:rFonts w:eastAsia="MS Mincho"/>
        </w:rPr>
      </w:pPr>
      <w:r w:rsidRPr="00F56A7F">
        <w:rPr>
          <w:rFonts w:eastAsia="MS Mincho"/>
        </w:rPr>
        <w:t>The TWO agreed to propose that the following non</w:t>
      </w:r>
      <w:r w:rsidRPr="00F56A7F">
        <w:rPr>
          <w:rFonts w:eastAsia="MS Mincho"/>
        </w:rPr>
        <w:noBreakHyphen/>
        <w:t xml:space="preserve">exhaustive list of examples of additional data was considered for inclusion in document TGP/5, Section 6 </w:t>
      </w:r>
      <w:r w:rsidRPr="00F56A7F">
        <w:t xml:space="preserve">(additions indicated with highlighting and </w:t>
      </w:r>
      <w:r w:rsidRPr="00F56A7F">
        <w:rPr>
          <w:highlight w:val="lightGray"/>
          <w:u w:val="single"/>
        </w:rPr>
        <w:t>underline</w:t>
      </w:r>
      <w:r w:rsidRPr="00F56A7F">
        <w:t xml:space="preserve">; and deletions indicated with highlighting and </w:t>
      </w:r>
      <w:r w:rsidRPr="00F56A7F">
        <w:rPr>
          <w:strike/>
          <w:highlight w:val="lightGray"/>
        </w:rPr>
        <w:t>strikethrough</w:t>
      </w:r>
      <w:r w:rsidRPr="00F56A7F">
        <w:t>)</w:t>
      </w:r>
      <w:r w:rsidRPr="00F56A7F">
        <w:rPr>
          <w:rFonts w:eastAsia="MS Mincho"/>
        </w:rPr>
        <w:t>:</w:t>
      </w:r>
    </w:p>
    <w:p w14:paraId="3DEE948D" w14:textId="77777777" w:rsidR="001373D3" w:rsidRPr="00F56A7F" w:rsidRDefault="001373D3" w:rsidP="001373D3">
      <w:pPr>
        <w:ind w:left="567" w:right="567"/>
        <w:rPr>
          <w:rFonts w:eastAsia="MS Mincho"/>
        </w:rPr>
      </w:pPr>
      <w:r w:rsidRPr="00F56A7F">
        <w:rPr>
          <w:rFonts w:eastAsia="MS Mincho"/>
        </w:rPr>
        <w:t xml:space="preserve">“(a) Additional Data </w:t>
      </w:r>
      <w:r w:rsidRPr="00F56A7F">
        <w:rPr>
          <w:rFonts w:eastAsia="MS Mincho"/>
          <w:highlight w:val="lightGray"/>
          <w:u w:val="single"/>
        </w:rPr>
        <w:t>(</w:t>
      </w:r>
      <w:proofErr w:type="gramStart"/>
      <w:r w:rsidRPr="00F56A7F">
        <w:rPr>
          <w:rFonts w:eastAsia="MS Mincho"/>
          <w:highlight w:val="lightGray"/>
          <w:u w:val="single"/>
        </w:rPr>
        <w:t>e.g.</w:t>
      </w:r>
      <w:proofErr w:type="gramEnd"/>
      <w:r w:rsidRPr="00F56A7F">
        <w:rPr>
          <w:rFonts w:eastAsia="MS Mincho"/>
          <w:highlight w:val="lightGray"/>
          <w:u w:val="single"/>
        </w:rPr>
        <w:t xml:space="preserve"> COYU or COYD results, measured data supporting certain characteristics, scales for measured characters for example varieties)</w:t>
      </w:r>
      <w:r w:rsidRPr="00F56A7F">
        <w:rPr>
          <w:rFonts w:eastAsia="MS Mincho"/>
        </w:rPr>
        <w:t>”</w:t>
      </w:r>
    </w:p>
    <w:p w14:paraId="04C5AF41" w14:textId="77777777" w:rsidR="001373D3" w:rsidRPr="00F56A7F" w:rsidRDefault="001373D3" w:rsidP="001373D3">
      <w:pPr>
        <w:rPr>
          <w:rFonts w:eastAsia="MS Mincho"/>
        </w:rPr>
      </w:pPr>
    </w:p>
    <w:p w14:paraId="2EE115C6" w14:textId="41DDB91A" w:rsidR="001373D3" w:rsidRPr="00F56A7F" w:rsidRDefault="001373D3" w:rsidP="003E0941">
      <w:pPr>
        <w:pStyle w:val="Annexparagraphnumbering"/>
      </w:pPr>
      <w:r w:rsidRPr="00F56A7F">
        <w:t>The TWO agreed to propose including the following additional element in the list of “Additional Information” under Section 17 of document TGP/5, Section 6:</w:t>
      </w:r>
    </w:p>
    <w:p w14:paraId="6D985C20" w14:textId="77777777" w:rsidR="001373D3" w:rsidRPr="00F56A7F" w:rsidRDefault="001373D3" w:rsidP="001373D3">
      <w:pPr>
        <w:ind w:left="567"/>
        <w:rPr>
          <w:rFonts w:eastAsia="MS Mincho"/>
        </w:rPr>
      </w:pPr>
      <w:r w:rsidRPr="00F56A7F">
        <w:t xml:space="preserve">“(d) </w:t>
      </w:r>
      <w:r w:rsidRPr="00F56A7F">
        <w:rPr>
          <w:rFonts w:eastAsia="MS Mincho"/>
          <w:highlight w:val="lightGray"/>
          <w:u w:val="single"/>
        </w:rPr>
        <w:t>Example varieties used in testing in the growing trial</w:t>
      </w:r>
      <w:r w:rsidRPr="00F56A7F">
        <w:rPr>
          <w:rFonts w:eastAsia="MS Mincho"/>
        </w:rPr>
        <w:t>”</w:t>
      </w:r>
    </w:p>
    <w:p w14:paraId="091337E8" w14:textId="77777777" w:rsidR="001373D3" w:rsidRPr="00F56A7F" w:rsidRDefault="001373D3" w:rsidP="001373D3">
      <w:pPr>
        <w:rPr>
          <w:rFonts w:eastAsia="MS Mincho"/>
        </w:rPr>
      </w:pPr>
    </w:p>
    <w:p w14:paraId="4154718F" w14:textId="57336236" w:rsidR="001373D3" w:rsidRPr="00F56A7F" w:rsidRDefault="001373D3" w:rsidP="003E0941">
      <w:pPr>
        <w:pStyle w:val="Annexparagraphnumbering"/>
        <w:rPr>
          <w:rFonts w:eastAsia="MS Mincho"/>
        </w:rPr>
      </w:pPr>
      <w:r w:rsidRPr="00F56A7F">
        <w:rPr>
          <w:rFonts w:eastAsia="MS Mincho"/>
        </w:rPr>
        <w:lastRenderedPageBreak/>
        <w:t>The TWO considered document TGP/5, Section 6 “UPOV Report on Technical Examination and UPOV Variety Description” and agreed that missing information in Section 16 “</w:t>
      </w:r>
      <w:r w:rsidRPr="00F56A7F">
        <w:rPr>
          <w:i/>
        </w:rPr>
        <w:t>Similar varieties and differences from these varieties</w:t>
      </w:r>
      <w:r w:rsidRPr="00F56A7F">
        <w:rPr>
          <w:rFonts w:eastAsia="MS Mincho"/>
        </w:rPr>
        <w:t xml:space="preserve">” would reduce the usefulness of the DUS test reports for exchange. </w:t>
      </w:r>
    </w:p>
    <w:p w14:paraId="7E3342F1" w14:textId="694B8D67" w:rsidR="001373D3" w:rsidRPr="00F56A7F" w:rsidRDefault="001373D3" w:rsidP="003E0941">
      <w:pPr>
        <w:pStyle w:val="Annexparagraphnumbering"/>
      </w:pPr>
      <w:r w:rsidRPr="00F56A7F">
        <w:rPr>
          <w:rFonts w:eastAsia="MS Mincho"/>
        </w:rPr>
        <w:t xml:space="preserve">The TWO agreed to recommend that authorities providing test reports supply information in Section 16 of the variety description, even to indicate that </w:t>
      </w:r>
      <w:r w:rsidRPr="00F56A7F">
        <w:t xml:space="preserve">no similar variety had been identified.  The TWO agreed that, in case there was a similar variety (or varieties) they should be mentioned in Section 16 of the test report. </w:t>
      </w:r>
    </w:p>
    <w:p w14:paraId="0F9C0626" w14:textId="428707B0" w:rsidR="001373D3" w:rsidRPr="00F56A7F" w:rsidRDefault="001373D3" w:rsidP="001373D3"/>
    <w:p w14:paraId="513EC7DA" w14:textId="7085C9AA" w:rsidR="00EB02CE" w:rsidRPr="00F56A7F" w:rsidRDefault="00EB02CE" w:rsidP="001373D3"/>
    <w:p w14:paraId="579665EF" w14:textId="6F8E3B35" w:rsidR="00EB02CE" w:rsidRPr="00F56A7F" w:rsidRDefault="00EB02CE" w:rsidP="00EB02CE">
      <w:pPr>
        <w:jc w:val="right"/>
      </w:pPr>
      <w:r w:rsidRPr="00F56A7F">
        <w:t>[Annex III follows]</w:t>
      </w:r>
    </w:p>
    <w:p w14:paraId="6D18F985" w14:textId="1312CD22" w:rsidR="00D8513F" w:rsidRPr="00F56A7F" w:rsidRDefault="00D8513F" w:rsidP="00A908CE"/>
    <w:p w14:paraId="6505A5C9" w14:textId="77777777" w:rsidR="004607F5" w:rsidRPr="00F56A7F" w:rsidRDefault="004607F5" w:rsidP="00A908CE">
      <w:pPr>
        <w:sectPr w:rsidR="004607F5" w:rsidRPr="00F56A7F" w:rsidSect="00447653">
          <w:headerReference w:type="default" r:id="rId13"/>
          <w:headerReference w:type="first" r:id="rId14"/>
          <w:footnotePr>
            <w:numRestart w:val="eachSect"/>
          </w:footnotePr>
          <w:pgSz w:w="11907" w:h="16840" w:code="9"/>
          <w:pgMar w:top="510" w:right="1134" w:bottom="993" w:left="1134" w:header="510" w:footer="680" w:gutter="0"/>
          <w:pgNumType w:start="1"/>
          <w:cols w:space="720"/>
          <w:titlePg/>
        </w:sectPr>
      </w:pPr>
    </w:p>
    <w:p w14:paraId="0D03D980" w14:textId="0D67F627" w:rsidR="00D4213A" w:rsidRPr="00F56A7F" w:rsidRDefault="004C5E8C" w:rsidP="00D4213A">
      <w:pPr>
        <w:jc w:val="center"/>
      </w:pPr>
      <w:r w:rsidRPr="00F56A7F">
        <w:lastRenderedPageBreak/>
        <w:t xml:space="preserve">DOCUMENT </w:t>
      </w:r>
      <w:r w:rsidR="00D4213A" w:rsidRPr="00F56A7F">
        <w:t>TGP/7</w:t>
      </w:r>
    </w:p>
    <w:p w14:paraId="67BBBB2B" w14:textId="77777777" w:rsidR="00D4213A" w:rsidRPr="00F56A7F" w:rsidRDefault="00D4213A" w:rsidP="00D4213A">
      <w:pPr>
        <w:jc w:val="center"/>
      </w:pPr>
      <w:r w:rsidRPr="00F56A7F">
        <w:t>DEVELOPMENT OF TEST GUIDELINES (REVISION)</w:t>
      </w:r>
    </w:p>
    <w:p w14:paraId="643AF30A" w14:textId="77777777" w:rsidR="00D4213A" w:rsidRPr="00F56A7F" w:rsidRDefault="00D4213A" w:rsidP="00D4213A">
      <w:pPr>
        <w:jc w:val="center"/>
      </w:pPr>
    </w:p>
    <w:p w14:paraId="448AA9D7" w14:textId="77777777" w:rsidR="00D4213A" w:rsidRPr="00F56A7F" w:rsidRDefault="00D4213A" w:rsidP="00D4213A">
      <w:pPr>
        <w:jc w:val="center"/>
      </w:pPr>
    </w:p>
    <w:p w14:paraId="16A26377" w14:textId="77777777" w:rsidR="00D4213A" w:rsidRPr="00F56A7F" w:rsidRDefault="00D4213A" w:rsidP="00D4213A">
      <w:pPr>
        <w:rPr>
          <w:u w:val="single"/>
        </w:rPr>
      </w:pPr>
      <w:bookmarkStart w:id="51" w:name="_Toc137223099"/>
      <w:bookmarkStart w:id="52" w:name="_Toc140511423"/>
      <w:r w:rsidRPr="00314884">
        <w:rPr>
          <w:u w:val="single"/>
        </w:rPr>
        <w:t xml:space="preserve">GN 28 “Example Varieties” – </w:t>
      </w:r>
      <w:r w:rsidRPr="00F56A7F">
        <w:rPr>
          <w:u w:val="single"/>
        </w:rPr>
        <w:t>Example varieties for asterisked quantitative characteristics when illustrations are provided</w:t>
      </w:r>
      <w:bookmarkEnd w:id="51"/>
      <w:bookmarkEnd w:id="52"/>
    </w:p>
    <w:p w14:paraId="6ECE9535" w14:textId="77777777" w:rsidR="00D4213A" w:rsidRPr="00F56A7F" w:rsidRDefault="00D4213A" w:rsidP="00D4213A"/>
    <w:p w14:paraId="063F0F50" w14:textId="0CD99A78" w:rsidR="00D4213A" w:rsidRPr="00F56A7F" w:rsidRDefault="00D4213A" w:rsidP="00D4213A">
      <w:pPr>
        <w:pStyle w:val="Annexparagraphnumbering"/>
        <w:numPr>
          <w:ilvl w:val="0"/>
          <w:numId w:val="28"/>
        </w:numPr>
      </w:pPr>
      <w:r w:rsidRPr="00F56A7F">
        <w:t>The TC</w:t>
      </w:r>
      <w:bookmarkStart w:id="53" w:name="_Ref145609366"/>
      <w:r w:rsidRPr="00F56A7F">
        <w:rPr>
          <w:rStyle w:val="FootnoteReference"/>
        </w:rPr>
        <w:footnoteReference w:id="20"/>
      </w:r>
      <w:bookmarkEnd w:id="53"/>
      <w:r w:rsidRPr="00F56A7F">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 (see document TC/58/31 “Report”, paragraphs 23 and 24). </w:t>
      </w:r>
    </w:p>
    <w:p w14:paraId="3C3B29AF" w14:textId="77777777" w:rsidR="00D4213A" w:rsidRPr="00F56A7F" w:rsidRDefault="00D4213A" w:rsidP="00D4213A">
      <w:pPr>
        <w:rPr>
          <w:rFonts w:eastAsia="Calibri"/>
          <w:i/>
        </w:rPr>
      </w:pPr>
      <w:bookmarkStart w:id="54" w:name="_Toc141872251"/>
      <w:r w:rsidRPr="00F56A7F">
        <w:rPr>
          <w:i/>
        </w:rPr>
        <w:t>Situations where illustrations could replace example varieties for asterisked quantitative characteristics</w:t>
      </w:r>
      <w:bookmarkEnd w:id="54"/>
      <w:r w:rsidRPr="00F56A7F">
        <w:rPr>
          <w:i/>
        </w:rPr>
        <w:t xml:space="preserve"> </w:t>
      </w:r>
    </w:p>
    <w:p w14:paraId="44BAEC33" w14:textId="77777777" w:rsidR="00D4213A" w:rsidRPr="00F56A7F" w:rsidRDefault="00D4213A" w:rsidP="00D4213A"/>
    <w:p w14:paraId="52044142" w14:textId="0FED1749" w:rsidR="00D4213A" w:rsidRPr="00F56A7F" w:rsidRDefault="00D4213A" w:rsidP="00D4213A">
      <w:pPr>
        <w:pStyle w:val="Annexparagraphnumbering"/>
      </w:pPr>
      <w:r w:rsidRPr="00F56A7F">
        <w:t>The TWV, TWA, TWO and TWF, at their sessions in 2023</w:t>
      </w:r>
      <w:r w:rsidR="00B229A0">
        <w:rPr>
          <w:rStyle w:val="FootnoteReference"/>
        </w:rPr>
        <w:footnoteReference w:id="21"/>
      </w:r>
      <w:r w:rsidRPr="00F56A7F">
        <w:t>, considered the situations described by the TWO as the basis to develop guidance on possible exceptions to the requirement to provide example varieties for asterisked quantitative characteristics when illustrations were provided.</w:t>
      </w:r>
    </w:p>
    <w:p w14:paraId="08486DED" w14:textId="73532F03" w:rsidR="00D4213A" w:rsidRPr="00F56A7F" w:rsidRDefault="00D4213A" w:rsidP="00D4213A">
      <w:pPr>
        <w:pStyle w:val="Annexparagraphnumbering"/>
      </w:pPr>
      <w:r w:rsidRPr="00F56A7F">
        <w:rPr>
          <w:spacing w:val="-2"/>
        </w:rPr>
        <w:t>The</w:t>
      </w:r>
      <w:r w:rsidRPr="00F56A7F">
        <w:t xml:space="preserve"> TWV recalled that it had</w:t>
      </w:r>
      <w:r w:rsidR="00AE717D">
        <w:t xml:space="preserve"> </w:t>
      </w:r>
      <w:r w:rsidRPr="00F56A7F">
        <w:t xml:space="preserve">agreed </w:t>
      </w:r>
      <w:r w:rsidR="00AE717D">
        <w:t>at its fifty-sixth session</w:t>
      </w:r>
      <w:bookmarkStart w:id="55" w:name="_Ref138407855"/>
      <w:r w:rsidR="00AE717D" w:rsidRPr="00BA4FEF">
        <w:rPr>
          <w:rStyle w:val="FootnoteReference"/>
        </w:rPr>
        <w:footnoteReference w:id="22"/>
      </w:r>
      <w:bookmarkEnd w:id="55"/>
      <w:r w:rsidR="00AE717D">
        <w:t xml:space="preserve"> </w:t>
      </w:r>
      <w:r w:rsidRPr="00F56A7F">
        <w:t xml:space="preserve">as follows (see document TWV/56/22 “Report”, paragraph 9): </w:t>
      </w:r>
    </w:p>
    <w:p w14:paraId="5DADD49E" w14:textId="77777777" w:rsidR="00D4213A" w:rsidRPr="00F56A7F" w:rsidRDefault="00D4213A" w:rsidP="00D4213A">
      <w:pPr>
        <w:keepLines/>
        <w:ind w:left="567" w:right="567"/>
        <w:rPr>
          <w:sz w:val="18"/>
        </w:rPr>
      </w:pPr>
      <w:r w:rsidRPr="00F56A7F">
        <w:rPr>
          <w:sz w:val="18"/>
        </w:rPr>
        <w:t>“The TWV agreed that example varieties should continue to be provided for asterisked quantitative characteristics for vegetable crops. The TWV agreed that example varieties could be easily provided for vegetable crops and were useful for harmonizing DUS examination and producing variety descriptions. The TWV recalled that guidance in document TGP/7 required example varieties for three or two states of expression, according to the scale of notes used.”</w:t>
      </w:r>
    </w:p>
    <w:p w14:paraId="70C2A217" w14:textId="77777777" w:rsidR="00D4213A" w:rsidRPr="00F56A7F" w:rsidRDefault="00D4213A" w:rsidP="00D4213A"/>
    <w:p w14:paraId="75D12D62" w14:textId="593F87CA" w:rsidR="00D4213A" w:rsidRPr="00F56A7F" w:rsidRDefault="00D4213A" w:rsidP="00D4213A">
      <w:pPr>
        <w:pStyle w:val="Annexparagraphnumbering"/>
      </w:pPr>
      <w:r w:rsidRPr="00F56A7F">
        <w:t xml:space="preserve">The TWV agreed that example varieties were important for training for DUS experts and plant breeders using Test Guidelines.  The TWV agreed that illustrations should be used to complement example varieties in explanations and whenever plant material of a particular variety was not available.  </w:t>
      </w:r>
    </w:p>
    <w:p w14:paraId="74C7117E" w14:textId="75493A67" w:rsidR="00D4213A" w:rsidRPr="00F56A7F" w:rsidRDefault="00D4213A" w:rsidP="00D4213A">
      <w:pPr>
        <w:pStyle w:val="Annexparagraphnumbering"/>
      </w:pPr>
      <w:r w:rsidRPr="00F56A7F">
        <w:t>The TWA agreed that Test Guidelines should provide as much information as possible to clarify the states of expression of a characteristic, such as using illustrations to complement the use of example varieties.</w:t>
      </w:r>
    </w:p>
    <w:p w14:paraId="13F70995" w14:textId="15528273" w:rsidR="00D4213A" w:rsidRPr="00F56A7F" w:rsidRDefault="00D4213A" w:rsidP="00D4213A">
      <w:pPr>
        <w:pStyle w:val="Annexparagraphnumbering"/>
      </w:pPr>
      <w:r w:rsidRPr="00F56A7F">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073767E2" w14:textId="1963212A" w:rsidR="00D4213A" w:rsidRPr="00F56A7F" w:rsidRDefault="00D4213A" w:rsidP="00D4213A">
      <w:pPr>
        <w:pStyle w:val="Annexparagraphnumbering"/>
      </w:pPr>
      <w:r w:rsidRPr="00F56A7F">
        <w:t xml:space="preserve">The TWO recalled that information on the situations where the approach would be applicable had been provided in document TWP/7/2 </w:t>
      </w:r>
      <w:bookmarkStart w:id="56" w:name="_Hlk145523750"/>
      <w:r w:rsidRPr="00F56A7F">
        <w:t>“Development of guidance and information materials”</w:t>
      </w:r>
      <w:bookmarkEnd w:id="56"/>
      <w:r w:rsidRPr="00F56A7F">
        <w:t>, paragraphs 16 and 17 (see document TWO/54/6 “Report”, paragraph 24) as reproduced below:</w:t>
      </w:r>
    </w:p>
    <w:p w14:paraId="7398F8E7" w14:textId="77777777" w:rsidR="00D4213A" w:rsidRPr="00F56A7F" w:rsidRDefault="00D4213A" w:rsidP="00D4213A">
      <w:pPr>
        <w:keepLines/>
        <w:ind w:left="567" w:right="459"/>
        <w:rPr>
          <w:sz w:val="18"/>
        </w:rPr>
      </w:pPr>
      <w:r w:rsidRPr="00F56A7F">
        <w:rPr>
          <w:sz w:val="18"/>
        </w:rPr>
        <w:t>“16.</w:t>
      </w:r>
      <w:r w:rsidRPr="00F56A7F">
        <w:rPr>
          <w:sz w:val="18"/>
        </w:rPr>
        <w:tab/>
        <w:t>The TWO, at its fifty-fourth session, noted that Test Guidelines for ornamental plants included many quantitative and pseudo</w:t>
      </w:r>
      <w:r w:rsidRPr="00F56A7F">
        <w:rPr>
          <w:sz w:val="18"/>
        </w:rPr>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14:paraId="4E91B1C6" w14:textId="77777777" w:rsidR="00D4213A" w:rsidRPr="00F56A7F" w:rsidRDefault="00D4213A" w:rsidP="00D4213A">
      <w:pPr>
        <w:ind w:left="567" w:right="459"/>
        <w:rPr>
          <w:sz w:val="18"/>
        </w:rPr>
      </w:pPr>
    </w:p>
    <w:p w14:paraId="465DDC82" w14:textId="77777777" w:rsidR="00D4213A" w:rsidRPr="00F56A7F" w:rsidRDefault="00D4213A" w:rsidP="00D4213A">
      <w:pPr>
        <w:pStyle w:val="ListParagraph"/>
        <w:keepNext/>
        <w:numPr>
          <w:ilvl w:val="0"/>
          <w:numId w:val="21"/>
        </w:numPr>
        <w:ind w:left="900" w:right="459"/>
        <w:rPr>
          <w:sz w:val="18"/>
        </w:rPr>
      </w:pPr>
      <w:r w:rsidRPr="00F56A7F">
        <w:rPr>
          <w:sz w:val="18"/>
        </w:rPr>
        <w:lastRenderedPageBreak/>
        <w:t>Document TG/336/1 ‘Coreopsis’:</w:t>
      </w:r>
    </w:p>
    <w:tbl>
      <w:tblPr>
        <w:tblOverlap w:val="never"/>
        <w:tblW w:w="7655" w:type="dxa"/>
        <w:tblInd w:w="1134" w:type="dxa"/>
        <w:tblLayout w:type="fixed"/>
        <w:tblLook w:val="01E0" w:firstRow="1" w:lastRow="1" w:firstColumn="1" w:lastColumn="1" w:noHBand="0" w:noVBand="0"/>
      </w:tblPr>
      <w:tblGrid>
        <w:gridCol w:w="7655"/>
      </w:tblGrid>
      <w:tr w:rsidR="00D4213A" w:rsidRPr="00F56A7F" w14:paraId="3EC16993" w14:textId="77777777" w:rsidTr="00CA62C0">
        <w:trPr>
          <w:trHeight w:val="230"/>
          <w:hidden/>
        </w:trPr>
        <w:tc>
          <w:tcPr>
            <w:tcW w:w="7655" w:type="dxa"/>
            <w:tcMar>
              <w:top w:w="0" w:type="dxa"/>
              <w:left w:w="0" w:type="dxa"/>
              <w:bottom w:w="0" w:type="dxa"/>
              <w:right w:w="0" w:type="dxa"/>
            </w:tcMar>
          </w:tcPr>
          <w:p w14:paraId="19E1506E" w14:textId="77777777" w:rsidR="00D4213A" w:rsidRPr="00F56A7F" w:rsidRDefault="00D4213A" w:rsidP="00CA62C0">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4213A" w:rsidRPr="00F56A7F" w14:paraId="69B3F70B" w14:textId="77777777" w:rsidTr="00CA62C0">
              <w:tc>
                <w:tcPr>
                  <w:tcW w:w="9299" w:type="dxa"/>
                  <w:tcMar>
                    <w:top w:w="0" w:type="dxa"/>
                    <w:left w:w="0" w:type="dxa"/>
                    <w:bottom w:w="0" w:type="dxa"/>
                    <w:right w:w="0" w:type="dxa"/>
                  </w:tcMar>
                </w:tcPr>
                <w:p w14:paraId="73D74055" w14:textId="77777777" w:rsidR="00D4213A" w:rsidRPr="00F56A7F" w:rsidRDefault="00D4213A" w:rsidP="00CA62C0">
                  <w:pPr>
                    <w:keepNext/>
                    <w:ind w:right="459"/>
                    <w:rPr>
                      <w:sz w:val="18"/>
                    </w:rPr>
                  </w:pPr>
                  <w:r w:rsidRPr="00F56A7F">
                    <w:rPr>
                      <w:rFonts w:eastAsia="Arial" w:cs="Arial"/>
                      <w:color w:val="000000"/>
                      <w:sz w:val="18"/>
                    </w:rPr>
                    <w:t>Ad. 24: Ray floret: attitude of basal part (QN)</w:t>
                  </w:r>
                </w:p>
                <w:p w14:paraId="23CBFBCF" w14:textId="77777777" w:rsidR="00D4213A" w:rsidRPr="00F56A7F" w:rsidRDefault="00D4213A" w:rsidP="00CA62C0">
                  <w:pPr>
                    <w:keepNext/>
                    <w:ind w:right="459"/>
                    <w:rPr>
                      <w:sz w:val="18"/>
                    </w:rPr>
                  </w:pPr>
                  <w:r w:rsidRPr="00F56A7F">
                    <w:rPr>
                      <w:rFonts w:eastAsia="Arial" w:cs="Arial"/>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D4213A" w:rsidRPr="00F56A7F" w14:paraId="66D0CAA5" w14:textId="77777777" w:rsidTr="00CA62C0">
                    <w:tc>
                      <w:tcPr>
                        <w:tcW w:w="1701" w:type="dxa"/>
                        <w:tcMar>
                          <w:top w:w="0" w:type="dxa"/>
                          <w:left w:w="0" w:type="dxa"/>
                          <w:bottom w:w="0" w:type="dxa"/>
                          <w:right w:w="0" w:type="dxa"/>
                        </w:tcMar>
                      </w:tcPr>
                      <w:p w14:paraId="638802A6"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59264" behindDoc="0" locked="0" layoutInCell="1" allowOverlap="1" wp14:anchorId="6FB3CEB3" wp14:editId="600DA4E2">
                                  <wp:simplePos x="0" y="0"/>
                                  <wp:positionH relativeFrom="column">
                                    <wp:posOffset>0</wp:posOffset>
                                  </wp:positionH>
                                  <wp:positionV relativeFrom="paragraph">
                                    <wp:posOffset>0</wp:posOffset>
                                  </wp:positionV>
                                  <wp:extent cx="635000" cy="635000"/>
                                  <wp:effectExtent l="0" t="0" r="3175" b="3175"/>
                                  <wp:wrapNone/>
                                  <wp:docPr id="61" name="Rectangl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74FD" id="Rectangle 6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067B55AF" wp14:editId="4492DD69">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73DA7AF6"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0288" behindDoc="0" locked="0" layoutInCell="1" allowOverlap="1" wp14:anchorId="5144DFE2" wp14:editId="5A4DB9AA">
                                  <wp:simplePos x="0" y="0"/>
                                  <wp:positionH relativeFrom="column">
                                    <wp:posOffset>0</wp:posOffset>
                                  </wp:positionH>
                                  <wp:positionV relativeFrom="paragraph">
                                    <wp:posOffset>0</wp:posOffset>
                                  </wp:positionV>
                                  <wp:extent cx="635000" cy="635000"/>
                                  <wp:effectExtent l="0" t="0" r="3175" b="3175"/>
                                  <wp:wrapNone/>
                                  <wp:docPr id="62" name="Rectangle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26D5" id="Rectangle 62"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72D8A36B" wp14:editId="7C0238F4">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1FAC1559"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1312" behindDoc="0" locked="0" layoutInCell="1" allowOverlap="1" wp14:anchorId="7C4FD6DB" wp14:editId="1DF29742">
                                  <wp:simplePos x="0" y="0"/>
                                  <wp:positionH relativeFrom="column">
                                    <wp:posOffset>0</wp:posOffset>
                                  </wp:positionH>
                                  <wp:positionV relativeFrom="paragraph">
                                    <wp:posOffset>0</wp:posOffset>
                                  </wp:positionV>
                                  <wp:extent cx="635000" cy="635000"/>
                                  <wp:effectExtent l="0" t="0" r="3175" b="3175"/>
                                  <wp:wrapNone/>
                                  <wp:docPr id="63" name="Rectangl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C6211" id="Rectangle 6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7EA170A7" wp14:editId="126BA0EB">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27BBB30D"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2336" behindDoc="0" locked="0" layoutInCell="1" allowOverlap="1" wp14:anchorId="460920BA" wp14:editId="673952BD">
                                  <wp:simplePos x="0" y="0"/>
                                  <wp:positionH relativeFrom="column">
                                    <wp:posOffset>0</wp:posOffset>
                                  </wp:positionH>
                                  <wp:positionV relativeFrom="paragraph">
                                    <wp:posOffset>0</wp:posOffset>
                                  </wp:positionV>
                                  <wp:extent cx="635000" cy="635000"/>
                                  <wp:effectExtent l="0" t="0" r="3175" b="3175"/>
                                  <wp:wrapNone/>
                                  <wp:docPr id="128" name="Rectangl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4E4AD" id="Rectangle 12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1D280E54" wp14:editId="24BA750C">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4213A" w:rsidRPr="00F56A7F" w14:paraId="78F14B3B" w14:textId="77777777" w:rsidTr="00CA62C0">
                    <w:tc>
                      <w:tcPr>
                        <w:tcW w:w="1701" w:type="dxa"/>
                        <w:tcMar>
                          <w:top w:w="0" w:type="dxa"/>
                          <w:left w:w="0" w:type="dxa"/>
                          <w:bottom w:w="0" w:type="dxa"/>
                          <w:right w:w="0" w:type="dxa"/>
                        </w:tcMar>
                      </w:tcPr>
                      <w:p w14:paraId="72FAFC5F" w14:textId="77777777" w:rsidR="00D4213A" w:rsidRPr="00F56A7F" w:rsidRDefault="00D4213A" w:rsidP="00CA62C0">
                        <w:pPr>
                          <w:keepNext/>
                          <w:ind w:right="459"/>
                          <w:jc w:val="center"/>
                          <w:rPr>
                            <w:sz w:val="18"/>
                          </w:rPr>
                        </w:pPr>
                        <w:r w:rsidRPr="00F56A7F">
                          <w:rPr>
                            <w:rFonts w:eastAsia="Arial" w:cs="Arial"/>
                            <w:color w:val="000000"/>
                            <w:sz w:val="18"/>
                          </w:rPr>
                          <w:t>1</w:t>
                        </w:r>
                      </w:p>
                    </w:tc>
                    <w:tc>
                      <w:tcPr>
                        <w:tcW w:w="1701" w:type="dxa"/>
                        <w:tcMar>
                          <w:top w:w="0" w:type="dxa"/>
                          <w:left w:w="0" w:type="dxa"/>
                          <w:bottom w:w="0" w:type="dxa"/>
                          <w:right w:w="0" w:type="dxa"/>
                        </w:tcMar>
                      </w:tcPr>
                      <w:p w14:paraId="21B0BFF3" w14:textId="77777777" w:rsidR="00D4213A" w:rsidRPr="00F56A7F" w:rsidRDefault="00D4213A" w:rsidP="00CA62C0">
                        <w:pPr>
                          <w:keepNext/>
                          <w:ind w:right="459"/>
                          <w:jc w:val="center"/>
                          <w:rPr>
                            <w:sz w:val="18"/>
                          </w:rPr>
                        </w:pPr>
                        <w:r w:rsidRPr="00F56A7F">
                          <w:rPr>
                            <w:rFonts w:eastAsia="Arial" w:cs="Arial"/>
                            <w:color w:val="000000"/>
                            <w:sz w:val="18"/>
                          </w:rPr>
                          <w:t>2</w:t>
                        </w:r>
                      </w:p>
                    </w:tc>
                    <w:tc>
                      <w:tcPr>
                        <w:tcW w:w="1843" w:type="dxa"/>
                        <w:tcMar>
                          <w:top w:w="0" w:type="dxa"/>
                          <w:left w:w="0" w:type="dxa"/>
                          <w:bottom w:w="0" w:type="dxa"/>
                          <w:right w:w="0" w:type="dxa"/>
                        </w:tcMar>
                      </w:tcPr>
                      <w:p w14:paraId="14C09570" w14:textId="77777777" w:rsidR="00D4213A" w:rsidRPr="00F56A7F" w:rsidRDefault="00D4213A" w:rsidP="00CA62C0">
                        <w:pPr>
                          <w:keepNext/>
                          <w:ind w:right="459"/>
                          <w:jc w:val="center"/>
                          <w:rPr>
                            <w:sz w:val="18"/>
                          </w:rPr>
                        </w:pPr>
                        <w:r w:rsidRPr="00F56A7F">
                          <w:rPr>
                            <w:rFonts w:eastAsia="Arial" w:cs="Arial"/>
                            <w:color w:val="000000"/>
                            <w:sz w:val="18"/>
                          </w:rPr>
                          <w:t>3</w:t>
                        </w:r>
                      </w:p>
                    </w:tc>
                    <w:tc>
                      <w:tcPr>
                        <w:tcW w:w="1843" w:type="dxa"/>
                        <w:tcMar>
                          <w:top w:w="0" w:type="dxa"/>
                          <w:left w:w="0" w:type="dxa"/>
                          <w:bottom w:w="0" w:type="dxa"/>
                          <w:right w:w="0" w:type="dxa"/>
                        </w:tcMar>
                      </w:tcPr>
                      <w:p w14:paraId="3B319A18" w14:textId="77777777" w:rsidR="00D4213A" w:rsidRPr="00F56A7F" w:rsidRDefault="00D4213A" w:rsidP="00CA62C0">
                        <w:pPr>
                          <w:keepNext/>
                          <w:ind w:right="459"/>
                          <w:jc w:val="center"/>
                          <w:rPr>
                            <w:sz w:val="18"/>
                          </w:rPr>
                        </w:pPr>
                        <w:r w:rsidRPr="00F56A7F">
                          <w:rPr>
                            <w:rFonts w:eastAsia="Arial" w:cs="Arial"/>
                            <w:color w:val="000000"/>
                            <w:sz w:val="18"/>
                          </w:rPr>
                          <w:t>4</w:t>
                        </w:r>
                      </w:p>
                    </w:tc>
                  </w:tr>
                  <w:tr w:rsidR="00D4213A" w:rsidRPr="00F56A7F" w14:paraId="2BDCBB04" w14:textId="77777777" w:rsidTr="00CA62C0">
                    <w:tc>
                      <w:tcPr>
                        <w:tcW w:w="1701" w:type="dxa"/>
                        <w:tcMar>
                          <w:top w:w="0" w:type="dxa"/>
                          <w:left w:w="0" w:type="dxa"/>
                          <w:bottom w:w="0" w:type="dxa"/>
                          <w:right w:w="0" w:type="dxa"/>
                        </w:tcMar>
                      </w:tcPr>
                      <w:p w14:paraId="5BDFFF55" w14:textId="77777777" w:rsidR="00D4213A" w:rsidRPr="00F56A7F" w:rsidRDefault="00D4213A" w:rsidP="00CA62C0">
                        <w:pPr>
                          <w:keepNext/>
                          <w:ind w:right="459"/>
                          <w:jc w:val="center"/>
                          <w:rPr>
                            <w:sz w:val="18"/>
                          </w:rPr>
                        </w:pPr>
                        <w:r w:rsidRPr="00F56A7F">
                          <w:rPr>
                            <w:rFonts w:eastAsia="Arial" w:cs="Arial"/>
                            <w:color w:val="000000"/>
                            <w:sz w:val="18"/>
                          </w:rPr>
                          <w:t xml:space="preserve">strongly </w:t>
                        </w:r>
                        <w:r w:rsidRPr="00F56A7F">
                          <w:rPr>
                            <w:rFonts w:eastAsia="Arial" w:cs="Arial"/>
                            <w:color w:val="000000"/>
                            <w:sz w:val="18"/>
                          </w:rPr>
                          <w:br/>
                          <w:t>ascending</w:t>
                        </w:r>
                      </w:p>
                    </w:tc>
                    <w:tc>
                      <w:tcPr>
                        <w:tcW w:w="1701" w:type="dxa"/>
                        <w:tcMar>
                          <w:top w:w="0" w:type="dxa"/>
                          <w:left w:w="0" w:type="dxa"/>
                          <w:bottom w:w="0" w:type="dxa"/>
                          <w:right w:w="0" w:type="dxa"/>
                        </w:tcMar>
                      </w:tcPr>
                      <w:p w14:paraId="3B53451C" w14:textId="77777777" w:rsidR="00D4213A" w:rsidRPr="00F56A7F" w:rsidRDefault="00D4213A" w:rsidP="00CA62C0">
                        <w:pPr>
                          <w:keepNext/>
                          <w:ind w:right="459"/>
                          <w:jc w:val="center"/>
                          <w:rPr>
                            <w:sz w:val="18"/>
                          </w:rPr>
                        </w:pPr>
                        <w:r w:rsidRPr="00F56A7F">
                          <w:rPr>
                            <w:rFonts w:eastAsia="Arial" w:cs="Arial"/>
                            <w:color w:val="000000"/>
                            <w:sz w:val="18"/>
                          </w:rPr>
                          <w:t>moderately ascending</w:t>
                        </w:r>
                      </w:p>
                    </w:tc>
                    <w:tc>
                      <w:tcPr>
                        <w:tcW w:w="1843" w:type="dxa"/>
                        <w:tcMar>
                          <w:top w:w="0" w:type="dxa"/>
                          <w:left w:w="0" w:type="dxa"/>
                          <w:bottom w:w="0" w:type="dxa"/>
                          <w:right w:w="0" w:type="dxa"/>
                        </w:tcMar>
                      </w:tcPr>
                      <w:p w14:paraId="048F05DD" w14:textId="77777777" w:rsidR="00D4213A" w:rsidRPr="00F56A7F" w:rsidRDefault="00D4213A" w:rsidP="00CA62C0">
                        <w:pPr>
                          <w:keepNext/>
                          <w:ind w:right="459"/>
                          <w:jc w:val="center"/>
                          <w:rPr>
                            <w:sz w:val="18"/>
                          </w:rPr>
                        </w:pPr>
                        <w:r w:rsidRPr="00F56A7F">
                          <w:rPr>
                            <w:rFonts w:eastAsia="Arial" w:cs="Arial"/>
                            <w:color w:val="000000"/>
                            <w:sz w:val="18"/>
                          </w:rPr>
                          <w:t xml:space="preserve">weakly </w:t>
                        </w:r>
                        <w:r w:rsidRPr="00F56A7F">
                          <w:rPr>
                            <w:rFonts w:eastAsia="Arial" w:cs="Arial"/>
                            <w:color w:val="000000"/>
                            <w:sz w:val="18"/>
                          </w:rPr>
                          <w:br/>
                          <w:t>ascending</w:t>
                        </w:r>
                      </w:p>
                    </w:tc>
                    <w:tc>
                      <w:tcPr>
                        <w:tcW w:w="1843" w:type="dxa"/>
                        <w:tcMar>
                          <w:top w:w="0" w:type="dxa"/>
                          <w:left w:w="0" w:type="dxa"/>
                          <w:bottom w:w="0" w:type="dxa"/>
                          <w:right w:w="0" w:type="dxa"/>
                        </w:tcMar>
                      </w:tcPr>
                      <w:p w14:paraId="7DE095B8" w14:textId="77777777" w:rsidR="00D4213A" w:rsidRPr="00F56A7F" w:rsidRDefault="00D4213A" w:rsidP="00CA62C0">
                        <w:pPr>
                          <w:keepNext/>
                          <w:ind w:right="459"/>
                          <w:jc w:val="center"/>
                          <w:rPr>
                            <w:sz w:val="18"/>
                          </w:rPr>
                        </w:pPr>
                        <w:r w:rsidRPr="00F56A7F">
                          <w:rPr>
                            <w:rFonts w:eastAsia="Arial" w:cs="Arial"/>
                            <w:color w:val="000000"/>
                            <w:sz w:val="18"/>
                          </w:rPr>
                          <w:t>horizontal</w:t>
                        </w:r>
                      </w:p>
                    </w:tc>
                  </w:tr>
                </w:tbl>
                <w:p w14:paraId="4DFF5601" w14:textId="77777777" w:rsidR="00D4213A" w:rsidRPr="00F56A7F" w:rsidRDefault="00D4213A" w:rsidP="00CA62C0">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D4213A" w:rsidRPr="00F56A7F" w14:paraId="4635C26A" w14:textId="77777777" w:rsidTr="00CA62C0">
                    <w:tc>
                      <w:tcPr>
                        <w:tcW w:w="1985" w:type="dxa"/>
                        <w:tcMar>
                          <w:top w:w="0" w:type="dxa"/>
                          <w:left w:w="0" w:type="dxa"/>
                          <w:bottom w:w="0" w:type="dxa"/>
                          <w:right w:w="0" w:type="dxa"/>
                        </w:tcMar>
                      </w:tcPr>
                      <w:p w14:paraId="57933E20"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3360" behindDoc="0" locked="0" layoutInCell="1" allowOverlap="1" wp14:anchorId="2029209B" wp14:editId="64D4AC94">
                                  <wp:simplePos x="0" y="0"/>
                                  <wp:positionH relativeFrom="column">
                                    <wp:posOffset>0</wp:posOffset>
                                  </wp:positionH>
                                  <wp:positionV relativeFrom="paragraph">
                                    <wp:posOffset>0</wp:posOffset>
                                  </wp:positionV>
                                  <wp:extent cx="635000" cy="635000"/>
                                  <wp:effectExtent l="0" t="0" r="3175" b="3175"/>
                                  <wp:wrapNone/>
                                  <wp:docPr id="129" name="Rectangl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733C3" id="Rectangle 12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4DED948A" wp14:editId="2E6845C1">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6C342B1"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4384" behindDoc="0" locked="0" layoutInCell="1" allowOverlap="1" wp14:anchorId="7148CBDC" wp14:editId="10C1B375">
                                  <wp:simplePos x="0" y="0"/>
                                  <wp:positionH relativeFrom="column">
                                    <wp:posOffset>0</wp:posOffset>
                                  </wp:positionH>
                                  <wp:positionV relativeFrom="paragraph">
                                    <wp:posOffset>0</wp:posOffset>
                                  </wp:positionV>
                                  <wp:extent cx="635000" cy="635000"/>
                                  <wp:effectExtent l="0" t="0" r="3175" b="3175"/>
                                  <wp:wrapNone/>
                                  <wp:docPr id="130" name="Rectangl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E327" id="Rectangle 130"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720E3EC8" wp14:editId="278B7019">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4BE25DD0" w14:textId="77777777" w:rsidR="00D4213A" w:rsidRPr="00F56A7F" w:rsidRDefault="00D4213A" w:rsidP="00CA62C0">
                        <w:pPr>
                          <w:keepNext/>
                          <w:ind w:right="459"/>
                          <w:jc w:val="center"/>
                          <w:rPr>
                            <w:sz w:val="18"/>
                          </w:rPr>
                        </w:pPr>
                        <w:r w:rsidRPr="00F56A7F">
                          <w:rPr>
                            <w:noProof/>
                            <w:sz w:val="18"/>
                          </w:rPr>
                          <mc:AlternateContent>
                            <mc:Choice Requires="wps">
                              <w:drawing>
                                <wp:anchor distT="0" distB="0" distL="114300" distR="114300" simplePos="0" relativeHeight="251665408" behindDoc="0" locked="0" layoutInCell="1" allowOverlap="1" wp14:anchorId="2B584939" wp14:editId="74FDD6E3">
                                  <wp:simplePos x="0" y="0"/>
                                  <wp:positionH relativeFrom="column">
                                    <wp:posOffset>0</wp:posOffset>
                                  </wp:positionH>
                                  <wp:positionV relativeFrom="paragraph">
                                    <wp:posOffset>0</wp:posOffset>
                                  </wp:positionV>
                                  <wp:extent cx="635000" cy="635000"/>
                                  <wp:effectExtent l="0" t="0" r="3175" b="3175"/>
                                  <wp:wrapNone/>
                                  <wp:docPr id="131" name="Rectangl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AA04E" id="Rectangle 13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56A7F">
                          <w:rPr>
                            <w:noProof/>
                            <w:sz w:val="18"/>
                          </w:rPr>
                          <w:drawing>
                            <wp:inline distT="0" distB="0" distL="0" distR="0" wp14:anchorId="4929B1BC" wp14:editId="5F944918">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4213A" w:rsidRPr="00F56A7F" w14:paraId="1C26A6C0" w14:textId="77777777" w:rsidTr="00CA62C0">
                    <w:tc>
                      <w:tcPr>
                        <w:tcW w:w="1985" w:type="dxa"/>
                        <w:tcMar>
                          <w:top w:w="0" w:type="dxa"/>
                          <w:left w:w="0" w:type="dxa"/>
                          <w:bottom w:w="0" w:type="dxa"/>
                          <w:right w:w="0" w:type="dxa"/>
                        </w:tcMar>
                      </w:tcPr>
                      <w:p w14:paraId="17702BC9" w14:textId="77777777" w:rsidR="00D4213A" w:rsidRPr="00F56A7F" w:rsidRDefault="00D4213A" w:rsidP="00CA62C0">
                        <w:pPr>
                          <w:keepNext/>
                          <w:ind w:right="459"/>
                          <w:jc w:val="center"/>
                          <w:rPr>
                            <w:sz w:val="18"/>
                          </w:rPr>
                        </w:pPr>
                        <w:r w:rsidRPr="00F56A7F">
                          <w:rPr>
                            <w:rFonts w:eastAsia="Arial" w:cs="Arial"/>
                            <w:color w:val="000000"/>
                            <w:sz w:val="18"/>
                          </w:rPr>
                          <w:t>5</w:t>
                        </w:r>
                      </w:p>
                    </w:tc>
                    <w:tc>
                      <w:tcPr>
                        <w:tcW w:w="1843" w:type="dxa"/>
                        <w:tcMar>
                          <w:top w:w="0" w:type="dxa"/>
                          <w:left w:w="0" w:type="dxa"/>
                          <w:bottom w:w="0" w:type="dxa"/>
                          <w:right w:w="0" w:type="dxa"/>
                        </w:tcMar>
                      </w:tcPr>
                      <w:p w14:paraId="454C783D" w14:textId="77777777" w:rsidR="00D4213A" w:rsidRPr="00F56A7F" w:rsidRDefault="00D4213A" w:rsidP="00CA62C0">
                        <w:pPr>
                          <w:keepNext/>
                          <w:ind w:right="459"/>
                          <w:jc w:val="center"/>
                          <w:rPr>
                            <w:sz w:val="18"/>
                          </w:rPr>
                        </w:pPr>
                        <w:r w:rsidRPr="00F56A7F">
                          <w:rPr>
                            <w:rFonts w:eastAsia="Arial" w:cs="Arial"/>
                            <w:color w:val="000000"/>
                            <w:sz w:val="18"/>
                          </w:rPr>
                          <w:t>6</w:t>
                        </w:r>
                      </w:p>
                    </w:tc>
                    <w:tc>
                      <w:tcPr>
                        <w:tcW w:w="1701" w:type="dxa"/>
                        <w:tcMar>
                          <w:top w:w="0" w:type="dxa"/>
                          <w:left w:w="0" w:type="dxa"/>
                          <w:bottom w:w="0" w:type="dxa"/>
                          <w:right w:w="0" w:type="dxa"/>
                        </w:tcMar>
                      </w:tcPr>
                      <w:p w14:paraId="21AD9B2C" w14:textId="77777777" w:rsidR="00D4213A" w:rsidRPr="00F56A7F" w:rsidRDefault="00D4213A" w:rsidP="00CA62C0">
                        <w:pPr>
                          <w:keepNext/>
                          <w:ind w:right="459"/>
                          <w:jc w:val="center"/>
                          <w:rPr>
                            <w:sz w:val="18"/>
                          </w:rPr>
                        </w:pPr>
                        <w:r w:rsidRPr="00F56A7F">
                          <w:rPr>
                            <w:rFonts w:eastAsia="Arial" w:cs="Arial"/>
                            <w:color w:val="000000"/>
                            <w:sz w:val="18"/>
                          </w:rPr>
                          <w:t>7</w:t>
                        </w:r>
                      </w:p>
                    </w:tc>
                  </w:tr>
                  <w:tr w:rsidR="00D4213A" w:rsidRPr="00F56A7F" w14:paraId="7CC7DB8C" w14:textId="77777777" w:rsidTr="00CA62C0">
                    <w:tc>
                      <w:tcPr>
                        <w:tcW w:w="1985" w:type="dxa"/>
                        <w:tcMar>
                          <w:top w:w="0" w:type="dxa"/>
                          <w:left w:w="0" w:type="dxa"/>
                          <w:bottom w:w="0" w:type="dxa"/>
                          <w:right w:w="0" w:type="dxa"/>
                        </w:tcMar>
                      </w:tcPr>
                      <w:p w14:paraId="11D7DD55" w14:textId="77777777" w:rsidR="00D4213A" w:rsidRPr="00F56A7F" w:rsidRDefault="00D4213A" w:rsidP="00CA62C0">
                        <w:pPr>
                          <w:keepNext/>
                          <w:ind w:right="459"/>
                          <w:jc w:val="center"/>
                          <w:rPr>
                            <w:sz w:val="18"/>
                          </w:rPr>
                        </w:pPr>
                        <w:r w:rsidRPr="00F56A7F">
                          <w:rPr>
                            <w:rFonts w:eastAsia="Arial" w:cs="Arial"/>
                            <w:color w:val="000000"/>
                            <w:sz w:val="18"/>
                          </w:rPr>
                          <w:t xml:space="preserve">weakly </w:t>
                        </w:r>
                        <w:r w:rsidRPr="00F56A7F">
                          <w:rPr>
                            <w:rFonts w:eastAsia="Arial" w:cs="Arial"/>
                            <w:color w:val="000000"/>
                            <w:sz w:val="18"/>
                          </w:rPr>
                          <w:br/>
                          <w:t>descending</w:t>
                        </w:r>
                      </w:p>
                    </w:tc>
                    <w:tc>
                      <w:tcPr>
                        <w:tcW w:w="1843" w:type="dxa"/>
                        <w:tcMar>
                          <w:top w:w="0" w:type="dxa"/>
                          <w:left w:w="0" w:type="dxa"/>
                          <w:bottom w:w="0" w:type="dxa"/>
                          <w:right w:w="0" w:type="dxa"/>
                        </w:tcMar>
                      </w:tcPr>
                      <w:p w14:paraId="2152C798" w14:textId="77777777" w:rsidR="00D4213A" w:rsidRPr="00F56A7F" w:rsidRDefault="00D4213A" w:rsidP="00CA62C0">
                        <w:pPr>
                          <w:keepNext/>
                          <w:ind w:right="459"/>
                          <w:jc w:val="center"/>
                          <w:rPr>
                            <w:sz w:val="18"/>
                          </w:rPr>
                        </w:pPr>
                        <w:r w:rsidRPr="00F56A7F">
                          <w:rPr>
                            <w:rFonts w:eastAsia="Arial" w:cs="Arial"/>
                            <w:color w:val="000000"/>
                            <w:sz w:val="18"/>
                          </w:rPr>
                          <w:t>moderately descending</w:t>
                        </w:r>
                      </w:p>
                    </w:tc>
                    <w:tc>
                      <w:tcPr>
                        <w:tcW w:w="1701" w:type="dxa"/>
                        <w:tcMar>
                          <w:top w:w="0" w:type="dxa"/>
                          <w:left w:w="0" w:type="dxa"/>
                          <w:bottom w:w="0" w:type="dxa"/>
                          <w:right w:w="0" w:type="dxa"/>
                        </w:tcMar>
                      </w:tcPr>
                      <w:p w14:paraId="7FBFD128" w14:textId="77777777" w:rsidR="00D4213A" w:rsidRPr="00F56A7F" w:rsidRDefault="00D4213A" w:rsidP="00CA62C0">
                        <w:pPr>
                          <w:keepNext/>
                          <w:ind w:right="459"/>
                          <w:jc w:val="center"/>
                          <w:rPr>
                            <w:sz w:val="18"/>
                          </w:rPr>
                        </w:pPr>
                        <w:r w:rsidRPr="00F56A7F">
                          <w:rPr>
                            <w:rFonts w:eastAsia="Arial" w:cs="Arial"/>
                            <w:color w:val="000000"/>
                            <w:sz w:val="18"/>
                          </w:rPr>
                          <w:t>strongly descending</w:t>
                        </w:r>
                      </w:p>
                    </w:tc>
                  </w:tr>
                </w:tbl>
                <w:p w14:paraId="1A3E78FB" w14:textId="77777777" w:rsidR="00D4213A" w:rsidRPr="00F56A7F" w:rsidRDefault="00D4213A" w:rsidP="00CA62C0">
                  <w:pPr>
                    <w:keepNext/>
                    <w:ind w:right="459"/>
                    <w:rPr>
                      <w:sz w:val="18"/>
                    </w:rPr>
                  </w:pPr>
                </w:p>
              </w:tc>
            </w:tr>
          </w:tbl>
          <w:p w14:paraId="3819543D" w14:textId="77777777" w:rsidR="00D4213A" w:rsidRPr="00F56A7F" w:rsidRDefault="00D4213A" w:rsidP="00CA62C0">
            <w:pPr>
              <w:keepNext/>
              <w:spacing w:line="1" w:lineRule="auto"/>
              <w:ind w:right="459"/>
              <w:rPr>
                <w:sz w:val="18"/>
              </w:rPr>
            </w:pPr>
          </w:p>
        </w:tc>
      </w:tr>
    </w:tbl>
    <w:p w14:paraId="1CFBF5D6" w14:textId="77777777" w:rsidR="00D4213A" w:rsidRPr="00F56A7F" w:rsidRDefault="00D4213A" w:rsidP="00D4213A">
      <w:pPr>
        <w:ind w:left="567" w:right="459"/>
      </w:pPr>
    </w:p>
    <w:p w14:paraId="0912C685" w14:textId="77777777" w:rsidR="00D4213A" w:rsidRPr="00F56A7F" w:rsidRDefault="00D4213A" w:rsidP="00D4213A">
      <w:pPr>
        <w:pStyle w:val="ListParagraph"/>
        <w:keepNext/>
        <w:numPr>
          <w:ilvl w:val="0"/>
          <w:numId w:val="21"/>
        </w:numPr>
        <w:ind w:left="900" w:right="459"/>
        <w:rPr>
          <w:sz w:val="18"/>
        </w:rPr>
      </w:pPr>
      <w:r w:rsidRPr="00F56A7F">
        <w:rPr>
          <w:sz w:val="18"/>
        </w:rPr>
        <w:t>Document TG/336/1 “Coreopsis”:</w:t>
      </w:r>
    </w:p>
    <w:p w14:paraId="3056A380" w14:textId="77777777" w:rsidR="00D4213A" w:rsidRPr="00F56A7F" w:rsidRDefault="00D4213A" w:rsidP="00D4213A">
      <w:pPr>
        <w:keepNext/>
        <w:ind w:left="1134" w:right="459"/>
        <w:rPr>
          <w:rFonts w:eastAsia="Arial" w:cs="Arial"/>
          <w:color w:val="000000"/>
          <w:sz w:val="18"/>
        </w:rPr>
      </w:pPr>
    </w:p>
    <w:p w14:paraId="06CB2E69" w14:textId="77777777" w:rsidR="00D4213A" w:rsidRPr="00F56A7F" w:rsidRDefault="00D4213A" w:rsidP="00D4213A">
      <w:pPr>
        <w:keepNext/>
        <w:ind w:left="1134" w:right="459"/>
        <w:rPr>
          <w:rFonts w:eastAsia="Arial" w:cs="Arial"/>
          <w:color w:val="000000"/>
          <w:sz w:val="18"/>
        </w:rPr>
      </w:pPr>
      <w:r w:rsidRPr="00F56A7F">
        <w:rPr>
          <w:rFonts w:eastAsia="Arial" w:cs="Arial"/>
          <w:color w:val="000000"/>
          <w:sz w:val="18"/>
        </w:rPr>
        <w:t>“Ad. 29: Ray floret: distribution of main color (PQ)</w:t>
      </w:r>
    </w:p>
    <w:p w14:paraId="3BC01B81" w14:textId="77777777" w:rsidR="00D4213A" w:rsidRPr="00F56A7F" w:rsidRDefault="00D4213A" w:rsidP="00D4213A">
      <w:pPr>
        <w:keepNext/>
        <w:ind w:left="1134" w:right="459"/>
        <w:rPr>
          <w:sz w:val="18"/>
        </w:rPr>
      </w:pPr>
    </w:p>
    <w:p w14:paraId="53EC07E4" w14:textId="77777777" w:rsidR="00D4213A" w:rsidRPr="00F56A7F" w:rsidRDefault="00D4213A" w:rsidP="00D4213A">
      <w:pPr>
        <w:keepNext/>
        <w:ind w:left="567" w:right="459"/>
        <w:jc w:val="center"/>
        <w:rPr>
          <w:sz w:val="18"/>
        </w:rPr>
      </w:pPr>
      <w:r w:rsidRPr="00F56A7F">
        <w:rPr>
          <w:noProof/>
          <w:sz w:val="18"/>
        </w:rPr>
        <w:drawing>
          <wp:inline distT="0" distB="0" distL="0" distR="0" wp14:anchorId="56C508B7" wp14:editId="5FEC3D01">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8941" cy="2451753"/>
                    </a:xfrm>
                    <a:prstGeom prst="rect">
                      <a:avLst/>
                    </a:prstGeom>
                  </pic:spPr>
                </pic:pic>
              </a:graphicData>
            </a:graphic>
          </wp:inline>
        </w:drawing>
      </w:r>
    </w:p>
    <w:p w14:paraId="20F7A27A" w14:textId="77777777" w:rsidR="00D4213A" w:rsidRPr="00F56A7F" w:rsidRDefault="00D4213A" w:rsidP="00D4213A">
      <w:pPr>
        <w:ind w:left="567" w:right="459"/>
        <w:rPr>
          <w:sz w:val="18"/>
        </w:rPr>
      </w:pPr>
    </w:p>
    <w:p w14:paraId="5720E455" w14:textId="77777777" w:rsidR="00D4213A" w:rsidRPr="00F56A7F" w:rsidRDefault="00D4213A" w:rsidP="00D4213A">
      <w:pPr>
        <w:pStyle w:val="ListParagraph"/>
        <w:keepNext/>
        <w:keepLines/>
        <w:numPr>
          <w:ilvl w:val="0"/>
          <w:numId w:val="21"/>
        </w:numPr>
        <w:ind w:left="900" w:right="459"/>
        <w:rPr>
          <w:sz w:val="18"/>
        </w:rPr>
      </w:pPr>
      <w:r w:rsidRPr="00F56A7F">
        <w:rPr>
          <w:sz w:val="18"/>
        </w:rPr>
        <w:t>Document TG/168/3 ‘Statice': Ad. 24: Inflorescence: type (PQ)</w:t>
      </w:r>
    </w:p>
    <w:p w14:paraId="23E46BB2" w14:textId="77777777" w:rsidR="00D4213A" w:rsidRPr="00F56A7F" w:rsidRDefault="00D4213A" w:rsidP="00D4213A">
      <w:pPr>
        <w:keepNext/>
        <w:keepLines/>
        <w:ind w:left="567" w:right="459"/>
        <w:jc w:val="center"/>
        <w:rPr>
          <w:sz w:val="18"/>
        </w:rPr>
      </w:pPr>
      <w:r w:rsidRPr="00F56A7F">
        <w:rPr>
          <w:noProof/>
          <w:sz w:val="18"/>
        </w:rPr>
        <w:drawing>
          <wp:inline distT="0" distB="0" distL="0" distR="0" wp14:anchorId="04ED381E" wp14:editId="1B8E87D4">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47182" cy="3005556"/>
                    </a:xfrm>
                    <a:prstGeom prst="rect">
                      <a:avLst/>
                    </a:prstGeom>
                  </pic:spPr>
                </pic:pic>
              </a:graphicData>
            </a:graphic>
          </wp:inline>
        </w:drawing>
      </w:r>
    </w:p>
    <w:p w14:paraId="0D0444D6" w14:textId="77777777" w:rsidR="00D4213A" w:rsidRPr="00F56A7F" w:rsidRDefault="00D4213A" w:rsidP="00D4213A">
      <w:pPr>
        <w:ind w:left="567" w:right="459"/>
        <w:rPr>
          <w:sz w:val="18"/>
        </w:rPr>
      </w:pPr>
    </w:p>
    <w:p w14:paraId="77D18FEB" w14:textId="77777777" w:rsidR="00D4213A" w:rsidRPr="00F56A7F" w:rsidRDefault="00D4213A" w:rsidP="00D4213A"/>
    <w:p w14:paraId="3D8B23D5" w14:textId="77777777" w:rsidR="00D4213A" w:rsidRPr="00F56A7F" w:rsidRDefault="00D4213A" w:rsidP="00D4213A">
      <w:pPr>
        <w:pStyle w:val="Annexparagraphnumbering"/>
      </w:pPr>
      <w:r w:rsidRPr="00F56A7F">
        <w:lastRenderedPageBreak/>
        <w:t xml:space="preserve">The TWO agreed that such an approach would also be applicable for species with few example varieties and where there was difficulty obtaining plant material of such varieties.  </w:t>
      </w:r>
    </w:p>
    <w:p w14:paraId="1DEA66CA" w14:textId="77777777" w:rsidR="00D4213A" w:rsidRPr="00F56A7F" w:rsidRDefault="00D4213A" w:rsidP="00D4213A">
      <w:pPr>
        <w:pStyle w:val="Annexparagraphnumbering"/>
      </w:pPr>
      <w:r w:rsidRPr="00F56A7F">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14:paraId="44762701" w14:textId="77777777" w:rsidR="00D4213A" w:rsidRPr="00F56A7F" w:rsidRDefault="00D4213A" w:rsidP="00D4213A">
      <w:pPr>
        <w:pStyle w:val="Annexparagraphnumbering"/>
      </w:pPr>
      <w:r w:rsidRPr="00F56A7F">
        <w:t xml:space="preserve">The TWO agreed to invite the experts from Canada, European Union, France and the United Kingdom to join the TWA experts to draft a proposal to amend document TGP/7, GN 28. </w:t>
      </w:r>
    </w:p>
    <w:p w14:paraId="03C3201E" w14:textId="66565BE9" w:rsidR="00D4213A" w:rsidRDefault="00D4213A" w:rsidP="00D4213A">
      <w:pPr>
        <w:pStyle w:val="Annexparagraphnumbering"/>
      </w:pPr>
      <w:r w:rsidRPr="00F56A7F">
        <w:t xml:space="preserve">The TWF agreed that Test Guidelines should provide example varieties and illustrations as far as possible. The TWF noted that there could be difficulty obtaining plant material of certain example varieties not widely available or no longer in cultivation. </w:t>
      </w:r>
      <w:r w:rsidR="00AD75D6">
        <w:t xml:space="preserve"> </w:t>
      </w:r>
      <w:r w:rsidRPr="00F56A7F">
        <w:t xml:space="preserve">The TWF noted the expressions of interest of the experts from Australia and Hungary to join the experts from the TWA and TWO drafting a proposal to amend document TGP/7, GN 28 (see document TWF/54/13 “Report”, paragraph 14).  </w:t>
      </w:r>
    </w:p>
    <w:p w14:paraId="535442A7" w14:textId="628DEE70" w:rsidR="00414FDD" w:rsidRPr="00F56A7F" w:rsidRDefault="00414FDD" w:rsidP="00A908CE"/>
    <w:p w14:paraId="7A011C7F" w14:textId="4B07E9F3" w:rsidR="00F02ADD" w:rsidRPr="00F56A7F" w:rsidRDefault="00F02ADD">
      <w:pPr>
        <w:jc w:val="left"/>
      </w:pPr>
    </w:p>
    <w:p w14:paraId="37AC433A" w14:textId="45C85A2C" w:rsidR="00414FDD" w:rsidRPr="00F56A7F" w:rsidRDefault="004D1B32" w:rsidP="004D1B32">
      <w:pPr>
        <w:jc w:val="right"/>
      </w:pPr>
      <w:r w:rsidRPr="00F56A7F">
        <w:t>[Annex IV follows]</w:t>
      </w:r>
    </w:p>
    <w:p w14:paraId="513D542A" w14:textId="3238252C" w:rsidR="004D1B32" w:rsidRPr="00F56A7F" w:rsidRDefault="004D1B32" w:rsidP="00A908CE"/>
    <w:p w14:paraId="50BBE693" w14:textId="77777777" w:rsidR="004D1B32" w:rsidRPr="00F56A7F" w:rsidRDefault="004D1B32" w:rsidP="00A908CE">
      <w:pPr>
        <w:sectPr w:rsidR="004D1B32" w:rsidRPr="00F56A7F" w:rsidSect="00447653">
          <w:headerReference w:type="default" r:id="rId24"/>
          <w:headerReference w:type="first" r:id="rId25"/>
          <w:footnotePr>
            <w:numRestart w:val="eachSect"/>
          </w:footnotePr>
          <w:pgSz w:w="11907" w:h="16840" w:code="9"/>
          <w:pgMar w:top="510" w:right="1134" w:bottom="993" w:left="1134" w:header="510" w:footer="680" w:gutter="0"/>
          <w:pgNumType w:start="1"/>
          <w:cols w:space="720"/>
          <w:titlePg/>
        </w:sectPr>
      </w:pPr>
    </w:p>
    <w:p w14:paraId="1BB10C52" w14:textId="77777777" w:rsidR="003D41B5" w:rsidRDefault="003D41B5" w:rsidP="003D41B5">
      <w:pPr>
        <w:jc w:val="left"/>
      </w:pPr>
    </w:p>
    <w:p w14:paraId="7232762F" w14:textId="3577429A" w:rsidR="003D41B5" w:rsidRPr="00D4213A" w:rsidRDefault="003D41B5" w:rsidP="003D41B5">
      <w:r w:rsidRPr="00D4213A">
        <w:t xml:space="preserve">ACCESS TO PLANT MATERIAL FOR THE PURPOSE OF MANAGEMENT OF VARIETY COLLECTIONS AND DUS EXAMINATION </w:t>
      </w:r>
    </w:p>
    <w:p w14:paraId="14ECE575" w14:textId="77777777" w:rsidR="003D41B5" w:rsidRPr="00F56A7F" w:rsidRDefault="003D41B5" w:rsidP="003D41B5"/>
    <w:p w14:paraId="5F2B810F" w14:textId="77777777" w:rsidR="003D41B5" w:rsidRPr="00F56A7F" w:rsidRDefault="003D41B5" w:rsidP="003D41B5">
      <w:pPr>
        <w:pStyle w:val="Annexparagraphnumbering"/>
        <w:numPr>
          <w:ilvl w:val="0"/>
          <w:numId w:val="27"/>
        </w:numPr>
      </w:pPr>
      <w:r w:rsidRPr="00F56A7F">
        <w:t>The TWF, at its fifty-fourth session</w:t>
      </w:r>
      <w:r w:rsidRPr="00F56A7F">
        <w:rPr>
          <w:rStyle w:val="FootnoteReference"/>
        </w:rPr>
        <w:footnoteReference w:id="23"/>
      </w:r>
      <w:r w:rsidRPr="00F56A7F">
        <w:t xml:space="preserve">, considered document TWF/54/7 </w:t>
      </w:r>
      <w:bookmarkStart w:id="57" w:name="_Hlk145586278"/>
      <w:bookmarkStart w:id="58" w:name="_Hlk145522962"/>
      <w:r w:rsidRPr="00F56A7F">
        <w:t>“Cooperation in Examination”</w:t>
      </w:r>
      <w:bookmarkEnd w:id="57"/>
      <w:r w:rsidRPr="00F56A7F">
        <w:t xml:space="preserve">, </w:t>
      </w:r>
      <w:bookmarkEnd w:id="58"/>
      <w:r w:rsidRPr="00F56A7F">
        <w:t>presented by an expert from the European Union (see document TWF/54/13 “Report”, paragraphs 19 and 20).</w:t>
      </w:r>
    </w:p>
    <w:p w14:paraId="23030833" w14:textId="77777777" w:rsidR="003D41B5" w:rsidRPr="00F56A7F" w:rsidRDefault="003D41B5" w:rsidP="003D41B5">
      <w:pPr>
        <w:pStyle w:val="Annexparagraphnumbering"/>
        <w:rPr>
          <w:rFonts w:eastAsia="Cambria"/>
        </w:rPr>
      </w:pPr>
      <w:r w:rsidRPr="00F56A7F">
        <w:t xml:space="preserve">The TWF </w:t>
      </w:r>
      <w:r w:rsidRPr="00F56A7F">
        <w:rPr>
          <w:rFonts w:eastAsia="Cambria"/>
        </w:rPr>
        <w:t xml:space="preserve">agreed to propose amending document TGP/5, Section 11 “Examples of policies and contracts for material submitted by the breeder” to include the following list of elements to be considered for inclusion in requests for the submission of plant material of candidate varieties and varieties of common knowledge for DUS examination </w:t>
      </w:r>
      <w:r w:rsidRPr="00F56A7F">
        <w:rPr>
          <w:spacing w:val="-2"/>
        </w:rPr>
        <w:t xml:space="preserve">(additions indicated with highlighting and </w:t>
      </w:r>
      <w:r w:rsidRPr="00F56A7F">
        <w:rPr>
          <w:spacing w:val="-2"/>
          <w:highlight w:val="lightGray"/>
          <w:u w:val="single"/>
        </w:rPr>
        <w:t>underline</w:t>
      </w:r>
      <w:r w:rsidRPr="00F56A7F">
        <w:rPr>
          <w:spacing w:val="-2"/>
        </w:rPr>
        <w:t xml:space="preserve">; and deletions indicated with highlighting and </w:t>
      </w:r>
      <w:r w:rsidRPr="00F56A7F">
        <w:rPr>
          <w:strike/>
          <w:spacing w:val="-2"/>
          <w:highlight w:val="lightGray"/>
        </w:rPr>
        <w:t>strikethrough</w:t>
      </w:r>
      <w:r w:rsidRPr="00F56A7F">
        <w:rPr>
          <w:spacing w:val="-2"/>
        </w:rPr>
        <w:t>)</w:t>
      </w:r>
      <w:r w:rsidRPr="00F56A7F">
        <w:rPr>
          <w:rFonts w:eastAsia="Cambria"/>
        </w:rPr>
        <w:t xml:space="preserve">: </w:t>
      </w:r>
    </w:p>
    <w:p w14:paraId="465E47A5" w14:textId="77777777" w:rsidR="003D41B5" w:rsidRPr="00F56A7F" w:rsidRDefault="003D41B5" w:rsidP="003D41B5">
      <w:pPr>
        <w:pStyle w:val="ListParagraph"/>
        <w:numPr>
          <w:ilvl w:val="0"/>
          <w:numId w:val="14"/>
        </w:numPr>
        <w:ind w:left="1134" w:hanging="567"/>
        <w:rPr>
          <w:highlight w:val="lightGray"/>
          <w:u w:val="single"/>
        </w:rPr>
      </w:pPr>
      <w:r w:rsidRPr="00F56A7F">
        <w:rPr>
          <w:highlight w:val="lightGray"/>
          <w:u w:val="single"/>
        </w:rPr>
        <w:t>Letter to be addressed to the PVP holder of the variety or their formal representative in the territory</w:t>
      </w:r>
    </w:p>
    <w:p w14:paraId="29EF6AD8" w14:textId="77777777" w:rsidR="003D41B5" w:rsidRPr="00F56A7F" w:rsidRDefault="003D41B5" w:rsidP="003D41B5">
      <w:pPr>
        <w:ind w:left="1134" w:hanging="567"/>
        <w:rPr>
          <w:sz w:val="18"/>
          <w:highlight w:val="lightGray"/>
          <w:u w:val="single"/>
        </w:rPr>
      </w:pPr>
    </w:p>
    <w:p w14:paraId="60E2BB81" w14:textId="77777777" w:rsidR="003D41B5" w:rsidRPr="00F56A7F" w:rsidRDefault="003D41B5" w:rsidP="003D41B5">
      <w:pPr>
        <w:pStyle w:val="ListParagraph"/>
        <w:numPr>
          <w:ilvl w:val="0"/>
          <w:numId w:val="14"/>
        </w:numPr>
        <w:ind w:left="1134" w:hanging="567"/>
        <w:rPr>
          <w:highlight w:val="lightGray"/>
          <w:u w:val="single"/>
        </w:rPr>
      </w:pPr>
      <w:r w:rsidRPr="00F56A7F">
        <w:rPr>
          <w:highlight w:val="lightGray"/>
          <w:u w:val="single"/>
        </w:rPr>
        <w:t>Technical details, especially quality, quantity, date and place of submission.  In the fruit sector, material of the desired quality often may need to be organized more than one year in advance. The authority should accept some flexibility in its availability.</w:t>
      </w:r>
    </w:p>
    <w:p w14:paraId="7540384D" w14:textId="77777777" w:rsidR="003D41B5" w:rsidRPr="00F56A7F" w:rsidRDefault="003D41B5" w:rsidP="003D41B5">
      <w:pPr>
        <w:ind w:left="1134" w:hanging="567"/>
        <w:rPr>
          <w:sz w:val="18"/>
          <w:highlight w:val="lightGray"/>
          <w:u w:val="single"/>
        </w:rPr>
      </w:pPr>
    </w:p>
    <w:p w14:paraId="3BBCC627" w14:textId="77777777" w:rsidR="003D41B5" w:rsidRPr="00F56A7F" w:rsidRDefault="003D41B5" w:rsidP="003D41B5">
      <w:pPr>
        <w:pStyle w:val="ListParagraph"/>
        <w:numPr>
          <w:ilvl w:val="0"/>
          <w:numId w:val="14"/>
        </w:numPr>
        <w:ind w:left="1134" w:hanging="567"/>
        <w:rPr>
          <w:highlight w:val="lightGray"/>
          <w:u w:val="single"/>
        </w:rPr>
      </w:pPr>
      <w:r w:rsidRPr="00F56A7F">
        <w:rPr>
          <w:highlight w:val="lightGray"/>
          <w:u w:val="single"/>
        </w:rPr>
        <w:t>Detailed explanation of the purpose</w:t>
      </w:r>
    </w:p>
    <w:p w14:paraId="540A9A76" w14:textId="77777777" w:rsidR="003D41B5" w:rsidRPr="00F56A7F" w:rsidRDefault="003D41B5" w:rsidP="003D41B5">
      <w:pPr>
        <w:rPr>
          <w:sz w:val="16"/>
          <w:highlight w:val="lightGray"/>
          <w:u w:val="single"/>
        </w:rPr>
      </w:pPr>
    </w:p>
    <w:p w14:paraId="35D487F8" w14:textId="77777777" w:rsidR="003D41B5" w:rsidRPr="00F56A7F" w:rsidRDefault="003D41B5" w:rsidP="003D41B5">
      <w:pPr>
        <w:pStyle w:val="ListParagraph"/>
        <w:numPr>
          <w:ilvl w:val="0"/>
          <w:numId w:val="15"/>
        </w:numPr>
        <w:ind w:left="1701" w:hanging="567"/>
        <w:rPr>
          <w:highlight w:val="lightGray"/>
          <w:u w:val="single"/>
        </w:rPr>
      </w:pPr>
      <w:r w:rsidRPr="00F56A7F">
        <w:rPr>
          <w:highlight w:val="lightGray"/>
          <w:u w:val="single"/>
        </w:rPr>
        <w:t>Variety collection</w:t>
      </w:r>
    </w:p>
    <w:p w14:paraId="35710C89" w14:textId="77777777" w:rsidR="003D41B5" w:rsidRPr="00F56A7F" w:rsidRDefault="003D41B5" w:rsidP="003D41B5">
      <w:pPr>
        <w:pStyle w:val="ListParagraph"/>
        <w:numPr>
          <w:ilvl w:val="0"/>
          <w:numId w:val="15"/>
        </w:numPr>
        <w:ind w:left="1701" w:hanging="567"/>
        <w:rPr>
          <w:highlight w:val="lightGray"/>
          <w:u w:val="single"/>
        </w:rPr>
      </w:pPr>
      <w:r w:rsidRPr="00F56A7F">
        <w:rPr>
          <w:highlight w:val="lightGray"/>
          <w:u w:val="single"/>
        </w:rPr>
        <w:t xml:space="preserve">Side by side comparison with a potentially similar candidate variety </w:t>
      </w:r>
    </w:p>
    <w:p w14:paraId="4CFABCA2" w14:textId="77777777" w:rsidR="003D41B5" w:rsidRPr="00F56A7F" w:rsidRDefault="003D41B5" w:rsidP="003D41B5">
      <w:pPr>
        <w:rPr>
          <w:sz w:val="18"/>
          <w:highlight w:val="lightGray"/>
          <w:u w:val="single"/>
        </w:rPr>
      </w:pPr>
    </w:p>
    <w:p w14:paraId="4A237D06" w14:textId="77777777" w:rsidR="003D41B5" w:rsidRPr="00F56A7F" w:rsidRDefault="003D41B5" w:rsidP="003D41B5">
      <w:pPr>
        <w:pStyle w:val="ListParagraph"/>
        <w:numPr>
          <w:ilvl w:val="0"/>
          <w:numId w:val="16"/>
        </w:numPr>
        <w:ind w:left="1134" w:hanging="567"/>
        <w:rPr>
          <w:highlight w:val="lightGray"/>
          <w:u w:val="single"/>
        </w:rPr>
      </w:pPr>
      <w:r w:rsidRPr="00F56A7F">
        <w:rPr>
          <w:highlight w:val="lightGray"/>
          <w:u w:val="single"/>
        </w:rPr>
        <w:t>What will and will not be done with the material during and after the trial, including DNA sampling and DNA profiles</w:t>
      </w:r>
    </w:p>
    <w:p w14:paraId="4E8037C7" w14:textId="77777777" w:rsidR="003D41B5" w:rsidRPr="00F56A7F" w:rsidRDefault="003D41B5" w:rsidP="003D41B5">
      <w:pPr>
        <w:rPr>
          <w:sz w:val="16"/>
          <w:highlight w:val="lightGray"/>
          <w:u w:val="single"/>
        </w:rPr>
      </w:pPr>
    </w:p>
    <w:p w14:paraId="27E8BD03"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Responsible body to enforce the policy is the PVP authority</w:t>
      </w:r>
    </w:p>
    <w:p w14:paraId="26A7EF43"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Triggering purpose is the DUS test</w:t>
      </w:r>
    </w:p>
    <w:p w14:paraId="1392A8A5"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Physical location of the material, possibility to have access for the owner, description of due care and cultivation circumstances</w:t>
      </w:r>
    </w:p>
    <w:p w14:paraId="7C5C8A78"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Ownership of the material</w:t>
      </w:r>
    </w:p>
    <w:p w14:paraId="05391735"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 xml:space="preserve">Clarification of possible other uses, </w:t>
      </w:r>
      <w:proofErr w:type="gramStart"/>
      <w:r w:rsidRPr="00F56A7F">
        <w:rPr>
          <w:highlight w:val="lightGray"/>
          <w:u w:val="single"/>
        </w:rPr>
        <w:t>e.g.</w:t>
      </w:r>
      <w:proofErr w:type="gramEnd"/>
      <w:r w:rsidRPr="00F56A7F">
        <w:rPr>
          <w:highlight w:val="lightGray"/>
          <w:u w:val="single"/>
        </w:rPr>
        <w:t xml:space="preserve"> other official purposes, which ones</w:t>
      </w:r>
    </w:p>
    <w:p w14:paraId="7A3BF83C"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Under which circumstances the material may be made available to another party/authority</w:t>
      </w:r>
    </w:p>
    <w:p w14:paraId="69AF0789"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 xml:space="preserve">Clarification of situations requiring or not the consent from the breeder </w:t>
      </w:r>
    </w:p>
    <w:p w14:paraId="7AC108C7"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Who has access to the material</w:t>
      </w:r>
    </w:p>
    <w:p w14:paraId="5A7ABDB7" w14:textId="77777777" w:rsidR="003D41B5" w:rsidRPr="00F56A7F" w:rsidRDefault="003D41B5" w:rsidP="003D41B5">
      <w:pPr>
        <w:pStyle w:val="ListParagraph"/>
        <w:numPr>
          <w:ilvl w:val="0"/>
          <w:numId w:val="17"/>
        </w:numPr>
        <w:ind w:left="1701" w:hanging="567"/>
        <w:rPr>
          <w:highlight w:val="lightGray"/>
          <w:u w:val="single"/>
        </w:rPr>
      </w:pPr>
      <w:r w:rsidRPr="00F56A7F">
        <w:rPr>
          <w:highlight w:val="lightGray"/>
          <w:u w:val="single"/>
        </w:rPr>
        <w:t>Which information will need to be made available to the public as a requirement (photographs, descriptions)</w:t>
      </w:r>
    </w:p>
    <w:p w14:paraId="31CD0666" w14:textId="77777777" w:rsidR="003D41B5" w:rsidRDefault="003D41B5" w:rsidP="003D41B5">
      <w:pPr>
        <w:jc w:val="center"/>
      </w:pPr>
    </w:p>
    <w:p w14:paraId="217B46A1" w14:textId="77777777" w:rsidR="003D41B5" w:rsidRDefault="003D41B5" w:rsidP="003D41B5"/>
    <w:p w14:paraId="11516496" w14:textId="77777777" w:rsidR="003D41B5" w:rsidRDefault="003D41B5" w:rsidP="003D41B5"/>
    <w:p w14:paraId="135F5324" w14:textId="46449DF9" w:rsidR="00FC5C2A" w:rsidRPr="00F56A7F" w:rsidRDefault="003D41B5" w:rsidP="003D41B5">
      <w:pPr>
        <w:jc w:val="right"/>
      </w:pPr>
      <w:r>
        <w:t>[End of Annex IV and of document]</w:t>
      </w:r>
    </w:p>
    <w:sectPr w:rsidR="00FC5C2A" w:rsidRPr="00F56A7F" w:rsidSect="00447653">
      <w:headerReference w:type="default" r:id="rId26"/>
      <w:headerReference w:type="first" r:id="rId27"/>
      <w:footnotePr>
        <w:numRestart w:val="eachSect"/>
      </w:footnotePr>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0DE5" w14:textId="77777777" w:rsidR="00DA602F" w:rsidRDefault="00DA602F" w:rsidP="006655D3">
      <w:r>
        <w:separator/>
      </w:r>
    </w:p>
    <w:p w14:paraId="552EF4D0" w14:textId="77777777" w:rsidR="00DA602F" w:rsidRDefault="00DA602F" w:rsidP="006655D3"/>
    <w:p w14:paraId="0572BB9D" w14:textId="77777777" w:rsidR="00DA602F" w:rsidRDefault="00DA602F" w:rsidP="006655D3"/>
  </w:endnote>
  <w:endnote w:type="continuationSeparator" w:id="0">
    <w:p w14:paraId="579C1D2D" w14:textId="77777777" w:rsidR="00DA602F" w:rsidRDefault="00DA602F" w:rsidP="006655D3">
      <w:r>
        <w:separator/>
      </w:r>
    </w:p>
    <w:p w14:paraId="1B1823E3" w14:textId="77777777" w:rsidR="00DA602F" w:rsidRPr="00294751" w:rsidRDefault="00DA602F">
      <w:pPr>
        <w:pStyle w:val="Footer"/>
        <w:spacing w:after="60"/>
        <w:rPr>
          <w:sz w:val="18"/>
          <w:lang w:val="fr-FR"/>
        </w:rPr>
      </w:pPr>
      <w:r w:rsidRPr="00294751">
        <w:rPr>
          <w:sz w:val="18"/>
          <w:lang w:val="fr-FR"/>
        </w:rPr>
        <w:t>[Suite de la note de la page précédente]</w:t>
      </w:r>
    </w:p>
    <w:p w14:paraId="08257B75" w14:textId="77777777" w:rsidR="00DA602F" w:rsidRPr="00294751" w:rsidRDefault="00DA602F" w:rsidP="006655D3">
      <w:pPr>
        <w:rPr>
          <w:lang w:val="fr-FR"/>
        </w:rPr>
      </w:pPr>
    </w:p>
    <w:p w14:paraId="20FDEFA1" w14:textId="77777777" w:rsidR="00DA602F" w:rsidRPr="00294751" w:rsidRDefault="00DA602F" w:rsidP="006655D3">
      <w:pPr>
        <w:rPr>
          <w:lang w:val="fr-FR"/>
        </w:rPr>
      </w:pPr>
    </w:p>
  </w:endnote>
  <w:endnote w:type="continuationNotice" w:id="1">
    <w:p w14:paraId="2100002C" w14:textId="77777777" w:rsidR="00DA602F" w:rsidRPr="00294751" w:rsidRDefault="00DA602F" w:rsidP="006655D3">
      <w:pPr>
        <w:rPr>
          <w:lang w:val="fr-FR"/>
        </w:rPr>
      </w:pPr>
      <w:r w:rsidRPr="00294751">
        <w:rPr>
          <w:lang w:val="fr-FR"/>
        </w:rPr>
        <w:t>[Suite de la note page suivante]</w:t>
      </w:r>
    </w:p>
    <w:p w14:paraId="18135714" w14:textId="77777777" w:rsidR="00DA602F" w:rsidRPr="00294751" w:rsidRDefault="00DA602F" w:rsidP="006655D3">
      <w:pPr>
        <w:rPr>
          <w:lang w:val="fr-FR"/>
        </w:rPr>
      </w:pPr>
    </w:p>
    <w:p w14:paraId="39004B7F" w14:textId="77777777" w:rsidR="00DA602F" w:rsidRPr="00294751" w:rsidRDefault="00DA602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46C11" w14:textId="77777777" w:rsidR="00DA602F" w:rsidRDefault="00DA602F" w:rsidP="006655D3">
      <w:r>
        <w:separator/>
      </w:r>
    </w:p>
  </w:footnote>
  <w:footnote w:type="continuationSeparator" w:id="0">
    <w:p w14:paraId="27640F45" w14:textId="77777777" w:rsidR="00DA602F" w:rsidRDefault="00DA602F" w:rsidP="006655D3">
      <w:r>
        <w:separator/>
      </w:r>
    </w:p>
  </w:footnote>
  <w:footnote w:type="continuationNotice" w:id="1">
    <w:p w14:paraId="606A77F2" w14:textId="77777777" w:rsidR="00DA602F" w:rsidRPr="00AB530F" w:rsidRDefault="00DA602F" w:rsidP="00AB530F">
      <w:pPr>
        <w:pStyle w:val="Footer"/>
      </w:pPr>
    </w:p>
  </w:footnote>
  <w:footnote w:id="2">
    <w:p w14:paraId="73C42933" w14:textId="40C1A601" w:rsidR="007547C1" w:rsidRPr="001A35E6" w:rsidRDefault="007547C1" w:rsidP="001A35E6">
      <w:pPr>
        <w:pStyle w:val="FootnoteText"/>
      </w:pPr>
      <w:r w:rsidRPr="001A35E6">
        <w:rPr>
          <w:rStyle w:val="FootnoteReference"/>
        </w:rPr>
        <w:footnoteRef/>
      </w:r>
      <w:r w:rsidRPr="001A35E6">
        <w:t xml:space="preserve"> </w:t>
      </w:r>
      <w:r w:rsidR="00DE3B91" w:rsidRPr="00F56A7F">
        <w:rPr>
          <w:rFonts w:cs="Arial"/>
          <w:color w:val="000000"/>
        </w:rPr>
        <w:t>TC, fifty-ninth session</w:t>
      </w:r>
      <w:r w:rsidR="00DE3B91">
        <w:rPr>
          <w:rFonts w:cs="Arial"/>
          <w:color w:val="000000"/>
        </w:rPr>
        <w:t>,</w:t>
      </w:r>
      <w:r w:rsidR="00DE3B91" w:rsidRPr="001A35E6">
        <w:t xml:space="preserve"> </w:t>
      </w:r>
      <w:r w:rsidRPr="001A35E6">
        <w:t xml:space="preserve">held </w:t>
      </w:r>
      <w:r w:rsidR="00447653" w:rsidRPr="001A35E6">
        <w:t xml:space="preserve">in Geneva </w:t>
      </w:r>
      <w:r w:rsidRPr="001A35E6">
        <w:t>on October 2</w:t>
      </w:r>
      <w:r w:rsidR="00447653" w:rsidRPr="001A35E6">
        <w:t xml:space="preserve">3 </w:t>
      </w:r>
      <w:r w:rsidRPr="001A35E6">
        <w:t>and 2</w:t>
      </w:r>
      <w:r w:rsidR="00447653" w:rsidRPr="001A35E6">
        <w:t>4</w:t>
      </w:r>
      <w:r w:rsidRPr="001A35E6">
        <w:t>, 202</w:t>
      </w:r>
      <w:r w:rsidR="00447653" w:rsidRPr="001A35E6">
        <w:t>3.</w:t>
      </w:r>
    </w:p>
  </w:footnote>
  <w:footnote w:id="3">
    <w:p w14:paraId="476D8BFA" w14:textId="3C566661" w:rsidR="007547C1" w:rsidRDefault="007547C1" w:rsidP="001A35E6">
      <w:pPr>
        <w:pStyle w:val="FootnoteText"/>
      </w:pPr>
      <w:r>
        <w:rPr>
          <w:rStyle w:val="FootnoteReference"/>
        </w:rPr>
        <w:footnoteRef/>
      </w:r>
      <w:r>
        <w:t xml:space="preserve"> </w:t>
      </w:r>
      <w:r w:rsidR="00DE3B91" w:rsidRPr="00F56A7F">
        <w:rPr>
          <w:rFonts w:cs="Arial"/>
          <w:color w:val="000000"/>
        </w:rPr>
        <w:t>CAJ, eightieth session</w:t>
      </w:r>
      <w:r w:rsidR="00DE3B91">
        <w:rPr>
          <w:rFonts w:cs="Arial"/>
          <w:color w:val="000000"/>
        </w:rPr>
        <w:t>,</w:t>
      </w:r>
      <w:r w:rsidR="00DE3B91" w:rsidRPr="00456F41">
        <w:t xml:space="preserve"> </w:t>
      </w:r>
      <w:r w:rsidRPr="00456F41">
        <w:t>held in Geneva on October 2</w:t>
      </w:r>
      <w:r w:rsidR="00447653">
        <w:t>5</w:t>
      </w:r>
      <w:r w:rsidRPr="00456F41">
        <w:t>, 202</w:t>
      </w:r>
      <w:r w:rsidR="00447653">
        <w:t>3.</w:t>
      </w:r>
    </w:p>
  </w:footnote>
  <w:footnote w:id="4">
    <w:p w14:paraId="5CFE7FAA" w14:textId="60CB2C7B" w:rsidR="00D17BFA" w:rsidRDefault="00D17BFA" w:rsidP="001A35E6">
      <w:pPr>
        <w:pStyle w:val="FootnoteText"/>
      </w:pPr>
      <w:r>
        <w:rPr>
          <w:rStyle w:val="FootnoteReference"/>
        </w:rPr>
        <w:footnoteRef/>
      </w:r>
      <w:r>
        <w:t xml:space="preserve"> </w:t>
      </w:r>
      <w:r w:rsidR="00436210" w:rsidRPr="00F56A7F">
        <w:rPr>
          <w:rFonts w:cs="Arial"/>
          <w:color w:val="000000"/>
        </w:rPr>
        <w:t>Council, fifty-seventh ordinary session</w:t>
      </w:r>
      <w:r w:rsidR="00436210">
        <w:rPr>
          <w:rFonts w:cs="Arial"/>
          <w:color w:val="000000"/>
        </w:rPr>
        <w:t>,</w:t>
      </w:r>
      <w:r w:rsidR="00436210">
        <w:t xml:space="preserve"> </w:t>
      </w:r>
      <w:r>
        <w:t>held in Geneva on October 27, 2023.</w:t>
      </w:r>
    </w:p>
  </w:footnote>
  <w:footnote w:id="5">
    <w:p w14:paraId="4296652C" w14:textId="36380F4B" w:rsidR="00D644A8" w:rsidRDefault="00D644A8" w:rsidP="001A35E6">
      <w:pPr>
        <w:pStyle w:val="FootnoteText"/>
      </w:pPr>
      <w:r>
        <w:rPr>
          <w:rStyle w:val="FootnoteReference"/>
        </w:rPr>
        <w:footnoteRef/>
      </w:r>
      <w:r w:rsidR="001A35E6">
        <w:t> </w:t>
      </w:r>
      <w:r w:rsidRPr="00F56A7F">
        <w:t>see documents TC/59/28 “Report”, paragraphs 18 to 42, CAJ/80/6 “Report”, paragraphs 8 to 27, and C/57/17 “Report”, paragraphs 15 to 38</w:t>
      </w:r>
      <w:r w:rsidR="007E1527">
        <w:t>.</w:t>
      </w:r>
    </w:p>
  </w:footnote>
  <w:footnote w:id="6">
    <w:p w14:paraId="5D80608A" w14:textId="77777777" w:rsidR="008B3B75" w:rsidRDefault="008B3B75" w:rsidP="008B3B75">
      <w:pPr>
        <w:pStyle w:val="FootnoteText"/>
      </w:pPr>
      <w:r>
        <w:rPr>
          <w:rStyle w:val="FootnoteReference"/>
        </w:rPr>
        <w:footnoteRef/>
      </w:r>
      <w:r>
        <w:t xml:space="preserve"> </w:t>
      </w:r>
      <w:r w:rsidRPr="00F56A7F">
        <w:t xml:space="preserve">see document TC/59/28 “Report”, paragraphs </w:t>
      </w:r>
      <w:r>
        <w:t>23</w:t>
      </w:r>
      <w:r w:rsidRPr="00F56A7F">
        <w:t xml:space="preserve"> to </w:t>
      </w:r>
      <w:r>
        <w:t>25.</w:t>
      </w:r>
    </w:p>
  </w:footnote>
  <w:footnote w:id="7">
    <w:p w14:paraId="2EA81A75" w14:textId="0D83C4D0" w:rsidR="004E3A6E" w:rsidRDefault="004E3A6E" w:rsidP="001A35E6">
      <w:pPr>
        <w:pStyle w:val="FootnoteText"/>
      </w:pPr>
      <w:r>
        <w:rPr>
          <w:rStyle w:val="FootnoteReference"/>
        </w:rPr>
        <w:footnoteRef/>
      </w:r>
      <w:r>
        <w:t xml:space="preserve"> see document TC/59/28 “Report”, paragraphs 33 and 34</w:t>
      </w:r>
      <w:r w:rsidR="003C5A8E">
        <w:t>.</w:t>
      </w:r>
    </w:p>
  </w:footnote>
  <w:footnote w:id="8">
    <w:p w14:paraId="53B8F23F" w14:textId="2896CADF" w:rsidR="00E67AF2" w:rsidRDefault="00E67AF2" w:rsidP="001A35E6">
      <w:pPr>
        <w:pStyle w:val="FootnoteText"/>
      </w:pPr>
      <w:r>
        <w:rPr>
          <w:rStyle w:val="FootnoteReference"/>
        </w:rPr>
        <w:footnoteRef/>
      </w:r>
      <w:r>
        <w:t xml:space="preserve"> </w:t>
      </w:r>
      <w:r w:rsidR="005A24DE">
        <w:t>s</w:t>
      </w:r>
      <w:r w:rsidR="004E3A6E">
        <w:t>ee document TC/59/28 “Report”, paragraph 39</w:t>
      </w:r>
      <w:r w:rsidR="005A24DE">
        <w:t>.</w:t>
      </w:r>
    </w:p>
  </w:footnote>
  <w:footnote w:id="9">
    <w:p w14:paraId="70A55148" w14:textId="4B70567E" w:rsidR="004E3A6E" w:rsidRDefault="004E3A6E" w:rsidP="001A35E6">
      <w:pPr>
        <w:pStyle w:val="FootnoteText"/>
      </w:pPr>
      <w:r>
        <w:rPr>
          <w:rStyle w:val="FootnoteReference"/>
        </w:rPr>
        <w:footnoteRef/>
      </w:r>
      <w:r>
        <w:t xml:space="preserve"> </w:t>
      </w:r>
      <w:r w:rsidR="00E5703E">
        <w:t>s</w:t>
      </w:r>
      <w:r>
        <w:t>ee document TC/59/28 “Report”, paragraph 40</w:t>
      </w:r>
      <w:r w:rsidR="00E5703E">
        <w:t>.</w:t>
      </w:r>
    </w:p>
  </w:footnote>
  <w:footnote w:id="10">
    <w:p w14:paraId="69EFF79E" w14:textId="2675CE96" w:rsidR="00306BD4" w:rsidRDefault="00306BD4">
      <w:pPr>
        <w:pStyle w:val="FootnoteText"/>
      </w:pPr>
      <w:r>
        <w:rPr>
          <w:rStyle w:val="FootnoteReference"/>
        </w:rPr>
        <w:footnoteRef/>
      </w:r>
      <w:r>
        <w:t xml:space="preserve"> </w:t>
      </w:r>
      <w:r w:rsidRPr="00306BD4">
        <w:t>TWV, fifty-s</w:t>
      </w:r>
      <w:r>
        <w:t>even</w:t>
      </w:r>
      <w:r w:rsidRPr="00306BD4">
        <w:t xml:space="preserve">th session, held </w:t>
      </w:r>
      <w:r>
        <w:t xml:space="preserve">in Antalya, Türkiye, </w:t>
      </w:r>
      <w:r w:rsidRPr="00306BD4">
        <w:t xml:space="preserve">from </w:t>
      </w:r>
      <w:r>
        <w:t>May 1 to 5, 2023</w:t>
      </w:r>
      <w:r w:rsidRPr="00306BD4">
        <w:t>.</w:t>
      </w:r>
    </w:p>
  </w:footnote>
  <w:footnote w:id="11">
    <w:p w14:paraId="122ED80F" w14:textId="679AA2E2" w:rsidR="00405881" w:rsidRDefault="00405881" w:rsidP="001A35E6">
      <w:pPr>
        <w:pStyle w:val="FootnoteText"/>
      </w:pPr>
      <w:r>
        <w:rPr>
          <w:rStyle w:val="FootnoteReference"/>
        </w:rPr>
        <w:footnoteRef/>
      </w:r>
      <w:r>
        <w:t xml:space="preserve"> </w:t>
      </w:r>
      <w:r w:rsidRPr="00733D31">
        <w:rPr>
          <w:rFonts w:eastAsia="MS Mincho"/>
        </w:rPr>
        <w:t>see document</w:t>
      </w:r>
      <w:r>
        <w:rPr>
          <w:rFonts w:eastAsia="MS Mincho"/>
        </w:rPr>
        <w:t xml:space="preserve"> </w:t>
      </w:r>
      <w:r w:rsidRPr="00733D31">
        <w:rPr>
          <w:rFonts w:eastAsia="MS Mincho"/>
        </w:rPr>
        <w:t>TWV/57/26 “Report”, paragraphs 25 to 28</w:t>
      </w:r>
      <w:r w:rsidR="00950C64">
        <w:rPr>
          <w:rFonts w:eastAsia="MS Mincho"/>
        </w:rPr>
        <w:t>.</w:t>
      </w:r>
    </w:p>
  </w:footnote>
  <w:footnote w:id="12">
    <w:p w14:paraId="3D0AA4C9" w14:textId="793DDC28" w:rsidR="00E67AF2" w:rsidRDefault="00E67AF2" w:rsidP="001A35E6">
      <w:pPr>
        <w:pStyle w:val="FootnoteText"/>
      </w:pPr>
      <w:r>
        <w:rPr>
          <w:rStyle w:val="FootnoteReference"/>
        </w:rPr>
        <w:footnoteRef/>
      </w:r>
      <w:r>
        <w:t xml:space="preserve"> </w:t>
      </w:r>
      <w:r w:rsidR="00C06B1C">
        <w:t>s</w:t>
      </w:r>
      <w:r>
        <w:t>ource:</w:t>
      </w:r>
      <w:r w:rsidRPr="005A6B0C">
        <w:t xml:space="preserve"> </w:t>
      </w:r>
      <w:hyperlink r:id="rId1" w:history="1">
        <w:r w:rsidRPr="00B66BBF">
          <w:rPr>
            <w:rStyle w:val="Hyperlink"/>
          </w:rPr>
          <w:t>https://worldseed.org/</w:t>
        </w:r>
      </w:hyperlink>
    </w:p>
  </w:footnote>
  <w:footnote w:id="13">
    <w:p w14:paraId="6D1C5330" w14:textId="40CC7085" w:rsidR="001051AE" w:rsidRDefault="001051AE" w:rsidP="001051AE">
      <w:pPr>
        <w:pStyle w:val="FootnoteText"/>
      </w:pPr>
      <w:r>
        <w:rPr>
          <w:rStyle w:val="FootnoteReference"/>
        </w:rPr>
        <w:footnoteRef/>
      </w:r>
      <w:r>
        <w:t xml:space="preserve"> see document TC/59/28 “Report”, paragraphs 41 and 42.</w:t>
      </w:r>
    </w:p>
  </w:footnote>
  <w:footnote w:id="14">
    <w:p w14:paraId="600284E8" w14:textId="6FF6638E" w:rsidR="009B122D" w:rsidRDefault="009B122D" w:rsidP="009B122D">
      <w:pPr>
        <w:pStyle w:val="FootnoteText"/>
      </w:pPr>
      <w:r>
        <w:rPr>
          <w:rStyle w:val="FootnoteReference"/>
        </w:rPr>
        <w:footnoteRef/>
      </w:r>
      <w:r>
        <w:t xml:space="preserve"> see document TC/59/28 “Report”, paragraphs 35 to 37.</w:t>
      </w:r>
    </w:p>
  </w:footnote>
  <w:footnote w:id="15">
    <w:p w14:paraId="4927BBCC" w14:textId="77777777" w:rsidR="0081662C" w:rsidRPr="00FF16C5" w:rsidRDefault="0081662C" w:rsidP="0081662C">
      <w:pPr>
        <w:pStyle w:val="Default"/>
        <w:spacing w:after="40"/>
        <w:rPr>
          <w:spacing w:val="-4"/>
          <w:sz w:val="16"/>
          <w:szCs w:val="16"/>
        </w:rPr>
      </w:pPr>
      <w:r w:rsidRPr="00FF16C5">
        <w:rPr>
          <w:rStyle w:val="FootnoteReference"/>
          <w:spacing w:val="-4"/>
          <w:sz w:val="16"/>
          <w:szCs w:val="16"/>
        </w:rPr>
        <w:footnoteRef/>
      </w:r>
      <w:r w:rsidRPr="00FF16C5">
        <w:rPr>
          <w:spacing w:val="-4"/>
          <w:sz w:val="16"/>
          <w:szCs w:val="16"/>
        </w:rPr>
        <w:t xml:space="preserve"> “Explanatory Notes on Variety Denominations under the UPOV Convention” (document UPOV/EXN/DEN/1) states that “2.5.2 The variety denomination classes are as follows: </w:t>
      </w:r>
    </w:p>
    <w:p w14:paraId="145C691D" w14:textId="7C13D5D5" w:rsidR="0081662C" w:rsidRPr="00FF16C5" w:rsidRDefault="0081662C" w:rsidP="0081662C">
      <w:pPr>
        <w:pStyle w:val="Default"/>
        <w:spacing w:after="40"/>
        <w:ind w:left="993" w:hanging="426"/>
        <w:rPr>
          <w:spacing w:val="-4"/>
          <w:sz w:val="16"/>
          <w:szCs w:val="16"/>
        </w:rPr>
      </w:pPr>
      <w:r w:rsidRPr="00FF16C5">
        <w:rPr>
          <w:spacing w:val="-4"/>
          <w:sz w:val="16"/>
          <w:szCs w:val="16"/>
        </w:rPr>
        <w:t>“(a)</w:t>
      </w:r>
      <w:r>
        <w:rPr>
          <w:spacing w:val="-4"/>
          <w:sz w:val="16"/>
          <w:szCs w:val="16"/>
        </w:rPr>
        <w:tab/>
      </w:r>
      <w:r w:rsidRPr="00FF16C5">
        <w:rPr>
          <w:spacing w:val="-4"/>
          <w:sz w:val="16"/>
          <w:szCs w:val="16"/>
        </w:rPr>
        <w:t xml:space="preserve">General Rule (one genus / one class): for genera and species not covered by the List of Classes in Annex I, a genus is considered to be a class; </w:t>
      </w:r>
    </w:p>
    <w:p w14:paraId="38393582" w14:textId="5F5BCFC8" w:rsidR="0081662C" w:rsidRPr="00FF16C5" w:rsidRDefault="0081662C" w:rsidP="0081662C">
      <w:pPr>
        <w:pStyle w:val="Default"/>
        <w:spacing w:after="40"/>
        <w:ind w:left="993" w:hanging="426"/>
        <w:rPr>
          <w:spacing w:val="-4"/>
          <w:sz w:val="16"/>
          <w:szCs w:val="16"/>
        </w:rPr>
      </w:pPr>
      <w:r w:rsidRPr="00FF16C5">
        <w:rPr>
          <w:spacing w:val="-4"/>
          <w:sz w:val="16"/>
          <w:szCs w:val="16"/>
        </w:rPr>
        <w:t>“(b)</w:t>
      </w:r>
      <w:r>
        <w:rPr>
          <w:spacing w:val="-4"/>
          <w:sz w:val="16"/>
          <w:szCs w:val="16"/>
        </w:rPr>
        <w:tab/>
      </w:r>
      <w:r w:rsidRPr="00FF16C5">
        <w:rPr>
          <w:spacing w:val="-4"/>
          <w:sz w:val="16"/>
          <w:szCs w:val="16"/>
        </w:rPr>
        <w:t xml:space="preserve">Exceptions to the General Rule (list of classes): </w:t>
      </w:r>
    </w:p>
    <w:p w14:paraId="05C68A02" w14:textId="57B50104" w:rsidR="0081662C" w:rsidRPr="00FF16C5" w:rsidRDefault="0081662C" w:rsidP="0081662C">
      <w:pPr>
        <w:pStyle w:val="Default"/>
        <w:tabs>
          <w:tab w:val="left" w:pos="1560"/>
        </w:tabs>
        <w:spacing w:after="40"/>
        <w:ind w:left="1134"/>
        <w:rPr>
          <w:spacing w:val="-4"/>
          <w:sz w:val="16"/>
          <w:szCs w:val="16"/>
        </w:rPr>
      </w:pPr>
      <w:r w:rsidRPr="00FF16C5">
        <w:rPr>
          <w:spacing w:val="-4"/>
          <w:sz w:val="16"/>
          <w:szCs w:val="16"/>
        </w:rPr>
        <w:t>“(</w:t>
      </w:r>
      <w:proofErr w:type="spellStart"/>
      <w:r w:rsidRPr="00FF16C5">
        <w:rPr>
          <w:spacing w:val="-4"/>
          <w:sz w:val="16"/>
          <w:szCs w:val="16"/>
        </w:rPr>
        <w:t>i</w:t>
      </w:r>
      <w:proofErr w:type="spellEnd"/>
      <w:r w:rsidRPr="00FF16C5">
        <w:rPr>
          <w:spacing w:val="-4"/>
          <w:sz w:val="16"/>
          <w:szCs w:val="16"/>
        </w:rPr>
        <w:t>)</w:t>
      </w:r>
      <w:r>
        <w:rPr>
          <w:spacing w:val="-4"/>
          <w:sz w:val="16"/>
          <w:szCs w:val="16"/>
        </w:rPr>
        <w:tab/>
      </w:r>
      <w:r w:rsidRPr="00FF16C5">
        <w:rPr>
          <w:spacing w:val="-4"/>
          <w:sz w:val="16"/>
          <w:szCs w:val="16"/>
        </w:rPr>
        <w:t xml:space="preserve">classes within a genus: List of classes in Annex I: Part I; </w:t>
      </w:r>
    </w:p>
    <w:p w14:paraId="2CA910AC" w14:textId="0D4B3F3D" w:rsidR="0081662C" w:rsidRPr="002641D5" w:rsidRDefault="0081662C" w:rsidP="001A35E6">
      <w:pPr>
        <w:pStyle w:val="FootnoteText"/>
      </w:pPr>
      <w:r w:rsidRPr="00FF16C5">
        <w:t>“(ii)</w:t>
      </w:r>
      <w:r>
        <w:tab/>
      </w:r>
      <w:r w:rsidRPr="00FF16C5">
        <w:t>classes encompassing more than one genus: List of classes in Annex I: Part II.</w:t>
      </w:r>
      <w:r>
        <w:t>”</w:t>
      </w:r>
    </w:p>
  </w:footnote>
  <w:footnote w:id="16">
    <w:p w14:paraId="58F87144" w14:textId="4D1C48A9" w:rsidR="0029725E" w:rsidRPr="00087017" w:rsidRDefault="0029725E" w:rsidP="001A35E6">
      <w:pPr>
        <w:pStyle w:val="FootnoteText"/>
      </w:pPr>
      <w:r>
        <w:rPr>
          <w:rStyle w:val="FootnoteReference"/>
        </w:rPr>
        <w:footnoteRef/>
      </w:r>
      <w:r>
        <w:t xml:space="preserve"> </w:t>
      </w:r>
      <w:r w:rsidR="00231DF5" w:rsidRPr="00F56A7F">
        <w:t>TWO, fifty-fifth session</w:t>
      </w:r>
      <w:r w:rsidR="00231DF5">
        <w:t xml:space="preserve">, </w:t>
      </w:r>
      <w:r w:rsidR="0052011B">
        <w:t>h</w:t>
      </w:r>
      <w:r>
        <w:t>eld via electronic means from June 12 to 16, 2023.</w:t>
      </w:r>
    </w:p>
  </w:footnote>
  <w:footnote w:id="17">
    <w:p w14:paraId="520CD0C8" w14:textId="7965D3C0" w:rsidR="00027BEE" w:rsidRDefault="00027BEE">
      <w:pPr>
        <w:pStyle w:val="FootnoteText"/>
      </w:pPr>
      <w:r>
        <w:rPr>
          <w:rStyle w:val="FootnoteReference"/>
        </w:rPr>
        <w:footnoteRef/>
      </w:r>
      <w:r>
        <w:t xml:space="preserve"> </w:t>
      </w:r>
      <w:r w:rsidRPr="00027BEE">
        <w:t xml:space="preserve">TWF, fifty-fourth session, held in </w:t>
      </w:r>
      <w:proofErr w:type="spellStart"/>
      <w:r w:rsidRPr="00027BEE">
        <w:t>Nîmes</w:t>
      </w:r>
      <w:proofErr w:type="spellEnd"/>
      <w:r w:rsidRPr="00027BEE">
        <w:t>, France, from July 3 to 7, 2023.</w:t>
      </w:r>
    </w:p>
  </w:footnote>
  <w:footnote w:id="18">
    <w:p w14:paraId="7C23893F" w14:textId="06D2F20F" w:rsidR="001373D3" w:rsidRDefault="001373D3" w:rsidP="001A35E6">
      <w:pPr>
        <w:pStyle w:val="FootnoteText"/>
      </w:pPr>
      <w:r>
        <w:rPr>
          <w:rStyle w:val="FootnoteReference"/>
        </w:rPr>
        <w:footnoteRef/>
      </w:r>
      <w:r>
        <w:t xml:space="preserve"> </w:t>
      </w:r>
      <w:r w:rsidR="007D6EB5" w:rsidRPr="00F56A7F">
        <w:t>TWF, fifty-fourth session</w:t>
      </w:r>
      <w:r w:rsidR="007D6EB5">
        <w:t xml:space="preserve">, </w:t>
      </w:r>
      <w:r w:rsidR="00235C60">
        <w:t>held</w:t>
      </w:r>
      <w:r w:rsidR="00235C60" w:rsidRPr="00E54B0F">
        <w:t xml:space="preserve"> </w:t>
      </w:r>
      <w:r>
        <w:t xml:space="preserve">in </w:t>
      </w:r>
      <w:proofErr w:type="spellStart"/>
      <w:r w:rsidRPr="00E54B0F">
        <w:t>Nîmes</w:t>
      </w:r>
      <w:proofErr w:type="spellEnd"/>
      <w:r w:rsidRPr="00E54B0F">
        <w:t xml:space="preserve">, France, </w:t>
      </w:r>
      <w:r>
        <w:t xml:space="preserve">from </w:t>
      </w:r>
      <w:r w:rsidRPr="00E54B0F">
        <w:t>July 3 to 7, 2023</w:t>
      </w:r>
      <w:r>
        <w:t>.</w:t>
      </w:r>
    </w:p>
  </w:footnote>
  <w:footnote w:id="19">
    <w:p w14:paraId="21FD10B6" w14:textId="68779B40" w:rsidR="00EA3432" w:rsidRDefault="00EA3432" w:rsidP="001A35E6">
      <w:pPr>
        <w:pStyle w:val="FootnoteText"/>
      </w:pPr>
      <w:r>
        <w:rPr>
          <w:rStyle w:val="FootnoteReference"/>
        </w:rPr>
        <w:footnoteRef/>
      </w:r>
      <w:r>
        <w:t xml:space="preserve"> </w:t>
      </w:r>
      <w:r w:rsidR="007D6EB5" w:rsidRPr="00F56A7F">
        <w:rPr>
          <w:rFonts w:eastAsia="MS Mincho"/>
        </w:rPr>
        <w:t>TWO, fifty-fifth session</w:t>
      </w:r>
      <w:r w:rsidR="007D6EB5">
        <w:rPr>
          <w:rFonts w:eastAsia="MS Mincho"/>
        </w:rPr>
        <w:t>,</w:t>
      </w:r>
      <w:r w:rsidR="007D6EB5">
        <w:t xml:space="preserve"> </w:t>
      </w:r>
      <w:r w:rsidR="00235C60">
        <w:t xml:space="preserve">held </w:t>
      </w:r>
      <w:r>
        <w:t>via electronic means from June 12 to 16, 2023.</w:t>
      </w:r>
    </w:p>
  </w:footnote>
  <w:footnote w:id="20">
    <w:p w14:paraId="45FD9AF2" w14:textId="5B3CBFD2" w:rsidR="00D4213A" w:rsidRDefault="00D4213A" w:rsidP="001A35E6">
      <w:pPr>
        <w:pStyle w:val="FootnoteText"/>
      </w:pPr>
      <w:r>
        <w:rPr>
          <w:rStyle w:val="FootnoteReference"/>
        </w:rPr>
        <w:footnoteRef/>
      </w:r>
      <w:r>
        <w:t xml:space="preserve"> </w:t>
      </w:r>
      <w:r w:rsidR="00B229A0" w:rsidRPr="00F56A7F">
        <w:t>TC, fifty-eighth session</w:t>
      </w:r>
      <w:r w:rsidR="00B229A0">
        <w:t>,</w:t>
      </w:r>
      <w:r w:rsidR="00B229A0" w:rsidRPr="00AA6C9E">
        <w:t xml:space="preserve"> </w:t>
      </w:r>
      <w:r w:rsidR="00235C60" w:rsidRPr="00AA6C9E">
        <w:t xml:space="preserve">held </w:t>
      </w:r>
      <w:r w:rsidRPr="00AA6C9E">
        <w:t xml:space="preserve">on </w:t>
      </w:r>
      <w:r>
        <w:t xml:space="preserve">October </w:t>
      </w:r>
      <w:r w:rsidRPr="00AA6C9E">
        <w:t>24</w:t>
      </w:r>
      <w:r>
        <w:t xml:space="preserve"> and 25</w:t>
      </w:r>
      <w:r w:rsidRPr="00AA6C9E">
        <w:t>, 202</w:t>
      </w:r>
      <w:r>
        <w:t>2</w:t>
      </w:r>
      <w:r w:rsidRPr="00AA6C9E">
        <w:t>.</w:t>
      </w:r>
    </w:p>
  </w:footnote>
  <w:footnote w:id="21">
    <w:p w14:paraId="15A30AB0" w14:textId="670D373E" w:rsidR="00B229A0" w:rsidRDefault="00B229A0">
      <w:pPr>
        <w:pStyle w:val="FootnoteText"/>
      </w:pPr>
      <w:r>
        <w:rPr>
          <w:rStyle w:val="FootnoteReference"/>
        </w:rPr>
        <w:footnoteRef/>
      </w:r>
      <w:r>
        <w:t xml:space="preserve"> </w:t>
      </w:r>
      <w:r w:rsidRPr="00F56A7F">
        <w:t>see documents TWV/57/26 “Report”, paragraphs 11 to 13; TWA/52/11 “Report”, paragraphs 15 to 17, TWO/55/11 “Report”, paragraphs 10 to 13 and TWF/54/13 “Report”, paragraph 13</w:t>
      </w:r>
      <w:r>
        <w:t>.</w:t>
      </w:r>
    </w:p>
  </w:footnote>
  <w:footnote w:id="22">
    <w:p w14:paraId="0D359B8F" w14:textId="77777777" w:rsidR="00AE717D" w:rsidRPr="00AA6C9E" w:rsidRDefault="00AE717D" w:rsidP="00AE717D">
      <w:pPr>
        <w:pStyle w:val="FootnoteText"/>
      </w:pPr>
      <w:r>
        <w:rPr>
          <w:rStyle w:val="FootnoteReference"/>
        </w:rPr>
        <w:footnoteRef/>
      </w:r>
      <w:r>
        <w:t xml:space="preserve"> </w:t>
      </w:r>
      <w:r w:rsidRPr="00F56A7F">
        <w:t>TWV</w:t>
      </w:r>
      <w:r>
        <w:t>,</w:t>
      </w:r>
      <w:r w:rsidRPr="00F56A7F">
        <w:t xml:space="preserve"> fifty-sixth session</w:t>
      </w:r>
      <w:r>
        <w:t>, held via</w:t>
      </w:r>
      <w:r w:rsidRPr="00AC27EE">
        <w:t xml:space="preserve"> </w:t>
      </w:r>
      <w:r>
        <w:t xml:space="preserve">electronic means from </w:t>
      </w:r>
      <w:r w:rsidRPr="000D0D30">
        <w:t>April 18 to 22, 2022</w:t>
      </w:r>
      <w:r>
        <w:t>.</w:t>
      </w:r>
    </w:p>
  </w:footnote>
  <w:footnote w:id="23">
    <w:p w14:paraId="79B0CC4A" w14:textId="5E41E72A" w:rsidR="003D41B5" w:rsidRDefault="003D41B5" w:rsidP="001A35E6">
      <w:pPr>
        <w:pStyle w:val="FootnoteText"/>
      </w:pPr>
      <w:r>
        <w:rPr>
          <w:rStyle w:val="FootnoteReference"/>
        </w:rPr>
        <w:footnoteRef/>
      </w:r>
      <w:r>
        <w:t xml:space="preserve"> </w:t>
      </w:r>
      <w:r w:rsidR="007234B9" w:rsidRPr="00F56A7F">
        <w:t>TWF, fifty-fourth session</w:t>
      </w:r>
      <w:r w:rsidR="007234B9">
        <w:t xml:space="preserve">, </w:t>
      </w:r>
      <w:r>
        <w:t>held</w:t>
      </w:r>
      <w:r w:rsidRPr="00E54B0F">
        <w:t xml:space="preserve"> </w:t>
      </w:r>
      <w:r>
        <w:t xml:space="preserve">in </w:t>
      </w:r>
      <w:proofErr w:type="spellStart"/>
      <w:r w:rsidRPr="00E54B0F">
        <w:t>Nîmes</w:t>
      </w:r>
      <w:proofErr w:type="spellEnd"/>
      <w:r w:rsidRPr="00E54B0F">
        <w:t xml:space="preserve">, France, </w:t>
      </w:r>
      <w:r>
        <w:t xml:space="preserve">from </w:t>
      </w:r>
      <w:r w:rsidRPr="00E54B0F">
        <w:t>July 3 to 7,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FFBC" w14:textId="15C3C335" w:rsidR="0004198B" w:rsidRPr="00C5280D" w:rsidRDefault="00C437A3" w:rsidP="00EB048E">
    <w:pPr>
      <w:pStyle w:val="Header"/>
      <w:rPr>
        <w:rStyle w:val="PageNumber"/>
        <w:lang w:val="en-US"/>
      </w:rPr>
    </w:pPr>
    <w:r>
      <w:rPr>
        <w:rStyle w:val="PageNumber"/>
        <w:lang w:val="en-US"/>
      </w:rPr>
      <w:t>TWP/</w:t>
    </w:r>
    <w:r w:rsidR="008416E9">
      <w:rPr>
        <w:rStyle w:val="PageNumber"/>
        <w:lang w:val="en-US"/>
      </w:rPr>
      <w:t>8</w:t>
    </w:r>
    <w:r w:rsidR="0004198B" w:rsidRPr="00255700">
      <w:rPr>
        <w:rStyle w:val="PageNumber"/>
        <w:lang w:val="en-US"/>
      </w:rPr>
      <w:t>/</w:t>
    </w:r>
    <w:r w:rsidR="00574713" w:rsidRPr="00255700">
      <w:rPr>
        <w:rStyle w:val="PageNumber"/>
        <w:lang w:val="en-US"/>
      </w:rPr>
      <w:t>1</w:t>
    </w:r>
  </w:p>
  <w:p w14:paraId="4F66CC80"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39FF">
      <w:rPr>
        <w:rStyle w:val="PageNumber"/>
        <w:noProof/>
        <w:lang w:val="en-US"/>
      </w:rPr>
      <w:t>2</w:t>
    </w:r>
    <w:r w:rsidRPr="00C5280D">
      <w:rPr>
        <w:rStyle w:val="PageNumber"/>
        <w:lang w:val="en-US"/>
      </w:rPr>
      <w:fldChar w:fldCharType="end"/>
    </w:r>
  </w:p>
  <w:p w14:paraId="35C0386C"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6D1C" w14:textId="77777777" w:rsidR="0014123F" w:rsidRDefault="0014123F" w:rsidP="0004198B">
    <w:pPr>
      <w:pStyle w:val="Header"/>
    </w:pPr>
    <w:r>
      <w:t>TWP/8</w:t>
    </w:r>
    <w:r w:rsidRPr="00130CE3">
      <w:t>/1</w:t>
    </w:r>
  </w:p>
  <w:p w14:paraId="518D86D0" w14:textId="77777777" w:rsidR="0014123F" w:rsidRDefault="0014123F" w:rsidP="0004198B">
    <w:pPr>
      <w:pStyle w:val="Header"/>
    </w:pPr>
  </w:p>
  <w:p w14:paraId="3D79C9E1" w14:textId="482CBCAD" w:rsidR="0014123F" w:rsidRDefault="0014123F" w:rsidP="0004198B">
    <w:pPr>
      <w:pStyle w:val="Header"/>
    </w:pPr>
    <w:r>
      <w:t xml:space="preserve">ANNEX </w:t>
    </w:r>
    <w:r w:rsidR="00130CE3">
      <w:t>I</w:t>
    </w:r>
    <w:r>
      <w:t>V</w:t>
    </w:r>
  </w:p>
  <w:p w14:paraId="0442A14C" w14:textId="77777777" w:rsidR="0014123F" w:rsidRPr="0004198B" w:rsidRDefault="0014123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52AE2"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DABE" w14:textId="77777777" w:rsidR="00C76349" w:rsidRPr="00C5280D" w:rsidRDefault="00C76349" w:rsidP="00EB048E">
    <w:pPr>
      <w:pStyle w:val="Header"/>
      <w:rPr>
        <w:rStyle w:val="PageNumber"/>
        <w:lang w:val="en-US"/>
      </w:rPr>
    </w:pPr>
    <w:r>
      <w:rPr>
        <w:rStyle w:val="PageNumber"/>
        <w:lang w:val="en-US"/>
      </w:rPr>
      <w:t>TWP/8</w:t>
    </w:r>
    <w:r w:rsidRPr="00130CE3">
      <w:rPr>
        <w:rStyle w:val="PageNumber"/>
        <w:lang w:val="en-US"/>
      </w:rPr>
      <w:t>/1</w:t>
    </w:r>
  </w:p>
  <w:p w14:paraId="6F6C5D26" w14:textId="482D4B3A" w:rsidR="00C76349" w:rsidRPr="00C5280D" w:rsidRDefault="00C76349"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B3E6880" w14:textId="77777777" w:rsidR="00C76349" w:rsidRPr="00C5280D" w:rsidRDefault="00C76349"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D96C" w14:textId="14312B31" w:rsidR="007C740C" w:rsidRDefault="007C740C" w:rsidP="0004198B">
    <w:pPr>
      <w:pStyle w:val="Header"/>
    </w:pPr>
    <w:r>
      <w:t>TWP/8/</w:t>
    </w:r>
    <w:r w:rsidRPr="00130CE3">
      <w:t>1</w:t>
    </w:r>
  </w:p>
  <w:p w14:paraId="3D52B84A" w14:textId="2974BF48" w:rsidR="007C740C" w:rsidRDefault="007C740C" w:rsidP="0004198B">
    <w:pPr>
      <w:pStyle w:val="Header"/>
    </w:pPr>
  </w:p>
  <w:p w14:paraId="7EDB032C" w14:textId="77379B76" w:rsidR="007C740C" w:rsidRDefault="007C740C" w:rsidP="0004198B">
    <w:pPr>
      <w:pStyle w:val="Header"/>
    </w:pPr>
    <w:r>
      <w:t>ANNEX I</w:t>
    </w:r>
  </w:p>
  <w:p w14:paraId="2B53EF63" w14:textId="77777777" w:rsidR="007C740C" w:rsidRPr="0004198B" w:rsidRDefault="007C740C"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2DE3" w14:textId="77777777" w:rsidR="00414FDD" w:rsidRPr="00C5280D" w:rsidRDefault="00414FDD" w:rsidP="00EB048E">
    <w:pPr>
      <w:pStyle w:val="Header"/>
      <w:rPr>
        <w:rStyle w:val="PageNumber"/>
        <w:lang w:val="en-US"/>
      </w:rPr>
    </w:pPr>
    <w:r>
      <w:rPr>
        <w:rStyle w:val="PageNumber"/>
        <w:lang w:val="en-US"/>
      </w:rPr>
      <w:t>TWP/8</w:t>
    </w:r>
    <w:r w:rsidRPr="00130CE3">
      <w:rPr>
        <w:rStyle w:val="PageNumber"/>
        <w:lang w:val="en-US"/>
      </w:rPr>
      <w:t>/1</w:t>
    </w:r>
  </w:p>
  <w:p w14:paraId="1111458B" w14:textId="13A50637" w:rsidR="00414FDD" w:rsidRPr="00C5280D" w:rsidRDefault="00414FDD"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EA5A482" w14:textId="77777777" w:rsidR="00414FDD" w:rsidRPr="00C5280D" w:rsidRDefault="00414FDD"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3372" w14:textId="77777777" w:rsidR="004607F5" w:rsidRDefault="004607F5" w:rsidP="0004198B">
    <w:pPr>
      <w:pStyle w:val="Header"/>
    </w:pPr>
    <w:r>
      <w:t>TWP/8/</w:t>
    </w:r>
    <w:r w:rsidRPr="00130CE3">
      <w:t>1</w:t>
    </w:r>
  </w:p>
  <w:p w14:paraId="1E0276C8" w14:textId="77777777" w:rsidR="004607F5" w:rsidRDefault="004607F5" w:rsidP="0004198B">
    <w:pPr>
      <w:pStyle w:val="Header"/>
    </w:pPr>
  </w:p>
  <w:p w14:paraId="5F938C61" w14:textId="73458449" w:rsidR="004607F5" w:rsidRDefault="004607F5" w:rsidP="0004198B">
    <w:pPr>
      <w:pStyle w:val="Header"/>
    </w:pPr>
    <w:r>
      <w:t>ANNEX II</w:t>
    </w:r>
  </w:p>
  <w:p w14:paraId="3A7D4825" w14:textId="77777777" w:rsidR="004607F5" w:rsidRPr="0004198B" w:rsidRDefault="004607F5"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6E16" w14:textId="77777777" w:rsidR="00F02ADD" w:rsidRPr="00C5280D" w:rsidRDefault="00F02ADD" w:rsidP="00EB048E">
    <w:pPr>
      <w:pStyle w:val="Header"/>
      <w:rPr>
        <w:rStyle w:val="PageNumber"/>
        <w:lang w:val="en-US"/>
      </w:rPr>
    </w:pPr>
    <w:r>
      <w:rPr>
        <w:rStyle w:val="PageNumber"/>
        <w:lang w:val="en-US"/>
      </w:rPr>
      <w:t>TWP/8</w:t>
    </w:r>
    <w:r w:rsidRPr="00130CE3">
      <w:rPr>
        <w:rStyle w:val="PageNumber"/>
        <w:lang w:val="en-US"/>
      </w:rPr>
      <w:t>/1</w:t>
    </w:r>
  </w:p>
  <w:p w14:paraId="67362BCA" w14:textId="7F5DC2D2" w:rsidR="00F02ADD" w:rsidRPr="00C5280D" w:rsidRDefault="00F02ADD"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43AD082" w14:textId="77777777" w:rsidR="00F02ADD" w:rsidRPr="00C5280D" w:rsidRDefault="00F02ADD"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DAB6F" w14:textId="77777777" w:rsidR="004607F5" w:rsidRDefault="004607F5" w:rsidP="0004198B">
    <w:pPr>
      <w:pStyle w:val="Header"/>
    </w:pPr>
    <w:r>
      <w:t>TWP/8</w:t>
    </w:r>
    <w:r w:rsidRPr="00130CE3">
      <w:t>/1</w:t>
    </w:r>
  </w:p>
  <w:p w14:paraId="1AD6ADE6" w14:textId="77777777" w:rsidR="004607F5" w:rsidRDefault="004607F5" w:rsidP="0004198B">
    <w:pPr>
      <w:pStyle w:val="Header"/>
    </w:pPr>
  </w:p>
  <w:p w14:paraId="38DA0B99" w14:textId="5074FFAD" w:rsidR="004607F5" w:rsidRDefault="004607F5" w:rsidP="0004198B">
    <w:pPr>
      <w:pStyle w:val="Header"/>
    </w:pPr>
    <w:r>
      <w:t>ANNEX III</w:t>
    </w:r>
  </w:p>
  <w:p w14:paraId="1FFBCB85" w14:textId="77777777" w:rsidR="004607F5" w:rsidRPr="0004198B" w:rsidRDefault="004607F5"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6AA" w14:textId="77777777" w:rsidR="0014123F" w:rsidRPr="00C5280D" w:rsidRDefault="0014123F" w:rsidP="00EB048E">
    <w:pPr>
      <w:pStyle w:val="Header"/>
      <w:rPr>
        <w:rStyle w:val="PageNumber"/>
        <w:lang w:val="en-US"/>
      </w:rPr>
    </w:pPr>
    <w:r>
      <w:rPr>
        <w:rStyle w:val="PageNumber"/>
        <w:lang w:val="en-US"/>
      </w:rPr>
      <w:t>TWP/8/</w:t>
    </w:r>
    <w:r w:rsidRPr="00911270">
      <w:rPr>
        <w:rStyle w:val="PageNumber"/>
        <w:lang w:val="en-US"/>
      </w:rPr>
      <w:t>1</w:t>
    </w:r>
  </w:p>
  <w:p w14:paraId="78DD51E6" w14:textId="405EBB54" w:rsidR="0014123F" w:rsidRPr="00C5280D" w:rsidRDefault="0014123F" w:rsidP="00EB048E">
    <w:pPr>
      <w:pStyle w:val="Header"/>
      <w:rPr>
        <w:lang w:val="en-US"/>
      </w:rPr>
    </w:pPr>
    <w:r>
      <w:rPr>
        <w:lang w:val="en-US"/>
      </w:rPr>
      <w:t xml:space="preserve">Annex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D9BE2F5" w14:textId="77777777" w:rsidR="0014123F" w:rsidRPr="00C5280D" w:rsidRDefault="0014123F"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6D19"/>
    <w:multiLevelType w:val="hybridMultilevel"/>
    <w:tmpl w:val="9A262AD2"/>
    <w:lvl w:ilvl="0" w:tplc="FFFFFFFF">
      <w:start w:val="1"/>
      <w:numFmt w:val="lowerLetter"/>
      <w:lvlText w:val="(%1)"/>
      <w:lvlJc w:val="left"/>
      <w:pPr>
        <w:ind w:left="5750" w:hanging="360"/>
      </w:pPr>
      <w:rPr>
        <w:rFonts w:hint="default"/>
      </w:rPr>
    </w:lvl>
    <w:lvl w:ilvl="1" w:tplc="FFFFFFFF" w:tentative="1">
      <w:start w:val="1"/>
      <w:numFmt w:val="lowerLetter"/>
      <w:lvlText w:val="%2."/>
      <w:lvlJc w:val="left"/>
      <w:pPr>
        <w:ind w:left="6470" w:hanging="360"/>
      </w:pPr>
    </w:lvl>
    <w:lvl w:ilvl="2" w:tplc="FFFFFFFF" w:tentative="1">
      <w:start w:val="1"/>
      <w:numFmt w:val="lowerRoman"/>
      <w:lvlText w:val="%3."/>
      <w:lvlJc w:val="right"/>
      <w:pPr>
        <w:ind w:left="7190" w:hanging="180"/>
      </w:pPr>
    </w:lvl>
    <w:lvl w:ilvl="3" w:tplc="FFFFFFFF" w:tentative="1">
      <w:start w:val="1"/>
      <w:numFmt w:val="decimal"/>
      <w:lvlText w:val="%4."/>
      <w:lvlJc w:val="left"/>
      <w:pPr>
        <w:ind w:left="7910" w:hanging="360"/>
      </w:pPr>
    </w:lvl>
    <w:lvl w:ilvl="4" w:tplc="FFFFFFFF" w:tentative="1">
      <w:start w:val="1"/>
      <w:numFmt w:val="lowerLetter"/>
      <w:lvlText w:val="%5."/>
      <w:lvlJc w:val="left"/>
      <w:pPr>
        <w:ind w:left="8630" w:hanging="360"/>
      </w:pPr>
    </w:lvl>
    <w:lvl w:ilvl="5" w:tplc="FFFFFFFF" w:tentative="1">
      <w:start w:val="1"/>
      <w:numFmt w:val="lowerRoman"/>
      <w:lvlText w:val="%6."/>
      <w:lvlJc w:val="right"/>
      <w:pPr>
        <w:ind w:left="9350" w:hanging="180"/>
      </w:pPr>
    </w:lvl>
    <w:lvl w:ilvl="6" w:tplc="FFFFFFFF" w:tentative="1">
      <w:start w:val="1"/>
      <w:numFmt w:val="decimal"/>
      <w:lvlText w:val="%7."/>
      <w:lvlJc w:val="left"/>
      <w:pPr>
        <w:ind w:left="10070" w:hanging="360"/>
      </w:pPr>
    </w:lvl>
    <w:lvl w:ilvl="7" w:tplc="FFFFFFFF" w:tentative="1">
      <w:start w:val="1"/>
      <w:numFmt w:val="lowerLetter"/>
      <w:lvlText w:val="%8."/>
      <w:lvlJc w:val="left"/>
      <w:pPr>
        <w:ind w:left="10790" w:hanging="360"/>
      </w:pPr>
    </w:lvl>
    <w:lvl w:ilvl="8" w:tplc="FFFFFFFF" w:tentative="1">
      <w:start w:val="1"/>
      <w:numFmt w:val="lowerRoman"/>
      <w:lvlText w:val="%9."/>
      <w:lvlJc w:val="right"/>
      <w:pPr>
        <w:ind w:left="11510" w:hanging="180"/>
      </w:pPr>
    </w:lvl>
  </w:abstractNum>
  <w:abstractNum w:abstractNumId="1"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F032D"/>
    <w:multiLevelType w:val="hybridMultilevel"/>
    <w:tmpl w:val="9A262AD2"/>
    <w:lvl w:ilvl="0" w:tplc="3D428B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02553FA"/>
    <w:multiLevelType w:val="multilevel"/>
    <w:tmpl w:val="BD3E6F24"/>
    <w:styleLink w:val="Style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73045"/>
    <w:multiLevelType w:val="hybridMultilevel"/>
    <w:tmpl w:val="CAA0E52A"/>
    <w:lvl w:ilvl="0" w:tplc="692429B0">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407056"/>
    <w:multiLevelType w:val="hybridMultilevel"/>
    <w:tmpl w:val="CAA0E52A"/>
    <w:lvl w:ilvl="0" w:tplc="FFFFFFFF">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D0391F"/>
    <w:multiLevelType w:val="hybridMultilevel"/>
    <w:tmpl w:val="4658F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703AC"/>
    <w:multiLevelType w:val="hybridMultilevel"/>
    <w:tmpl w:val="02B899EC"/>
    <w:lvl w:ilvl="0" w:tplc="87A0A0EA">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577D4"/>
    <w:multiLevelType w:val="hybridMultilevel"/>
    <w:tmpl w:val="182CA4B6"/>
    <w:lvl w:ilvl="0" w:tplc="87A0A0EA">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D9D3A6F"/>
    <w:multiLevelType w:val="multilevel"/>
    <w:tmpl w:val="E174D98C"/>
    <w:lvl w:ilvl="0">
      <w:start w:val="1"/>
      <w:numFmt w:val="decimal"/>
      <w:pStyle w:val="Annexparagraphnumber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ACE68EE"/>
    <w:multiLevelType w:val="multilevel"/>
    <w:tmpl w:val="BD3E6F24"/>
    <w:numStyleLink w:val="Style1"/>
  </w:abstractNum>
  <w:abstractNum w:abstractNumId="14" w15:restartNumberingAfterBreak="0">
    <w:nsid w:val="5C4933B5"/>
    <w:multiLevelType w:val="hybridMultilevel"/>
    <w:tmpl w:val="8B92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8"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150F2"/>
    <w:multiLevelType w:val="hybridMultilevel"/>
    <w:tmpl w:val="4B6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6A0B75"/>
    <w:multiLevelType w:val="hybridMultilevel"/>
    <w:tmpl w:val="ECCE22F8"/>
    <w:lvl w:ilvl="0" w:tplc="A3268F9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16cid:durableId="714889006">
    <w:abstractNumId w:val="11"/>
  </w:num>
  <w:num w:numId="2" w16cid:durableId="2091848111">
    <w:abstractNumId w:val="21"/>
  </w:num>
  <w:num w:numId="3" w16cid:durableId="1218664133">
    <w:abstractNumId w:val="5"/>
  </w:num>
  <w:num w:numId="4" w16cid:durableId="978806350">
    <w:abstractNumId w:val="18"/>
  </w:num>
  <w:num w:numId="5" w16cid:durableId="950934230">
    <w:abstractNumId w:val="10"/>
  </w:num>
  <w:num w:numId="6" w16cid:durableId="1858691106">
    <w:abstractNumId w:val="10"/>
    <w:lvlOverride w:ilvl="0">
      <w:startOverride w:val="1"/>
    </w:lvlOverride>
  </w:num>
  <w:num w:numId="7" w16cid:durableId="980379570">
    <w:abstractNumId w:val="10"/>
  </w:num>
  <w:num w:numId="8" w16cid:durableId="1540776242">
    <w:abstractNumId w:val="10"/>
  </w:num>
  <w:num w:numId="9" w16cid:durableId="577984565">
    <w:abstractNumId w:val="10"/>
  </w:num>
  <w:num w:numId="10" w16cid:durableId="567108761">
    <w:abstractNumId w:val="10"/>
  </w:num>
  <w:num w:numId="11" w16cid:durableId="227692153">
    <w:abstractNumId w:val="10"/>
  </w:num>
  <w:num w:numId="12" w16cid:durableId="1735742331">
    <w:abstractNumId w:val="10"/>
  </w:num>
  <w:num w:numId="13" w16cid:durableId="2050640556">
    <w:abstractNumId w:val="10"/>
  </w:num>
  <w:num w:numId="14" w16cid:durableId="144704917">
    <w:abstractNumId w:val="19"/>
  </w:num>
  <w:num w:numId="15" w16cid:durableId="1245578170">
    <w:abstractNumId w:val="16"/>
  </w:num>
  <w:num w:numId="16" w16cid:durableId="371342647">
    <w:abstractNumId w:val="1"/>
  </w:num>
  <w:num w:numId="17" w16cid:durableId="472865977">
    <w:abstractNumId w:val="15"/>
  </w:num>
  <w:num w:numId="18" w16cid:durableId="255990464">
    <w:abstractNumId w:val="10"/>
  </w:num>
  <w:num w:numId="19" w16cid:durableId="1930962811">
    <w:abstractNumId w:val="10"/>
  </w:num>
  <w:num w:numId="20" w16cid:durableId="436952294">
    <w:abstractNumId w:val="10"/>
  </w:num>
  <w:num w:numId="21" w16cid:durableId="1730617966">
    <w:abstractNumId w:val="17"/>
  </w:num>
  <w:num w:numId="22" w16cid:durableId="981154924">
    <w:abstractNumId w:val="9"/>
  </w:num>
  <w:num w:numId="23" w16cid:durableId="1230648038">
    <w:abstractNumId w:val="10"/>
    <w:lvlOverride w:ilvl="0">
      <w:startOverride w:val="1"/>
    </w:lvlOverride>
  </w:num>
  <w:num w:numId="24" w16cid:durableId="1712462449">
    <w:abstractNumId w:val="4"/>
  </w:num>
  <w:num w:numId="25" w16cid:durableId="1233077117">
    <w:abstractNumId w:val="13"/>
  </w:num>
  <w:num w:numId="26" w16cid:durableId="395393372">
    <w:abstractNumId w:val="12"/>
  </w:num>
  <w:num w:numId="27" w16cid:durableId="454176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11187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83147624">
    <w:abstractNumId w:val="12"/>
  </w:num>
  <w:num w:numId="30" w16cid:durableId="1183859934">
    <w:abstractNumId w:val="12"/>
  </w:num>
  <w:num w:numId="31" w16cid:durableId="148712654">
    <w:abstractNumId w:val="12"/>
  </w:num>
  <w:num w:numId="32" w16cid:durableId="1040665578">
    <w:abstractNumId w:val="12"/>
  </w:num>
  <w:num w:numId="33" w16cid:durableId="1710836571">
    <w:abstractNumId w:val="12"/>
  </w:num>
  <w:num w:numId="34" w16cid:durableId="178740360">
    <w:abstractNumId w:val="12"/>
  </w:num>
  <w:num w:numId="35" w16cid:durableId="308945375">
    <w:abstractNumId w:val="12"/>
  </w:num>
  <w:num w:numId="36" w16cid:durableId="1023090605">
    <w:abstractNumId w:val="12"/>
  </w:num>
  <w:num w:numId="37" w16cid:durableId="1484814334">
    <w:abstractNumId w:val="12"/>
  </w:num>
  <w:num w:numId="38" w16cid:durableId="12771316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0241728">
    <w:abstractNumId w:val="12"/>
  </w:num>
  <w:num w:numId="40" w16cid:durableId="1495802016">
    <w:abstractNumId w:val="12"/>
  </w:num>
  <w:num w:numId="41" w16cid:durableId="2032534417">
    <w:abstractNumId w:val="6"/>
  </w:num>
  <w:num w:numId="42" w16cid:durableId="1871644869">
    <w:abstractNumId w:val="14"/>
  </w:num>
  <w:num w:numId="43" w16cid:durableId="628513260">
    <w:abstractNumId w:val="20"/>
  </w:num>
  <w:num w:numId="44" w16cid:durableId="102577139">
    <w:abstractNumId w:val="8"/>
  </w:num>
  <w:num w:numId="45" w16cid:durableId="1613322165">
    <w:abstractNumId w:val="7"/>
  </w:num>
  <w:num w:numId="46" w16cid:durableId="986593724">
    <w:abstractNumId w:val="2"/>
  </w:num>
  <w:num w:numId="47" w16cid:durableId="6587696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13"/>
    <w:rsid w:val="00010CF3"/>
    <w:rsid w:val="00011896"/>
    <w:rsid w:val="00011A5C"/>
    <w:rsid w:val="00011AEC"/>
    <w:rsid w:val="00011E27"/>
    <w:rsid w:val="000148BC"/>
    <w:rsid w:val="00024AB8"/>
    <w:rsid w:val="00027BEE"/>
    <w:rsid w:val="00030854"/>
    <w:rsid w:val="00036028"/>
    <w:rsid w:val="0004163D"/>
    <w:rsid w:val="0004198B"/>
    <w:rsid w:val="00044642"/>
    <w:rsid w:val="000446B9"/>
    <w:rsid w:val="00047E21"/>
    <w:rsid w:val="00050E16"/>
    <w:rsid w:val="000525EC"/>
    <w:rsid w:val="000575B9"/>
    <w:rsid w:val="00076776"/>
    <w:rsid w:val="0008043A"/>
    <w:rsid w:val="000826B6"/>
    <w:rsid w:val="00085505"/>
    <w:rsid w:val="000927A3"/>
    <w:rsid w:val="000A0EC3"/>
    <w:rsid w:val="000C14B5"/>
    <w:rsid w:val="000C4E25"/>
    <w:rsid w:val="000C4F65"/>
    <w:rsid w:val="000C7021"/>
    <w:rsid w:val="000C78B1"/>
    <w:rsid w:val="000D0D2E"/>
    <w:rsid w:val="000D32BB"/>
    <w:rsid w:val="000D67E2"/>
    <w:rsid w:val="000D6BBC"/>
    <w:rsid w:val="000D7780"/>
    <w:rsid w:val="000E2BBB"/>
    <w:rsid w:val="000E636A"/>
    <w:rsid w:val="000F2F11"/>
    <w:rsid w:val="00100A5F"/>
    <w:rsid w:val="001051AE"/>
    <w:rsid w:val="00105929"/>
    <w:rsid w:val="00110BED"/>
    <w:rsid w:val="00110C36"/>
    <w:rsid w:val="001131D5"/>
    <w:rsid w:val="00114547"/>
    <w:rsid w:val="00130CE3"/>
    <w:rsid w:val="00131032"/>
    <w:rsid w:val="00133DD6"/>
    <w:rsid w:val="0013467F"/>
    <w:rsid w:val="001373D3"/>
    <w:rsid w:val="0014123F"/>
    <w:rsid w:val="00141DB8"/>
    <w:rsid w:val="001506C2"/>
    <w:rsid w:val="00163591"/>
    <w:rsid w:val="00166E05"/>
    <w:rsid w:val="00172084"/>
    <w:rsid w:val="0017474A"/>
    <w:rsid w:val="001758C6"/>
    <w:rsid w:val="00182B99"/>
    <w:rsid w:val="0019174C"/>
    <w:rsid w:val="001A033B"/>
    <w:rsid w:val="001A35E6"/>
    <w:rsid w:val="001B2C35"/>
    <w:rsid w:val="001C1525"/>
    <w:rsid w:val="001C2A40"/>
    <w:rsid w:val="001D163E"/>
    <w:rsid w:val="001D339E"/>
    <w:rsid w:val="001D4C4E"/>
    <w:rsid w:val="001E27E0"/>
    <w:rsid w:val="001F49D7"/>
    <w:rsid w:val="002027AB"/>
    <w:rsid w:val="0021332C"/>
    <w:rsid w:val="00213982"/>
    <w:rsid w:val="002222F1"/>
    <w:rsid w:val="00231DF5"/>
    <w:rsid w:val="00235C60"/>
    <w:rsid w:val="00236E1E"/>
    <w:rsid w:val="00243779"/>
    <w:rsid w:val="0024416D"/>
    <w:rsid w:val="00246C06"/>
    <w:rsid w:val="00247A89"/>
    <w:rsid w:val="00255700"/>
    <w:rsid w:val="00263B9E"/>
    <w:rsid w:val="00271911"/>
    <w:rsid w:val="00273187"/>
    <w:rsid w:val="00275611"/>
    <w:rsid w:val="0027706A"/>
    <w:rsid w:val="002800A0"/>
    <w:rsid w:val="002801B3"/>
    <w:rsid w:val="00281060"/>
    <w:rsid w:val="00284050"/>
    <w:rsid w:val="00285BD0"/>
    <w:rsid w:val="002940E8"/>
    <w:rsid w:val="00294751"/>
    <w:rsid w:val="0029725E"/>
    <w:rsid w:val="002A4008"/>
    <w:rsid w:val="002A6E50"/>
    <w:rsid w:val="002A79F6"/>
    <w:rsid w:val="002B2A22"/>
    <w:rsid w:val="002B4298"/>
    <w:rsid w:val="002B7A36"/>
    <w:rsid w:val="002C1FDB"/>
    <w:rsid w:val="002C256A"/>
    <w:rsid w:val="002D5226"/>
    <w:rsid w:val="002E1839"/>
    <w:rsid w:val="002E6179"/>
    <w:rsid w:val="002E6292"/>
    <w:rsid w:val="002E7891"/>
    <w:rsid w:val="002F42B3"/>
    <w:rsid w:val="00305A7F"/>
    <w:rsid w:val="00306BD4"/>
    <w:rsid w:val="00312E81"/>
    <w:rsid w:val="00314884"/>
    <w:rsid w:val="00314B12"/>
    <w:rsid w:val="003152FE"/>
    <w:rsid w:val="00317307"/>
    <w:rsid w:val="0032445D"/>
    <w:rsid w:val="003260B1"/>
    <w:rsid w:val="00327436"/>
    <w:rsid w:val="00330E52"/>
    <w:rsid w:val="003410B0"/>
    <w:rsid w:val="00344BD6"/>
    <w:rsid w:val="00347E9E"/>
    <w:rsid w:val="0035528D"/>
    <w:rsid w:val="00361821"/>
    <w:rsid w:val="00361E9E"/>
    <w:rsid w:val="003731F5"/>
    <w:rsid w:val="003753EE"/>
    <w:rsid w:val="00386782"/>
    <w:rsid w:val="00393658"/>
    <w:rsid w:val="00397ECA"/>
    <w:rsid w:val="003A0835"/>
    <w:rsid w:val="003A5AAF"/>
    <w:rsid w:val="003B0E07"/>
    <w:rsid w:val="003B700A"/>
    <w:rsid w:val="003C2C44"/>
    <w:rsid w:val="003C5716"/>
    <w:rsid w:val="003C5A8E"/>
    <w:rsid w:val="003C7FBE"/>
    <w:rsid w:val="003D227C"/>
    <w:rsid w:val="003D2711"/>
    <w:rsid w:val="003D2B4D"/>
    <w:rsid w:val="003D41B5"/>
    <w:rsid w:val="003E0941"/>
    <w:rsid w:val="003E440E"/>
    <w:rsid w:val="003F37F5"/>
    <w:rsid w:val="004037AB"/>
    <w:rsid w:val="00405881"/>
    <w:rsid w:val="004077BD"/>
    <w:rsid w:val="00410C82"/>
    <w:rsid w:val="00411EAE"/>
    <w:rsid w:val="00412200"/>
    <w:rsid w:val="00414FDD"/>
    <w:rsid w:val="00425A52"/>
    <w:rsid w:val="00436210"/>
    <w:rsid w:val="00441B04"/>
    <w:rsid w:val="0044353D"/>
    <w:rsid w:val="00444A88"/>
    <w:rsid w:val="004453BE"/>
    <w:rsid w:val="00447653"/>
    <w:rsid w:val="00451F0B"/>
    <w:rsid w:val="004555EB"/>
    <w:rsid w:val="004607F5"/>
    <w:rsid w:val="00462D7A"/>
    <w:rsid w:val="00473CC7"/>
    <w:rsid w:val="00474DA4"/>
    <w:rsid w:val="00476B4D"/>
    <w:rsid w:val="004805FA"/>
    <w:rsid w:val="00490E70"/>
    <w:rsid w:val="004935D2"/>
    <w:rsid w:val="004A205C"/>
    <w:rsid w:val="004A2849"/>
    <w:rsid w:val="004A7845"/>
    <w:rsid w:val="004B0F93"/>
    <w:rsid w:val="004B1215"/>
    <w:rsid w:val="004B22C8"/>
    <w:rsid w:val="004C5E8C"/>
    <w:rsid w:val="004D047D"/>
    <w:rsid w:val="004D1B32"/>
    <w:rsid w:val="004E0F0D"/>
    <w:rsid w:val="004E3A6E"/>
    <w:rsid w:val="004E4BE7"/>
    <w:rsid w:val="004F0918"/>
    <w:rsid w:val="004F1E9E"/>
    <w:rsid w:val="004F305A"/>
    <w:rsid w:val="004F6D65"/>
    <w:rsid w:val="00502D77"/>
    <w:rsid w:val="00504E9D"/>
    <w:rsid w:val="005120C9"/>
    <w:rsid w:val="00512164"/>
    <w:rsid w:val="0052011B"/>
    <w:rsid w:val="00520297"/>
    <w:rsid w:val="00524426"/>
    <w:rsid w:val="00526FD2"/>
    <w:rsid w:val="005338F9"/>
    <w:rsid w:val="00533D15"/>
    <w:rsid w:val="0054281C"/>
    <w:rsid w:val="00544581"/>
    <w:rsid w:val="00546E74"/>
    <w:rsid w:val="00547502"/>
    <w:rsid w:val="0055268D"/>
    <w:rsid w:val="00555CCA"/>
    <w:rsid w:val="00571FEE"/>
    <w:rsid w:val="005723B7"/>
    <w:rsid w:val="00574713"/>
    <w:rsid w:val="00575DE2"/>
    <w:rsid w:val="00576748"/>
    <w:rsid w:val="00576BE4"/>
    <w:rsid w:val="005779DB"/>
    <w:rsid w:val="00585345"/>
    <w:rsid w:val="005871D9"/>
    <w:rsid w:val="00587803"/>
    <w:rsid w:val="00595EE0"/>
    <w:rsid w:val="005964AE"/>
    <w:rsid w:val="005A24DE"/>
    <w:rsid w:val="005A2A67"/>
    <w:rsid w:val="005A400A"/>
    <w:rsid w:val="005A5C32"/>
    <w:rsid w:val="005B269D"/>
    <w:rsid w:val="005B4D21"/>
    <w:rsid w:val="005C6BD6"/>
    <w:rsid w:val="005D076C"/>
    <w:rsid w:val="005D5711"/>
    <w:rsid w:val="005E3C1C"/>
    <w:rsid w:val="005E5C9C"/>
    <w:rsid w:val="005E7466"/>
    <w:rsid w:val="005F2115"/>
    <w:rsid w:val="005F7B92"/>
    <w:rsid w:val="006021E9"/>
    <w:rsid w:val="00603BF0"/>
    <w:rsid w:val="00605E71"/>
    <w:rsid w:val="00611D7B"/>
    <w:rsid w:val="00612379"/>
    <w:rsid w:val="006153B6"/>
    <w:rsid w:val="0061555F"/>
    <w:rsid w:val="006245ED"/>
    <w:rsid w:val="0062509A"/>
    <w:rsid w:val="006270C8"/>
    <w:rsid w:val="006339FF"/>
    <w:rsid w:val="006358A7"/>
    <w:rsid w:val="00636CA6"/>
    <w:rsid w:val="00641200"/>
    <w:rsid w:val="00645CA8"/>
    <w:rsid w:val="00650D47"/>
    <w:rsid w:val="006533D5"/>
    <w:rsid w:val="00661521"/>
    <w:rsid w:val="00661545"/>
    <w:rsid w:val="00662EF7"/>
    <w:rsid w:val="006655D3"/>
    <w:rsid w:val="00667404"/>
    <w:rsid w:val="006756D5"/>
    <w:rsid w:val="006808B4"/>
    <w:rsid w:val="0068160B"/>
    <w:rsid w:val="00682866"/>
    <w:rsid w:val="00687EB4"/>
    <w:rsid w:val="00695C56"/>
    <w:rsid w:val="006A5CDE"/>
    <w:rsid w:val="006A644A"/>
    <w:rsid w:val="006B16CA"/>
    <w:rsid w:val="006B17D2"/>
    <w:rsid w:val="006B5D52"/>
    <w:rsid w:val="006B6170"/>
    <w:rsid w:val="006C224E"/>
    <w:rsid w:val="006C5855"/>
    <w:rsid w:val="006D1CC4"/>
    <w:rsid w:val="006D375D"/>
    <w:rsid w:val="006D780A"/>
    <w:rsid w:val="006D79C9"/>
    <w:rsid w:val="006F6BB1"/>
    <w:rsid w:val="00704ECF"/>
    <w:rsid w:val="0071271E"/>
    <w:rsid w:val="007145EC"/>
    <w:rsid w:val="00715657"/>
    <w:rsid w:val="007234B9"/>
    <w:rsid w:val="00726621"/>
    <w:rsid w:val="007271C2"/>
    <w:rsid w:val="00732DEC"/>
    <w:rsid w:val="00733D31"/>
    <w:rsid w:val="007349D6"/>
    <w:rsid w:val="007358C2"/>
    <w:rsid w:val="00735BD5"/>
    <w:rsid w:val="007451EC"/>
    <w:rsid w:val="00746C7E"/>
    <w:rsid w:val="00751613"/>
    <w:rsid w:val="007534DD"/>
    <w:rsid w:val="00753EE9"/>
    <w:rsid w:val="007547C1"/>
    <w:rsid w:val="007556F6"/>
    <w:rsid w:val="00760EEF"/>
    <w:rsid w:val="007654A3"/>
    <w:rsid w:val="00771E4C"/>
    <w:rsid w:val="00777EE5"/>
    <w:rsid w:val="00784836"/>
    <w:rsid w:val="0079023E"/>
    <w:rsid w:val="007A2854"/>
    <w:rsid w:val="007B36FA"/>
    <w:rsid w:val="007C1D92"/>
    <w:rsid w:val="007C4CB9"/>
    <w:rsid w:val="007C740C"/>
    <w:rsid w:val="007D0B9D"/>
    <w:rsid w:val="007D19B0"/>
    <w:rsid w:val="007D63EF"/>
    <w:rsid w:val="007D6EB5"/>
    <w:rsid w:val="007E1527"/>
    <w:rsid w:val="007E2734"/>
    <w:rsid w:val="007E5AA1"/>
    <w:rsid w:val="007F498F"/>
    <w:rsid w:val="0080679D"/>
    <w:rsid w:val="00807E61"/>
    <w:rsid w:val="008108B0"/>
    <w:rsid w:val="008109C6"/>
    <w:rsid w:val="00811B20"/>
    <w:rsid w:val="00812609"/>
    <w:rsid w:val="00813DEC"/>
    <w:rsid w:val="0081662C"/>
    <w:rsid w:val="008211B5"/>
    <w:rsid w:val="0082296E"/>
    <w:rsid w:val="00824099"/>
    <w:rsid w:val="008257DE"/>
    <w:rsid w:val="00833A34"/>
    <w:rsid w:val="008416E9"/>
    <w:rsid w:val="00846D7C"/>
    <w:rsid w:val="008520FE"/>
    <w:rsid w:val="008671A6"/>
    <w:rsid w:val="00867AC1"/>
    <w:rsid w:val="008751DE"/>
    <w:rsid w:val="00877239"/>
    <w:rsid w:val="00887AC5"/>
    <w:rsid w:val="00890DF8"/>
    <w:rsid w:val="008971CD"/>
    <w:rsid w:val="0089764E"/>
    <w:rsid w:val="008A0ADE"/>
    <w:rsid w:val="008A3CC3"/>
    <w:rsid w:val="008A743F"/>
    <w:rsid w:val="008B308D"/>
    <w:rsid w:val="008B319B"/>
    <w:rsid w:val="008B3B75"/>
    <w:rsid w:val="008C0970"/>
    <w:rsid w:val="008C3B46"/>
    <w:rsid w:val="008C574B"/>
    <w:rsid w:val="008D0BC5"/>
    <w:rsid w:val="008D21F1"/>
    <w:rsid w:val="008D2CF7"/>
    <w:rsid w:val="008D4480"/>
    <w:rsid w:val="008E3DA7"/>
    <w:rsid w:val="008F4F2F"/>
    <w:rsid w:val="00900C26"/>
    <w:rsid w:val="0090197F"/>
    <w:rsid w:val="00903264"/>
    <w:rsid w:val="009060C1"/>
    <w:rsid w:val="00906DDC"/>
    <w:rsid w:val="00907D86"/>
    <w:rsid w:val="00911270"/>
    <w:rsid w:val="00920DF8"/>
    <w:rsid w:val="00934E09"/>
    <w:rsid w:val="00936253"/>
    <w:rsid w:val="00940D46"/>
    <w:rsid w:val="009413F1"/>
    <w:rsid w:val="00945816"/>
    <w:rsid w:val="009463A4"/>
    <w:rsid w:val="00950C64"/>
    <w:rsid w:val="00951234"/>
    <w:rsid w:val="00952DD4"/>
    <w:rsid w:val="00954448"/>
    <w:rsid w:val="0095591E"/>
    <w:rsid w:val="00955C8D"/>
    <w:rsid w:val="009561F4"/>
    <w:rsid w:val="00965AE7"/>
    <w:rsid w:val="00970FED"/>
    <w:rsid w:val="00972CF1"/>
    <w:rsid w:val="009740A7"/>
    <w:rsid w:val="009754BF"/>
    <w:rsid w:val="00977A0C"/>
    <w:rsid w:val="00980FFA"/>
    <w:rsid w:val="00982734"/>
    <w:rsid w:val="00992D82"/>
    <w:rsid w:val="00997029"/>
    <w:rsid w:val="009A3BEB"/>
    <w:rsid w:val="009A7339"/>
    <w:rsid w:val="009B122D"/>
    <w:rsid w:val="009B440E"/>
    <w:rsid w:val="009D61E2"/>
    <w:rsid w:val="009D690D"/>
    <w:rsid w:val="009E65B6"/>
    <w:rsid w:val="009E7BC1"/>
    <w:rsid w:val="009F0A51"/>
    <w:rsid w:val="009F1732"/>
    <w:rsid w:val="009F77CF"/>
    <w:rsid w:val="00A14365"/>
    <w:rsid w:val="00A24C10"/>
    <w:rsid w:val="00A274FF"/>
    <w:rsid w:val="00A27ECF"/>
    <w:rsid w:val="00A362DE"/>
    <w:rsid w:val="00A42AC3"/>
    <w:rsid w:val="00A430CF"/>
    <w:rsid w:val="00A54309"/>
    <w:rsid w:val="00A55575"/>
    <w:rsid w:val="00A610A9"/>
    <w:rsid w:val="00A80F2A"/>
    <w:rsid w:val="00A85F2F"/>
    <w:rsid w:val="00A908CE"/>
    <w:rsid w:val="00A91429"/>
    <w:rsid w:val="00A95235"/>
    <w:rsid w:val="00A96C33"/>
    <w:rsid w:val="00AA0391"/>
    <w:rsid w:val="00AA2886"/>
    <w:rsid w:val="00AA4517"/>
    <w:rsid w:val="00AB2B93"/>
    <w:rsid w:val="00AB41D9"/>
    <w:rsid w:val="00AB530F"/>
    <w:rsid w:val="00AB7E5B"/>
    <w:rsid w:val="00AC11C1"/>
    <w:rsid w:val="00AC2883"/>
    <w:rsid w:val="00AC2F94"/>
    <w:rsid w:val="00AD6A52"/>
    <w:rsid w:val="00AD75D6"/>
    <w:rsid w:val="00AE0EF1"/>
    <w:rsid w:val="00AE2937"/>
    <w:rsid w:val="00AE6341"/>
    <w:rsid w:val="00AE717D"/>
    <w:rsid w:val="00AF1360"/>
    <w:rsid w:val="00B07301"/>
    <w:rsid w:val="00B11F3E"/>
    <w:rsid w:val="00B21726"/>
    <w:rsid w:val="00B224DE"/>
    <w:rsid w:val="00B229A0"/>
    <w:rsid w:val="00B324D4"/>
    <w:rsid w:val="00B40B51"/>
    <w:rsid w:val="00B46575"/>
    <w:rsid w:val="00B525D9"/>
    <w:rsid w:val="00B61777"/>
    <w:rsid w:val="00B622E6"/>
    <w:rsid w:val="00B75E43"/>
    <w:rsid w:val="00B83E82"/>
    <w:rsid w:val="00B8414B"/>
    <w:rsid w:val="00B84BBD"/>
    <w:rsid w:val="00B96B90"/>
    <w:rsid w:val="00BA43FB"/>
    <w:rsid w:val="00BA4FEF"/>
    <w:rsid w:val="00BC127D"/>
    <w:rsid w:val="00BC18CB"/>
    <w:rsid w:val="00BC1FE6"/>
    <w:rsid w:val="00BE5F57"/>
    <w:rsid w:val="00BF0653"/>
    <w:rsid w:val="00C02F23"/>
    <w:rsid w:val="00C03CD5"/>
    <w:rsid w:val="00C061B6"/>
    <w:rsid w:val="00C06B1C"/>
    <w:rsid w:val="00C075CD"/>
    <w:rsid w:val="00C1317A"/>
    <w:rsid w:val="00C2446C"/>
    <w:rsid w:val="00C36AE5"/>
    <w:rsid w:val="00C376B5"/>
    <w:rsid w:val="00C41F17"/>
    <w:rsid w:val="00C437A3"/>
    <w:rsid w:val="00C5169D"/>
    <w:rsid w:val="00C527FA"/>
    <w:rsid w:val="00C5280D"/>
    <w:rsid w:val="00C53EB3"/>
    <w:rsid w:val="00C5791C"/>
    <w:rsid w:val="00C628EF"/>
    <w:rsid w:val="00C66290"/>
    <w:rsid w:val="00C72B7A"/>
    <w:rsid w:val="00C76349"/>
    <w:rsid w:val="00C871C3"/>
    <w:rsid w:val="00C973F2"/>
    <w:rsid w:val="00CA304C"/>
    <w:rsid w:val="00CA774A"/>
    <w:rsid w:val="00CB15A5"/>
    <w:rsid w:val="00CB2A74"/>
    <w:rsid w:val="00CB4921"/>
    <w:rsid w:val="00CC11B0"/>
    <w:rsid w:val="00CC2841"/>
    <w:rsid w:val="00CC2D47"/>
    <w:rsid w:val="00CD4FAB"/>
    <w:rsid w:val="00CF1330"/>
    <w:rsid w:val="00CF31E4"/>
    <w:rsid w:val="00CF7E36"/>
    <w:rsid w:val="00D0106A"/>
    <w:rsid w:val="00D06098"/>
    <w:rsid w:val="00D1599D"/>
    <w:rsid w:val="00D17BFA"/>
    <w:rsid w:val="00D17F3B"/>
    <w:rsid w:val="00D25A66"/>
    <w:rsid w:val="00D2662B"/>
    <w:rsid w:val="00D32D29"/>
    <w:rsid w:val="00D3708D"/>
    <w:rsid w:val="00D40426"/>
    <w:rsid w:val="00D4213A"/>
    <w:rsid w:val="00D42A0D"/>
    <w:rsid w:val="00D457C0"/>
    <w:rsid w:val="00D51DE7"/>
    <w:rsid w:val="00D57C96"/>
    <w:rsid w:val="00D57D18"/>
    <w:rsid w:val="00D644A8"/>
    <w:rsid w:val="00D70E65"/>
    <w:rsid w:val="00D7177D"/>
    <w:rsid w:val="00D74F75"/>
    <w:rsid w:val="00D8513F"/>
    <w:rsid w:val="00D91203"/>
    <w:rsid w:val="00D95174"/>
    <w:rsid w:val="00DA3221"/>
    <w:rsid w:val="00DA4973"/>
    <w:rsid w:val="00DA4A58"/>
    <w:rsid w:val="00DA602F"/>
    <w:rsid w:val="00DA6F36"/>
    <w:rsid w:val="00DA75C4"/>
    <w:rsid w:val="00DB4BC6"/>
    <w:rsid w:val="00DB596E"/>
    <w:rsid w:val="00DB7773"/>
    <w:rsid w:val="00DC00EA"/>
    <w:rsid w:val="00DC3802"/>
    <w:rsid w:val="00DC6FAC"/>
    <w:rsid w:val="00DD1D80"/>
    <w:rsid w:val="00DD5598"/>
    <w:rsid w:val="00DD6208"/>
    <w:rsid w:val="00DE3B91"/>
    <w:rsid w:val="00DF3A4C"/>
    <w:rsid w:val="00DF3CF9"/>
    <w:rsid w:val="00DF6158"/>
    <w:rsid w:val="00DF6CD3"/>
    <w:rsid w:val="00DF7E99"/>
    <w:rsid w:val="00E04AB8"/>
    <w:rsid w:val="00E07D87"/>
    <w:rsid w:val="00E155FE"/>
    <w:rsid w:val="00E15B42"/>
    <w:rsid w:val="00E16113"/>
    <w:rsid w:val="00E163AA"/>
    <w:rsid w:val="00E249C8"/>
    <w:rsid w:val="00E25937"/>
    <w:rsid w:val="00E2674F"/>
    <w:rsid w:val="00E31CB5"/>
    <w:rsid w:val="00E32F7E"/>
    <w:rsid w:val="00E33C13"/>
    <w:rsid w:val="00E34664"/>
    <w:rsid w:val="00E42C45"/>
    <w:rsid w:val="00E44F8A"/>
    <w:rsid w:val="00E5267B"/>
    <w:rsid w:val="00E559F0"/>
    <w:rsid w:val="00E5703E"/>
    <w:rsid w:val="00E63C0E"/>
    <w:rsid w:val="00E645D9"/>
    <w:rsid w:val="00E6491B"/>
    <w:rsid w:val="00E66E45"/>
    <w:rsid w:val="00E67AF2"/>
    <w:rsid w:val="00E71793"/>
    <w:rsid w:val="00E72D49"/>
    <w:rsid w:val="00E7593C"/>
    <w:rsid w:val="00E7678A"/>
    <w:rsid w:val="00E76F45"/>
    <w:rsid w:val="00E81CF2"/>
    <w:rsid w:val="00E86EA1"/>
    <w:rsid w:val="00E935F1"/>
    <w:rsid w:val="00E94A81"/>
    <w:rsid w:val="00EA1FFB"/>
    <w:rsid w:val="00EA3432"/>
    <w:rsid w:val="00EB02CE"/>
    <w:rsid w:val="00EB048E"/>
    <w:rsid w:val="00EB4656"/>
    <w:rsid w:val="00EB4E9C"/>
    <w:rsid w:val="00EB7481"/>
    <w:rsid w:val="00EC5D7E"/>
    <w:rsid w:val="00ED5E0E"/>
    <w:rsid w:val="00EE34DF"/>
    <w:rsid w:val="00EF2F89"/>
    <w:rsid w:val="00F02ADD"/>
    <w:rsid w:val="00F03E98"/>
    <w:rsid w:val="00F06F77"/>
    <w:rsid w:val="00F11D4D"/>
    <w:rsid w:val="00F11DAD"/>
    <w:rsid w:val="00F1237A"/>
    <w:rsid w:val="00F22CBD"/>
    <w:rsid w:val="00F23157"/>
    <w:rsid w:val="00F272F1"/>
    <w:rsid w:val="00F31412"/>
    <w:rsid w:val="00F45372"/>
    <w:rsid w:val="00F514BB"/>
    <w:rsid w:val="00F518D8"/>
    <w:rsid w:val="00F560F7"/>
    <w:rsid w:val="00F56A7F"/>
    <w:rsid w:val="00F6334D"/>
    <w:rsid w:val="00F63599"/>
    <w:rsid w:val="00F70F2C"/>
    <w:rsid w:val="00F71781"/>
    <w:rsid w:val="00F8429E"/>
    <w:rsid w:val="00F948ED"/>
    <w:rsid w:val="00FA12B1"/>
    <w:rsid w:val="00FA49AB"/>
    <w:rsid w:val="00FA67E4"/>
    <w:rsid w:val="00FC306A"/>
    <w:rsid w:val="00FC5C2A"/>
    <w:rsid w:val="00FC5FD0"/>
    <w:rsid w:val="00FD1504"/>
    <w:rsid w:val="00FD36AE"/>
    <w:rsid w:val="00FD690C"/>
    <w:rsid w:val="00FD765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6E92A"/>
  <w15:docId w15:val="{C275CB13-6019-42F3-90B8-FAACF94A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F56A7F"/>
    <w:pPr>
      <w:keepNext/>
      <w:ind w:left="567"/>
      <w:jc w:val="both"/>
      <w:outlineLvl w:val="3"/>
    </w:pPr>
    <w:rPr>
      <w:rFonts w:ascii="Arial" w:hAnsi="Arial"/>
      <w:u w:val="single"/>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330E52"/>
    <w:pPr>
      <w:keepNext/>
      <w:ind w:firstLine="567"/>
      <w:outlineLvl w:val="5"/>
    </w:pPr>
    <w:rPr>
      <w:u w:val="single"/>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7C740C"/>
    <w:pPr>
      <w:tabs>
        <w:tab w:val="left" w:pos="5387"/>
        <w:tab w:val="left" w:pos="5954"/>
      </w:tabs>
      <w:ind w:left="4820"/>
    </w:pPr>
    <w:rPr>
      <w:i/>
    </w:rPr>
  </w:style>
  <w:style w:type="paragraph" w:styleId="FootnoteText">
    <w:name w:val="footnote text"/>
    <w:link w:val="FootnoteTextChar"/>
    <w:autoRedefine/>
    <w:rsid w:val="001A35E6"/>
    <w:pPr>
      <w:ind w:right="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link w:val="EndnoteTextChar"/>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312E81"/>
    <w:pPr>
      <w:tabs>
        <w:tab w:val="left" w:pos="709"/>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AA2886"/>
    <w:pPr>
      <w:tabs>
        <w:tab w:val="right" w:leader="dot" w:pos="9639"/>
      </w:tabs>
      <w:spacing w:after="60"/>
      <w:ind w:left="709" w:right="567"/>
      <w:contextualSpacing/>
    </w:pPr>
    <w:rPr>
      <w:rFonts w:ascii="Arial" w:hAnsi="Arial" w:cs="Arial"/>
      <w:i/>
      <w:noProof/>
      <w:snapToGrid w:val="0"/>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uiPriority w:val="39"/>
    <w:rsid w:val="00AA2886"/>
    <w:pPr>
      <w:tabs>
        <w:tab w:val="right" w:leader="dot" w:pos="9639"/>
      </w:tabs>
      <w:spacing w:after="60"/>
      <w:ind w:left="1134" w:right="567"/>
    </w:pPr>
    <w:rPr>
      <w:rFonts w:ascii="Arial" w:hAnsi="Arial"/>
      <w:noProof/>
      <w:snapToGrid w:val="0"/>
      <w:sz w:val="18"/>
      <w:lang w:val="fr-FR"/>
    </w:rPr>
  </w:style>
  <w:style w:type="paragraph" w:styleId="TOC1">
    <w:name w:val="toc 1"/>
    <w:basedOn w:val="Normal"/>
    <w:next w:val="Normal"/>
    <w:uiPriority w:val="39"/>
    <w:qFormat/>
    <w:rsid w:val="00AA2886"/>
    <w:pPr>
      <w:tabs>
        <w:tab w:val="right" w:leader="dot" w:pos="9639"/>
      </w:tabs>
      <w:spacing w:before="60" w:after="120"/>
      <w:ind w:right="850"/>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1A35E6"/>
    <w:rPr>
      <w:rFonts w:ascii="Arial" w:hAnsi="Arial"/>
      <w:sz w:val="16"/>
    </w:rPr>
  </w:style>
  <w:style w:type="character" w:customStyle="1" w:styleId="Heading2Char">
    <w:name w:val="Heading 2 Char"/>
    <w:aliases w:val="VARIETY Char,variety Char"/>
    <w:basedOn w:val="DefaultParagraphFont"/>
    <w:link w:val="Heading2"/>
    <w:rsid w:val="006B6170"/>
    <w:rPr>
      <w:rFonts w:ascii="Arial" w:hAnsi="Arial"/>
      <w:u w:val="single"/>
    </w:rPr>
  </w:style>
  <w:style w:type="character" w:customStyle="1" w:styleId="Heading3Char">
    <w:name w:val="Heading 3 Char"/>
    <w:basedOn w:val="DefaultParagraphFont"/>
    <w:link w:val="Heading3"/>
    <w:rsid w:val="006B6170"/>
    <w:rPr>
      <w:rFonts w:ascii="Arial" w:hAnsi="Arial"/>
      <w:i/>
    </w:rPr>
  </w:style>
  <w:style w:type="paragraph" w:customStyle="1" w:styleId="Annexparagraphnumbering">
    <w:name w:val="Annex paragraph numbering"/>
    <w:basedOn w:val="Normal"/>
    <w:rsid w:val="003E0941"/>
    <w:pPr>
      <w:numPr>
        <w:numId w:val="26"/>
      </w:numPr>
      <w:spacing w:after="240"/>
    </w:pPr>
  </w:style>
  <w:style w:type="paragraph" w:styleId="ListParagraph">
    <w:name w:val="List Paragraph"/>
    <w:aliases w:val="auto_list_(i),List Paragraph1"/>
    <w:basedOn w:val="Normal"/>
    <w:link w:val="ListParagraphChar"/>
    <w:uiPriority w:val="34"/>
    <w:qFormat/>
    <w:rsid w:val="004607F5"/>
    <w:pPr>
      <w:ind w:left="720"/>
      <w:contextualSpacing/>
    </w:pPr>
  </w:style>
  <w:style w:type="character" w:customStyle="1" w:styleId="Heading4Char">
    <w:name w:val="Heading 4 Char"/>
    <w:link w:val="Heading4"/>
    <w:rsid w:val="00F56A7F"/>
    <w:rPr>
      <w:rFonts w:ascii="Arial" w:hAnsi="Arial"/>
      <w:u w:val="single"/>
    </w:rPr>
  </w:style>
  <w:style w:type="paragraph" w:customStyle="1" w:styleId="BasistekstNaktuinbouw">
    <w:name w:val="Basistekst Naktuinbouw"/>
    <w:basedOn w:val="Normal"/>
    <w:qFormat/>
    <w:rsid w:val="00A908CE"/>
    <w:pPr>
      <w:spacing w:line="240" w:lineRule="atLeast"/>
      <w:jc w:val="left"/>
    </w:pPr>
    <w:rPr>
      <w:rFonts w:cs="Maiandra GD"/>
      <w:color w:val="000000" w:themeColor="text1"/>
      <w:szCs w:val="18"/>
      <w:lang w:val="nl-NL" w:eastAsia="nl-NL"/>
    </w:rPr>
  </w:style>
  <w:style w:type="character" w:customStyle="1" w:styleId="ListParagraphChar">
    <w:name w:val="List Paragraph Char"/>
    <w:aliases w:val="auto_list_(i) Char,List Paragraph1 Char"/>
    <w:basedOn w:val="DefaultParagraphFont"/>
    <w:link w:val="ListParagraph"/>
    <w:uiPriority w:val="34"/>
    <w:locked/>
    <w:rsid w:val="004607F5"/>
    <w:rPr>
      <w:rFonts w:ascii="Arial" w:hAnsi="Arial"/>
    </w:rPr>
  </w:style>
  <w:style w:type="paragraph" w:customStyle="1" w:styleId="Default">
    <w:name w:val="Default"/>
    <w:rsid w:val="0081662C"/>
    <w:pPr>
      <w:autoSpaceDE w:val="0"/>
      <w:autoSpaceDN w:val="0"/>
      <w:adjustRightInd w:val="0"/>
    </w:pPr>
    <w:rPr>
      <w:rFonts w:ascii="Arial" w:hAnsi="Arial" w:cs="Arial"/>
      <w:color w:val="000000"/>
      <w:sz w:val="24"/>
      <w:szCs w:val="24"/>
    </w:rPr>
  </w:style>
  <w:style w:type="numbering" w:customStyle="1" w:styleId="Style1">
    <w:name w:val="Style1"/>
    <w:uiPriority w:val="99"/>
    <w:rsid w:val="003E0941"/>
    <w:pPr>
      <w:numPr>
        <w:numId w:val="24"/>
      </w:numPr>
    </w:pPr>
  </w:style>
  <w:style w:type="character" w:customStyle="1" w:styleId="EndnoteTextChar">
    <w:name w:val="Endnote Text Char"/>
    <w:basedOn w:val="DefaultParagraphFont"/>
    <w:link w:val="EndnoteText"/>
    <w:rsid w:val="00603BF0"/>
    <w:rPr>
      <w:rFonts w:ascii="Arial" w:hAnsi="Arial"/>
    </w:rPr>
  </w:style>
  <w:style w:type="character" w:customStyle="1" w:styleId="ui-provider">
    <w:name w:val="ui-provider"/>
    <w:basedOn w:val="DefaultParagraphFont"/>
    <w:rsid w:val="00603BF0"/>
  </w:style>
  <w:style w:type="paragraph" w:styleId="Revision">
    <w:name w:val="Revision"/>
    <w:hidden/>
    <w:uiPriority w:val="99"/>
    <w:semiHidden/>
    <w:rsid w:val="00247A89"/>
    <w:rPr>
      <w:rFonts w:ascii="Arial" w:hAnsi="Arial"/>
    </w:rPr>
  </w:style>
  <w:style w:type="character" w:styleId="CommentReference">
    <w:name w:val="annotation reference"/>
    <w:basedOn w:val="DefaultParagraphFont"/>
    <w:semiHidden/>
    <w:unhideWhenUsed/>
    <w:rsid w:val="006D375D"/>
    <w:rPr>
      <w:sz w:val="16"/>
      <w:szCs w:val="16"/>
    </w:rPr>
  </w:style>
  <w:style w:type="paragraph" w:styleId="CommentText">
    <w:name w:val="annotation text"/>
    <w:basedOn w:val="Normal"/>
    <w:link w:val="CommentTextChar"/>
    <w:unhideWhenUsed/>
    <w:rsid w:val="006D375D"/>
  </w:style>
  <w:style w:type="character" w:customStyle="1" w:styleId="CommentTextChar">
    <w:name w:val="Comment Text Char"/>
    <w:basedOn w:val="DefaultParagraphFont"/>
    <w:link w:val="CommentText"/>
    <w:rsid w:val="006D375D"/>
    <w:rPr>
      <w:rFonts w:ascii="Arial" w:hAnsi="Arial"/>
    </w:rPr>
  </w:style>
  <w:style w:type="paragraph" w:styleId="CommentSubject">
    <w:name w:val="annotation subject"/>
    <w:basedOn w:val="CommentText"/>
    <w:next w:val="CommentText"/>
    <w:link w:val="CommentSubjectChar"/>
    <w:semiHidden/>
    <w:unhideWhenUsed/>
    <w:rsid w:val="006D375D"/>
    <w:rPr>
      <w:b/>
      <w:bCs/>
    </w:rPr>
  </w:style>
  <w:style w:type="character" w:customStyle="1" w:styleId="CommentSubjectChar">
    <w:name w:val="Comment Subject Char"/>
    <w:basedOn w:val="CommentTextChar"/>
    <w:link w:val="CommentSubject"/>
    <w:semiHidden/>
    <w:rsid w:val="006D375D"/>
    <w:rPr>
      <w:rFonts w:ascii="Arial" w:hAnsi="Arial"/>
      <w:b/>
      <w:bCs/>
    </w:rPr>
  </w:style>
  <w:style w:type="paragraph" w:customStyle="1" w:styleId="Normaltg">
    <w:name w:val="Normaltg"/>
    <w:basedOn w:val="Normal"/>
    <w:rsid w:val="00887AC5"/>
    <w:pPr>
      <w:tabs>
        <w:tab w:val="left" w:pos="709"/>
        <w:tab w:val="left" w:pos="1418"/>
      </w:tabs>
    </w:pPr>
    <w:rPr>
      <w:lang w:val="fr-FR"/>
    </w:rPr>
  </w:style>
  <w:style w:type="paragraph" w:styleId="BlockText">
    <w:name w:val="Block Text"/>
    <w:basedOn w:val="Normal"/>
    <w:unhideWhenUsed/>
    <w:rsid w:val="00887AC5"/>
    <w:pPr>
      <w:ind w:left="567" w:right="567"/>
    </w:pPr>
    <w:rPr>
      <w:sz w:val="18"/>
      <w:szCs w:val="18"/>
    </w:rPr>
  </w:style>
  <w:style w:type="paragraph" w:styleId="BodyText2">
    <w:name w:val="Body Text 2"/>
    <w:basedOn w:val="Normal"/>
    <w:link w:val="BodyText2Char"/>
    <w:unhideWhenUsed/>
    <w:rsid w:val="00907D86"/>
    <w:rPr>
      <w:u w:val="single"/>
    </w:rPr>
  </w:style>
  <w:style w:type="character" w:customStyle="1" w:styleId="BodyText2Char">
    <w:name w:val="Body Text 2 Char"/>
    <w:basedOn w:val="DefaultParagraphFont"/>
    <w:link w:val="BodyText2"/>
    <w:rsid w:val="00907D86"/>
    <w:rPr>
      <w:rFonts w:ascii="Arial" w:hAnsi="Arial"/>
      <w:u w:val="single"/>
    </w:rPr>
  </w:style>
  <w:style w:type="paragraph" w:styleId="BodyText3">
    <w:name w:val="Body Text 3"/>
    <w:basedOn w:val="Normal"/>
    <w:link w:val="BodyText3Char"/>
    <w:unhideWhenUsed/>
    <w:rsid w:val="00907D86"/>
    <w:rPr>
      <w:i/>
      <w:iCs/>
    </w:rPr>
  </w:style>
  <w:style w:type="character" w:customStyle="1" w:styleId="BodyText3Char">
    <w:name w:val="Body Text 3 Char"/>
    <w:basedOn w:val="DefaultParagraphFont"/>
    <w:link w:val="BodyText3"/>
    <w:rsid w:val="00907D86"/>
    <w:rPr>
      <w:rFonts w:ascii="Arial" w:hAnsi="Arial"/>
      <w:i/>
      <w:iCs/>
    </w:rPr>
  </w:style>
  <w:style w:type="character" w:customStyle="1" w:styleId="Heading6Char">
    <w:name w:val="Heading 6 Char"/>
    <w:basedOn w:val="DefaultParagraphFont"/>
    <w:link w:val="Heading6"/>
    <w:rsid w:val="00330E52"/>
    <w:rPr>
      <w:rFonts w:ascii="Arial" w:hAnsi="Arial"/>
      <w:u w:val="single"/>
    </w:rPr>
  </w:style>
  <w:style w:type="paragraph" w:styleId="BodyTextIndent">
    <w:name w:val="Body Text Indent"/>
    <w:basedOn w:val="Normal"/>
    <w:link w:val="BodyTextIndentChar"/>
    <w:unhideWhenUsed/>
    <w:rsid w:val="00330E52"/>
    <w:pPr>
      <w:ind w:left="1134"/>
    </w:pPr>
  </w:style>
  <w:style w:type="character" w:customStyle="1" w:styleId="BodyTextIndentChar">
    <w:name w:val="Body Text Indent Char"/>
    <w:basedOn w:val="DefaultParagraphFont"/>
    <w:link w:val="BodyTextIndent"/>
    <w:rsid w:val="00330E52"/>
    <w:rPr>
      <w:rFonts w:ascii="Arial" w:hAnsi="Arial"/>
    </w:rPr>
  </w:style>
  <w:style w:type="paragraph" w:styleId="BodyTextIndent2">
    <w:name w:val="Body Text Indent 2"/>
    <w:basedOn w:val="Normal"/>
    <w:link w:val="BodyTextIndent2Char"/>
    <w:unhideWhenUsed/>
    <w:rsid w:val="00076776"/>
    <w:pPr>
      <w:ind w:left="567"/>
    </w:pPr>
    <w:rPr>
      <w:u w:val="single"/>
    </w:rPr>
  </w:style>
  <w:style w:type="character" w:customStyle="1" w:styleId="BodyTextIndent2Char">
    <w:name w:val="Body Text Indent 2 Char"/>
    <w:basedOn w:val="DefaultParagraphFont"/>
    <w:link w:val="BodyTextIndent2"/>
    <w:rsid w:val="00076776"/>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5.jpe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9.png"/><Relationship Id="rId27" Type="http://schemas.openxmlformats.org/officeDocument/2006/relationships/header" Target="header10.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8\template\routing_slip_with_doc_twp_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07A68-690D-49C4-9F97-D94D3BF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routing_slip_with_doc_twp_8.dotm</Template>
  <TotalTime>10</TotalTime>
  <Pages>18</Pages>
  <Words>5976</Words>
  <Characters>35011</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TWP/8/1</vt:lpstr>
    </vt:vector>
  </TitlesOfParts>
  <Company>UPOV</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TWP/8/1</dc:title>
  <dc:creator>SANCHEZ VIZCAINO GOMEZ Rosa Maria</dc:creator>
  <cp:lastModifiedBy>SANCHEZ VIZCAINO GOMEZ Rosa Maria</cp:lastModifiedBy>
  <cp:revision>10</cp:revision>
  <cp:lastPrinted>2016-11-22T15:41:00Z</cp:lastPrinted>
  <dcterms:created xsi:type="dcterms:W3CDTF">2024-04-04T16:37:00Z</dcterms:created>
  <dcterms:modified xsi:type="dcterms:W3CDTF">2024-04-16T09:41:00Z</dcterms:modified>
</cp:coreProperties>
</file>