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7939D4F" w14:textId="77777777" w:rsidTr="00EB4E9C">
        <w:tc>
          <w:tcPr>
            <w:tcW w:w="6522" w:type="dxa"/>
          </w:tcPr>
          <w:p w14:paraId="61109FFB" w14:textId="77777777" w:rsidR="00DC3802" w:rsidRPr="00AC2883" w:rsidRDefault="00DC3802" w:rsidP="00AC2883">
            <w:r w:rsidRPr="00D250C5">
              <w:rPr>
                <w:noProof/>
              </w:rPr>
              <w:drawing>
                <wp:inline distT="0" distB="0" distL="0" distR="0" wp14:anchorId="6D6A7BD6" wp14:editId="291D9F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5D6414A" w14:textId="77777777" w:rsidR="00DC3802" w:rsidRPr="007C1D92" w:rsidRDefault="00DC3802" w:rsidP="00AC2883">
            <w:pPr>
              <w:pStyle w:val="Lettrine"/>
            </w:pPr>
            <w:r w:rsidRPr="00172084">
              <w:t>E</w:t>
            </w:r>
          </w:p>
        </w:tc>
      </w:tr>
      <w:tr w:rsidR="00DC3802" w:rsidRPr="00DA4973" w14:paraId="3C43B264" w14:textId="77777777" w:rsidTr="00645CA8">
        <w:trPr>
          <w:trHeight w:val="219"/>
        </w:trPr>
        <w:tc>
          <w:tcPr>
            <w:tcW w:w="6522" w:type="dxa"/>
          </w:tcPr>
          <w:p w14:paraId="1506A8FB" w14:textId="77777777" w:rsidR="00DC3802" w:rsidRPr="00AC2883" w:rsidRDefault="00DC3802" w:rsidP="00AC2883">
            <w:pPr>
              <w:pStyle w:val="upove"/>
            </w:pPr>
            <w:r w:rsidRPr="00AC2883">
              <w:t>International Union for the Protection of New Varieties of Plants</w:t>
            </w:r>
          </w:p>
        </w:tc>
        <w:tc>
          <w:tcPr>
            <w:tcW w:w="3117" w:type="dxa"/>
          </w:tcPr>
          <w:p w14:paraId="3B8D7163" w14:textId="77777777" w:rsidR="00DC3802" w:rsidRPr="00DA4973" w:rsidRDefault="00DC3802" w:rsidP="00DA4973"/>
        </w:tc>
      </w:tr>
    </w:tbl>
    <w:p w14:paraId="0C1F6E7D" w14:textId="77777777" w:rsidR="00DC3802" w:rsidRDefault="00DC3802" w:rsidP="00DC3802"/>
    <w:p w14:paraId="2CDE61D1"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571F8C15" w14:textId="77777777" w:rsidTr="004226CC">
        <w:tc>
          <w:tcPr>
            <w:tcW w:w="6512" w:type="dxa"/>
          </w:tcPr>
          <w:p w14:paraId="6A5B4F70" w14:textId="77777777" w:rsidR="00320E00" w:rsidRPr="00AC2883" w:rsidRDefault="00320E00" w:rsidP="004226CC">
            <w:pPr>
              <w:pStyle w:val="Sessiontc"/>
            </w:pPr>
            <w:r w:rsidRPr="00E70039">
              <w:t xml:space="preserve">Technical Working Party for </w:t>
            </w:r>
            <w:r>
              <w:t>Fruit Crops</w:t>
            </w:r>
          </w:p>
          <w:p w14:paraId="4C036496" w14:textId="77777777" w:rsidR="00320E00" w:rsidRPr="00DC3802" w:rsidRDefault="00320E00" w:rsidP="00B541C3">
            <w:pPr>
              <w:pStyle w:val="Sessiontcplacedate"/>
              <w:rPr>
                <w:sz w:val="22"/>
              </w:rPr>
            </w:pPr>
            <w:r w:rsidRPr="001434F5">
              <w:t>Fifty-</w:t>
            </w:r>
            <w:r w:rsidR="00CD5201">
              <w:t>Six</w:t>
            </w:r>
            <w:r w:rsidR="00B541C3">
              <w:t>th</w:t>
            </w:r>
            <w:r w:rsidRPr="001434F5">
              <w:t xml:space="preserve"> </w:t>
            </w:r>
            <w:r w:rsidRPr="00300C1E">
              <w:t>Session</w:t>
            </w:r>
            <w:r w:rsidRPr="00300C1E">
              <w:br/>
            </w:r>
            <w:r w:rsidR="002E5E82" w:rsidRPr="00197C24">
              <w:t>Bursa</w:t>
            </w:r>
            <w:r w:rsidR="00CD5201" w:rsidRPr="00197C24">
              <w:t>,</w:t>
            </w:r>
            <w:r w:rsidR="00CD5201" w:rsidRPr="00CD5201">
              <w:t xml:space="preserve"> Türkiye, June 23 to 26, 2025</w:t>
            </w:r>
          </w:p>
        </w:tc>
        <w:tc>
          <w:tcPr>
            <w:tcW w:w="3127" w:type="dxa"/>
          </w:tcPr>
          <w:p w14:paraId="3936B3B9" w14:textId="7DFD1230" w:rsidR="00320E00" w:rsidRPr="003C7FBE" w:rsidRDefault="00320E00" w:rsidP="004226CC">
            <w:pPr>
              <w:pStyle w:val="Doccode"/>
            </w:pPr>
            <w:r>
              <w:t>TWF</w:t>
            </w:r>
            <w:r w:rsidRPr="00AC2883">
              <w:t>/</w:t>
            </w:r>
            <w:r>
              <w:t>5</w:t>
            </w:r>
            <w:r w:rsidR="00CD5201">
              <w:t>6</w:t>
            </w:r>
            <w:r w:rsidRPr="00AC2883">
              <w:t>/</w:t>
            </w:r>
            <w:r w:rsidR="00D01F96">
              <w:t xml:space="preserve">2 </w:t>
            </w:r>
          </w:p>
          <w:p w14:paraId="029982E6" w14:textId="77777777" w:rsidR="00320E00" w:rsidRPr="003C7FBE" w:rsidRDefault="00320E00" w:rsidP="004226CC">
            <w:pPr>
              <w:pStyle w:val="Docoriginal"/>
            </w:pPr>
            <w:r w:rsidRPr="00AC2883">
              <w:t>Original:</w:t>
            </w:r>
            <w:r w:rsidRPr="000E636A">
              <w:rPr>
                <w:b w:val="0"/>
                <w:spacing w:val="0"/>
              </w:rPr>
              <w:t xml:space="preserve">  English</w:t>
            </w:r>
          </w:p>
          <w:p w14:paraId="563F57FE" w14:textId="0B5121BF" w:rsidR="00320E00" w:rsidRPr="007C1D92" w:rsidRDefault="00320E00" w:rsidP="00B541C3">
            <w:pPr>
              <w:pStyle w:val="Docoriginal"/>
            </w:pPr>
            <w:r w:rsidRPr="00AC2883">
              <w:t>Date:</w:t>
            </w:r>
            <w:r w:rsidRPr="000E636A">
              <w:rPr>
                <w:b w:val="0"/>
                <w:spacing w:val="0"/>
              </w:rPr>
              <w:t xml:space="preserve">  </w:t>
            </w:r>
            <w:r w:rsidR="0086218E" w:rsidRPr="00355A8C">
              <w:rPr>
                <w:b w:val="0"/>
                <w:spacing w:val="0"/>
              </w:rPr>
              <w:t xml:space="preserve">July </w:t>
            </w:r>
            <w:r w:rsidR="00355A8C" w:rsidRPr="00355A8C">
              <w:rPr>
                <w:b w:val="0"/>
                <w:spacing w:val="0"/>
              </w:rPr>
              <w:t>7</w:t>
            </w:r>
            <w:r w:rsidRPr="00355A8C">
              <w:rPr>
                <w:b w:val="0"/>
                <w:spacing w:val="0"/>
              </w:rPr>
              <w:t>, 202</w:t>
            </w:r>
            <w:r w:rsidR="00CD5201" w:rsidRPr="00355A8C">
              <w:rPr>
                <w:b w:val="0"/>
                <w:spacing w:val="0"/>
              </w:rPr>
              <w:t>5</w:t>
            </w:r>
          </w:p>
        </w:tc>
      </w:tr>
    </w:tbl>
    <w:p w14:paraId="629563CE" w14:textId="77777777" w:rsidR="00D01F96" w:rsidRPr="006A644A" w:rsidRDefault="00D01F96" w:rsidP="00904063">
      <w:pPr>
        <w:pStyle w:val="Titleofdoc0"/>
        <w:jc w:val="both"/>
      </w:pPr>
      <w:bookmarkStart w:id="0" w:name="TitleOfDoc"/>
      <w:bookmarkEnd w:id="0"/>
      <w:r w:rsidRPr="00252123">
        <w:t>Reports on developments in plant variety protection from members and observers</w:t>
      </w:r>
    </w:p>
    <w:p w14:paraId="1822C70E" w14:textId="77777777" w:rsidR="00D01F96" w:rsidRPr="006A644A" w:rsidRDefault="00D01F96" w:rsidP="00D01F96">
      <w:pPr>
        <w:pStyle w:val="preparedby1"/>
      </w:pPr>
      <w:bookmarkStart w:id="1" w:name="Prepared"/>
      <w:bookmarkEnd w:id="1"/>
      <w:r w:rsidRPr="000C4E25">
        <w:t>Document prepared by the Office of the Union</w:t>
      </w:r>
    </w:p>
    <w:p w14:paraId="093B292C" w14:textId="77777777" w:rsidR="00D01F96" w:rsidRPr="006A644A" w:rsidRDefault="00D01F96" w:rsidP="00D01F96">
      <w:pPr>
        <w:pStyle w:val="Disclaimer"/>
      </w:pPr>
      <w:r w:rsidRPr="006A644A">
        <w:t>Disclaimer:  this document does not represent UPOV policies or guidance</w:t>
      </w:r>
    </w:p>
    <w:p w14:paraId="3DA74298" w14:textId="77777777" w:rsidR="00D01F96" w:rsidRPr="00F43E60" w:rsidRDefault="00D01F96" w:rsidP="00D01F96">
      <w:pPr>
        <w:tabs>
          <w:tab w:val="left" w:pos="567"/>
        </w:tabs>
        <w:rPr>
          <w:rFonts w:cs="Arial"/>
          <w:snapToGrid w:val="0"/>
        </w:rPr>
      </w:pPr>
      <w:r w:rsidRPr="00F43E60">
        <w:rPr>
          <w:rFonts w:cs="Arial"/>
        </w:rPr>
        <w:fldChar w:fldCharType="begin"/>
      </w:r>
      <w:r w:rsidRPr="00F43E60">
        <w:rPr>
          <w:rFonts w:cs="Arial"/>
        </w:rPr>
        <w:instrText xml:space="preserve"> AUTONUM  </w:instrText>
      </w:r>
      <w:r w:rsidRPr="00F43E60">
        <w:rPr>
          <w:rFonts w:cs="Arial"/>
        </w:rPr>
        <w:fldChar w:fldCharType="end"/>
      </w:r>
      <w:r w:rsidRPr="00F43E60">
        <w:rPr>
          <w:rFonts w:cs="Arial"/>
        </w:rPr>
        <w:tab/>
        <w:t xml:space="preserve">The Technical Committee (TC), at its </w:t>
      </w:r>
      <w:r w:rsidRPr="00F43E60">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54B2913E" w14:textId="77777777" w:rsidR="00D01F96" w:rsidRPr="00F43E60" w:rsidRDefault="00D01F96" w:rsidP="00D01F96">
      <w:pPr>
        <w:tabs>
          <w:tab w:val="left" w:pos="567"/>
        </w:tabs>
        <w:rPr>
          <w:rFonts w:cs="Arial"/>
          <w:snapToGrid w:val="0"/>
        </w:rPr>
      </w:pPr>
    </w:p>
    <w:p w14:paraId="617AD110" w14:textId="386CF641" w:rsidR="00D01F96" w:rsidRPr="002513C1" w:rsidRDefault="00D01F96" w:rsidP="00D01F96">
      <w:pPr>
        <w:tabs>
          <w:tab w:val="left" w:pos="567"/>
        </w:tabs>
        <w:rPr>
          <w:rFonts w:cs="Arial"/>
          <w:snapToGrid w:val="0"/>
        </w:rPr>
      </w:pPr>
      <w:r w:rsidRPr="00F43E60">
        <w:rPr>
          <w:rFonts w:cs="Arial"/>
          <w:snapToGrid w:val="0"/>
        </w:rPr>
        <w:fldChar w:fldCharType="begin"/>
      </w:r>
      <w:r w:rsidRPr="00F43E60">
        <w:rPr>
          <w:rFonts w:cs="Arial"/>
          <w:snapToGrid w:val="0"/>
        </w:rPr>
        <w:instrText xml:space="preserve"> AUTONUM  \* Arabic </w:instrText>
      </w:r>
      <w:r w:rsidRPr="00F43E60">
        <w:rPr>
          <w:rFonts w:cs="Arial"/>
          <w:snapToGrid w:val="0"/>
        </w:rPr>
        <w:fldChar w:fldCharType="end"/>
      </w:r>
      <w:r w:rsidRPr="00F43E60">
        <w:rPr>
          <w:rFonts w:cs="Arial"/>
          <w:snapToGrid w:val="0"/>
        </w:rPr>
        <w:tab/>
        <w:t xml:space="preserve">Written reports were invited by the Office of the Union in </w:t>
      </w:r>
      <w:r w:rsidRPr="00F43E60">
        <w:rPr>
          <w:rFonts w:cs="Arial"/>
        </w:rPr>
        <w:t xml:space="preserve">Circular </w:t>
      </w:r>
      <w:r w:rsidRPr="006125C6">
        <w:rPr>
          <w:rFonts w:cs="Arial"/>
        </w:rPr>
        <w:t>E-25/0</w:t>
      </w:r>
      <w:r>
        <w:rPr>
          <w:rFonts w:cs="Arial"/>
        </w:rPr>
        <w:t>31</w:t>
      </w:r>
      <w:r w:rsidRPr="006125C6">
        <w:rPr>
          <w:rFonts w:cs="Arial"/>
        </w:rPr>
        <w:t xml:space="preserve"> of </w:t>
      </w:r>
      <w:r>
        <w:rPr>
          <w:rFonts w:cs="Arial"/>
        </w:rPr>
        <w:t>May 6</w:t>
      </w:r>
      <w:r w:rsidRPr="006125C6">
        <w:rPr>
          <w:rFonts w:cs="Arial"/>
        </w:rPr>
        <w:t>, 2025</w:t>
      </w:r>
      <w:r w:rsidRPr="00F43E60">
        <w:rPr>
          <w:rFonts w:cs="Arial"/>
          <w:snapToGrid w:val="0"/>
        </w:rPr>
        <w:t xml:space="preserve">.  The following reports were received </w:t>
      </w:r>
      <w:r w:rsidRPr="00523361">
        <w:rPr>
          <w:rFonts w:cs="Arial"/>
          <w:snapToGrid w:val="0"/>
        </w:rPr>
        <w:t xml:space="preserve">by </w:t>
      </w:r>
      <w:r w:rsidRPr="002513C1">
        <w:rPr>
          <w:rFonts w:cs="Arial"/>
          <w:snapToGrid w:val="0"/>
        </w:rPr>
        <w:t>June 6, 2025 (in alphabetical order):</w:t>
      </w:r>
    </w:p>
    <w:p w14:paraId="3FB32EFA" w14:textId="77777777" w:rsidR="00D01F96" w:rsidRPr="002513C1" w:rsidRDefault="00D01F96" w:rsidP="00D01F96">
      <w:pPr>
        <w:tabs>
          <w:tab w:val="left" w:pos="567"/>
        </w:tabs>
        <w:rPr>
          <w:rFonts w:cs="Arial"/>
          <w:snapToGrid w:val="0"/>
          <w:u w:val="single"/>
        </w:rPr>
      </w:pPr>
    </w:p>
    <w:p w14:paraId="581DF054" w14:textId="2FE3985D" w:rsidR="00D01F96" w:rsidRPr="002513C1" w:rsidRDefault="00D01F96" w:rsidP="00D01F96">
      <w:pPr>
        <w:numPr>
          <w:ilvl w:val="0"/>
          <w:numId w:val="2"/>
        </w:numPr>
        <w:contextualSpacing/>
        <w:rPr>
          <w:rFonts w:eastAsiaTheme="minorEastAsia" w:cs="Arial"/>
          <w:snapToGrid w:val="0"/>
          <w:lang w:eastAsia="ja-JP"/>
        </w:rPr>
      </w:pPr>
      <w:r w:rsidRPr="002513C1">
        <w:rPr>
          <w:rFonts w:cs="Arial"/>
          <w:snapToGrid w:val="0"/>
          <w:u w:val="single"/>
        </w:rPr>
        <w:t>Members of the Union</w:t>
      </w:r>
      <w:r w:rsidRPr="002513C1">
        <w:rPr>
          <w:rFonts w:cs="Arial"/>
          <w:snapToGrid w:val="0"/>
        </w:rPr>
        <w:t xml:space="preserve">:  Annexes I </w:t>
      </w:r>
      <w:r w:rsidRPr="00355A8C">
        <w:rPr>
          <w:rFonts w:cs="Arial"/>
          <w:snapToGrid w:val="0"/>
        </w:rPr>
        <w:t xml:space="preserve">to </w:t>
      </w:r>
      <w:r w:rsidR="0086218E" w:rsidRPr="00355A8C">
        <w:rPr>
          <w:rFonts w:cs="Arial"/>
          <w:snapToGrid w:val="0"/>
        </w:rPr>
        <w:t>V</w:t>
      </w:r>
      <w:r w:rsidRPr="00355A8C">
        <w:rPr>
          <w:rFonts w:cs="Arial"/>
          <w:snapToGrid w:val="0"/>
        </w:rPr>
        <w:t xml:space="preserve">:  </w:t>
      </w:r>
      <w:r w:rsidR="0086218E" w:rsidRPr="00355A8C">
        <w:rPr>
          <w:rFonts w:cs="Arial"/>
          <w:snapToGrid w:val="0"/>
        </w:rPr>
        <w:t xml:space="preserve">Germany, </w:t>
      </w:r>
      <w:r w:rsidR="008D5420" w:rsidRPr="00355A8C">
        <w:rPr>
          <w:rFonts w:cs="Arial"/>
          <w:snapToGrid w:val="0"/>
        </w:rPr>
        <w:t xml:space="preserve">Japan, </w:t>
      </w:r>
      <w:r w:rsidR="0086218E" w:rsidRPr="00355A8C">
        <w:rPr>
          <w:rFonts w:cs="Arial"/>
          <w:snapToGrid w:val="0"/>
        </w:rPr>
        <w:t xml:space="preserve">Morocco, </w:t>
      </w:r>
      <w:r w:rsidRPr="00355A8C">
        <w:rPr>
          <w:rFonts w:cs="Arial"/>
          <w:snapToGrid w:val="0"/>
        </w:rPr>
        <w:t>Netherlands</w:t>
      </w:r>
      <w:r w:rsidRPr="002513C1">
        <w:rPr>
          <w:rFonts w:cs="Arial"/>
          <w:snapToGrid w:val="0"/>
        </w:rPr>
        <w:t xml:space="preserve"> (Kingdom of the)</w:t>
      </w:r>
      <w:r w:rsidR="008D5420" w:rsidRPr="002513C1">
        <w:rPr>
          <w:rFonts w:cs="Arial"/>
          <w:snapToGrid w:val="0"/>
        </w:rPr>
        <w:t xml:space="preserve"> and</w:t>
      </w:r>
      <w:r w:rsidRPr="002513C1">
        <w:rPr>
          <w:rFonts w:cs="Arial"/>
          <w:snapToGrid w:val="0"/>
        </w:rPr>
        <w:t xml:space="preserve"> New Zealand</w:t>
      </w:r>
    </w:p>
    <w:p w14:paraId="0F99B99C" w14:textId="77777777" w:rsidR="00D01F96" w:rsidRPr="002513C1" w:rsidRDefault="00D01F96" w:rsidP="00D01F96">
      <w:pPr>
        <w:rPr>
          <w:rFonts w:eastAsiaTheme="minorEastAsia" w:cs="Arial"/>
          <w:snapToGrid w:val="0"/>
          <w:lang w:eastAsia="ja-JP"/>
        </w:rPr>
      </w:pPr>
    </w:p>
    <w:p w14:paraId="6FEB09B5" w14:textId="77777777" w:rsidR="00D01F96" w:rsidRPr="00F43E60" w:rsidRDefault="00D01F96" w:rsidP="00D01F96">
      <w:pPr>
        <w:tabs>
          <w:tab w:val="left" w:pos="567"/>
        </w:tabs>
        <w:rPr>
          <w:rFonts w:cs="Arial"/>
          <w:snapToGrid w:val="0"/>
        </w:rPr>
      </w:pPr>
    </w:p>
    <w:p w14:paraId="26E05958" w14:textId="77777777" w:rsidR="00D01F96" w:rsidRPr="00F43E60" w:rsidRDefault="00D01F96" w:rsidP="00D01F96">
      <w:pPr>
        <w:tabs>
          <w:tab w:val="left" w:pos="567"/>
        </w:tabs>
        <w:rPr>
          <w:rFonts w:cs="Arial"/>
          <w:snapToGrid w:val="0"/>
        </w:rPr>
      </w:pPr>
    </w:p>
    <w:p w14:paraId="07D050BA" w14:textId="77777777" w:rsidR="00D01F96" w:rsidRDefault="00D01F96" w:rsidP="00D01F96">
      <w:pPr>
        <w:jc w:val="right"/>
        <w:rPr>
          <w:snapToGrid w:val="0"/>
        </w:rPr>
      </w:pPr>
      <w:r w:rsidRPr="00F43E60">
        <w:rPr>
          <w:snapToGrid w:val="0"/>
        </w:rPr>
        <w:t>[Annexes follow]</w:t>
      </w:r>
    </w:p>
    <w:p w14:paraId="21368921" w14:textId="77777777" w:rsidR="00D01F96" w:rsidRDefault="00D01F96" w:rsidP="00D01F96">
      <w:pPr>
        <w:rPr>
          <w:snapToGrid w:val="0"/>
        </w:rPr>
      </w:pPr>
    </w:p>
    <w:p w14:paraId="2195F41A" w14:textId="77777777" w:rsidR="00B05FEC" w:rsidRDefault="00B05FEC" w:rsidP="00D01F96">
      <w:pPr>
        <w:rPr>
          <w:snapToGrid w:val="0"/>
        </w:rPr>
        <w:sectPr w:rsidR="00B05FEC" w:rsidSect="005E7466">
          <w:headerReference w:type="default" r:id="rId9"/>
          <w:pgSz w:w="11907" w:h="16840" w:code="9"/>
          <w:pgMar w:top="510" w:right="1134" w:bottom="1134" w:left="1134" w:header="510" w:footer="680" w:gutter="0"/>
          <w:pgNumType w:start="1"/>
          <w:cols w:space="720"/>
          <w:titlePg/>
        </w:sectPr>
      </w:pPr>
    </w:p>
    <w:p w14:paraId="222C2D28" w14:textId="77777777" w:rsidR="00D01F96" w:rsidRDefault="00D01F96" w:rsidP="00D01F96">
      <w:pPr>
        <w:rPr>
          <w:snapToGrid w:val="0"/>
        </w:rPr>
      </w:pPr>
    </w:p>
    <w:p w14:paraId="0BD41FE1" w14:textId="481366DF" w:rsidR="0086218E" w:rsidRDefault="0086218E" w:rsidP="0086218E">
      <w:pPr>
        <w:jc w:val="center"/>
        <w:rPr>
          <w:snapToGrid w:val="0"/>
        </w:rPr>
      </w:pPr>
      <w:r>
        <w:rPr>
          <w:snapToGrid w:val="0"/>
        </w:rPr>
        <w:t>GERMANY</w:t>
      </w:r>
    </w:p>
    <w:p w14:paraId="5F88A53E" w14:textId="77777777" w:rsidR="0086218E" w:rsidRDefault="0086218E" w:rsidP="00D01F96">
      <w:pPr>
        <w:rPr>
          <w:snapToGrid w:val="0"/>
        </w:rPr>
      </w:pPr>
    </w:p>
    <w:p w14:paraId="3AEE9E94" w14:textId="77777777" w:rsidR="0086218E" w:rsidRDefault="0086218E" w:rsidP="00D01F96">
      <w:pPr>
        <w:rPr>
          <w:snapToGrid w:val="0"/>
        </w:rPr>
      </w:pPr>
    </w:p>
    <w:p w14:paraId="1B001A13" w14:textId="66860092" w:rsidR="0086218E" w:rsidRDefault="0086218E" w:rsidP="0086218E">
      <w:pPr>
        <w:rPr>
          <w:rFonts w:cs="Arial"/>
        </w:rPr>
      </w:pPr>
      <w:r w:rsidRPr="005A0E67">
        <w:rPr>
          <w:rFonts w:cs="Arial"/>
        </w:rPr>
        <w:t>In 202</w:t>
      </w:r>
      <w:r>
        <w:rPr>
          <w:rFonts w:cs="Arial"/>
        </w:rPr>
        <w:t>5,</w:t>
      </w:r>
      <w:r w:rsidRPr="005A0E67">
        <w:rPr>
          <w:rFonts w:cs="Arial"/>
        </w:rPr>
        <w:t xml:space="preserve"> the </w:t>
      </w:r>
      <w:proofErr w:type="spellStart"/>
      <w:r w:rsidRPr="005A0E67">
        <w:rPr>
          <w:rFonts w:cs="Arial"/>
        </w:rPr>
        <w:t>Bundessortenamt</w:t>
      </w:r>
      <w:proofErr w:type="spellEnd"/>
      <w:r w:rsidRPr="005A0E67">
        <w:rPr>
          <w:rFonts w:cs="Arial"/>
        </w:rPr>
        <w:t xml:space="preserve"> started </w:t>
      </w:r>
      <w:r>
        <w:rPr>
          <w:rFonts w:cs="Arial"/>
        </w:rPr>
        <w:t>DUS</w:t>
      </w:r>
      <w:r w:rsidRPr="005A0E67">
        <w:rPr>
          <w:rFonts w:cs="Arial"/>
        </w:rPr>
        <w:t xml:space="preserve"> examinations for </w:t>
      </w:r>
      <w:r>
        <w:rPr>
          <w:rFonts w:cs="Arial"/>
        </w:rPr>
        <w:t xml:space="preserve">49 new </w:t>
      </w:r>
      <w:r w:rsidRPr="005A0E67">
        <w:rPr>
          <w:rFonts w:cs="Arial"/>
        </w:rPr>
        <w:t xml:space="preserve">varieties </w:t>
      </w:r>
      <w:r>
        <w:rPr>
          <w:rFonts w:cs="Arial"/>
        </w:rPr>
        <w:t>o</w:t>
      </w:r>
      <w:r w:rsidRPr="005A0E67">
        <w:rPr>
          <w:rFonts w:cs="Arial"/>
        </w:rPr>
        <w:t xml:space="preserve">f fruit species. </w:t>
      </w:r>
      <w:r>
        <w:rPr>
          <w:rFonts w:cs="Arial"/>
        </w:rPr>
        <w:t>In</w:t>
      </w:r>
      <w:r w:rsidRPr="005A0E67">
        <w:rPr>
          <w:rFonts w:cs="Arial"/>
        </w:rPr>
        <w:t xml:space="preserve"> total</w:t>
      </w:r>
      <w:r>
        <w:rPr>
          <w:rFonts w:cs="Arial"/>
        </w:rPr>
        <w:t>,</w:t>
      </w:r>
      <w:r w:rsidRPr="005A0E67">
        <w:rPr>
          <w:rFonts w:cs="Arial"/>
        </w:rPr>
        <w:t xml:space="preserve"> </w:t>
      </w:r>
      <w:r>
        <w:rPr>
          <w:rFonts w:cs="Arial"/>
        </w:rPr>
        <w:t>172</w:t>
      </w:r>
      <w:r w:rsidRPr="005A0E67">
        <w:rPr>
          <w:rFonts w:cs="Arial"/>
        </w:rPr>
        <w:t xml:space="preserve"> candidate varieties </w:t>
      </w:r>
      <w:r>
        <w:rPr>
          <w:rFonts w:cs="Arial"/>
        </w:rPr>
        <w:t>of</w:t>
      </w:r>
      <w:r w:rsidRPr="005A0E67">
        <w:rPr>
          <w:rFonts w:cs="Arial"/>
        </w:rPr>
        <w:t xml:space="preserve"> </w:t>
      </w:r>
      <w:r>
        <w:rPr>
          <w:rFonts w:cs="Arial"/>
        </w:rPr>
        <w:t>6</w:t>
      </w:r>
      <w:r w:rsidRPr="005A0E67">
        <w:rPr>
          <w:rFonts w:cs="Arial"/>
        </w:rPr>
        <w:t xml:space="preserve"> </w:t>
      </w:r>
      <w:r>
        <w:rPr>
          <w:rFonts w:cs="Arial"/>
        </w:rPr>
        <w:t xml:space="preserve">fruit </w:t>
      </w:r>
      <w:r w:rsidRPr="005A0E67">
        <w:rPr>
          <w:rFonts w:cs="Arial"/>
        </w:rPr>
        <w:t xml:space="preserve">species </w:t>
      </w:r>
      <w:r>
        <w:rPr>
          <w:rFonts w:cs="Arial"/>
        </w:rPr>
        <w:t xml:space="preserve">are currently </w:t>
      </w:r>
      <w:r w:rsidRPr="005A0E67">
        <w:rPr>
          <w:rFonts w:cs="Arial"/>
        </w:rPr>
        <w:t xml:space="preserve">under </w:t>
      </w:r>
      <w:r>
        <w:rPr>
          <w:rFonts w:cs="Arial"/>
        </w:rPr>
        <w:t>examination</w:t>
      </w:r>
      <w:r w:rsidRPr="005A0E67">
        <w:rPr>
          <w:rFonts w:cs="Arial"/>
        </w:rPr>
        <w:t xml:space="preserve"> at the testing station </w:t>
      </w:r>
      <w:proofErr w:type="spellStart"/>
      <w:r w:rsidRPr="005A0E67">
        <w:rPr>
          <w:rFonts w:cs="Arial"/>
        </w:rPr>
        <w:t>Wurzen</w:t>
      </w:r>
      <w:proofErr w:type="spellEnd"/>
      <w:r w:rsidRPr="005A0E67">
        <w:rPr>
          <w:rFonts w:cs="Arial"/>
        </w:rPr>
        <w:t xml:space="preserve"> of the </w:t>
      </w:r>
      <w:proofErr w:type="spellStart"/>
      <w:r w:rsidRPr="005A0E67">
        <w:rPr>
          <w:rFonts w:cs="Arial"/>
        </w:rPr>
        <w:t>Bundessortenamt</w:t>
      </w:r>
      <w:proofErr w:type="spellEnd"/>
      <w:r>
        <w:rPr>
          <w:rFonts w:cs="Arial"/>
        </w:rPr>
        <w:t>;</w:t>
      </w:r>
      <w:r w:rsidRPr="005A0E67">
        <w:rPr>
          <w:rFonts w:cs="Arial"/>
        </w:rPr>
        <w:t xml:space="preserve"> the most important of which are raspberry (</w:t>
      </w:r>
      <w:r>
        <w:rPr>
          <w:rFonts w:cs="Arial"/>
        </w:rPr>
        <w:t>57</w:t>
      </w:r>
      <w:r w:rsidRPr="005A0E67">
        <w:rPr>
          <w:rFonts w:cs="Arial"/>
        </w:rPr>
        <w:t xml:space="preserve"> candidate varieties under examination in 202</w:t>
      </w:r>
      <w:r>
        <w:rPr>
          <w:rFonts w:cs="Arial"/>
        </w:rPr>
        <w:t>5</w:t>
      </w:r>
      <w:r w:rsidRPr="005A0E67">
        <w:rPr>
          <w:rFonts w:cs="Arial"/>
        </w:rPr>
        <w:t>), blackberry (</w:t>
      </w:r>
      <w:r>
        <w:rPr>
          <w:rFonts w:cs="Arial"/>
        </w:rPr>
        <w:t>42</w:t>
      </w:r>
      <w:r w:rsidRPr="005A0E67">
        <w:rPr>
          <w:rFonts w:cs="Arial"/>
        </w:rPr>
        <w:t>), apple (</w:t>
      </w:r>
      <w:r>
        <w:rPr>
          <w:rFonts w:cs="Arial"/>
        </w:rPr>
        <w:t xml:space="preserve">32), and </w:t>
      </w:r>
      <w:r w:rsidRPr="005A0E67">
        <w:rPr>
          <w:rFonts w:cs="Arial"/>
        </w:rPr>
        <w:t>strawberry (</w:t>
      </w:r>
      <w:r>
        <w:rPr>
          <w:rFonts w:cs="Arial"/>
        </w:rPr>
        <w:t>29</w:t>
      </w:r>
      <w:r w:rsidRPr="005A0E67">
        <w:rPr>
          <w:rFonts w:cs="Arial"/>
        </w:rPr>
        <w:t>)</w:t>
      </w:r>
      <w:r>
        <w:rPr>
          <w:rFonts w:cs="Arial"/>
        </w:rPr>
        <w:t xml:space="preserve">. </w:t>
      </w:r>
      <w:proofErr w:type="gramStart"/>
      <w:r>
        <w:rPr>
          <w:rFonts w:cs="Arial"/>
        </w:rPr>
        <w:t>The majority of</w:t>
      </w:r>
      <w:proofErr w:type="gramEnd"/>
      <w:r>
        <w:rPr>
          <w:rFonts w:cs="Arial"/>
        </w:rPr>
        <w:t xml:space="preserve"> examinations of fruit varieties are carried out on behalf of other PBR authorities, mainly for the </w:t>
      </w:r>
      <w:r w:rsidR="00A4498D">
        <w:rPr>
          <w:rFonts w:cs="Arial"/>
        </w:rPr>
        <w:t>Community Plant Variety Office of the European Union (</w:t>
      </w:r>
      <w:r>
        <w:rPr>
          <w:rFonts w:cs="Arial"/>
        </w:rPr>
        <w:t>CPVO</w:t>
      </w:r>
      <w:r w:rsidR="00A4498D">
        <w:rPr>
          <w:rFonts w:cs="Arial"/>
        </w:rPr>
        <w:t>)</w:t>
      </w:r>
      <w:r>
        <w:rPr>
          <w:rFonts w:cs="Arial"/>
        </w:rPr>
        <w:t>.</w:t>
      </w:r>
    </w:p>
    <w:p w14:paraId="6DF51E4C" w14:textId="77777777" w:rsidR="0086218E" w:rsidRDefault="0086218E" w:rsidP="0086218E">
      <w:pPr>
        <w:rPr>
          <w:rFonts w:cs="Arial"/>
        </w:rPr>
      </w:pPr>
    </w:p>
    <w:p w14:paraId="634EF0A5" w14:textId="77777777" w:rsidR="0086218E" w:rsidRDefault="0086218E" w:rsidP="00D01F96">
      <w:pPr>
        <w:rPr>
          <w:snapToGrid w:val="0"/>
        </w:rPr>
      </w:pPr>
    </w:p>
    <w:p w14:paraId="396DCACA" w14:textId="69FC05FE" w:rsidR="0086218E" w:rsidRDefault="0086218E" w:rsidP="0086218E">
      <w:pPr>
        <w:jc w:val="right"/>
        <w:rPr>
          <w:snapToGrid w:val="0"/>
        </w:rPr>
      </w:pPr>
      <w:r>
        <w:rPr>
          <w:snapToGrid w:val="0"/>
        </w:rPr>
        <w:t>[Annex II follows]</w:t>
      </w:r>
    </w:p>
    <w:p w14:paraId="0FFC3542" w14:textId="77777777" w:rsidR="0086218E" w:rsidRDefault="0086218E" w:rsidP="00D01F96">
      <w:pPr>
        <w:rPr>
          <w:snapToGrid w:val="0"/>
        </w:rPr>
      </w:pPr>
    </w:p>
    <w:p w14:paraId="41DB22D8" w14:textId="77777777" w:rsidR="0086218E" w:rsidRDefault="0086218E" w:rsidP="00D01F96">
      <w:pPr>
        <w:rPr>
          <w:snapToGrid w:val="0"/>
        </w:rPr>
        <w:sectPr w:rsidR="0086218E" w:rsidSect="005E7466">
          <w:headerReference w:type="first" r:id="rId10"/>
          <w:pgSz w:w="11907" w:h="16840" w:code="9"/>
          <w:pgMar w:top="510" w:right="1134" w:bottom="1134" w:left="1134" w:header="510" w:footer="680" w:gutter="0"/>
          <w:pgNumType w:start="1"/>
          <w:cols w:space="720"/>
          <w:titlePg/>
        </w:sectPr>
      </w:pPr>
    </w:p>
    <w:p w14:paraId="5C7CF970" w14:textId="77777777" w:rsidR="0086218E" w:rsidRDefault="0086218E" w:rsidP="00D01F96">
      <w:pPr>
        <w:rPr>
          <w:snapToGrid w:val="0"/>
        </w:rPr>
      </w:pPr>
    </w:p>
    <w:p w14:paraId="6CF5A585" w14:textId="70EAF080" w:rsidR="00B05FEC" w:rsidRDefault="00B05FEC" w:rsidP="00B05FEC">
      <w:pPr>
        <w:jc w:val="center"/>
        <w:rPr>
          <w:snapToGrid w:val="0"/>
        </w:rPr>
      </w:pPr>
      <w:r>
        <w:rPr>
          <w:snapToGrid w:val="0"/>
        </w:rPr>
        <w:t>JAPAN</w:t>
      </w:r>
    </w:p>
    <w:p w14:paraId="5B62CB57" w14:textId="77777777" w:rsidR="00B05FEC" w:rsidRDefault="00B05FEC" w:rsidP="00D01F96">
      <w:pPr>
        <w:rPr>
          <w:snapToGrid w:val="0"/>
        </w:rPr>
      </w:pPr>
    </w:p>
    <w:p w14:paraId="6675C69A" w14:textId="77777777" w:rsidR="00B05FEC" w:rsidRDefault="00B05FEC" w:rsidP="00D01F96">
      <w:pPr>
        <w:rPr>
          <w:snapToGrid w:val="0"/>
        </w:rPr>
      </w:pPr>
    </w:p>
    <w:p w14:paraId="68AD5A67" w14:textId="77777777" w:rsidR="00B05FEC" w:rsidRPr="00746956" w:rsidRDefault="00B05FEC" w:rsidP="00602315">
      <w:r w:rsidRPr="00746956">
        <w:rPr>
          <w:rFonts w:hint="eastAsia"/>
        </w:rPr>
        <w:t>1.</w:t>
      </w:r>
      <w:r w:rsidRPr="00746956">
        <w:t xml:space="preserve"> Number of applications in 202</w:t>
      </w:r>
      <w:r>
        <w:rPr>
          <w:rFonts w:hint="eastAsia"/>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B05FEC" w:rsidRPr="00602315" w14:paraId="24D63A76" w14:textId="77777777" w:rsidTr="0095277E">
        <w:trPr>
          <w:trHeight w:val="285"/>
        </w:trPr>
        <w:tc>
          <w:tcPr>
            <w:tcW w:w="1560" w:type="dxa"/>
          </w:tcPr>
          <w:p w14:paraId="5D71FE2D" w14:textId="77777777" w:rsidR="00B05FEC" w:rsidRPr="00602315" w:rsidRDefault="00B05FEC" w:rsidP="0095277E">
            <w:pPr>
              <w:autoSpaceDE w:val="0"/>
              <w:autoSpaceDN w:val="0"/>
              <w:adjustRightInd w:val="0"/>
              <w:ind w:left="-31"/>
              <w:jc w:val="center"/>
              <w:rPr>
                <w:rFonts w:cs="Arial"/>
              </w:rPr>
            </w:pPr>
            <w:r w:rsidRPr="00602315">
              <w:rPr>
                <w:rFonts w:cs="Arial" w:hint="eastAsia"/>
              </w:rPr>
              <w:t>Y</w:t>
            </w:r>
            <w:r w:rsidRPr="00602315">
              <w:rPr>
                <w:rFonts w:cs="Arial"/>
              </w:rPr>
              <w:t>ear</w:t>
            </w:r>
          </w:p>
        </w:tc>
        <w:tc>
          <w:tcPr>
            <w:tcW w:w="1417" w:type="dxa"/>
            <w:tcBorders>
              <w:right w:val="dashed" w:sz="4" w:space="0" w:color="auto"/>
            </w:tcBorders>
          </w:tcPr>
          <w:p w14:paraId="7930FF9A" w14:textId="77777777" w:rsidR="00B05FEC" w:rsidRPr="00602315" w:rsidRDefault="00B05FEC" w:rsidP="0095277E">
            <w:pPr>
              <w:autoSpaceDE w:val="0"/>
              <w:autoSpaceDN w:val="0"/>
              <w:adjustRightInd w:val="0"/>
              <w:ind w:left="-31"/>
              <w:jc w:val="center"/>
              <w:rPr>
                <w:rFonts w:cs="Arial"/>
              </w:rPr>
            </w:pPr>
            <w:r w:rsidRPr="00602315">
              <w:rPr>
                <w:rFonts w:cs="Arial"/>
              </w:rPr>
              <w:t>Total number</w:t>
            </w:r>
          </w:p>
        </w:tc>
        <w:tc>
          <w:tcPr>
            <w:tcW w:w="1559" w:type="dxa"/>
            <w:tcBorders>
              <w:left w:val="dashed" w:sz="4" w:space="0" w:color="auto"/>
              <w:right w:val="single" w:sz="4" w:space="0" w:color="auto"/>
            </w:tcBorders>
          </w:tcPr>
          <w:p w14:paraId="67CAAF6E" w14:textId="77777777" w:rsidR="00B05FEC" w:rsidRPr="00602315" w:rsidRDefault="00B05FEC" w:rsidP="0095277E">
            <w:pPr>
              <w:autoSpaceDE w:val="0"/>
              <w:autoSpaceDN w:val="0"/>
              <w:adjustRightInd w:val="0"/>
              <w:jc w:val="center"/>
              <w:rPr>
                <w:rFonts w:cs="Arial"/>
              </w:rPr>
            </w:pPr>
            <w:r w:rsidRPr="00602315">
              <w:rPr>
                <w:rFonts w:cs="Arial"/>
              </w:rPr>
              <w:t>(2024/2023)</w:t>
            </w:r>
          </w:p>
        </w:tc>
        <w:tc>
          <w:tcPr>
            <w:tcW w:w="2552" w:type="dxa"/>
            <w:tcBorders>
              <w:left w:val="single" w:sz="4" w:space="0" w:color="auto"/>
              <w:right w:val="dashed" w:sz="4" w:space="0" w:color="auto"/>
            </w:tcBorders>
          </w:tcPr>
          <w:p w14:paraId="65B8EBCC" w14:textId="77777777" w:rsidR="00B05FEC" w:rsidRPr="00602315" w:rsidRDefault="00B05FEC" w:rsidP="0095277E">
            <w:pPr>
              <w:autoSpaceDE w:val="0"/>
              <w:autoSpaceDN w:val="0"/>
              <w:adjustRightInd w:val="0"/>
              <w:ind w:left="-31"/>
              <w:jc w:val="center"/>
              <w:rPr>
                <w:rFonts w:cs="Arial"/>
              </w:rPr>
            </w:pPr>
            <w:r w:rsidRPr="00602315">
              <w:rPr>
                <w:rFonts w:cs="Arial" w:hint="eastAsia"/>
              </w:rPr>
              <w:t>Fruits</w:t>
            </w:r>
          </w:p>
        </w:tc>
        <w:tc>
          <w:tcPr>
            <w:tcW w:w="1417" w:type="dxa"/>
            <w:tcBorders>
              <w:left w:val="dashed" w:sz="4" w:space="0" w:color="auto"/>
            </w:tcBorders>
          </w:tcPr>
          <w:p w14:paraId="023ACCFA" w14:textId="77777777" w:rsidR="00B05FEC" w:rsidRPr="00602315" w:rsidRDefault="00B05FEC" w:rsidP="0095277E">
            <w:pPr>
              <w:autoSpaceDE w:val="0"/>
              <w:autoSpaceDN w:val="0"/>
              <w:adjustRightInd w:val="0"/>
              <w:ind w:left="-31"/>
              <w:jc w:val="center"/>
              <w:rPr>
                <w:rFonts w:cs="Arial"/>
              </w:rPr>
            </w:pPr>
            <w:r w:rsidRPr="00602315">
              <w:rPr>
                <w:rFonts w:cs="Arial"/>
              </w:rPr>
              <w:t xml:space="preserve">(2024/2023) </w:t>
            </w:r>
          </w:p>
        </w:tc>
      </w:tr>
      <w:tr w:rsidR="00B05FEC" w:rsidRPr="00602315" w14:paraId="6F6D538B" w14:textId="77777777" w:rsidTr="0095277E">
        <w:trPr>
          <w:trHeight w:val="70"/>
        </w:trPr>
        <w:tc>
          <w:tcPr>
            <w:tcW w:w="1560" w:type="dxa"/>
            <w:tcBorders>
              <w:top w:val="single" w:sz="4" w:space="0" w:color="auto"/>
              <w:left w:val="single" w:sz="4" w:space="0" w:color="auto"/>
              <w:bottom w:val="single" w:sz="4" w:space="0" w:color="auto"/>
              <w:right w:val="single" w:sz="4" w:space="0" w:color="auto"/>
            </w:tcBorders>
          </w:tcPr>
          <w:p w14:paraId="498D77B7" w14:textId="77777777" w:rsidR="00B05FEC" w:rsidRPr="00602315" w:rsidRDefault="00B05FEC" w:rsidP="0095277E">
            <w:pPr>
              <w:autoSpaceDE w:val="0"/>
              <w:autoSpaceDN w:val="0"/>
              <w:adjustRightInd w:val="0"/>
              <w:ind w:left="-31"/>
              <w:jc w:val="center"/>
              <w:rPr>
                <w:rFonts w:cs="Arial"/>
              </w:rPr>
            </w:pPr>
            <w:r w:rsidRPr="00602315">
              <w:rPr>
                <w:rFonts w:cs="Arial"/>
              </w:rPr>
              <w:t>1978 to 2024</w:t>
            </w:r>
          </w:p>
        </w:tc>
        <w:tc>
          <w:tcPr>
            <w:tcW w:w="1417" w:type="dxa"/>
            <w:tcBorders>
              <w:top w:val="single" w:sz="4" w:space="0" w:color="auto"/>
              <w:left w:val="single" w:sz="4" w:space="0" w:color="auto"/>
              <w:bottom w:val="single" w:sz="4" w:space="0" w:color="auto"/>
              <w:right w:val="dashed" w:sz="4" w:space="0" w:color="auto"/>
            </w:tcBorders>
          </w:tcPr>
          <w:p w14:paraId="533696D3" w14:textId="77777777" w:rsidR="00B05FEC" w:rsidRPr="00602315" w:rsidRDefault="00B05FEC" w:rsidP="0095277E">
            <w:pPr>
              <w:autoSpaceDE w:val="0"/>
              <w:autoSpaceDN w:val="0"/>
              <w:adjustRightInd w:val="0"/>
              <w:ind w:left="-31"/>
              <w:jc w:val="center"/>
              <w:rPr>
                <w:rFonts w:cs="Arial"/>
              </w:rPr>
            </w:pPr>
            <w:r w:rsidRPr="00602315">
              <w:rPr>
                <w:rFonts w:cs="Arial"/>
              </w:rPr>
              <w:t>37</w:t>
            </w:r>
            <w:r w:rsidRPr="00602315">
              <w:rPr>
                <w:rFonts w:cs="Arial" w:hint="eastAsia"/>
              </w:rPr>
              <w:t>805</w:t>
            </w:r>
          </w:p>
        </w:tc>
        <w:tc>
          <w:tcPr>
            <w:tcW w:w="1559" w:type="dxa"/>
            <w:tcBorders>
              <w:top w:val="single" w:sz="4" w:space="0" w:color="auto"/>
              <w:left w:val="dashed" w:sz="4" w:space="0" w:color="auto"/>
              <w:bottom w:val="single" w:sz="4" w:space="0" w:color="auto"/>
              <w:right w:val="single" w:sz="4" w:space="0" w:color="auto"/>
            </w:tcBorders>
          </w:tcPr>
          <w:p w14:paraId="7044F357" w14:textId="77777777" w:rsidR="00B05FEC" w:rsidRPr="00602315" w:rsidRDefault="00B05FEC" w:rsidP="0095277E">
            <w:pPr>
              <w:autoSpaceDE w:val="0"/>
              <w:autoSpaceDN w:val="0"/>
              <w:adjustRightInd w:val="0"/>
              <w:jc w:val="center"/>
              <w:rPr>
                <w:rFonts w:cs="Arial"/>
              </w:rPr>
            </w:pPr>
            <w:r w:rsidRPr="00602315">
              <w:rPr>
                <w:rFonts w:cs="Arial"/>
              </w:rPr>
              <w:t>-</w:t>
            </w:r>
          </w:p>
        </w:tc>
        <w:tc>
          <w:tcPr>
            <w:tcW w:w="2552" w:type="dxa"/>
            <w:tcBorders>
              <w:top w:val="single" w:sz="4" w:space="0" w:color="auto"/>
              <w:left w:val="single" w:sz="4" w:space="0" w:color="auto"/>
              <w:bottom w:val="single" w:sz="4" w:space="0" w:color="auto"/>
              <w:right w:val="dashed" w:sz="4" w:space="0" w:color="auto"/>
            </w:tcBorders>
          </w:tcPr>
          <w:p w14:paraId="203856E1" w14:textId="77777777" w:rsidR="00B05FEC" w:rsidRPr="00602315" w:rsidRDefault="00B05FEC" w:rsidP="0095277E">
            <w:pPr>
              <w:autoSpaceDE w:val="0"/>
              <w:autoSpaceDN w:val="0"/>
              <w:adjustRightInd w:val="0"/>
              <w:ind w:left="-31"/>
              <w:jc w:val="center"/>
              <w:rPr>
                <w:rFonts w:cs="Arial"/>
              </w:rPr>
            </w:pPr>
            <w:r w:rsidRPr="00602315">
              <w:rPr>
                <w:rFonts w:cs="Arial" w:hint="eastAsia"/>
              </w:rPr>
              <w:t>2315</w:t>
            </w:r>
          </w:p>
        </w:tc>
        <w:tc>
          <w:tcPr>
            <w:tcW w:w="1417" w:type="dxa"/>
            <w:tcBorders>
              <w:top w:val="single" w:sz="4" w:space="0" w:color="auto"/>
              <w:left w:val="dashed" w:sz="4" w:space="0" w:color="auto"/>
              <w:bottom w:val="single" w:sz="4" w:space="0" w:color="auto"/>
              <w:right w:val="single" w:sz="4" w:space="0" w:color="auto"/>
            </w:tcBorders>
          </w:tcPr>
          <w:p w14:paraId="2C69BC66" w14:textId="77777777" w:rsidR="00B05FEC" w:rsidRPr="00602315" w:rsidRDefault="00B05FEC" w:rsidP="0095277E">
            <w:pPr>
              <w:autoSpaceDE w:val="0"/>
              <w:autoSpaceDN w:val="0"/>
              <w:adjustRightInd w:val="0"/>
              <w:ind w:left="-31"/>
              <w:jc w:val="center"/>
              <w:rPr>
                <w:rFonts w:cs="Arial"/>
              </w:rPr>
            </w:pPr>
            <w:r w:rsidRPr="00602315">
              <w:rPr>
                <w:rFonts w:cs="Arial"/>
              </w:rPr>
              <w:t>-</w:t>
            </w:r>
          </w:p>
        </w:tc>
      </w:tr>
      <w:tr w:rsidR="00B05FEC" w:rsidRPr="00602315" w14:paraId="1AA3AB79" w14:textId="77777777" w:rsidTr="0095277E">
        <w:trPr>
          <w:trHeight w:val="368"/>
        </w:trPr>
        <w:tc>
          <w:tcPr>
            <w:tcW w:w="1560" w:type="dxa"/>
            <w:tcBorders>
              <w:bottom w:val="single" w:sz="4" w:space="0" w:color="auto"/>
            </w:tcBorders>
          </w:tcPr>
          <w:p w14:paraId="502AE811" w14:textId="77777777" w:rsidR="00B05FEC" w:rsidRPr="00602315" w:rsidRDefault="00B05FEC" w:rsidP="0095277E">
            <w:pPr>
              <w:autoSpaceDE w:val="0"/>
              <w:autoSpaceDN w:val="0"/>
              <w:adjustRightInd w:val="0"/>
              <w:ind w:left="-31"/>
              <w:jc w:val="center"/>
              <w:rPr>
                <w:rFonts w:cs="Arial"/>
              </w:rPr>
            </w:pPr>
            <w:r w:rsidRPr="00602315">
              <w:rPr>
                <w:rFonts w:cs="Arial"/>
              </w:rPr>
              <w:t>2023</w:t>
            </w:r>
          </w:p>
        </w:tc>
        <w:tc>
          <w:tcPr>
            <w:tcW w:w="1417" w:type="dxa"/>
            <w:tcBorders>
              <w:bottom w:val="single" w:sz="4" w:space="0" w:color="auto"/>
              <w:right w:val="dashed" w:sz="4" w:space="0" w:color="auto"/>
            </w:tcBorders>
          </w:tcPr>
          <w:p w14:paraId="1915B5A9" w14:textId="77777777" w:rsidR="00B05FEC" w:rsidRPr="00602315" w:rsidRDefault="00B05FEC" w:rsidP="0095277E">
            <w:pPr>
              <w:autoSpaceDE w:val="0"/>
              <w:autoSpaceDN w:val="0"/>
              <w:adjustRightInd w:val="0"/>
              <w:ind w:left="-31"/>
              <w:jc w:val="center"/>
              <w:rPr>
                <w:rFonts w:cs="Arial"/>
              </w:rPr>
            </w:pPr>
            <w:r w:rsidRPr="00602315">
              <w:rPr>
                <w:rFonts w:cs="Arial"/>
              </w:rPr>
              <w:t>591</w:t>
            </w:r>
          </w:p>
        </w:tc>
        <w:tc>
          <w:tcPr>
            <w:tcW w:w="1559" w:type="dxa"/>
            <w:tcBorders>
              <w:left w:val="dashed" w:sz="4" w:space="0" w:color="auto"/>
              <w:bottom w:val="single" w:sz="4" w:space="0" w:color="auto"/>
              <w:right w:val="single" w:sz="4" w:space="0" w:color="auto"/>
            </w:tcBorders>
          </w:tcPr>
          <w:p w14:paraId="70E6D3EE" w14:textId="77777777" w:rsidR="00B05FEC" w:rsidRPr="00602315" w:rsidRDefault="00B05FEC" w:rsidP="0095277E">
            <w:pPr>
              <w:autoSpaceDE w:val="0"/>
              <w:autoSpaceDN w:val="0"/>
              <w:adjustRightInd w:val="0"/>
              <w:rPr>
                <w:rFonts w:cs="Arial"/>
              </w:rPr>
            </w:pPr>
          </w:p>
        </w:tc>
        <w:tc>
          <w:tcPr>
            <w:tcW w:w="2552" w:type="dxa"/>
            <w:tcBorders>
              <w:left w:val="single" w:sz="4" w:space="0" w:color="auto"/>
              <w:bottom w:val="single" w:sz="4" w:space="0" w:color="auto"/>
              <w:right w:val="dashed" w:sz="4" w:space="0" w:color="auto"/>
            </w:tcBorders>
          </w:tcPr>
          <w:p w14:paraId="625D52DC" w14:textId="77777777" w:rsidR="00B05FEC" w:rsidRPr="00602315" w:rsidRDefault="00B05FEC" w:rsidP="0095277E">
            <w:pPr>
              <w:autoSpaceDE w:val="0"/>
              <w:autoSpaceDN w:val="0"/>
              <w:adjustRightInd w:val="0"/>
              <w:jc w:val="center"/>
              <w:rPr>
                <w:rFonts w:cs="Arial"/>
              </w:rPr>
            </w:pPr>
            <w:r w:rsidRPr="00602315">
              <w:rPr>
                <w:rFonts w:cs="Arial" w:hint="eastAsia"/>
              </w:rPr>
              <w:t>44</w:t>
            </w:r>
          </w:p>
        </w:tc>
        <w:tc>
          <w:tcPr>
            <w:tcW w:w="1417" w:type="dxa"/>
            <w:tcBorders>
              <w:left w:val="dashed" w:sz="4" w:space="0" w:color="auto"/>
              <w:bottom w:val="single" w:sz="4" w:space="0" w:color="auto"/>
            </w:tcBorders>
          </w:tcPr>
          <w:p w14:paraId="3140B670" w14:textId="77777777" w:rsidR="00B05FEC" w:rsidRPr="00602315" w:rsidRDefault="00B05FEC" w:rsidP="0095277E">
            <w:pPr>
              <w:autoSpaceDE w:val="0"/>
              <w:autoSpaceDN w:val="0"/>
              <w:adjustRightInd w:val="0"/>
              <w:rPr>
                <w:rFonts w:cs="Arial"/>
              </w:rPr>
            </w:pPr>
          </w:p>
        </w:tc>
      </w:tr>
      <w:tr w:rsidR="00B05FEC" w:rsidRPr="00602315" w14:paraId="529A9A1A" w14:textId="77777777" w:rsidTr="0095277E">
        <w:trPr>
          <w:trHeight w:val="368"/>
        </w:trPr>
        <w:tc>
          <w:tcPr>
            <w:tcW w:w="1560" w:type="dxa"/>
            <w:tcBorders>
              <w:top w:val="single" w:sz="4" w:space="0" w:color="auto"/>
            </w:tcBorders>
          </w:tcPr>
          <w:p w14:paraId="13F6110F" w14:textId="77777777" w:rsidR="00B05FEC" w:rsidRPr="00602315" w:rsidRDefault="00B05FEC" w:rsidP="0095277E">
            <w:pPr>
              <w:autoSpaceDE w:val="0"/>
              <w:autoSpaceDN w:val="0"/>
              <w:adjustRightInd w:val="0"/>
              <w:ind w:left="-31"/>
              <w:jc w:val="center"/>
              <w:rPr>
                <w:rFonts w:cs="Arial"/>
              </w:rPr>
            </w:pPr>
            <w:r w:rsidRPr="00602315">
              <w:rPr>
                <w:rFonts w:cs="Arial"/>
              </w:rPr>
              <w:t>2024</w:t>
            </w:r>
          </w:p>
        </w:tc>
        <w:tc>
          <w:tcPr>
            <w:tcW w:w="1417" w:type="dxa"/>
            <w:tcBorders>
              <w:top w:val="single" w:sz="4" w:space="0" w:color="auto"/>
              <w:right w:val="dashed" w:sz="4" w:space="0" w:color="auto"/>
            </w:tcBorders>
          </w:tcPr>
          <w:p w14:paraId="61F92698" w14:textId="77777777" w:rsidR="00B05FEC" w:rsidRPr="00602315" w:rsidRDefault="00B05FEC" w:rsidP="0095277E">
            <w:pPr>
              <w:autoSpaceDE w:val="0"/>
              <w:autoSpaceDN w:val="0"/>
              <w:adjustRightInd w:val="0"/>
              <w:ind w:left="-31"/>
              <w:jc w:val="center"/>
              <w:rPr>
                <w:rFonts w:cs="Arial"/>
              </w:rPr>
            </w:pPr>
            <w:r w:rsidRPr="00602315">
              <w:rPr>
                <w:rFonts w:cs="Arial"/>
              </w:rPr>
              <w:t>599</w:t>
            </w:r>
          </w:p>
        </w:tc>
        <w:tc>
          <w:tcPr>
            <w:tcW w:w="1559" w:type="dxa"/>
            <w:tcBorders>
              <w:top w:val="single" w:sz="4" w:space="0" w:color="auto"/>
              <w:left w:val="dashed" w:sz="4" w:space="0" w:color="auto"/>
              <w:right w:val="single" w:sz="4" w:space="0" w:color="auto"/>
            </w:tcBorders>
          </w:tcPr>
          <w:p w14:paraId="2E4A6D43" w14:textId="77777777" w:rsidR="00B05FEC" w:rsidRPr="00602315" w:rsidRDefault="00B05FEC" w:rsidP="0095277E">
            <w:pPr>
              <w:autoSpaceDE w:val="0"/>
              <w:autoSpaceDN w:val="0"/>
              <w:adjustRightInd w:val="0"/>
              <w:jc w:val="center"/>
              <w:rPr>
                <w:rFonts w:cs="Arial"/>
              </w:rPr>
            </w:pPr>
            <w:r w:rsidRPr="00602315">
              <w:rPr>
                <w:rFonts w:cs="Arial"/>
              </w:rPr>
              <w:t>(101%)</w:t>
            </w:r>
          </w:p>
        </w:tc>
        <w:tc>
          <w:tcPr>
            <w:tcW w:w="2552" w:type="dxa"/>
            <w:tcBorders>
              <w:top w:val="single" w:sz="4" w:space="0" w:color="auto"/>
              <w:left w:val="single" w:sz="4" w:space="0" w:color="auto"/>
              <w:right w:val="dashed" w:sz="4" w:space="0" w:color="auto"/>
            </w:tcBorders>
          </w:tcPr>
          <w:p w14:paraId="784E6739" w14:textId="77777777" w:rsidR="00B05FEC" w:rsidRPr="00602315" w:rsidRDefault="00B05FEC" w:rsidP="0095277E">
            <w:pPr>
              <w:autoSpaceDE w:val="0"/>
              <w:autoSpaceDN w:val="0"/>
              <w:adjustRightInd w:val="0"/>
              <w:jc w:val="center"/>
              <w:rPr>
                <w:rFonts w:cs="Arial"/>
              </w:rPr>
            </w:pPr>
            <w:r w:rsidRPr="00602315">
              <w:rPr>
                <w:rFonts w:cs="Arial" w:hint="eastAsia"/>
              </w:rPr>
              <w:t>48</w:t>
            </w:r>
          </w:p>
        </w:tc>
        <w:tc>
          <w:tcPr>
            <w:tcW w:w="1417" w:type="dxa"/>
            <w:tcBorders>
              <w:top w:val="single" w:sz="4" w:space="0" w:color="auto"/>
              <w:left w:val="dashed" w:sz="4" w:space="0" w:color="auto"/>
            </w:tcBorders>
          </w:tcPr>
          <w:p w14:paraId="72DAE546" w14:textId="77777777" w:rsidR="00B05FEC" w:rsidRPr="00602315" w:rsidRDefault="00B05FEC" w:rsidP="0095277E">
            <w:pPr>
              <w:autoSpaceDE w:val="0"/>
              <w:autoSpaceDN w:val="0"/>
              <w:adjustRightInd w:val="0"/>
              <w:jc w:val="center"/>
              <w:rPr>
                <w:rFonts w:cs="Arial"/>
              </w:rPr>
            </w:pPr>
            <w:r w:rsidRPr="00602315">
              <w:rPr>
                <w:rFonts w:cs="Arial" w:hint="eastAsia"/>
              </w:rPr>
              <w:t>(109%</w:t>
            </w:r>
            <w:r w:rsidRPr="00602315">
              <w:rPr>
                <w:rFonts w:cs="Arial"/>
              </w:rPr>
              <w:t>)</w:t>
            </w:r>
          </w:p>
        </w:tc>
      </w:tr>
    </w:tbl>
    <w:p w14:paraId="053A4A1A" w14:textId="77777777" w:rsidR="00602315" w:rsidRDefault="00602315" w:rsidP="00602315"/>
    <w:p w14:paraId="1016B209" w14:textId="6A1D6861" w:rsidR="00B05FEC" w:rsidRPr="00602315" w:rsidRDefault="00B05FEC" w:rsidP="00602315">
      <w:pPr>
        <w:ind w:left="709"/>
        <w:rPr>
          <w:u w:val="single"/>
        </w:rPr>
      </w:pPr>
      <w:r w:rsidRPr="00602315">
        <w:rPr>
          <w:rFonts w:hint="eastAsia"/>
          <w:u w:val="single"/>
        </w:rPr>
        <w:t>Top 3 of application for Fruit</w:t>
      </w:r>
      <w:r w:rsidRPr="00602315">
        <w:rPr>
          <w:u w:val="single"/>
        </w:rPr>
        <w:t>s in 202</w:t>
      </w:r>
      <w:r w:rsidRPr="00602315">
        <w:rPr>
          <w:rFonts w:hint="eastAsia"/>
          <w:u w:val="single"/>
        </w:rPr>
        <w:t>4</w:t>
      </w:r>
    </w:p>
    <w:p w14:paraId="51B8CDE6" w14:textId="77777777" w:rsidR="00B05FEC" w:rsidRPr="00746956" w:rsidRDefault="00B05FEC" w:rsidP="00602315">
      <w:pPr>
        <w:ind w:left="709"/>
      </w:pPr>
      <w:r>
        <w:rPr>
          <w:rFonts w:hint="eastAsia"/>
        </w:rPr>
        <w:t>Strawberry</w:t>
      </w:r>
      <w:r w:rsidRPr="005D3ECF">
        <w:t xml:space="preserve"> </w:t>
      </w:r>
      <w:r>
        <w:rPr>
          <w:rFonts w:hint="eastAsia"/>
        </w:rPr>
        <w:t>22</w:t>
      </w:r>
      <w:r w:rsidRPr="00746956">
        <w:t>,</w:t>
      </w:r>
      <w:r>
        <w:t xml:space="preserve"> </w:t>
      </w:r>
      <w:r>
        <w:rPr>
          <w:rFonts w:hint="eastAsia"/>
        </w:rPr>
        <w:t>Grapevine</w:t>
      </w:r>
      <w:r w:rsidRPr="005D3ECF">
        <w:t xml:space="preserve"> </w:t>
      </w:r>
      <w:r>
        <w:rPr>
          <w:rFonts w:hint="eastAsia"/>
        </w:rPr>
        <w:t>6</w:t>
      </w:r>
      <w:r w:rsidRPr="005D3ECF">
        <w:t xml:space="preserve">, </w:t>
      </w:r>
      <w:r>
        <w:rPr>
          <w:rFonts w:hint="eastAsia"/>
        </w:rPr>
        <w:t>Chestnut</w:t>
      </w:r>
      <w:r>
        <w:t xml:space="preserve"> </w:t>
      </w:r>
      <w:r>
        <w:rPr>
          <w:rFonts w:hint="eastAsia"/>
        </w:rPr>
        <w:t>3</w:t>
      </w:r>
      <w:r>
        <w:t xml:space="preserve">, </w:t>
      </w:r>
      <w:r>
        <w:rPr>
          <w:rFonts w:hint="eastAsia"/>
        </w:rPr>
        <w:t>Japanese Pear</w:t>
      </w:r>
      <w:r>
        <w:t xml:space="preserve"> </w:t>
      </w:r>
      <w:r>
        <w:rPr>
          <w:rFonts w:hint="eastAsia"/>
        </w:rPr>
        <w:t>3</w:t>
      </w:r>
      <w:r w:rsidRPr="00746956">
        <w:t>,</w:t>
      </w:r>
      <w:r>
        <w:t xml:space="preserve"> </w:t>
      </w:r>
      <w:r w:rsidRPr="00746956">
        <w:t xml:space="preserve">Total: </w:t>
      </w:r>
      <w:r>
        <w:rPr>
          <w:rFonts w:hint="eastAsia"/>
        </w:rPr>
        <w:t>48</w:t>
      </w:r>
    </w:p>
    <w:p w14:paraId="39BFC719" w14:textId="77777777" w:rsidR="00B05FEC" w:rsidRDefault="00B05FEC" w:rsidP="00602315"/>
    <w:p w14:paraId="2EE0D2E6" w14:textId="77777777" w:rsidR="00602315" w:rsidRPr="005D3ECF" w:rsidRDefault="00602315" w:rsidP="00602315"/>
    <w:p w14:paraId="0D45DC0F" w14:textId="77777777" w:rsidR="00B05FEC" w:rsidRPr="00746956" w:rsidRDefault="00B05FEC" w:rsidP="00602315">
      <w:r w:rsidRPr="00746956">
        <w:t>2. Number of granted in 202</w:t>
      </w:r>
      <w:r>
        <w:rPr>
          <w:rFonts w:hint="eastAsia"/>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B05FEC" w:rsidRPr="00602315" w14:paraId="3EEF3A26" w14:textId="77777777" w:rsidTr="0095277E">
        <w:trPr>
          <w:trHeight w:val="375"/>
        </w:trPr>
        <w:tc>
          <w:tcPr>
            <w:tcW w:w="1560" w:type="dxa"/>
          </w:tcPr>
          <w:p w14:paraId="4C17D3FC" w14:textId="77777777" w:rsidR="00B05FEC" w:rsidRPr="00602315" w:rsidRDefault="00B05FEC" w:rsidP="0095277E">
            <w:pPr>
              <w:autoSpaceDE w:val="0"/>
              <w:autoSpaceDN w:val="0"/>
              <w:adjustRightInd w:val="0"/>
              <w:ind w:left="-31"/>
              <w:jc w:val="center"/>
              <w:rPr>
                <w:rFonts w:cs="Arial"/>
              </w:rPr>
            </w:pPr>
            <w:r w:rsidRPr="00602315">
              <w:rPr>
                <w:rFonts w:cs="Arial"/>
              </w:rPr>
              <w:t>Year</w:t>
            </w:r>
          </w:p>
        </w:tc>
        <w:tc>
          <w:tcPr>
            <w:tcW w:w="1435" w:type="dxa"/>
            <w:tcBorders>
              <w:right w:val="dashed" w:sz="4" w:space="0" w:color="auto"/>
            </w:tcBorders>
          </w:tcPr>
          <w:p w14:paraId="492C4EA7" w14:textId="77777777" w:rsidR="00B05FEC" w:rsidRPr="00602315" w:rsidRDefault="00B05FEC" w:rsidP="0095277E">
            <w:pPr>
              <w:autoSpaceDE w:val="0"/>
              <w:autoSpaceDN w:val="0"/>
              <w:adjustRightInd w:val="0"/>
              <w:ind w:left="-31"/>
              <w:jc w:val="center"/>
              <w:rPr>
                <w:rFonts w:cs="Arial"/>
              </w:rPr>
            </w:pPr>
            <w:r w:rsidRPr="00602315">
              <w:rPr>
                <w:rFonts w:cs="Arial"/>
              </w:rPr>
              <w:t>Total number</w:t>
            </w:r>
          </w:p>
        </w:tc>
        <w:tc>
          <w:tcPr>
            <w:tcW w:w="1573" w:type="dxa"/>
            <w:tcBorders>
              <w:left w:val="dashed" w:sz="4" w:space="0" w:color="auto"/>
              <w:right w:val="single" w:sz="4" w:space="0" w:color="auto"/>
            </w:tcBorders>
          </w:tcPr>
          <w:p w14:paraId="43D229EB" w14:textId="77777777" w:rsidR="00B05FEC" w:rsidRPr="00602315" w:rsidRDefault="00B05FEC" w:rsidP="0095277E">
            <w:pPr>
              <w:autoSpaceDE w:val="0"/>
              <w:autoSpaceDN w:val="0"/>
              <w:adjustRightInd w:val="0"/>
              <w:jc w:val="center"/>
              <w:rPr>
                <w:rFonts w:cs="Arial"/>
              </w:rPr>
            </w:pPr>
            <w:r w:rsidRPr="00602315">
              <w:rPr>
                <w:rFonts w:cs="Arial"/>
              </w:rPr>
              <w:t>(2024/2023)</w:t>
            </w:r>
          </w:p>
        </w:tc>
        <w:tc>
          <w:tcPr>
            <w:tcW w:w="2365" w:type="dxa"/>
            <w:tcBorders>
              <w:left w:val="single" w:sz="4" w:space="0" w:color="auto"/>
              <w:right w:val="dashed" w:sz="4" w:space="0" w:color="auto"/>
            </w:tcBorders>
          </w:tcPr>
          <w:p w14:paraId="709F009F" w14:textId="77777777" w:rsidR="00B05FEC" w:rsidRPr="00602315" w:rsidRDefault="00B05FEC" w:rsidP="0095277E">
            <w:pPr>
              <w:autoSpaceDE w:val="0"/>
              <w:autoSpaceDN w:val="0"/>
              <w:adjustRightInd w:val="0"/>
              <w:ind w:left="-31"/>
              <w:jc w:val="center"/>
              <w:rPr>
                <w:rFonts w:cs="Arial"/>
              </w:rPr>
            </w:pPr>
            <w:r w:rsidRPr="00602315">
              <w:rPr>
                <w:rFonts w:cs="Arial" w:hint="eastAsia"/>
              </w:rPr>
              <w:t>Fruits</w:t>
            </w:r>
          </w:p>
        </w:tc>
        <w:tc>
          <w:tcPr>
            <w:tcW w:w="1572" w:type="dxa"/>
            <w:tcBorders>
              <w:left w:val="dashed" w:sz="4" w:space="0" w:color="auto"/>
            </w:tcBorders>
          </w:tcPr>
          <w:p w14:paraId="1EE7D551" w14:textId="77777777" w:rsidR="00B05FEC" w:rsidRPr="00602315" w:rsidRDefault="00B05FEC" w:rsidP="0095277E">
            <w:pPr>
              <w:autoSpaceDE w:val="0"/>
              <w:autoSpaceDN w:val="0"/>
              <w:adjustRightInd w:val="0"/>
              <w:ind w:left="-1"/>
              <w:jc w:val="center"/>
              <w:rPr>
                <w:rFonts w:cs="Arial"/>
              </w:rPr>
            </w:pPr>
            <w:r w:rsidRPr="00602315">
              <w:rPr>
                <w:rFonts w:cs="Arial"/>
              </w:rPr>
              <w:t xml:space="preserve">(2024/2023) </w:t>
            </w:r>
          </w:p>
        </w:tc>
      </w:tr>
      <w:tr w:rsidR="00B05FEC" w:rsidRPr="00602315" w14:paraId="3F10CEDB" w14:textId="77777777" w:rsidTr="0095277E">
        <w:trPr>
          <w:trHeight w:val="371"/>
        </w:trPr>
        <w:tc>
          <w:tcPr>
            <w:tcW w:w="1560" w:type="dxa"/>
            <w:tcBorders>
              <w:top w:val="single" w:sz="4" w:space="0" w:color="auto"/>
              <w:left w:val="single" w:sz="4" w:space="0" w:color="auto"/>
              <w:bottom w:val="single" w:sz="4" w:space="0" w:color="auto"/>
              <w:right w:val="single" w:sz="4" w:space="0" w:color="auto"/>
            </w:tcBorders>
          </w:tcPr>
          <w:p w14:paraId="7A96A6B5" w14:textId="77777777" w:rsidR="00B05FEC" w:rsidRPr="00602315" w:rsidRDefault="00B05FEC" w:rsidP="0095277E">
            <w:pPr>
              <w:autoSpaceDE w:val="0"/>
              <w:autoSpaceDN w:val="0"/>
              <w:adjustRightInd w:val="0"/>
              <w:ind w:left="-31"/>
              <w:jc w:val="center"/>
              <w:rPr>
                <w:rFonts w:cs="Arial"/>
              </w:rPr>
            </w:pPr>
            <w:r w:rsidRPr="00602315">
              <w:rPr>
                <w:rFonts w:cs="Arial"/>
              </w:rPr>
              <w:t>1978 to 2024</w:t>
            </w:r>
          </w:p>
        </w:tc>
        <w:tc>
          <w:tcPr>
            <w:tcW w:w="1435" w:type="dxa"/>
            <w:tcBorders>
              <w:top w:val="single" w:sz="4" w:space="0" w:color="auto"/>
              <w:left w:val="single" w:sz="4" w:space="0" w:color="auto"/>
              <w:bottom w:val="single" w:sz="4" w:space="0" w:color="auto"/>
              <w:right w:val="dashed" w:sz="4" w:space="0" w:color="auto"/>
            </w:tcBorders>
          </w:tcPr>
          <w:p w14:paraId="008664F8" w14:textId="77777777" w:rsidR="00B05FEC" w:rsidRPr="00602315" w:rsidRDefault="00B05FEC" w:rsidP="0095277E">
            <w:pPr>
              <w:autoSpaceDE w:val="0"/>
              <w:autoSpaceDN w:val="0"/>
              <w:adjustRightInd w:val="0"/>
              <w:ind w:left="-1"/>
              <w:jc w:val="center"/>
              <w:rPr>
                <w:rFonts w:cs="Arial"/>
              </w:rPr>
            </w:pPr>
            <w:r w:rsidRPr="00602315">
              <w:rPr>
                <w:rFonts w:cs="Arial" w:hint="eastAsia"/>
              </w:rPr>
              <w:t>30538</w:t>
            </w:r>
          </w:p>
        </w:tc>
        <w:tc>
          <w:tcPr>
            <w:tcW w:w="1573" w:type="dxa"/>
            <w:tcBorders>
              <w:top w:val="single" w:sz="4" w:space="0" w:color="auto"/>
              <w:left w:val="dashed" w:sz="4" w:space="0" w:color="auto"/>
              <w:bottom w:val="single" w:sz="4" w:space="0" w:color="auto"/>
              <w:right w:val="single" w:sz="4" w:space="0" w:color="auto"/>
            </w:tcBorders>
          </w:tcPr>
          <w:p w14:paraId="3EDC3145" w14:textId="77777777" w:rsidR="00B05FEC" w:rsidRPr="00602315" w:rsidRDefault="00B05FEC" w:rsidP="0095277E">
            <w:pPr>
              <w:autoSpaceDE w:val="0"/>
              <w:autoSpaceDN w:val="0"/>
              <w:adjustRightInd w:val="0"/>
              <w:jc w:val="center"/>
              <w:rPr>
                <w:rFonts w:cs="Arial"/>
              </w:rPr>
            </w:pPr>
            <w:r w:rsidRPr="00602315">
              <w:rPr>
                <w:rFonts w:cs="Arial"/>
              </w:rPr>
              <w:t>-</w:t>
            </w:r>
          </w:p>
        </w:tc>
        <w:tc>
          <w:tcPr>
            <w:tcW w:w="2365" w:type="dxa"/>
            <w:tcBorders>
              <w:top w:val="single" w:sz="4" w:space="0" w:color="auto"/>
              <w:left w:val="single" w:sz="4" w:space="0" w:color="auto"/>
              <w:bottom w:val="single" w:sz="4" w:space="0" w:color="auto"/>
              <w:right w:val="dashed" w:sz="4" w:space="0" w:color="auto"/>
            </w:tcBorders>
          </w:tcPr>
          <w:p w14:paraId="205B003B" w14:textId="77777777" w:rsidR="00B05FEC" w:rsidRPr="00602315" w:rsidRDefault="00B05FEC" w:rsidP="0095277E">
            <w:pPr>
              <w:autoSpaceDE w:val="0"/>
              <w:autoSpaceDN w:val="0"/>
              <w:adjustRightInd w:val="0"/>
              <w:ind w:left="-1"/>
              <w:jc w:val="center"/>
              <w:rPr>
                <w:rFonts w:cs="Arial"/>
              </w:rPr>
            </w:pPr>
            <w:r w:rsidRPr="00602315">
              <w:rPr>
                <w:rFonts w:cs="Arial" w:hint="eastAsia"/>
              </w:rPr>
              <w:t>1858</w:t>
            </w:r>
          </w:p>
        </w:tc>
        <w:tc>
          <w:tcPr>
            <w:tcW w:w="1572" w:type="dxa"/>
            <w:tcBorders>
              <w:top w:val="single" w:sz="4" w:space="0" w:color="auto"/>
              <w:left w:val="dashed" w:sz="4" w:space="0" w:color="auto"/>
              <w:bottom w:val="single" w:sz="4" w:space="0" w:color="auto"/>
              <w:right w:val="single" w:sz="4" w:space="0" w:color="auto"/>
            </w:tcBorders>
          </w:tcPr>
          <w:p w14:paraId="5E24A668" w14:textId="77777777" w:rsidR="00B05FEC" w:rsidRPr="00602315" w:rsidRDefault="00B05FEC" w:rsidP="0095277E">
            <w:pPr>
              <w:autoSpaceDE w:val="0"/>
              <w:autoSpaceDN w:val="0"/>
              <w:adjustRightInd w:val="0"/>
              <w:ind w:left="-1"/>
              <w:jc w:val="center"/>
              <w:rPr>
                <w:rFonts w:cs="Arial"/>
              </w:rPr>
            </w:pPr>
            <w:r w:rsidRPr="00602315">
              <w:rPr>
                <w:rFonts w:cs="Arial"/>
              </w:rPr>
              <w:t>-</w:t>
            </w:r>
          </w:p>
        </w:tc>
      </w:tr>
      <w:tr w:rsidR="00B05FEC" w:rsidRPr="00602315" w14:paraId="79375CBA" w14:textId="77777777" w:rsidTr="0095277E">
        <w:trPr>
          <w:trHeight w:val="615"/>
        </w:trPr>
        <w:tc>
          <w:tcPr>
            <w:tcW w:w="1560" w:type="dxa"/>
            <w:tcBorders>
              <w:bottom w:val="single" w:sz="4" w:space="0" w:color="auto"/>
            </w:tcBorders>
          </w:tcPr>
          <w:p w14:paraId="02DC70B1" w14:textId="77777777" w:rsidR="00B05FEC" w:rsidRPr="00602315" w:rsidRDefault="00B05FEC" w:rsidP="0095277E">
            <w:pPr>
              <w:autoSpaceDE w:val="0"/>
              <w:autoSpaceDN w:val="0"/>
              <w:adjustRightInd w:val="0"/>
              <w:ind w:left="-31"/>
              <w:jc w:val="center"/>
              <w:rPr>
                <w:rFonts w:cs="Arial"/>
              </w:rPr>
            </w:pPr>
            <w:r w:rsidRPr="00602315">
              <w:rPr>
                <w:rFonts w:cs="Arial"/>
              </w:rPr>
              <w:t>2023</w:t>
            </w:r>
          </w:p>
        </w:tc>
        <w:tc>
          <w:tcPr>
            <w:tcW w:w="1435" w:type="dxa"/>
            <w:tcBorders>
              <w:bottom w:val="single" w:sz="4" w:space="0" w:color="auto"/>
              <w:right w:val="dashed" w:sz="4" w:space="0" w:color="auto"/>
            </w:tcBorders>
          </w:tcPr>
          <w:p w14:paraId="5DDBF491" w14:textId="77777777" w:rsidR="00B05FEC" w:rsidRPr="00602315" w:rsidRDefault="00B05FEC" w:rsidP="0095277E">
            <w:pPr>
              <w:tabs>
                <w:tab w:val="left" w:pos="435"/>
                <w:tab w:val="center" w:pos="680"/>
              </w:tabs>
              <w:autoSpaceDE w:val="0"/>
              <w:autoSpaceDN w:val="0"/>
              <w:adjustRightInd w:val="0"/>
              <w:ind w:left="-1"/>
              <w:jc w:val="center"/>
              <w:rPr>
                <w:rFonts w:cs="Arial"/>
              </w:rPr>
            </w:pPr>
            <w:r w:rsidRPr="00602315">
              <w:rPr>
                <w:rFonts w:cs="Arial" w:hint="eastAsia"/>
              </w:rPr>
              <w:t>497</w:t>
            </w:r>
          </w:p>
        </w:tc>
        <w:tc>
          <w:tcPr>
            <w:tcW w:w="1573" w:type="dxa"/>
            <w:tcBorders>
              <w:left w:val="dashed" w:sz="4" w:space="0" w:color="auto"/>
              <w:bottom w:val="single" w:sz="4" w:space="0" w:color="auto"/>
              <w:right w:val="single" w:sz="4" w:space="0" w:color="auto"/>
            </w:tcBorders>
          </w:tcPr>
          <w:p w14:paraId="5A423658" w14:textId="77777777" w:rsidR="00B05FEC" w:rsidRPr="00602315" w:rsidRDefault="00B05FEC" w:rsidP="0095277E">
            <w:pPr>
              <w:autoSpaceDE w:val="0"/>
              <w:autoSpaceDN w:val="0"/>
              <w:adjustRightInd w:val="0"/>
              <w:rPr>
                <w:rFonts w:cs="Arial"/>
              </w:rPr>
            </w:pPr>
            <w:r w:rsidRPr="00602315">
              <w:rPr>
                <w:rFonts w:cs="Arial" w:hint="eastAsia"/>
              </w:rPr>
              <w:t xml:space="preserve"> </w:t>
            </w:r>
            <w:r w:rsidRPr="00602315">
              <w:rPr>
                <w:rFonts w:cs="Arial"/>
              </w:rPr>
              <w:t xml:space="preserve">    </w:t>
            </w:r>
          </w:p>
        </w:tc>
        <w:tc>
          <w:tcPr>
            <w:tcW w:w="2365" w:type="dxa"/>
            <w:tcBorders>
              <w:left w:val="single" w:sz="4" w:space="0" w:color="auto"/>
              <w:bottom w:val="single" w:sz="4" w:space="0" w:color="auto"/>
              <w:right w:val="dashed" w:sz="4" w:space="0" w:color="auto"/>
            </w:tcBorders>
          </w:tcPr>
          <w:p w14:paraId="392BAC61" w14:textId="77777777" w:rsidR="00B05FEC" w:rsidRPr="00602315" w:rsidRDefault="00B05FEC" w:rsidP="0095277E">
            <w:pPr>
              <w:autoSpaceDE w:val="0"/>
              <w:autoSpaceDN w:val="0"/>
              <w:adjustRightInd w:val="0"/>
              <w:ind w:left="-1"/>
              <w:jc w:val="center"/>
              <w:rPr>
                <w:rFonts w:cs="Arial"/>
              </w:rPr>
            </w:pPr>
            <w:r w:rsidRPr="00602315">
              <w:rPr>
                <w:rFonts w:cs="Arial" w:hint="eastAsia"/>
              </w:rPr>
              <w:t>24</w:t>
            </w:r>
          </w:p>
        </w:tc>
        <w:tc>
          <w:tcPr>
            <w:tcW w:w="1572" w:type="dxa"/>
            <w:tcBorders>
              <w:left w:val="dashed" w:sz="4" w:space="0" w:color="auto"/>
              <w:bottom w:val="single" w:sz="4" w:space="0" w:color="auto"/>
            </w:tcBorders>
          </w:tcPr>
          <w:p w14:paraId="5B80D9FB" w14:textId="77777777" w:rsidR="00B05FEC" w:rsidRPr="00602315" w:rsidRDefault="00B05FEC" w:rsidP="0095277E">
            <w:pPr>
              <w:autoSpaceDE w:val="0"/>
              <w:autoSpaceDN w:val="0"/>
              <w:adjustRightInd w:val="0"/>
              <w:rPr>
                <w:rFonts w:cs="Arial"/>
              </w:rPr>
            </w:pPr>
            <w:r w:rsidRPr="00602315">
              <w:rPr>
                <w:rFonts w:cs="Arial" w:hint="eastAsia"/>
              </w:rPr>
              <w:t xml:space="preserve"> </w:t>
            </w:r>
            <w:r w:rsidRPr="00602315">
              <w:rPr>
                <w:rFonts w:cs="Arial"/>
              </w:rPr>
              <w:t xml:space="preserve">    </w:t>
            </w:r>
          </w:p>
        </w:tc>
      </w:tr>
      <w:tr w:rsidR="00B05FEC" w:rsidRPr="00602315" w14:paraId="74D08EA4" w14:textId="77777777" w:rsidTr="00602315">
        <w:trPr>
          <w:trHeight w:val="382"/>
        </w:trPr>
        <w:tc>
          <w:tcPr>
            <w:tcW w:w="1560" w:type="dxa"/>
            <w:tcBorders>
              <w:top w:val="single" w:sz="4" w:space="0" w:color="auto"/>
            </w:tcBorders>
          </w:tcPr>
          <w:p w14:paraId="5BED5703" w14:textId="77777777" w:rsidR="00B05FEC" w:rsidRPr="00602315" w:rsidRDefault="00B05FEC" w:rsidP="0095277E">
            <w:pPr>
              <w:autoSpaceDE w:val="0"/>
              <w:autoSpaceDN w:val="0"/>
              <w:adjustRightInd w:val="0"/>
              <w:ind w:left="-31"/>
              <w:jc w:val="center"/>
              <w:rPr>
                <w:rFonts w:cs="Arial"/>
              </w:rPr>
            </w:pPr>
            <w:r w:rsidRPr="00602315">
              <w:rPr>
                <w:rFonts w:cs="Arial"/>
              </w:rPr>
              <w:t>2024</w:t>
            </w:r>
          </w:p>
        </w:tc>
        <w:tc>
          <w:tcPr>
            <w:tcW w:w="1435" w:type="dxa"/>
            <w:tcBorders>
              <w:top w:val="single" w:sz="4" w:space="0" w:color="auto"/>
              <w:right w:val="dashed" w:sz="4" w:space="0" w:color="auto"/>
            </w:tcBorders>
          </w:tcPr>
          <w:p w14:paraId="3B2FE947" w14:textId="77777777" w:rsidR="00B05FEC" w:rsidRPr="00602315" w:rsidRDefault="00B05FEC" w:rsidP="0095277E">
            <w:pPr>
              <w:tabs>
                <w:tab w:val="left" w:pos="435"/>
                <w:tab w:val="center" w:pos="680"/>
              </w:tabs>
              <w:autoSpaceDE w:val="0"/>
              <w:autoSpaceDN w:val="0"/>
              <w:adjustRightInd w:val="0"/>
              <w:ind w:left="-1"/>
              <w:jc w:val="center"/>
              <w:rPr>
                <w:rFonts w:cs="Arial"/>
              </w:rPr>
            </w:pPr>
            <w:r w:rsidRPr="00602315">
              <w:rPr>
                <w:rFonts w:cs="Arial" w:hint="eastAsia"/>
              </w:rPr>
              <w:t>703</w:t>
            </w:r>
          </w:p>
        </w:tc>
        <w:tc>
          <w:tcPr>
            <w:tcW w:w="1573" w:type="dxa"/>
            <w:tcBorders>
              <w:top w:val="single" w:sz="4" w:space="0" w:color="auto"/>
              <w:left w:val="dashed" w:sz="4" w:space="0" w:color="auto"/>
              <w:right w:val="single" w:sz="4" w:space="0" w:color="auto"/>
            </w:tcBorders>
          </w:tcPr>
          <w:p w14:paraId="381524CE" w14:textId="77777777" w:rsidR="00B05FEC" w:rsidRPr="00602315" w:rsidRDefault="00B05FEC" w:rsidP="0095277E">
            <w:pPr>
              <w:autoSpaceDE w:val="0"/>
              <w:autoSpaceDN w:val="0"/>
              <w:adjustRightInd w:val="0"/>
              <w:jc w:val="center"/>
              <w:rPr>
                <w:rFonts w:cs="Arial"/>
              </w:rPr>
            </w:pPr>
            <w:r w:rsidRPr="00602315">
              <w:rPr>
                <w:rFonts w:cs="Arial" w:hint="eastAsia"/>
              </w:rPr>
              <w:t>(141</w:t>
            </w:r>
            <w:r w:rsidRPr="00602315">
              <w:rPr>
                <w:rFonts w:cs="Arial"/>
              </w:rPr>
              <w:t>%)</w:t>
            </w:r>
          </w:p>
        </w:tc>
        <w:tc>
          <w:tcPr>
            <w:tcW w:w="2365" w:type="dxa"/>
            <w:tcBorders>
              <w:top w:val="single" w:sz="4" w:space="0" w:color="auto"/>
              <w:left w:val="single" w:sz="4" w:space="0" w:color="auto"/>
              <w:right w:val="dashed" w:sz="4" w:space="0" w:color="auto"/>
            </w:tcBorders>
          </w:tcPr>
          <w:p w14:paraId="1E31CEC6" w14:textId="77777777" w:rsidR="00B05FEC" w:rsidRPr="00602315" w:rsidRDefault="00B05FEC" w:rsidP="0095277E">
            <w:pPr>
              <w:autoSpaceDE w:val="0"/>
              <w:autoSpaceDN w:val="0"/>
              <w:adjustRightInd w:val="0"/>
              <w:ind w:left="-1"/>
              <w:jc w:val="center"/>
              <w:rPr>
                <w:rFonts w:cs="Arial"/>
              </w:rPr>
            </w:pPr>
            <w:r w:rsidRPr="00602315">
              <w:rPr>
                <w:rFonts w:cs="Arial" w:hint="eastAsia"/>
              </w:rPr>
              <w:t>52</w:t>
            </w:r>
          </w:p>
        </w:tc>
        <w:tc>
          <w:tcPr>
            <w:tcW w:w="1572" w:type="dxa"/>
            <w:tcBorders>
              <w:top w:val="single" w:sz="4" w:space="0" w:color="auto"/>
              <w:left w:val="dashed" w:sz="4" w:space="0" w:color="auto"/>
            </w:tcBorders>
          </w:tcPr>
          <w:p w14:paraId="77D656E5" w14:textId="77777777" w:rsidR="00B05FEC" w:rsidRPr="00602315" w:rsidRDefault="00B05FEC" w:rsidP="0095277E">
            <w:pPr>
              <w:autoSpaceDE w:val="0"/>
              <w:autoSpaceDN w:val="0"/>
              <w:adjustRightInd w:val="0"/>
              <w:rPr>
                <w:rFonts w:cs="Arial"/>
              </w:rPr>
            </w:pPr>
            <w:r w:rsidRPr="00602315">
              <w:rPr>
                <w:rFonts w:cs="Arial" w:hint="eastAsia"/>
              </w:rPr>
              <w:t xml:space="preserve"> </w:t>
            </w:r>
            <w:r w:rsidRPr="00602315">
              <w:rPr>
                <w:rFonts w:cs="Arial"/>
              </w:rPr>
              <w:t xml:space="preserve">  </w:t>
            </w:r>
            <w:r w:rsidRPr="00602315">
              <w:rPr>
                <w:rFonts w:cs="Arial" w:hint="eastAsia"/>
              </w:rPr>
              <w:t>(217</w:t>
            </w:r>
            <w:r w:rsidRPr="00602315">
              <w:rPr>
                <w:rFonts w:cs="Arial"/>
              </w:rPr>
              <w:t>%)</w:t>
            </w:r>
          </w:p>
        </w:tc>
      </w:tr>
    </w:tbl>
    <w:p w14:paraId="7FFD28BA" w14:textId="77777777" w:rsidR="00B05FEC" w:rsidRDefault="00B05FEC" w:rsidP="00602315"/>
    <w:p w14:paraId="49896591" w14:textId="77777777" w:rsidR="00602315" w:rsidRPr="00746956" w:rsidRDefault="00602315" w:rsidP="00602315"/>
    <w:p w14:paraId="2E107137" w14:textId="2699AFBB" w:rsidR="00B05FEC" w:rsidRPr="00746956" w:rsidRDefault="00B05FEC" w:rsidP="00602315">
      <w:r w:rsidRPr="00746956">
        <w:t xml:space="preserve">3. National test guidelines </w:t>
      </w:r>
      <w:r w:rsidRPr="00746956">
        <w:rPr>
          <w:rFonts w:hint="eastAsia"/>
        </w:rPr>
        <w:t xml:space="preserve">harmonized with UPOV TGs </w:t>
      </w:r>
      <w:r w:rsidRPr="00746956">
        <w:t>in 202</w:t>
      </w:r>
      <w:r>
        <w:rPr>
          <w:rFonts w:hint="eastAsia"/>
        </w:rPr>
        <w:t>4</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B05FEC" w:rsidRPr="00602315" w14:paraId="2EB8336E" w14:textId="77777777" w:rsidTr="0095277E">
        <w:trPr>
          <w:trHeight w:val="160"/>
        </w:trPr>
        <w:tc>
          <w:tcPr>
            <w:tcW w:w="8830" w:type="dxa"/>
          </w:tcPr>
          <w:p w14:paraId="47D41862" w14:textId="77777777" w:rsidR="00B05FEC" w:rsidRPr="00602315" w:rsidRDefault="00B05FEC" w:rsidP="0095277E">
            <w:pPr>
              <w:autoSpaceDE w:val="0"/>
              <w:autoSpaceDN w:val="0"/>
              <w:adjustRightInd w:val="0"/>
              <w:jc w:val="center"/>
              <w:rPr>
                <w:rFonts w:cs="Arial"/>
              </w:rPr>
            </w:pPr>
            <w:r w:rsidRPr="00602315">
              <w:rPr>
                <w:rFonts w:cs="Arial"/>
              </w:rPr>
              <w:t>Common name of plants</w:t>
            </w:r>
            <w:r w:rsidRPr="00602315">
              <w:rPr>
                <w:rFonts w:cs="Arial" w:hint="eastAsia"/>
              </w:rPr>
              <w:t xml:space="preserve"> (4)</w:t>
            </w:r>
          </w:p>
        </w:tc>
      </w:tr>
      <w:tr w:rsidR="00B05FEC" w:rsidRPr="00602315" w14:paraId="07B0020C" w14:textId="77777777" w:rsidTr="0095277E">
        <w:trPr>
          <w:trHeight w:val="80"/>
        </w:trPr>
        <w:tc>
          <w:tcPr>
            <w:tcW w:w="8830" w:type="dxa"/>
          </w:tcPr>
          <w:p w14:paraId="6B99D5E7" w14:textId="77777777" w:rsidR="00B05FEC" w:rsidRPr="00602315" w:rsidRDefault="00B05FEC" w:rsidP="0095277E">
            <w:pPr>
              <w:autoSpaceDE w:val="0"/>
              <w:autoSpaceDN w:val="0"/>
              <w:adjustRightInd w:val="0"/>
              <w:jc w:val="left"/>
              <w:rPr>
                <w:rFonts w:cs="Arial"/>
                <w:highlight w:val="yellow"/>
                <w:lang w:val="nl-NL"/>
              </w:rPr>
            </w:pPr>
            <w:r w:rsidRPr="00602315">
              <w:rPr>
                <w:rFonts w:cs="Arial"/>
                <w:lang w:val="nl-NL"/>
              </w:rPr>
              <w:t>Beetroot,</w:t>
            </w:r>
            <w:r w:rsidRPr="00602315">
              <w:rPr>
                <w:rFonts w:cs="Arial" w:hint="eastAsia"/>
                <w:lang w:val="nl-NL"/>
              </w:rPr>
              <w:t xml:space="preserve"> </w:t>
            </w:r>
            <w:r w:rsidRPr="00602315">
              <w:rPr>
                <w:rFonts w:cs="Arial"/>
                <w:lang w:val="nl-NL"/>
              </w:rPr>
              <w:t>Bottle Gourd, Pea, Zinnia</w:t>
            </w:r>
          </w:p>
        </w:tc>
      </w:tr>
    </w:tbl>
    <w:p w14:paraId="064B350B" w14:textId="77777777" w:rsidR="00B05FEC" w:rsidRDefault="00B05FEC" w:rsidP="00602315">
      <w:pPr>
        <w:rPr>
          <w:lang w:val="nl-NL"/>
        </w:rPr>
      </w:pPr>
    </w:p>
    <w:p w14:paraId="5505FE9D" w14:textId="77777777" w:rsidR="00602315" w:rsidRPr="00353B5E" w:rsidRDefault="00602315" w:rsidP="00602315">
      <w:pPr>
        <w:rPr>
          <w:lang w:val="nl-NL"/>
        </w:rPr>
      </w:pPr>
    </w:p>
    <w:p w14:paraId="0E3EA0B2" w14:textId="70F76BCD" w:rsidR="00B05FEC" w:rsidRPr="00746956" w:rsidRDefault="00B05FEC" w:rsidP="00602315">
      <w:r w:rsidRPr="00746956">
        <w:t xml:space="preserve">4. National test guidelines </w:t>
      </w:r>
      <w:r w:rsidRPr="00746956">
        <w:rPr>
          <w:rFonts w:hint="eastAsia"/>
        </w:rPr>
        <w:t xml:space="preserve">developed for new type of species </w:t>
      </w:r>
      <w:r w:rsidRPr="00746956">
        <w:t>in 202</w:t>
      </w:r>
      <w:r>
        <w:rPr>
          <w:rFonts w:hint="eastAsia"/>
        </w:rPr>
        <w:t>4</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B05FEC" w:rsidRPr="00602315" w14:paraId="1B227FCE" w14:textId="77777777" w:rsidTr="0095277E">
        <w:trPr>
          <w:trHeight w:val="70"/>
        </w:trPr>
        <w:tc>
          <w:tcPr>
            <w:tcW w:w="8826" w:type="dxa"/>
          </w:tcPr>
          <w:p w14:paraId="13A77AE6" w14:textId="77777777" w:rsidR="00B05FEC" w:rsidRPr="00602315" w:rsidRDefault="00B05FEC" w:rsidP="0095277E">
            <w:pPr>
              <w:autoSpaceDE w:val="0"/>
              <w:autoSpaceDN w:val="0"/>
              <w:adjustRightInd w:val="0"/>
              <w:jc w:val="center"/>
              <w:rPr>
                <w:rFonts w:cs="Arial"/>
              </w:rPr>
            </w:pPr>
            <w:r w:rsidRPr="00602315">
              <w:rPr>
                <w:rFonts w:cs="Arial" w:hint="eastAsia"/>
              </w:rPr>
              <w:t>G</w:t>
            </w:r>
            <w:r w:rsidRPr="00602315">
              <w:rPr>
                <w:rFonts w:cs="Arial"/>
              </w:rPr>
              <w:t xml:space="preserve">enera or </w:t>
            </w:r>
            <w:r w:rsidRPr="00602315">
              <w:rPr>
                <w:rFonts w:cs="Arial" w:hint="eastAsia"/>
              </w:rPr>
              <w:t>S</w:t>
            </w:r>
            <w:r w:rsidRPr="00602315">
              <w:rPr>
                <w:rFonts w:cs="Arial"/>
              </w:rPr>
              <w:t>pecies</w:t>
            </w:r>
            <w:r w:rsidRPr="00602315">
              <w:rPr>
                <w:rFonts w:cs="Arial" w:hint="eastAsia"/>
              </w:rPr>
              <w:t xml:space="preserve"> (5)</w:t>
            </w:r>
          </w:p>
        </w:tc>
      </w:tr>
      <w:tr w:rsidR="00B05FEC" w:rsidRPr="00A4498D" w14:paraId="7B5CEE1B" w14:textId="77777777" w:rsidTr="00602315">
        <w:trPr>
          <w:trHeight w:val="688"/>
        </w:trPr>
        <w:tc>
          <w:tcPr>
            <w:tcW w:w="8826" w:type="dxa"/>
            <w:tcBorders>
              <w:bottom w:val="single" w:sz="4" w:space="0" w:color="auto"/>
            </w:tcBorders>
          </w:tcPr>
          <w:p w14:paraId="158DC8CC" w14:textId="702A7115" w:rsidR="00B05FEC" w:rsidRPr="00904063" w:rsidRDefault="00B05FEC" w:rsidP="0095277E">
            <w:pPr>
              <w:autoSpaceDE w:val="0"/>
              <w:autoSpaceDN w:val="0"/>
              <w:adjustRightInd w:val="0"/>
              <w:jc w:val="left"/>
              <w:rPr>
                <w:rFonts w:cs="Arial"/>
                <w:i/>
                <w:iCs/>
                <w:lang w:val="pt-BR"/>
              </w:rPr>
            </w:pPr>
            <w:r w:rsidRPr="00904063">
              <w:rPr>
                <w:rFonts w:cs="Arial"/>
                <w:i/>
                <w:iCs/>
                <w:lang w:val="pt-BR"/>
              </w:rPr>
              <w:t xml:space="preserve">Anemone coronaria </w:t>
            </w:r>
            <w:r w:rsidRPr="00904063">
              <w:rPr>
                <w:rFonts w:cs="Arial"/>
                <w:lang w:val="pt-BR"/>
              </w:rPr>
              <w:t>L.</w:t>
            </w:r>
            <w:r w:rsidRPr="00904063">
              <w:rPr>
                <w:rFonts w:cs="Arial"/>
                <w:i/>
                <w:iCs/>
                <w:lang w:val="pt-BR"/>
              </w:rPr>
              <w:t xml:space="preserve">, Arthropodium candidum </w:t>
            </w:r>
            <w:r w:rsidRPr="00904063">
              <w:rPr>
                <w:rFonts w:cs="Arial"/>
                <w:lang w:val="pt-BR"/>
              </w:rPr>
              <w:t>Raoul</w:t>
            </w:r>
            <w:r w:rsidRPr="00904063">
              <w:rPr>
                <w:rFonts w:cs="Arial"/>
                <w:i/>
                <w:iCs/>
                <w:lang w:val="pt-BR"/>
              </w:rPr>
              <w:t xml:space="preserve">, Cleyera japonica </w:t>
            </w:r>
            <w:r w:rsidRPr="00904063">
              <w:rPr>
                <w:rFonts w:cs="Arial"/>
                <w:lang w:val="pt-BR"/>
              </w:rPr>
              <w:t>Thunb.</w:t>
            </w:r>
            <w:r w:rsidRPr="00904063">
              <w:rPr>
                <w:rFonts w:cs="Arial"/>
                <w:i/>
                <w:iCs/>
                <w:lang w:val="pt-BR"/>
              </w:rPr>
              <w:t>, Ficus</w:t>
            </w:r>
            <w:r w:rsidR="00F6190D">
              <w:rPr>
                <w:rFonts w:cs="Arial"/>
                <w:i/>
                <w:iCs/>
                <w:lang w:val="pt-BR"/>
              </w:rPr>
              <w:t> </w:t>
            </w:r>
            <w:r w:rsidRPr="00904063">
              <w:rPr>
                <w:rFonts w:cs="Arial"/>
                <w:i/>
                <w:iCs/>
                <w:lang w:val="pt-BR"/>
              </w:rPr>
              <w:t>benghalensis</w:t>
            </w:r>
            <w:r w:rsidRPr="00904063">
              <w:rPr>
                <w:rFonts w:cs="Arial"/>
                <w:lang w:val="pt-BR"/>
              </w:rPr>
              <w:t xml:space="preserve"> L., </w:t>
            </w:r>
            <w:r w:rsidRPr="00904063">
              <w:rPr>
                <w:rFonts w:cs="Arial"/>
                <w:i/>
                <w:iCs/>
                <w:lang w:val="pt-BR"/>
              </w:rPr>
              <w:t xml:space="preserve">Lachenalia </w:t>
            </w:r>
            <w:r w:rsidRPr="00904063">
              <w:rPr>
                <w:rFonts w:cs="Arial"/>
                <w:lang w:val="pt-BR"/>
              </w:rPr>
              <w:t>Jacq. f. ex Murr.</w:t>
            </w:r>
          </w:p>
        </w:tc>
      </w:tr>
    </w:tbl>
    <w:p w14:paraId="37278442" w14:textId="469816CF" w:rsidR="00B05FEC" w:rsidRPr="00602315" w:rsidRDefault="00602315" w:rsidP="00602315">
      <w:pPr>
        <w:ind w:left="709"/>
        <w:rPr>
          <w:rFonts w:cs="Arial"/>
        </w:rPr>
      </w:pPr>
      <w:proofErr w:type="gramStart"/>
      <w:r w:rsidRPr="00602315">
        <w:rPr>
          <w:rFonts w:cs="Arial"/>
          <w:bCs/>
        </w:rPr>
        <w:t>W</w:t>
      </w:r>
      <w:r w:rsidR="00B05FEC" w:rsidRPr="00602315">
        <w:rPr>
          <w:rFonts w:cs="Arial"/>
          <w:bCs/>
        </w:rPr>
        <w:t>eb-site</w:t>
      </w:r>
      <w:proofErr w:type="gramEnd"/>
      <w:r w:rsidR="00B05FEC" w:rsidRPr="00602315">
        <w:rPr>
          <w:rFonts w:cs="Arial"/>
          <w:bCs/>
        </w:rPr>
        <w:t xml:space="preserve">: </w:t>
      </w:r>
      <w:hyperlink r:id="rId11" w:history="1">
        <w:r w:rsidR="00B05FEC" w:rsidRPr="00602315">
          <w:rPr>
            <w:rStyle w:val="Hyperlink"/>
            <w:rFonts w:cs="Arial"/>
          </w:rPr>
          <w:t>https://www.maff.go.jp/j/shokusan/hinshu/info/sinsa_kijun_jp.html</w:t>
        </w:r>
      </w:hyperlink>
    </w:p>
    <w:p w14:paraId="0209BAF6" w14:textId="77777777" w:rsidR="00B05FEC" w:rsidRDefault="00B05FEC" w:rsidP="00602315"/>
    <w:p w14:paraId="33F0C2CF" w14:textId="77777777" w:rsidR="00602315" w:rsidRPr="00A92845" w:rsidRDefault="00602315" w:rsidP="00602315"/>
    <w:p w14:paraId="4A5620D2" w14:textId="5EEF93A1" w:rsidR="00B05FEC" w:rsidRDefault="00B05FEC" w:rsidP="00602315">
      <w:r w:rsidRPr="00A92845">
        <w:rPr>
          <w:rFonts w:hint="eastAsia"/>
        </w:rPr>
        <w:t>5. Other</w:t>
      </w:r>
    </w:p>
    <w:p w14:paraId="0B28E67C" w14:textId="77777777" w:rsidR="00602315" w:rsidRDefault="00602315" w:rsidP="00602315"/>
    <w:p w14:paraId="6535EDA2" w14:textId="115255F0" w:rsidR="00B05FEC" w:rsidRPr="005F74DA" w:rsidRDefault="00B05FEC" w:rsidP="00602315">
      <w:pPr>
        <w:pStyle w:val="ListParagraph"/>
        <w:numPr>
          <w:ilvl w:val="0"/>
          <w:numId w:val="2"/>
        </w:numPr>
        <w:ind w:left="0" w:firstLine="0"/>
      </w:pPr>
      <w:bookmarkStart w:id="2" w:name="_Hlk162440543"/>
      <w:r w:rsidRPr="005F74DA">
        <w:t>Japan continuously provides other UPOV members with examination reports under the Memorandum of Cooperation (MOC). Japan had provided 51 DUS examination reports in total to other countries in 2024</w:t>
      </w:r>
      <w:r>
        <w:rPr>
          <w:rFonts w:hint="eastAsia"/>
        </w:rPr>
        <w:t>.</w:t>
      </w:r>
      <w:r w:rsidR="00F6190D">
        <w:t xml:space="preserve">  </w:t>
      </w:r>
    </w:p>
    <w:p w14:paraId="60EA4C6C" w14:textId="77777777" w:rsidR="00B05FEC" w:rsidRPr="00101056" w:rsidRDefault="00B05FEC" w:rsidP="00602315">
      <w:bookmarkStart w:id="3" w:name="_Hlk99613532"/>
      <w:r w:rsidRPr="005F74DA">
        <w:t xml:space="preserve">MAFF and </w:t>
      </w:r>
      <w:r w:rsidRPr="00DF6968">
        <w:t>Dirección Técnica de Semillas, Instituto Colombiano Agropecuario (ICA)</w:t>
      </w:r>
      <w:r w:rsidRPr="005F74DA">
        <w:t xml:space="preserve"> had signed MOC for cooperation in DUS examination in 202</w:t>
      </w:r>
      <w:r w:rsidRPr="00101056">
        <w:t>4</w:t>
      </w:r>
      <w:r w:rsidRPr="005F74DA">
        <w:t xml:space="preserve">. </w:t>
      </w:r>
      <w:bookmarkStart w:id="4" w:name="_Hlk162438337"/>
      <w:r w:rsidRPr="005F74DA">
        <w:t>We have also signed the MOC with the Plant Variety Rights Office for the United Kingdom this February.</w:t>
      </w:r>
      <w:r w:rsidRPr="00101056">
        <w:t xml:space="preserve"> </w:t>
      </w:r>
    </w:p>
    <w:bookmarkEnd w:id="2"/>
    <w:bookmarkEnd w:id="3"/>
    <w:bookmarkEnd w:id="4"/>
    <w:p w14:paraId="1782ACA5" w14:textId="77777777" w:rsidR="00B05FEC" w:rsidRPr="005F74DA" w:rsidRDefault="00B05FEC" w:rsidP="00602315"/>
    <w:p w14:paraId="0B25EE84" w14:textId="77777777" w:rsidR="00B05FEC" w:rsidRDefault="00B05FEC" w:rsidP="00602315">
      <w:pPr>
        <w:pStyle w:val="ListParagraph"/>
        <w:numPr>
          <w:ilvl w:val="0"/>
          <w:numId w:val="2"/>
        </w:numPr>
        <w:ind w:left="0" w:firstLine="0"/>
      </w:pPr>
      <w:bookmarkStart w:id="5" w:name="_Hlk130808620"/>
      <w:r w:rsidRPr="001765A1">
        <w:t>Since 2016, based on the Memorandum of Understanding (MOU), Center for Seeds and Seedlings, NARO (NCSS) and Naktuinbouw have established Calibration Manuals for DUS technical harmonization. “Calibration manual for Celosia” was finalized in 2025, and it will be published through both of websites. With addition of this, a total of 12 Calibration Manuals will be available for third country.</w:t>
      </w:r>
    </w:p>
    <w:p w14:paraId="493BF6C0" w14:textId="77777777" w:rsidR="00B05FEC" w:rsidRPr="001765A1" w:rsidRDefault="00B05FEC" w:rsidP="00602315"/>
    <w:p w14:paraId="1C75F174" w14:textId="77777777" w:rsidR="00B05FEC" w:rsidRPr="005F74DA" w:rsidRDefault="00B05FEC" w:rsidP="00602315">
      <w:pPr>
        <w:pStyle w:val="ListParagraph"/>
        <w:numPr>
          <w:ilvl w:val="0"/>
          <w:numId w:val="2"/>
        </w:numPr>
        <w:ind w:left="0" w:firstLine="0"/>
      </w:pPr>
      <w:r w:rsidRPr="001765A1">
        <w:t xml:space="preserve">In addition, a three-year extension of the MOU between Naktuinbouw and NCSS, which expired in March 2024, was concluded up to March 2027 </w:t>
      </w:r>
      <w:proofErr w:type="gramStart"/>
      <w:r w:rsidRPr="001765A1">
        <w:t>in order to</w:t>
      </w:r>
      <w:proofErr w:type="gramEnd"/>
      <w:r w:rsidRPr="001765A1">
        <w:t xml:space="preserve"> contribute international harmonization in cooperation with Naktuinbouw. In extending the MOU, it was newly agreed to provide technical cooperation on DNA analysis for disease resistance in DUS test, DNA variety identification techniques for plant variety protection.</w:t>
      </w:r>
      <w:bookmarkEnd w:id="5"/>
    </w:p>
    <w:p w14:paraId="73BCB07A" w14:textId="77777777" w:rsidR="00B05FEC" w:rsidRPr="00C02DB4" w:rsidRDefault="00B05FEC" w:rsidP="00602315"/>
    <w:p w14:paraId="71CF2AFB" w14:textId="77777777" w:rsidR="00B05FEC" w:rsidRDefault="00B05FEC" w:rsidP="00D01F96">
      <w:pPr>
        <w:rPr>
          <w:snapToGrid w:val="0"/>
        </w:rPr>
      </w:pPr>
    </w:p>
    <w:p w14:paraId="77214E88" w14:textId="77777777" w:rsidR="00B05FEC" w:rsidRDefault="00B05FEC" w:rsidP="00D01F96">
      <w:pPr>
        <w:rPr>
          <w:snapToGrid w:val="0"/>
        </w:rPr>
      </w:pPr>
    </w:p>
    <w:p w14:paraId="3A80E35A" w14:textId="7E41E652" w:rsidR="00B05FEC" w:rsidRDefault="00B05FEC" w:rsidP="00B05FEC">
      <w:pPr>
        <w:jc w:val="right"/>
        <w:rPr>
          <w:snapToGrid w:val="0"/>
        </w:rPr>
      </w:pPr>
      <w:r>
        <w:rPr>
          <w:snapToGrid w:val="0"/>
        </w:rPr>
        <w:t>[Annex I</w:t>
      </w:r>
      <w:r w:rsidR="00C76634">
        <w:rPr>
          <w:snapToGrid w:val="0"/>
        </w:rPr>
        <w:t>I</w:t>
      </w:r>
      <w:r>
        <w:rPr>
          <w:snapToGrid w:val="0"/>
        </w:rPr>
        <w:t>I follows]</w:t>
      </w:r>
    </w:p>
    <w:p w14:paraId="1448CF4D" w14:textId="77777777" w:rsidR="00432C27" w:rsidRDefault="00432C27" w:rsidP="00D01F96">
      <w:pPr>
        <w:rPr>
          <w:snapToGrid w:val="0"/>
        </w:rPr>
        <w:sectPr w:rsidR="00432C27" w:rsidSect="005E7466">
          <w:headerReference w:type="first" r:id="rId12"/>
          <w:pgSz w:w="11907" w:h="16840" w:code="9"/>
          <w:pgMar w:top="510" w:right="1134" w:bottom="1134" w:left="1134" w:header="510" w:footer="680" w:gutter="0"/>
          <w:pgNumType w:start="1"/>
          <w:cols w:space="720"/>
          <w:titlePg/>
        </w:sectPr>
      </w:pPr>
    </w:p>
    <w:p w14:paraId="08106EA3" w14:textId="77777777" w:rsidR="00432C27" w:rsidRDefault="00432C27" w:rsidP="00432C27"/>
    <w:p w14:paraId="146B3821" w14:textId="5A1BAC8F" w:rsidR="00C76634" w:rsidRDefault="00C76634" w:rsidP="00C76634">
      <w:pPr>
        <w:jc w:val="center"/>
      </w:pPr>
      <w:r>
        <w:t>MOROCCO</w:t>
      </w:r>
    </w:p>
    <w:p w14:paraId="11DE6B87" w14:textId="77777777" w:rsidR="00C76634" w:rsidRDefault="00C76634" w:rsidP="00432C27"/>
    <w:p w14:paraId="6CD2648D" w14:textId="77777777" w:rsidR="00C76634" w:rsidRDefault="00C76634" w:rsidP="00432C27"/>
    <w:p w14:paraId="72310905" w14:textId="77777777" w:rsidR="00C76634" w:rsidRDefault="00C76634" w:rsidP="00C76634">
      <w:pPr>
        <w:rPr>
          <w:rFonts w:eastAsia="MS Mincho"/>
        </w:rPr>
      </w:pPr>
      <w:r w:rsidRPr="00C76634">
        <w:rPr>
          <w:rFonts w:eastAsia="MS Mincho"/>
        </w:rPr>
        <w:t>Since the entry into force of Law 9/94 on the protection of plant varieties in Morocco on October 28, 2002, the date of publication of its implementing texts in the Official Bulletin, the situation regarding the protection of plant varieties is as follows:"</w:t>
      </w:r>
    </w:p>
    <w:p w14:paraId="513DD892" w14:textId="77777777" w:rsidR="00C76634" w:rsidRDefault="00C76634" w:rsidP="00C76634">
      <w:pPr>
        <w:rPr>
          <w:rFonts w:eastAsia="MS Mincho"/>
        </w:rPr>
      </w:pPr>
    </w:p>
    <w:p w14:paraId="72F46423" w14:textId="77777777" w:rsidR="00C76634" w:rsidRPr="00C76634" w:rsidRDefault="00C76634" w:rsidP="00C76634">
      <w:pPr>
        <w:rPr>
          <w:rFonts w:eastAsia="MS Mincho"/>
        </w:rPr>
      </w:pPr>
    </w:p>
    <w:p w14:paraId="5E33F488" w14:textId="77777777" w:rsidR="00C76634" w:rsidRDefault="00C76634" w:rsidP="00C76634">
      <w:pPr>
        <w:pStyle w:val="Heading2"/>
        <w:rPr>
          <w:rFonts w:eastAsia="MS Gothic"/>
        </w:rPr>
      </w:pPr>
      <w:r w:rsidRPr="00C76634">
        <w:rPr>
          <w:rFonts w:eastAsia="MS Gothic"/>
        </w:rPr>
        <w:t>Status of Plant Variety Protection in Morocco</w:t>
      </w:r>
    </w:p>
    <w:p w14:paraId="36F66499" w14:textId="77777777" w:rsidR="00C76634" w:rsidRPr="00C76634" w:rsidRDefault="00C76634" w:rsidP="00C76634">
      <w:pPr>
        <w:rPr>
          <w:rFonts w:eastAsia="MS Gothic"/>
        </w:rPr>
      </w:pPr>
    </w:p>
    <w:tbl>
      <w:tblPr>
        <w:tblStyle w:val="TableGrid"/>
        <w:tblW w:w="10065" w:type="dxa"/>
        <w:tblInd w:w="-5" w:type="dxa"/>
        <w:tblLook w:val="04A0" w:firstRow="1" w:lastRow="0" w:firstColumn="1" w:lastColumn="0" w:noHBand="0" w:noVBand="1"/>
      </w:tblPr>
      <w:tblGrid>
        <w:gridCol w:w="1552"/>
        <w:gridCol w:w="1567"/>
        <w:gridCol w:w="1417"/>
        <w:gridCol w:w="1530"/>
        <w:gridCol w:w="3999"/>
      </w:tblGrid>
      <w:tr w:rsidR="00C76634" w:rsidRPr="00C76634" w14:paraId="3D25B6A9" w14:textId="77777777" w:rsidTr="00B51653">
        <w:tc>
          <w:tcPr>
            <w:tcW w:w="1552" w:type="dxa"/>
          </w:tcPr>
          <w:p w14:paraId="0A38FF05" w14:textId="77777777" w:rsidR="00C76634" w:rsidRPr="00C76634" w:rsidRDefault="00C76634" w:rsidP="00C76634">
            <w:pPr>
              <w:jc w:val="left"/>
              <w:rPr>
                <w:b/>
                <w:bCs/>
                <w:sz w:val="20"/>
                <w:szCs w:val="20"/>
              </w:rPr>
            </w:pPr>
            <w:r w:rsidRPr="00C76634">
              <w:rPr>
                <w:b/>
                <w:bCs/>
                <w:sz w:val="20"/>
                <w:szCs w:val="20"/>
              </w:rPr>
              <w:t>Species</w:t>
            </w:r>
          </w:p>
        </w:tc>
        <w:tc>
          <w:tcPr>
            <w:tcW w:w="1567" w:type="dxa"/>
          </w:tcPr>
          <w:p w14:paraId="479C0EB9" w14:textId="77777777" w:rsidR="00C76634" w:rsidRPr="00C76634" w:rsidRDefault="00C76634" w:rsidP="00C76634">
            <w:pPr>
              <w:jc w:val="left"/>
              <w:rPr>
                <w:b/>
                <w:bCs/>
                <w:sz w:val="20"/>
                <w:szCs w:val="20"/>
              </w:rPr>
            </w:pPr>
            <w:r w:rsidRPr="00C76634">
              <w:rPr>
                <w:b/>
                <w:bCs/>
                <w:sz w:val="20"/>
                <w:szCs w:val="20"/>
              </w:rPr>
              <w:t>Applications</w:t>
            </w:r>
          </w:p>
        </w:tc>
        <w:tc>
          <w:tcPr>
            <w:tcW w:w="1417" w:type="dxa"/>
          </w:tcPr>
          <w:p w14:paraId="48EDB9FB" w14:textId="77777777" w:rsidR="00C76634" w:rsidRPr="00C76634" w:rsidRDefault="00C76634" w:rsidP="00C76634">
            <w:pPr>
              <w:jc w:val="left"/>
              <w:rPr>
                <w:b/>
                <w:bCs/>
                <w:sz w:val="20"/>
                <w:szCs w:val="20"/>
              </w:rPr>
            </w:pPr>
            <w:r w:rsidRPr="00C76634">
              <w:rPr>
                <w:b/>
                <w:bCs/>
                <w:sz w:val="20"/>
                <w:szCs w:val="20"/>
              </w:rPr>
              <w:t>Protected Varieties</w:t>
            </w:r>
          </w:p>
        </w:tc>
        <w:tc>
          <w:tcPr>
            <w:tcW w:w="1530" w:type="dxa"/>
          </w:tcPr>
          <w:p w14:paraId="6304A5CD" w14:textId="77777777" w:rsidR="00C76634" w:rsidRPr="00C76634" w:rsidRDefault="00C76634" w:rsidP="00C76634">
            <w:pPr>
              <w:jc w:val="left"/>
              <w:rPr>
                <w:b/>
                <w:bCs/>
                <w:sz w:val="20"/>
                <w:szCs w:val="20"/>
              </w:rPr>
            </w:pPr>
            <w:r w:rsidRPr="00C76634">
              <w:rPr>
                <w:b/>
                <w:bCs/>
                <w:sz w:val="20"/>
                <w:szCs w:val="20"/>
              </w:rPr>
              <w:t>Varieties Under Examination</w:t>
            </w:r>
          </w:p>
        </w:tc>
        <w:tc>
          <w:tcPr>
            <w:tcW w:w="3999" w:type="dxa"/>
          </w:tcPr>
          <w:p w14:paraId="44599E96" w14:textId="77777777" w:rsidR="00C76634" w:rsidRPr="00C76634" w:rsidRDefault="00C76634" w:rsidP="00C76634">
            <w:pPr>
              <w:jc w:val="left"/>
              <w:rPr>
                <w:b/>
                <w:bCs/>
                <w:sz w:val="20"/>
                <w:szCs w:val="20"/>
              </w:rPr>
            </w:pPr>
            <w:r w:rsidRPr="00C76634">
              <w:rPr>
                <w:b/>
                <w:bCs/>
                <w:sz w:val="20"/>
                <w:szCs w:val="20"/>
              </w:rPr>
              <w:t>Additional Notes</w:t>
            </w:r>
          </w:p>
        </w:tc>
      </w:tr>
      <w:tr w:rsidR="00C76634" w:rsidRPr="00C76634" w14:paraId="471D42B8" w14:textId="77777777" w:rsidTr="00B51653">
        <w:tc>
          <w:tcPr>
            <w:tcW w:w="1552" w:type="dxa"/>
          </w:tcPr>
          <w:p w14:paraId="6ADD46E3" w14:textId="77777777" w:rsidR="00C76634" w:rsidRPr="00C76634" w:rsidRDefault="00C76634" w:rsidP="00C76634">
            <w:pPr>
              <w:jc w:val="left"/>
              <w:rPr>
                <w:sz w:val="20"/>
                <w:szCs w:val="20"/>
              </w:rPr>
            </w:pPr>
            <w:r w:rsidRPr="00C76634">
              <w:rPr>
                <w:sz w:val="20"/>
                <w:szCs w:val="20"/>
              </w:rPr>
              <w:t>Fruit Trees</w:t>
            </w:r>
          </w:p>
        </w:tc>
        <w:tc>
          <w:tcPr>
            <w:tcW w:w="1567" w:type="dxa"/>
          </w:tcPr>
          <w:p w14:paraId="45F555F8" w14:textId="77777777" w:rsidR="00C76634" w:rsidRPr="00C76634" w:rsidRDefault="00C76634" w:rsidP="00C76634">
            <w:pPr>
              <w:jc w:val="left"/>
              <w:rPr>
                <w:sz w:val="20"/>
                <w:szCs w:val="20"/>
              </w:rPr>
            </w:pPr>
            <w:r w:rsidRPr="00C76634">
              <w:rPr>
                <w:sz w:val="20"/>
                <w:szCs w:val="20"/>
              </w:rPr>
              <w:t>350</w:t>
            </w:r>
          </w:p>
        </w:tc>
        <w:tc>
          <w:tcPr>
            <w:tcW w:w="1417" w:type="dxa"/>
          </w:tcPr>
          <w:p w14:paraId="6FEFED52" w14:textId="77777777" w:rsidR="00C76634" w:rsidRPr="00C76634" w:rsidRDefault="00C76634" w:rsidP="00C76634">
            <w:pPr>
              <w:jc w:val="left"/>
              <w:rPr>
                <w:sz w:val="20"/>
                <w:szCs w:val="20"/>
              </w:rPr>
            </w:pPr>
            <w:r w:rsidRPr="00C76634">
              <w:rPr>
                <w:sz w:val="20"/>
                <w:szCs w:val="20"/>
              </w:rPr>
              <w:t>263</w:t>
            </w:r>
          </w:p>
        </w:tc>
        <w:tc>
          <w:tcPr>
            <w:tcW w:w="1530" w:type="dxa"/>
          </w:tcPr>
          <w:p w14:paraId="62706803" w14:textId="77777777" w:rsidR="00C76634" w:rsidRPr="00C76634" w:rsidRDefault="00C76634" w:rsidP="00C76634">
            <w:pPr>
              <w:jc w:val="left"/>
              <w:rPr>
                <w:sz w:val="20"/>
                <w:szCs w:val="20"/>
              </w:rPr>
            </w:pPr>
            <w:r w:rsidRPr="00C76634">
              <w:rPr>
                <w:sz w:val="20"/>
                <w:szCs w:val="20"/>
              </w:rPr>
              <w:t>64</w:t>
            </w:r>
          </w:p>
        </w:tc>
        <w:tc>
          <w:tcPr>
            <w:tcW w:w="3999" w:type="dxa"/>
          </w:tcPr>
          <w:p w14:paraId="0D53136F" w14:textId="77777777" w:rsidR="00C76634" w:rsidRPr="00C76634" w:rsidRDefault="00C76634" w:rsidP="00C76634">
            <w:pPr>
              <w:jc w:val="left"/>
              <w:rPr>
                <w:sz w:val="20"/>
                <w:szCs w:val="20"/>
              </w:rPr>
            </w:pPr>
            <w:r w:rsidRPr="00C76634">
              <w:rPr>
                <w:sz w:val="20"/>
                <w:szCs w:val="20"/>
              </w:rPr>
              <w:t>• Protection expired for 8 varieties</w:t>
            </w:r>
            <w:r w:rsidRPr="00C76634">
              <w:rPr>
                <w:sz w:val="20"/>
                <w:szCs w:val="20"/>
              </w:rPr>
              <w:br/>
              <w:t>• Protection abandoned for 7 varieties</w:t>
            </w:r>
            <w:r w:rsidRPr="00C76634">
              <w:rPr>
                <w:sz w:val="20"/>
                <w:szCs w:val="20"/>
              </w:rPr>
              <w:br/>
              <w:t>• 4 applications withdrawn</w:t>
            </w:r>
            <w:r w:rsidRPr="00C76634">
              <w:rPr>
                <w:sz w:val="20"/>
                <w:szCs w:val="20"/>
              </w:rPr>
              <w:br/>
              <w:t>• 4 applications rejected</w:t>
            </w:r>
          </w:p>
        </w:tc>
      </w:tr>
      <w:tr w:rsidR="00C76634" w:rsidRPr="00C76634" w14:paraId="4CFCD477" w14:textId="77777777" w:rsidTr="00B51653">
        <w:tc>
          <w:tcPr>
            <w:tcW w:w="1552" w:type="dxa"/>
          </w:tcPr>
          <w:p w14:paraId="48956BED" w14:textId="77777777" w:rsidR="00C76634" w:rsidRPr="00C76634" w:rsidRDefault="00C76634" w:rsidP="00C76634">
            <w:pPr>
              <w:jc w:val="left"/>
              <w:rPr>
                <w:sz w:val="20"/>
                <w:szCs w:val="20"/>
              </w:rPr>
            </w:pPr>
            <w:r w:rsidRPr="00C76634">
              <w:rPr>
                <w:sz w:val="20"/>
                <w:szCs w:val="20"/>
              </w:rPr>
              <w:t>Field Crops</w:t>
            </w:r>
          </w:p>
        </w:tc>
        <w:tc>
          <w:tcPr>
            <w:tcW w:w="1567" w:type="dxa"/>
          </w:tcPr>
          <w:p w14:paraId="275A5032" w14:textId="77777777" w:rsidR="00C76634" w:rsidRPr="00C76634" w:rsidRDefault="00C76634" w:rsidP="00C76634">
            <w:pPr>
              <w:jc w:val="left"/>
              <w:rPr>
                <w:sz w:val="20"/>
                <w:szCs w:val="20"/>
              </w:rPr>
            </w:pPr>
            <w:r w:rsidRPr="00C76634">
              <w:rPr>
                <w:sz w:val="20"/>
                <w:szCs w:val="20"/>
              </w:rPr>
              <w:t>121</w:t>
            </w:r>
          </w:p>
        </w:tc>
        <w:tc>
          <w:tcPr>
            <w:tcW w:w="1417" w:type="dxa"/>
          </w:tcPr>
          <w:p w14:paraId="4EC3539F" w14:textId="77777777" w:rsidR="00C76634" w:rsidRPr="00C76634" w:rsidRDefault="00C76634" w:rsidP="00C76634">
            <w:pPr>
              <w:jc w:val="left"/>
              <w:rPr>
                <w:sz w:val="20"/>
                <w:szCs w:val="20"/>
              </w:rPr>
            </w:pPr>
            <w:r w:rsidRPr="00C76634">
              <w:rPr>
                <w:sz w:val="20"/>
                <w:szCs w:val="20"/>
              </w:rPr>
              <w:t>68</w:t>
            </w:r>
          </w:p>
        </w:tc>
        <w:tc>
          <w:tcPr>
            <w:tcW w:w="1530" w:type="dxa"/>
          </w:tcPr>
          <w:p w14:paraId="366BE336" w14:textId="77777777" w:rsidR="00C76634" w:rsidRPr="00C76634" w:rsidRDefault="00C76634" w:rsidP="00C76634">
            <w:pPr>
              <w:jc w:val="left"/>
              <w:rPr>
                <w:sz w:val="20"/>
                <w:szCs w:val="20"/>
              </w:rPr>
            </w:pPr>
            <w:r w:rsidRPr="00C76634">
              <w:rPr>
                <w:sz w:val="20"/>
                <w:szCs w:val="20"/>
              </w:rPr>
              <w:t>7</w:t>
            </w:r>
          </w:p>
        </w:tc>
        <w:tc>
          <w:tcPr>
            <w:tcW w:w="3999" w:type="dxa"/>
          </w:tcPr>
          <w:p w14:paraId="63F87066" w14:textId="77777777" w:rsidR="00C76634" w:rsidRPr="00C76634" w:rsidRDefault="00C76634" w:rsidP="00C76634">
            <w:pPr>
              <w:jc w:val="left"/>
              <w:rPr>
                <w:sz w:val="20"/>
                <w:szCs w:val="20"/>
              </w:rPr>
            </w:pPr>
            <w:r w:rsidRPr="00C76634">
              <w:rPr>
                <w:sz w:val="20"/>
                <w:szCs w:val="20"/>
              </w:rPr>
              <w:t>• Protection expired for 38 varieties</w:t>
            </w:r>
            <w:r w:rsidRPr="00C76634">
              <w:rPr>
                <w:sz w:val="20"/>
                <w:szCs w:val="20"/>
              </w:rPr>
              <w:br/>
              <w:t>• Protection abandoned for 4 varieties</w:t>
            </w:r>
            <w:r w:rsidRPr="00C76634">
              <w:rPr>
                <w:sz w:val="20"/>
                <w:szCs w:val="20"/>
              </w:rPr>
              <w:br/>
              <w:t>• Protection terminated for 4 varieties</w:t>
            </w:r>
          </w:p>
        </w:tc>
      </w:tr>
      <w:tr w:rsidR="00C76634" w:rsidRPr="00C76634" w14:paraId="418A73DA" w14:textId="77777777" w:rsidTr="00B51653">
        <w:tc>
          <w:tcPr>
            <w:tcW w:w="1552" w:type="dxa"/>
          </w:tcPr>
          <w:p w14:paraId="1A6FCA26" w14:textId="77777777" w:rsidR="00C76634" w:rsidRPr="00C76634" w:rsidRDefault="00C76634" w:rsidP="00C76634">
            <w:pPr>
              <w:jc w:val="left"/>
              <w:rPr>
                <w:sz w:val="20"/>
                <w:szCs w:val="20"/>
              </w:rPr>
            </w:pPr>
            <w:r w:rsidRPr="00C76634">
              <w:rPr>
                <w:sz w:val="20"/>
                <w:szCs w:val="20"/>
              </w:rPr>
              <w:t>Potato</w:t>
            </w:r>
          </w:p>
        </w:tc>
        <w:tc>
          <w:tcPr>
            <w:tcW w:w="1567" w:type="dxa"/>
          </w:tcPr>
          <w:p w14:paraId="4DAAE361" w14:textId="77777777" w:rsidR="00C76634" w:rsidRPr="00C76634" w:rsidRDefault="00C76634" w:rsidP="00C76634">
            <w:pPr>
              <w:jc w:val="left"/>
              <w:rPr>
                <w:sz w:val="20"/>
                <w:szCs w:val="20"/>
              </w:rPr>
            </w:pPr>
            <w:r w:rsidRPr="00C76634">
              <w:rPr>
                <w:sz w:val="20"/>
                <w:szCs w:val="20"/>
              </w:rPr>
              <w:t>78</w:t>
            </w:r>
          </w:p>
        </w:tc>
        <w:tc>
          <w:tcPr>
            <w:tcW w:w="1417" w:type="dxa"/>
          </w:tcPr>
          <w:p w14:paraId="2FE1D655" w14:textId="77777777" w:rsidR="00C76634" w:rsidRPr="00C76634" w:rsidRDefault="00C76634" w:rsidP="00C76634">
            <w:pPr>
              <w:jc w:val="left"/>
              <w:rPr>
                <w:sz w:val="20"/>
                <w:szCs w:val="20"/>
              </w:rPr>
            </w:pPr>
            <w:r w:rsidRPr="00C76634">
              <w:rPr>
                <w:sz w:val="20"/>
                <w:szCs w:val="20"/>
              </w:rPr>
              <w:t>35</w:t>
            </w:r>
          </w:p>
        </w:tc>
        <w:tc>
          <w:tcPr>
            <w:tcW w:w="1530" w:type="dxa"/>
          </w:tcPr>
          <w:p w14:paraId="05E84968" w14:textId="77777777" w:rsidR="00C76634" w:rsidRPr="00C76634" w:rsidRDefault="00C76634" w:rsidP="00C76634">
            <w:pPr>
              <w:jc w:val="left"/>
              <w:rPr>
                <w:sz w:val="20"/>
                <w:szCs w:val="20"/>
              </w:rPr>
            </w:pPr>
            <w:r w:rsidRPr="00C76634">
              <w:rPr>
                <w:sz w:val="20"/>
                <w:szCs w:val="20"/>
              </w:rPr>
              <w:t>4</w:t>
            </w:r>
          </w:p>
        </w:tc>
        <w:tc>
          <w:tcPr>
            <w:tcW w:w="3999" w:type="dxa"/>
          </w:tcPr>
          <w:p w14:paraId="3B54DC0B" w14:textId="77777777" w:rsidR="00C76634" w:rsidRPr="00C76634" w:rsidRDefault="00C76634" w:rsidP="00C76634">
            <w:pPr>
              <w:jc w:val="left"/>
              <w:rPr>
                <w:sz w:val="20"/>
                <w:szCs w:val="20"/>
              </w:rPr>
            </w:pPr>
            <w:r w:rsidRPr="00C76634">
              <w:rPr>
                <w:sz w:val="20"/>
                <w:szCs w:val="20"/>
              </w:rPr>
              <w:t>• Protection expired for 29 varieties</w:t>
            </w:r>
            <w:r w:rsidRPr="00C76634">
              <w:rPr>
                <w:sz w:val="20"/>
                <w:szCs w:val="20"/>
              </w:rPr>
              <w:br/>
              <w:t>• Protection abandoned for 2 varieties</w:t>
            </w:r>
            <w:r w:rsidRPr="00C76634">
              <w:rPr>
                <w:sz w:val="20"/>
                <w:szCs w:val="20"/>
              </w:rPr>
              <w:br/>
              <w:t>• 8 applications rejected (incomplete files)</w:t>
            </w:r>
          </w:p>
        </w:tc>
      </w:tr>
      <w:tr w:rsidR="00C76634" w:rsidRPr="00C76634" w14:paraId="09CFC0AD" w14:textId="77777777" w:rsidTr="00B51653">
        <w:tc>
          <w:tcPr>
            <w:tcW w:w="1552" w:type="dxa"/>
          </w:tcPr>
          <w:p w14:paraId="778B5493" w14:textId="77777777" w:rsidR="00C76634" w:rsidRPr="00C76634" w:rsidRDefault="00C76634" w:rsidP="00C76634">
            <w:pPr>
              <w:jc w:val="left"/>
              <w:rPr>
                <w:sz w:val="20"/>
                <w:szCs w:val="20"/>
              </w:rPr>
            </w:pPr>
            <w:r w:rsidRPr="00C76634">
              <w:rPr>
                <w:sz w:val="20"/>
                <w:szCs w:val="20"/>
              </w:rPr>
              <w:t>Grapevine</w:t>
            </w:r>
          </w:p>
        </w:tc>
        <w:tc>
          <w:tcPr>
            <w:tcW w:w="1567" w:type="dxa"/>
          </w:tcPr>
          <w:p w14:paraId="37387833" w14:textId="77777777" w:rsidR="00C76634" w:rsidRPr="00C76634" w:rsidRDefault="00C76634" w:rsidP="00C76634">
            <w:pPr>
              <w:jc w:val="left"/>
              <w:rPr>
                <w:sz w:val="20"/>
                <w:szCs w:val="20"/>
              </w:rPr>
            </w:pPr>
            <w:r w:rsidRPr="00C76634">
              <w:rPr>
                <w:sz w:val="20"/>
                <w:szCs w:val="20"/>
              </w:rPr>
              <w:t>98</w:t>
            </w:r>
          </w:p>
        </w:tc>
        <w:tc>
          <w:tcPr>
            <w:tcW w:w="1417" w:type="dxa"/>
          </w:tcPr>
          <w:p w14:paraId="0C680C7B" w14:textId="77777777" w:rsidR="00C76634" w:rsidRPr="00C76634" w:rsidRDefault="00C76634" w:rsidP="00C76634">
            <w:pPr>
              <w:jc w:val="left"/>
              <w:rPr>
                <w:sz w:val="20"/>
                <w:szCs w:val="20"/>
              </w:rPr>
            </w:pPr>
            <w:r w:rsidRPr="00C76634">
              <w:rPr>
                <w:sz w:val="20"/>
                <w:szCs w:val="20"/>
              </w:rPr>
              <w:t>61</w:t>
            </w:r>
          </w:p>
        </w:tc>
        <w:tc>
          <w:tcPr>
            <w:tcW w:w="1530" w:type="dxa"/>
          </w:tcPr>
          <w:p w14:paraId="0EB376E5" w14:textId="77777777" w:rsidR="00C76634" w:rsidRPr="00C76634" w:rsidRDefault="00C76634" w:rsidP="00C76634">
            <w:pPr>
              <w:jc w:val="left"/>
              <w:rPr>
                <w:sz w:val="20"/>
                <w:szCs w:val="20"/>
              </w:rPr>
            </w:pPr>
            <w:r w:rsidRPr="00C76634">
              <w:rPr>
                <w:sz w:val="20"/>
                <w:szCs w:val="20"/>
              </w:rPr>
              <w:t>23</w:t>
            </w:r>
          </w:p>
        </w:tc>
        <w:tc>
          <w:tcPr>
            <w:tcW w:w="3999" w:type="dxa"/>
          </w:tcPr>
          <w:p w14:paraId="15E4E91D" w14:textId="77777777" w:rsidR="00C76634" w:rsidRPr="00C76634" w:rsidRDefault="00C76634" w:rsidP="00C76634">
            <w:pPr>
              <w:jc w:val="left"/>
              <w:rPr>
                <w:sz w:val="20"/>
                <w:szCs w:val="20"/>
              </w:rPr>
            </w:pPr>
            <w:r w:rsidRPr="00C76634">
              <w:rPr>
                <w:sz w:val="20"/>
                <w:szCs w:val="20"/>
              </w:rPr>
              <w:t>• 2 applications withdrawn</w:t>
            </w:r>
            <w:r w:rsidRPr="00C76634">
              <w:rPr>
                <w:sz w:val="20"/>
                <w:szCs w:val="20"/>
              </w:rPr>
              <w:br/>
              <w:t>• 12 applications rejected (incomplete files)</w:t>
            </w:r>
          </w:p>
        </w:tc>
      </w:tr>
      <w:tr w:rsidR="00C76634" w:rsidRPr="00C76634" w14:paraId="6815D104" w14:textId="77777777" w:rsidTr="00B51653">
        <w:tc>
          <w:tcPr>
            <w:tcW w:w="1552" w:type="dxa"/>
          </w:tcPr>
          <w:p w14:paraId="021F56BD" w14:textId="77777777" w:rsidR="00C76634" w:rsidRPr="00C76634" w:rsidRDefault="00C76634" w:rsidP="00C76634">
            <w:pPr>
              <w:jc w:val="left"/>
              <w:rPr>
                <w:sz w:val="20"/>
                <w:szCs w:val="20"/>
              </w:rPr>
            </w:pPr>
            <w:r w:rsidRPr="00C76634">
              <w:rPr>
                <w:sz w:val="20"/>
                <w:szCs w:val="20"/>
              </w:rPr>
              <w:t>Vegetables</w:t>
            </w:r>
          </w:p>
        </w:tc>
        <w:tc>
          <w:tcPr>
            <w:tcW w:w="1567" w:type="dxa"/>
          </w:tcPr>
          <w:p w14:paraId="074F3262" w14:textId="77777777" w:rsidR="00C76634" w:rsidRPr="00C76634" w:rsidRDefault="00C76634" w:rsidP="00C76634">
            <w:pPr>
              <w:jc w:val="left"/>
              <w:rPr>
                <w:sz w:val="20"/>
                <w:szCs w:val="20"/>
              </w:rPr>
            </w:pPr>
            <w:r w:rsidRPr="00C76634">
              <w:rPr>
                <w:sz w:val="20"/>
                <w:szCs w:val="20"/>
              </w:rPr>
              <w:t>287</w:t>
            </w:r>
          </w:p>
        </w:tc>
        <w:tc>
          <w:tcPr>
            <w:tcW w:w="1417" w:type="dxa"/>
          </w:tcPr>
          <w:p w14:paraId="044C830B" w14:textId="77777777" w:rsidR="00C76634" w:rsidRPr="00C76634" w:rsidRDefault="00C76634" w:rsidP="00C76634">
            <w:pPr>
              <w:jc w:val="left"/>
              <w:rPr>
                <w:sz w:val="20"/>
                <w:szCs w:val="20"/>
              </w:rPr>
            </w:pPr>
            <w:r w:rsidRPr="00C76634">
              <w:rPr>
                <w:sz w:val="20"/>
                <w:szCs w:val="20"/>
              </w:rPr>
              <w:t>162</w:t>
            </w:r>
          </w:p>
        </w:tc>
        <w:tc>
          <w:tcPr>
            <w:tcW w:w="1530" w:type="dxa"/>
          </w:tcPr>
          <w:p w14:paraId="064BF244" w14:textId="77777777" w:rsidR="00C76634" w:rsidRPr="00C76634" w:rsidRDefault="00C76634" w:rsidP="00C76634">
            <w:pPr>
              <w:jc w:val="left"/>
              <w:rPr>
                <w:sz w:val="20"/>
                <w:szCs w:val="20"/>
              </w:rPr>
            </w:pPr>
            <w:r w:rsidRPr="00C76634">
              <w:rPr>
                <w:sz w:val="20"/>
                <w:szCs w:val="20"/>
              </w:rPr>
              <w:t>85</w:t>
            </w:r>
          </w:p>
        </w:tc>
        <w:tc>
          <w:tcPr>
            <w:tcW w:w="3999" w:type="dxa"/>
          </w:tcPr>
          <w:p w14:paraId="2A99C48B" w14:textId="77777777" w:rsidR="00C76634" w:rsidRPr="00C76634" w:rsidRDefault="00C76634" w:rsidP="00C76634">
            <w:pPr>
              <w:jc w:val="left"/>
              <w:rPr>
                <w:sz w:val="20"/>
                <w:szCs w:val="20"/>
              </w:rPr>
            </w:pPr>
            <w:r w:rsidRPr="00C76634">
              <w:rPr>
                <w:sz w:val="20"/>
                <w:szCs w:val="20"/>
              </w:rPr>
              <w:t>• 26 applications withdrawn</w:t>
            </w:r>
            <w:r w:rsidRPr="00C76634">
              <w:rPr>
                <w:sz w:val="20"/>
                <w:szCs w:val="20"/>
              </w:rPr>
              <w:br/>
              <w:t>• Protection abandoned for 13 varieties</w:t>
            </w:r>
            <w:r w:rsidRPr="00C76634">
              <w:rPr>
                <w:sz w:val="20"/>
                <w:szCs w:val="20"/>
              </w:rPr>
              <w:br/>
              <w:t>• 1 application rejected (heterogeneous variety after DUS test)</w:t>
            </w:r>
          </w:p>
        </w:tc>
      </w:tr>
      <w:tr w:rsidR="00C76634" w:rsidRPr="00C76634" w14:paraId="032A63A1" w14:textId="77777777" w:rsidTr="00B51653">
        <w:tc>
          <w:tcPr>
            <w:tcW w:w="1552" w:type="dxa"/>
          </w:tcPr>
          <w:p w14:paraId="280070D1" w14:textId="77777777" w:rsidR="00C76634" w:rsidRPr="00C76634" w:rsidRDefault="00C76634" w:rsidP="00C76634">
            <w:pPr>
              <w:jc w:val="left"/>
              <w:rPr>
                <w:sz w:val="20"/>
                <w:szCs w:val="20"/>
              </w:rPr>
            </w:pPr>
            <w:r w:rsidRPr="00C76634">
              <w:rPr>
                <w:sz w:val="20"/>
                <w:szCs w:val="20"/>
              </w:rPr>
              <w:t>Strawberry</w:t>
            </w:r>
          </w:p>
        </w:tc>
        <w:tc>
          <w:tcPr>
            <w:tcW w:w="1567" w:type="dxa"/>
          </w:tcPr>
          <w:p w14:paraId="33F4C25D" w14:textId="77777777" w:rsidR="00C76634" w:rsidRPr="00C76634" w:rsidRDefault="00C76634" w:rsidP="00C76634">
            <w:pPr>
              <w:jc w:val="left"/>
              <w:rPr>
                <w:sz w:val="20"/>
                <w:szCs w:val="20"/>
              </w:rPr>
            </w:pPr>
            <w:r w:rsidRPr="00C76634">
              <w:rPr>
                <w:sz w:val="20"/>
                <w:szCs w:val="20"/>
              </w:rPr>
              <w:t>169</w:t>
            </w:r>
          </w:p>
        </w:tc>
        <w:tc>
          <w:tcPr>
            <w:tcW w:w="1417" w:type="dxa"/>
          </w:tcPr>
          <w:p w14:paraId="4FD14BB7" w14:textId="77777777" w:rsidR="00C76634" w:rsidRPr="00C76634" w:rsidRDefault="00C76634" w:rsidP="00C76634">
            <w:pPr>
              <w:jc w:val="left"/>
              <w:rPr>
                <w:sz w:val="20"/>
                <w:szCs w:val="20"/>
              </w:rPr>
            </w:pPr>
            <w:r w:rsidRPr="00C76634">
              <w:rPr>
                <w:sz w:val="20"/>
                <w:szCs w:val="20"/>
              </w:rPr>
              <w:t>118</w:t>
            </w:r>
          </w:p>
        </w:tc>
        <w:tc>
          <w:tcPr>
            <w:tcW w:w="1530" w:type="dxa"/>
          </w:tcPr>
          <w:p w14:paraId="2B5294D5" w14:textId="77777777" w:rsidR="00C76634" w:rsidRPr="00C76634" w:rsidRDefault="00C76634" w:rsidP="00C76634">
            <w:pPr>
              <w:jc w:val="left"/>
              <w:rPr>
                <w:sz w:val="20"/>
                <w:szCs w:val="20"/>
              </w:rPr>
            </w:pPr>
            <w:r w:rsidRPr="00C76634">
              <w:rPr>
                <w:sz w:val="20"/>
                <w:szCs w:val="20"/>
              </w:rPr>
              <w:t>33</w:t>
            </w:r>
          </w:p>
        </w:tc>
        <w:tc>
          <w:tcPr>
            <w:tcW w:w="3999" w:type="dxa"/>
          </w:tcPr>
          <w:p w14:paraId="1A2471B1" w14:textId="77777777" w:rsidR="00C76634" w:rsidRPr="00C76634" w:rsidRDefault="00C76634" w:rsidP="00C76634">
            <w:pPr>
              <w:jc w:val="left"/>
              <w:rPr>
                <w:sz w:val="20"/>
                <w:szCs w:val="20"/>
              </w:rPr>
            </w:pPr>
            <w:r w:rsidRPr="00C76634">
              <w:rPr>
                <w:sz w:val="20"/>
                <w:szCs w:val="20"/>
              </w:rPr>
              <w:t>• Protection abandoned for 10 varieties</w:t>
            </w:r>
            <w:r w:rsidRPr="00C76634">
              <w:rPr>
                <w:sz w:val="20"/>
                <w:szCs w:val="20"/>
              </w:rPr>
              <w:br/>
              <w:t>• 6 applications withdrawn</w:t>
            </w:r>
            <w:r w:rsidRPr="00C76634">
              <w:rPr>
                <w:sz w:val="20"/>
                <w:szCs w:val="20"/>
              </w:rPr>
              <w:br/>
              <w:t>• Protection expired for 2 varieties</w:t>
            </w:r>
          </w:p>
        </w:tc>
      </w:tr>
      <w:tr w:rsidR="00C76634" w:rsidRPr="00C76634" w14:paraId="79F10E9A" w14:textId="77777777" w:rsidTr="00B51653">
        <w:tc>
          <w:tcPr>
            <w:tcW w:w="1552" w:type="dxa"/>
          </w:tcPr>
          <w:p w14:paraId="0C3CC02E" w14:textId="77777777" w:rsidR="00C76634" w:rsidRPr="00C76634" w:rsidRDefault="00C76634" w:rsidP="00C76634">
            <w:pPr>
              <w:jc w:val="left"/>
              <w:rPr>
                <w:sz w:val="20"/>
                <w:szCs w:val="20"/>
              </w:rPr>
            </w:pPr>
            <w:r w:rsidRPr="00C76634">
              <w:rPr>
                <w:sz w:val="20"/>
                <w:szCs w:val="20"/>
              </w:rPr>
              <w:t>Blueberry</w:t>
            </w:r>
          </w:p>
        </w:tc>
        <w:tc>
          <w:tcPr>
            <w:tcW w:w="1567" w:type="dxa"/>
          </w:tcPr>
          <w:p w14:paraId="11A54A08" w14:textId="77777777" w:rsidR="00C76634" w:rsidRPr="00C76634" w:rsidRDefault="00C76634" w:rsidP="00C76634">
            <w:pPr>
              <w:jc w:val="left"/>
              <w:rPr>
                <w:sz w:val="20"/>
                <w:szCs w:val="20"/>
              </w:rPr>
            </w:pPr>
            <w:r w:rsidRPr="00C76634">
              <w:rPr>
                <w:sz w:val="20"/>
                <w:szCs w:val="20"/>
              </w:rPr>
              <w:t>145</w:t>
            </w:r>
          </w:p>
        </w:tc>
        <w:tc>
          <w:tcPr>
            <w:tcW w:w="1417" w:type="dxa"/>
          </w:tcPr>
          <w:p w14:paraId="0D15CA8D" w14:textId="77777777" w:rsidR="00C76634" w:rsidRPr="00C76634" w:rsidRDefault="00C76634" w:rsidP="00C76634">
            <w:pPr>
              <w:jc w:val="left"/>
              <w:rPr>
                <w:sz w:val="20"/>
                <w:szCs w:val="20"/>
              </w:rPr>
            </w:pPr>
            <w:r w:rsidRPr="00C76634">
              <w:rPr>
                <w:sz w:val="20"/>
                <w:szCs w:val="20"/>
              </w:rPr>
              <w:t>75</w:t>
            </w:r>
          </w:p>
        </w:tc>
        <w:tc>
          <w:tcPr>
            <w:tcW w:w="1530" w:type="dxa"/>
          </w:tcPr>
          <w:p w14:paraId="1808298D" w14:textId="77777777" w:rsidR="00C76634" w:rsidRPr="00C76634" w:rsidRDefault="00C76634" w:rsidP="00C76634">
            <w:pPr>
              <w:jc w:val="left"/>
              <w:rPr>
                <w:sz w:val="20"/>
                <w:szCs w:val="20"/>
              </w:rPr>
            </w:pPr>
            <w:r w:rsidRPr="00C76634">
              <w:rPr>
                <w:sz w:val="20"/>
                <w:szCs w:val="20"/>
              </w:rPr>
              <w:t>69</w:t>
            </w:r>
          </w:p>
        </w:tc>
        <w:tc>
          <w:tcPr>
            <w:tcW w:w="3999" w:type="dxa"/>
          </w:tcPr>
          <w:p w14:paraId="0C2EC966" w14:textId="77777777" w:rsidR="00C76634" w:rsidRPr="00C76634" w:rsidRDefault="00C76634" w:rsidP="00C76634">
            <w:pPr>
              <w:jc w:val="left"/>
              <w:rPr>
                <w:sz w:val="20"/>
                <w:szCs w:val="20"/>
              </w:rPr>
            </w:pPr>
            <w:r w:rsidRPr="00C76634">
              <w:rPr>
                <w:sz w:val="20"/>
                <w:szCs w:val="20"/>
              </w:rPr>
              <w:t>• 1 application withdrawn</w:t>
            </w:r>
          </w:p>
        </w:tc>
      </w:tr>
      <w:tr w:rsidR="00C76634" w:rsidRPr="00C76634" w14:paraId="00D8EC8A" w14:textId="77777777" w:rsidTr="00B51653">
        <w:tc>
          <w:tcPr>
            <w:tcW w:w="1552" w:type="dxa"/>
          </w:tcPr>
          <w:p w14:paraId="2FCA2983" w14:textId="77777777" w:rsidR="00C76634" w:rsidRPr="00C76634" w:rsidRDefault="00C76634" w:rsidP="00C76634">
            <w:pPr>
              <w:jc w:val="left"/>
              <w:rPr>
                <w:sz w:val="20"/>
                <w:szCs w:val="20"/>
              </w:rPr>
            </w:pPr>
            <w:r w:rsidRPr="00C76634">
              <w:rPr>
                <w:sz w:val="20"/>
                <w:szCs w:val="20"/>
              </w:rPr>
              <w:t>Raspberry</w:t>
            </w:r>
          </w:p>
        </w:tc>
        <w:tc>
          <w:tcPr>
            <w:tcW w:w="1567" w:type="dxa"/>
          </w:tcPr>
          <w:p w14:paraId="79A756AF" w14:textId="77777777" w:rsidR="00C76634" w:rsidRPr="00C76634" w:rsidRDefault="00C76634" w:rsidP="00C76634">
            <w:pPr>
              <w:jc w:val="left"/>
              <w:rPr>
                <w:sz w:val="20"/>
                <w:szCs w:val="20"/>
              </w:rPr>
            </w:pPr>
            <w:r w:rsidRPr="00C76634">
              <w:rPr>
                <w:sz w:val="20"/>
                <w:szCs w:val="20"/>
              </w:rPr>
              <w:t>111</w:t>
            </w:r>
          </w:p>
        </w:tc>
        <w:tc>
          <w:tcPr>
            <w:tcW w:w="1417" w:type="dxa"/>
          </w:tcPr>
          <w:p w14:paraId="23B57E72" w14:textId="77777777" w:rsidR="00C76634" w:rsidRPr="00C76634" w:rsidRDefault="00C76634" w:rsidP="00C76634">
            <w:pPr>
              <w:jc w:val="left"/>
              <w:rPr>
                <w:sz w:val="20"/>
                <w:szCs w:val="20"/>
              </w:rPr>
            </w:pPr>
            <w:r w:rsidRPr="00C76634">
              <w:rPr>
                <w:sz w:val="20"/>
                <w:szCs w:val="20"/>
              </w:rPr>
              <w:t>53</w:t>
            </w:r>
          </w:p>
        </w:tc>
        <w:tc>
          <w:tcPr>
            <w:tcW w:w="1530" w:type="dxa"/>
          </w:tcPr>
          <w:p w14:paraId="04C0B375" w14:textId="77777777" w:rsidR="00C76634" w:rsidRPr="00C76634" w:rsidRDefault="00C76634" w:rsidP="00C76634">
            <w:pPr>
              <w:jc w:val="left"/>
              <w:rPr>
                <w:sz w:val="20"/>
                <w:szCs w:val="20"/>
              </w:rPr>
            </w:pPr>
            <w:r w:rsidRPr="00C76634">
              <w:rPr>
                <w:sz w:val="20"/>
                <w:szCs w:val="20"/>
              </w:rPr>
              <w:t>44</w:t>
            </w:r>
          </w:p>
        </w:tc>
        <w:tc>
          <w:tcPr>
            <w:tcW w:w="3999" w:type="dxa"/>
          </w:tcPr>
          <w:p w14:paraId="6FB15363" w14:textId="77777777" w:rsidR="00C76634" w:rsidRPr="00C76634" w:rsidRDefault="00C76634" w:rsidP="00C76634">
            <w:pPr>
              <w:jc w:val="left"/>
              <w:rPr>
                <w:sz w:val="20"/>
                <w:szCs w:val="20"/>
              </w:rPr>
            </w:pPr>
            <w:r w:rsidRPr="00C76634">
              <w:rPr>
                <w:sz w:val="20"/>
                <w:szCs w:val="20"/>
              </w:rPr>
              <w:t>• Protection abandoned for 5 varieties</w:t>
            </w:r>
            <w:r w:rsidRPr="00C76634">
              <w:rPr>
                <w:sz w:val="20"/>
                <w:szCs w:val="20"/>
              </w:rPr>
              <w:br/>
              <w:t>• 9 applications withdrawn</w:t>
            </w:r>
          </w:p>
        </w:tc>
      </w:tr>
      <w:tr w:rsidR="00C76634" w:rsidRPr="00C76634" w14:paraId="57DA9E21" w14:textId="77777777" w:rsidTr="00B51653">
        <w:tc>
          <w:tcPr>
            <w:tcW w:w="1552" w:type="dxa"/>
          </w:tcPr>
          <w:p w14:paraId="1CF70915" w14:textId="77777777" w:rsidR="00C76634" w:rsidRPr="00C76634" w:rsidRDefault="00C76634" w:rsidP="00C76634">
            <w:pPr>
              <w:jc w:val="left"/>
              <w:rPr>
                <w:sz w:val="20"/>
                <w:szCs w:val="20"/>
              </w:rPr>
            </w:pPr>
            <w:r w:rsidRPr="00C76634">
              <w:rPr>
                <w:sz w:val="20"/>
                <w:szCs w:val="20"/>
              </w:rPr>
              <w:t>Mulberry</w:t>
            </w:r>
          </w:p>
        </w:tc>
        <w:tc>
          <w:tcPr>
            <w:tcW w:w="1567" w:type="dxa"/>
          </w:tcPr>
          <w:p w14:paraId="4C241EC8" w14:textId="77777777" w:rsidR="00C76634" w:rsidRPr="00C76634" w:rsidRDefault="00C76634" w:rsidP="00C76634">
            <w:pPr>
              <w:jc w:val="left"/>
              <w:rPr>
                <w:sz w:val="20"/>
                <w:szCs w:val="20"/>
              </w:rPr>
            </w:pPr>
            <w:r w:rsidRPr="00C76634">
              <w:rPr>
                <w:sz w:val="20"/>
                <w:szCs w:val="20"/>
              </w:rPr>
              <w:t>28</w:t>
            </w:r>
          </w:p>
        </w:tc>
        <w:tc>
          <w:tcPr>
            <w:tcW w:w="1417" w:type="dxa"/>
          </w:tcPr>
          <w:p w14:paraId="20BDADD2" w14:textId="77777777" w:rsidR="00C76634" w:rsidRPr="00C76634" w:rsidRDefault="00C76634" w:rsidP="00C76634">
            <w:pPr>
              <w:jc w:val="left"/>
              <w:rPr>
                <w:sz w:val="20"/>
                <w:szCs w:val="20"/>
              </w:rPr>
            </w:pPr>
            <w:r w:rsidRPr="00C76634">
              <w:rPr>
                <w:sz w:val="20"/>
                <w:szCs w:val="20"/>
              </w:rPr>
              <w:t>8</w:t>
            </w:r>
          </w:p>
        </w:tc>
        <w:tc>
          <w:tcPr>
            <w:tcW w:w="1530" w:type="dxa"/>
          </w:tcPr>
          <w:p w14:paraId="27C21447" w14:textId="77777777" w:rsidR="00C76634" w:rsidRPr="00C76634" w:rsidRDefault="00C76634" w:rsidP="00C76634">
            <w:pPr>
              <w:jc w:val="left"/>
              <w:rPr>
                <w:sz w:val="20"/>
                <w:szCs w:val="20"/>
              </w:rPr>
            </w:pPr>
            <w:r w:rsidRPr="00C76634">
              <w:rPr>
                <w:sz w:val="20"/>
                <w:szCs w:val="20"/>
              </w:rPr>
              <w:t>12</w:t>
            </w:r>
          </w:p>
        </w:tc>
        <w:tc>
          <w:tcPr>
            <w:tcW w:w="3999" w:type="dxa"/>
          </w:tcPr>
          <w:p w14:paraId="5B90AA1A" w14:textId="77777777" w:rsidR="00C76634" w:rsidRPr="00C76634" w:rsidRDefault="00C76634" w:rsidP="00C76634">
            <w:pPr>
              <w:jc w:val="left"/>
              <w:rPr>
                <w:sz w:val="20"/>
                <w:szCs w:val="20"/>
              </w:rPr>
            </w:pPr>
            <w:r w:rsidRPr="00C76634">
              <w:rPr>
                <w:sz w:val="20"/>
                <w:szCs w:val="20"/>
              </w:rPr>
              <w:t>• 8 applications withdrawn</w:t>
            </w:r>
          </w:p>
        </w:tc>
      </w:tr>
      <w:tr w:rsidR="00C76634" w:rsidRPr="00C76634" w14:paraId="40EF943F" w14:textId="77777777" w:rsidTr="00B51653">
        <w:tc>
          <w:tcPr>
            <w:tcW w:w="1552" w:type="dxa"/>
          </w:tcPr>
          <w:p w14:paraId="78F14D66" w14:textId="77777777" w:rsidR="00C76634" w:rsidRPr="00C76634" w:rsidRDefault="00C76634" w:rsidP="00C76634">
            <w:pPr>
              <w:jc w:val="left"/>
              <w:rPr>
                <w:sz w:val="20"/>
                <w:szCs w:val="20"/>
              </w:rPr>
            </w:pPr>
            <w:r w:rsidRPr="00C76634">
              <w:rPr>
                <w:sz w:val="20"/>
                <w:szCs w:val="20"/>
              </w:rPr>
              <w:t>Prickly Pear</w:t>
            </w:r>
          </w:p>
        </w:tc>
        <w:tc>
          <w:tcPr>
            <w:tcW w:w="1567" w:type="dxa"/>
          </w:tcPr>
          <w:p w14:paraId="5C333418" w14:textId="77777777" w:rsidR="00C76634" w:rsidRPr="00C76634" w:rsidRDefault="00C76634" w:rsidP="00C76634">
            <w:pPr>
              <w:jc w:val="left"/>
              <w:rPr>
                <w:sz w:val="20"/>
                <w:szCs w:val="20"/>
              </w:rPr>
            </w:pPr>
            <w:r w:rsidRPr="00C76634">
              <w:rPr>
                <w:sz w:val="20"/>
                <w:szCs w:val="20"/>
              </w:rPr>
              <w:t>9</w:t>
            </w:r>
          </w:p>
        </w:tc>
        <w:tc>
          <w:tcPr>
            <w:tcW w:w="1417" w:type="dxa"/>
          </w:tcPr>
          <w:p w14:paraId="3362683E" w14:textId="77777777" w:rsidR="00C76634" w:rsidRPr="00C76634" w:rsidRDefault="00C76634" w:rsidP="00C76634">
            <w:pPr>
              <w:jc w:val="left"/>
              <w:rPr>
                <w:sz w:val="20"/>
                <w:szCs w:val="20"/>
              </w:rPr>
            </w:pPr>
            <w:r w:rsidRPr="00C76634">
              <w:rPr>
                <w:sz w:val="20"/>
                <w:szCs w:val="20"/>
              </w:rPr>
              <w:t>-</w:t>
            </w:r>
          </w:p>
        </w:tc>
        <w:tc>
          <w:tcPr>
            <w:tcW w:w="1530" w:type="dxa"/>
          </w:tcPr>
          <w:p w14:paraId="6145DF19" w14:textId="77777777" w:rsidR="00C76634" w:rsidRPr="00C76634" w:rsidRDefault="00C76634" w:rsidP="00C76634">
            <w:pPr>
              <w:jc w:val="left"/>
              <w:rPr>
                <w:sz w:val="20"/>
                <w:szCs w:val="20"/>
              </w:rPr>
            </w:pPr>
            <w:r w:rsidRPr="00C76634">
              <w:rPr>
                <w:sz w:val="20"/>
                <w:szCs w:val="20"/>
              </w:rPr>
              <w:t>9</w:t>
            </w:r>
          </w:p>
        </w:tc>
        <w:tc>
          <w:tcPr>
            <w:tcW w:w="3999" w:type="dxa"/>
          </w:tcPr>
          <w:p w14:paraId="508CB459" w14:textId="77777777" w:rsidR="00C76634" w:rsidRPr="00C76634" w:rsidRDefault="00C76634" w:rsidP="00C76634">
            <w:pPr>
              <w:jc w:val="left"/>
              <w:rPr>
                <w:sz w:val="20"/>
                <w:szCs w:val="20"/>
              </w:rPr>
            </w:pPr>
            <w:r w:rsidRPr="00C76634">
              <w:rPr>
                <w:sz w:val="20"/>
                <w:szCs w:val="20"/>
              </w:rPr>
              <w:t>-</w:t>
            </w:r>
          </w:p>
        </w:tc>
      </w:tr>
      <w:tr w:rsidR="00C76634" w:rsidRPr="00C76634" w14:paraId="318D00B3" w14:textId="77777777" w:rsidTr="00B51653">
        <w:tc>
          <w:tcPr>
            <w:tcW w:w="1552" w:type="dxa"/>
          </w:tcPr>
          <w:p w14:paraId="42170D87" w14:textId="77777777" w:rsidR="00C76634" w:rsidRPr="00C76634" w:rsidRDefault="00C76634" w:rsidP="00C76634">
            <w:pPr>
              <w:jc w:val="left"/>
              <w:rPr>
                <w:sz w:val="20"/>
                <w:szCs w:val="20"/>
              </w:rPr>
            </w:pPr>
            <w:r w:rsidRPr="00C76634">
              <w:rPr>
                <w:sz w:val="20"/>
                <w:szCs w:val="20"/>
              </w:rPr>
              <w:t>Rose</w:t>
            </w:r>
          </w:p>
        </w:tc>
        <w:tc>
          <w:tcPr>
            <w:tcW w:w="1567" w:type="dxa"/>
          </w:tcPr>
          <w:p w14:paraId="096EC951" w14:textId="77777777" w:rsidR="00C76634" w:rsidRPr="00C76634" w:rsidRDefault="00C76634" w:rsidP="00C76634">
            <w:pPr>
              <w:jc w:val="left"/>
              <w:rPr>
                <w:sz w:val="20"/>
                <w:szCs w:val="20"/>
              </w:rPr>
            </w:pPr>
            <w:r w:rsidRPr="00C76634">
              <w:rPr>
                <w:sz w:val="20"/>
                <w:szCs w:val="20"/>
              </w:rPr>
              <w:t>3</w:t>
            </w:r>
          </w:p>
        </w:tc>
        <w:tc>
          <w:tcPr>
            <w:tcW w:w="1417" w:type="dxa"/>
          </w:tcPr>
          <w:p w14:paraId="7A2DD0A9" w14:textId="77777777" w:rsidR="00C76634" w:rsidRPr="00C76634" w:rsidRDefault="00C76634" w:rsidP="00C76634">
            <w:pPr>
              <w:jc w:val="left"/>
              <w:rPr>
                <w:sz w:val="20"/>
                <w:szCs w:val="20"/>
              </w:rPr>
            </w:pPr>
            <w:r w:rsidRPr="00C76634">
              <w:rPr>
                <w:sz w:val="20"/>
                <w:szCs w:val="20"/>
              </w:rPr>
              <w:t>-</w:t>
            </w:r>
          </w:p>
        </w:tc>
        <w:tc>
          <w:tcPr>
            <w:tcW w:w="1530" w:type="dxa"/>
          </w:tcPr>
          <w:p w14:paraId="4AAAD1FD" w14:textId="77777777" w:rsidR="00C76634" w:rsidRPr="00C76634" w:rsidRDefault="00C76634" w:rsidP="00C76634">
            <w:pPr>
              <w:jc w:val="left"/>
              <w:rPr>
                <w:sz w:val="20"/>
                <w:szCs w:val="20"/>
              </w:rPr>
            </w:pPr>
            <w:r w:rsidRPr="00C76634">
              <w:rPr>
                <w:sz w:val="20"/>
                <w:szCs w:val="20"/>
              </w:rPr>
              <w:t>-</w:t>
            </w:r>
          </w:p>
        </w:tc>
        <w:tc>
          <w:tcPr>
            <w:tcW w:w="3999" w:type="dxa"/>
          </w:tcPr>
          <w:p w14:paraId="1646B4A6" w14:textId="77777777" w:rsidR="00C76634" w:rsidRPr="00C76634" w:rsidRDefault="00C76634" w:rsidP="00C76634">
            <w:pPr>
              <w:jc w:val="left"/>
              <w:rPr>
                <w:sz w:val="20"/>
                <w:szCs w:val="20"/>
              </w:rPr>
            </w:pPr>
            <w:r w:rsidRPr="00C76634">
              <w:rPr>
                <w:sz w:val="20"/>
                <w:szCs w:val="20"/>
              </w:rPr>
              <w:t>• 1 application withdrawn</w:t>
            </w:r>
            <w:r w:rsidRPr="00C76634">
              <w:rPr>
                <w:sz w:val="20"/>
                <w:szCs w:val="20"/>
              </w:rPr>
              <w:br/>
              <w:t>• Protection abandoned for 2 varieties</w:t>
            </w:r>
          </w:p>
        </w:tc>
      </w:tr>
      <w:tr w:rsidR="00C76634" w:rsidRPr="00C76634" w14:paraId="5D770D3B" w14:textId="77777777" w:rsidTr="00B51653">
        <w:tc>
          <w:tcPr>
            <w:tcW w:w="1552" w:type="dxa"/>
          </w:tcPr>
          <w:p w14:paraId="096095F1" w14:textId="77777777" w:rsidR="00C76634" w:rsidRPr="00C76634" w:rsidRDefault="00C76634" w:rsidP="00C76634">
            <w:pPr>
              <w:jc w:val="left"/>
              <w:rPr>
                <w:b/>
                <w:bCs/>
                <w:sz w:val="20"/>
                <w:szCs w:val="20"/>
              </w:rPr>
            </w:pPr>
            <w:r w:rsidRPr="00C76634">
              <w:rPr>
                <w:b/>
                <w:bCs/>
                <w:sz w:val="20"/>
                <w:szCs w:val="20"/>
              </w:rPr>
              <w:t>Total</w:t>
            </w:r>
          </w:p>
        </w:tc>
        <w:tc>
          <w:tcPr>
            <w:tcW w:w="1567" w:type="dxa"/>
          </w:tcPr>
          <w:p w14:paraId="5964F9E5" w14:textId="77777777" w:rsidR="00C76634" w:rsidRPr="00C76634" w:rsidRDefault="00C76634" w:rsidP="00C76634">
            <w:pPr>
              <w:jc w:val="left"/>
              <w:rPr>
                <w:b/>
                <w:bCs/>
                <w:sz w:val="20"/>
                <w:szCs w:val="20"/>
              </w:rPr>
            </w:pPr>
            <w:r w:rsidRPr="00C76634">
              <w:rPr>
                <w:b/>
                <w:bCs/>
                <w:sz w:val="20"/>
                <w:szCs w:val="20"/>
              </w:rPr>
              <w:t>1.399</w:t>
            </w:r>
          </w:p>
        </w:tc>
        <w:tc>
          <w:tcPr>
            <w:tcW w:w="1417" w:type="dxa"/>
          </w:tcPr>
          <w:p w14:paraId="11D39AA4" w14:textId="77777777" w:rsidR="00C76634" w:rsidRPr="00C76634" w:rsidRDefault="00C76634" w:rsidP="00C76634">
            <w:pPr>
              <w:jc w:val="left"/>
              <w:rPr>
                <w:b/>
                <w:bCs/>
                <w:sz w:val="20"/>
                <w:szCs w:val="20"/>
              </w:rPr>
            </w:pPr>
            <w:r w:rsidRPr="00C76634">
              <w:rPr>
                <w:b/>
                <w:bCs/>
                <w:sz w:val="20"/>
                <w:szCs w:val="20"/>
              </w:rPr>
              <w:t>843</w:t>
            </w:r>
          </w:p>
        </w:tc>
        <w:tc>
          <w:tcPr>
            <w:tcW w:w="1530" w:type="dxa"/>
          </w:tcPr>
          <w:p w14:paraId="7DE02DE3" w14:textId="77777777" w:rsidR="00C76634" w:rsidRPr="00C76634" w:rsidRDefault="00C76634" w:rsidP="00C76634">
            <w:pPr>
              <w:jc w:val="left"/>
              <w:rPr>
                <w:b/>
                <w:bCs/>
                <w:sz w:val="20"/>
                <w:szCs w:val="20"/>
              </w:rPr>
            </w:pPr>
            <w:r w:rsidRPr="00C76634">
              <w:rPr>
                <w:b/>
                <w:bCs/>
                <w:sz w:val="20"/>
                <w:szCs w:val="20"/>
              </w:rPr>
              <w:t>350</w:t>
            </w:r>
          </w:p>
        </w:tc>
        <w:tc>
          <w:tcPr>
            <w:tcW w:w="3999" w:type="dxa"/>
          </w:tcPr>
          <w:p w14:paraId="1C4D5308" w14:textId="77777777" w:rsidR="00C76634" w:rsidRPr="00C76634" w:rsidRDefault="00C76634" w:rsidP="00C76634">
            <w:pPr>
              <w:jc w:val="left"/>
              <w:rPr>
                <w:b/>
                <w:bCs/>
                <w:sz w:val="20"/>
                <w:szCs w:val="20"/>
              </w:rPr>
            </w:pPr>
            <w:r w:rsidRPr="00C76634">
              <w:rPr>
                <w:b/>
                <w:bCs/>
                <w:sz w:val="20"/>
                <w:szCs w:val="20"/>
              </w:rPr>
              <w:t>206 cases with additional remarks</w:t>
            </w:r>
          </w:p>
        </w:tc>
      </w:tr>
    </w:tbl>
    <w:p w14:paraId="3B437A88" w14:textId="77777777" w:rsidR="00C76634" w:rsidRDefault="00C76634" w:rsidP="00C76634">
      <w:pPr>
        <w:rPr>
          <w:rFonts w:eastAsia="MS Mincho"/>
        </w:rPr>
      </w:pPr>
    </w:p>
    <w:p w14:paraId="17C3BE10" w14:textId="77777777" w:rsidR="00C76634" w:rsidRDefault="00C76634" w:rsidP="00C76634">
      <w:pPr>
        <w:rPr>
          <w:rFonts w:eastAsia="MS Mincho"/>
        </w:rPr>
      </w:pPr>
    </w:p>
    <w:p w14:paraId="1A29581A" w14:textId="77777777" w:rsidR="00C76634" w:rsidRDefault="00C76634" w:rsidP="00C76634">
      <w:pPr>
        <w:rPr>
          <w:rFonts w:eastAsia="MS Mincho"/>
        </w:rPr>
      </w:pPr>
    </w:p>
    <w:p w14:paraId="218E4461" w14:textId="684DB2AA" w:rsidR="00C76634" w:rsidRPr="00C76634" w:rsidRDefault="00C76634" w:rsidP="00C76634">
      <w:pPr>
        <w:jc w:val="right"/>
        <w:rPr>
          <w:rFonts w:eastAsia="MS Mincho"/>
        </w:rPr>
      </w:pPr>
      <w:r>
        <w:rPr>
          <w:rFonts w:eastAsia="MS Mincho"/>
        </w:rPr>
        <w:t>[Annex IV follows]</w:t>
      </w:r>
    </w:p>
    <w:p w14:paraId="15F7CE95" w14:textId="77777777" w:rsidR="00D73F92" w:rsidRDefault="00D73F92" w:rsidP="00432C27">
      <w:pPr>
        <w:sectPr w:rsidR="00D73F92" w:rsidSect="005E7466">
          <w:headerReference w:type="default" r:id="rId13"/>
          <w:headerReference w:type="first" r:id="rId14"/>
          <w:pgSz w:w="11907" w:h="16840" w:code="9"/>
          <w:pgMar w:top="510" w:right="1134" w:bottom="1134" w:left="1134" w:header="510" w:footer="680" w:gutter="0"/>
          <w:pgNumType w:start="1"/>
          <w:cols w:space="720"/>
          <w:titlePg/>
        </w:sectPr>
      </w:pPr>
    </w:p>
    <w:p w14:paraId="1DD76251" w14:textId="77777777" w:rsidR="00C76634" w:rsidRPr="00F43E60" w:rsidRDefault="00C76634" w:rsidP="00432C27"/>
    <w:p w14:paraId="79710E86" w14:textId="77777777" w:rsidR="00432C27" w:rsidRPr="00F43E60" w:rsidRDefault="00432C27" w:rsidP="00432C27">
      <w:pPr>
        <w:jc w:val="center"/>
      </w:pPr>
      <w:r w:rsidRPr="00F43E60">
        <w:t>NETHERLANDS (KINGDOM OF THE)</w:t>
      </w:r>
    </w:p>
    <w:p w14:paraId="01471B11" w14:textId="77777777" w:rsidR="00432C27" w:rsidRPr="00F43E60" w:rsidRDefault="00432C27" w:rsidP="00432C27"/>
    <w:p w14:paraId="1FE61134" w14:textId="77777777" w:rsidR="00432C27" w:rsidRPr="00F43E60" w:rsidRDefault="00432C27" w:rsidP="00432C27"/>
    <w:p w14:paraId="582EA9F1" w14:textId="77777777" w:rsidR="00432C27" w:rsidRPr="009E6CFC" w:rsidRDefault="00432C27" w:rsidP="00432C27">
      <w:pPr>
        <w:pStyle w:val="Heading2"/>
        <w:rPr>
          <w:lang w:eastAsia="nl-NL"/>
        </w:rPr>
      </w:pPr>
      <w:r w:rsidRPr="009E6CFC">
        <w:rPr>
          <w:lang w:eastAsia="nl-NL"/>
        </w:rPr>
        <w:t>Naktuinbouw Variety Testing developments</w:t>
      </w:r>
    </w:p>
    <w:p w14:paraId="113A74C8" w14:textId="77777777" w:rsidR="00432C27" w:rsidRPr="009E6CFC" w:rsidRDefault="00432C27" w:rsidP="00432C27">
      <w:pPr>
        <w:rPr>
          <w:lang w:eastAsia="nl-NL"/>
        </w:rPr>
      </w:pPr>
    </w:p>
    <w:p w14:paraId="0A9EDFF2" w14:textId="77777777" w:rsidR="00432C27" w:rsidRPr="009E6CFC" w:rsidRDefault="00432C27" w:rsidP="00432C27">
      <w:pPr>
        <w:pStyle w:val="BasistekstNaktuinbouw"/>
        <w:numPr>
          <w:ilvl w:val="0"/>
          <w:numId w:val="5"/>
        </w:numPr>
        <w:ind w:left="284" w:hanging="284"/>
        <w:jc w:val="both"/>
        <w:rPr>
          <w:lang w:val="en-US"/>
        </w:rPr>
      </w:pPr>
      <w:bookmarkStart w:id="6" w:name="_Hlk39065189"/>
      <w:bookmarkStart w:id="7" w:name="_Hlk99720565"/>
      <w:r w:rsidRPr="009E6CFC">
        <w:rPr>
          <w:lang w:val="en-US"/>
        </w:rPr>
        <w:t xml:space="preserve">The Unit Variety Testing includes a DUS team of 40 employees, one unit manager, and 4 employees specialized in disease resistance. </w:t>
      </w:r>
      <w:proofErr w:type="gramStart"/>
      <w:r w:rsidRPr="009E6CFC">
        <w:rPr>
          <w:lang w:val="en-US"/>
        </w:rPr>
        <w:t>Also</w:t>
      </w:r>
      <w:proofErr w:type="gramEnd"/>
      <w:r w:rsidRPr="009E6CFC">
        <w:rPr>
          <w:lang w:val="en-US"/>
        </w:rPr>
        <w:t xml:space="preserve"> a support team, a trial management team with 2 cultivation managers and a project team. In total there are 70 employees and supplemented with temporary (circa 18) staff in summer. The unit works together with the </w:t>
      </w:r>
      <w:r w:rsidRPr="00F43E60">
        <w:rPr>
          <w:lang w:val="en-US"/>
        </w:rPr>
        <w:t>teams</w:t>
      </w:r>
      <w:r w:rsidRPr="009E6CFC">
        <w:rPr>
          <w:lang w:val="en-US"/>
        </w:rPr>
        <w:t xml:space="preserve"> of the unit Identity and Quality (laboratories) especially with Molecular Marker team and team Bioinformatics.</w:t>
      </w:r>
    </w:p>
    <w:p w14:paraId="0C01FEBD" w14:textId="77777777" w:rsidR="00432C27" w:rsidRPr="009E6CFC" w:rsidRDefault="00432C27" w:rsidP="00432C27">
      <w:pPr>
        <w:pStyle w:val="BasistekstNaktuinbouw"/>
        <w:ind w:left="284"/>
        <w:jc w:val="both"/>
        <w:rPr>
          <w:lang w:val="en-US"/>
        </w:rPr>
      </w:pPr>
    </w:p>
    <w:p w14:paraId="43965880" w14:textId="77777777" w:rsidR="00432C27" w:rsidRPr="009E6CFC" w:rsidRDefault="00432C27" w:rsidP="00432C27">
      <w:pPr>
        <w:pStyle w:val="BasistekstNaktuinbouw"/>
        <w:numPr>
          <w:ilvl w:val="0"/>
          <w:numId w:val="5"/>
        </w:numPr>
        <w:ind w:left="284" w:hanging="284"/>
        <w:jc w:val="both"/>
        <w:rPr>
          <w:lang w:val="en-US"/>
        </w:rPr>
      </w:pPr>
      <w:r w:rsidRPr="009E6CFC">
        <w:rPr>
          <w:lang w:val="en-US"/>
        </w:rPr>
        <w:t>In 2024 facilities for resistance testing have been expanded and a new drying and storage room has been built for onions.</w:t>
      </w:r>
    </w:p>
    <w:p w14:paraId="79CDF70B" w14:textId="77777777" w:rsidR="00432C27" w:rsidRPr="009E6CFC" w:rsidRDefault="00432C27" w:rsidP="00432C27">
      <w:pPr>
        <w:pStyle w:val="BasistekstNaktuinbouw"/>
        <w:jc w:val="both"/>
        <w:rPr>
          <w:lang w:val="en-US"/>
        </w:rPr>
      </w:pPr>
    </w:p>
    <w:p w14:paraId="6D8B6B50" w14:textId="77777777" w:rsidR="00432C27" w:rsidRPr="009E6CFC" w:rsidRDefault="00432C27" w:rsidP="00432C27">
      <w:pPr>
        <w:pStyle w:val="BasistekstNaktuinbouw"/>
        <w:numPr>
          <w:ilvl w:val="0"/>
          <w:numId w:val="5"/>
        </w:numPr>
        <w:ind w:left="284" w:hanging="284"/>
        <w:jc w:val="both"/>
        <w:rPr>
          <w:lang w:val="en-US"/>
        </w:rPr>
      </w:pPr>
      <w:r w:rsidRPr="009E6CFC">
        <w:rPr>
          <w:lang w:val="en-US"/>
        </w:rPr>
        <w:t xml:space="preserve">The Variety Testing Unit yearly offers </w:t>
      </w:r>
      <w:proofErr w:type="gramStart"/>
      <w:r w:rsidRPr="009E6CFC">
        <w:rPr>
          <w:lang w:val="en-US"/>
        </w:rPr>
        <w:t>a number of</w:t>
      </w:r>
      <w:proofErr w:type="gramEnd"/>
      <w:r w:rsidRPr="009E6CFC">
        <w:rPr>
          <w:lang w:val="en-US"/>
        </w:rPr>
        <w:t xml:space="preserve"> courses on Plant Breeders’ Rights and/or Listing.  In 202</w:t>
      </w:r>
      <w:r>
        <w:rPr>
          <w:lang w:val="en-US"/>
        </w:rPr>
        <w:t>5</w:t>
      </w:r>
      <w:r w:rsidRPr="009E6CFC">
        <w:rPr>
          <w:lang w:val="en-US"/>
        </w:rPr>
        <w:t xml:space="preserve"> many courses could be </w:t>
      </w:r>
      <w:proofErr w:type="spellStart"/>
      <w:r w:rsidRPr="009E6CFC">
        <w:rPr>
          <w:lang w:val="en-US"/>
        </w:rPr>
        <w:t>organised</w:t>
      </w:r>
      <w:proofErr w:type="spellEnd"/>
      <w:r w:rsidRPr="009E6CFC">
        <w:rPr>
          <w:lang w:val="en-US"/>
        </w:rPr>
        <w:t xml:space="preserve"> again in person.</w:t>
      </w:r>
    </w:p>
    <w:p w14:paraId="18A0C1E5" w14:textId="77777777" w:rsidR="00432C27" w:rsidRPr="009E6CFC" w:rsidRDefault="00432C27" w:rsidP="00432C27">
      <w:pPr>
        <w:pStyle w:val="BasistekstNaktuinbouw"/>
        <w:jc w:val="both"/>
        <w:rPr>
          <w:lang w:val="en-US"/>
        </w:rPr>
      </w:pPr>
    </w:p>
    <w:p w14:paraId="6A3B1BF8" w14:textId="77777777" w:rsidR="00432C27" w:rsidRPr="009E6CFC" w:rsidRDefault="00432C27" w:rsidP="00432C27">
      <w:pPr>
        <w:pStyle w:val="BasistekstNaktuinbouw"/>
        <w:numPr>
          <w:ilvl w:val="0"/>
          <w:numId w:val="5"/>
        </w:numPr>
        <w:ind w:left="284" w:hanging="284"/>
        <w:jc w:val="both"/>
        <w:rPr>
          <w:lang w:val="en-US"/>
        </w:rPr>
      </w:pPr>
      <w:bookmarkStart w:id="8" w:name="_Hlk163037257"/>
      <w:r w:rsidRPr="00F43E60">
        <w:rPr>
          <w:color w:val="auto"/>
          <w:lang w:val="en-US"/>
        </w:rPr>
        <w:t>Applicants more and more use the online systems of UPOV and CPVO for filing their applications for listing and/or Plant Breeders’ Rights. Nowadays it is possible to apply in the Netherlands (Kingdom of) for Plant Breeders’ Rights as well as for Listing for all species using UPOV PRISMA.</w:t>
      </w:r>
    </w:p>
    <w:bookmarkEnd w:id="8"/>
    <w:p w14:paraId="78ACF89E" w14:textId="77777777" w:rsidR="00432C27" w:rsidRPr="009E6CFC" w:rsidRDefault="00432C27" w:rsidP="00432C27">
      <w:pPr>
        <w:rPr>
          <w:lang w:eastAsia="nl-NL"/>
        </w:rPr>
      </w:pPr>
    </w:p>
    <w:p w14:paraId="1ECACB73" w14:textId="77777777" w:rsidR="00432C27" w:rsidRPr="009E6CFC" w:rsidRDefault="00432C27" w:rsidP="00432C27">
      <w:pPr>
        <w:pStyle w:val="Heading2"/>
        <w:rPr>
          <w:lang w:eastAsia="nl-NL"/>
        </w:rPr>
      </w:pPr>
      <w:bookmarkStart w:id="9" w:name="_Hlk163037199"/>
      <w:r w:rsidRPr="009E6CFC">
        <w:rPr>
          <w:lang w:eastAsia="nl-NL"/>
        </w:rPr>
        <w:t>Number of applications received</w:t>
      </w:r>
    </w:p>
    <w:p w14:paraId="64EBAC9A" w14:textId="77777777" w:rsidR="00432C27" w:rsidRPr="009E6CFC" w:rsidRDefault="00432C27" w:rsidP="00432C27">
      <w:pPr>
        <w:rPr>
          <w:lang w:eastAsia="nl-NL"/>
        </w:rPr>
      </w:pPr>
    </w:p>
    <w:p w14:paraId="40498821" w14:textId="77777777" w:rsidR="00432C27" w:rsidRPr="009E6CFC" w:rsidRDefault="00432C27" w:rsidP="00432C27">
      <w:pPr>
        <w:rPr>
          <w:lang w:eastAsia="nl-NL"/>
        </w:rPr>
      </w:pPr>
      <w:r w:rsidRPr="009E6CFC">
        <w:rPr>
          <w:lang w:eastAsia="nl-NL"/>
        </w:rPr>
        <w:t>In 2024, 2514 applications were received for testing for the first year for National listing, and for National or European Plant Breeders’ Rights. Applications of the same variety for Listing as well as PBR, in vegetables and in agricultural crops are split in this table.</w:t>
      </w:r>
    </w:p>
    <w:bookmarkEnd w:id="6"/>
    <w:p w14:paraId="5FF84150" w14:textId="77777777" w:rsidR="00432C27" w:rsidRPr="00F43E60" w:rsidRDefault="00432C27" w:rsidP="00432C27">
      <w:pPr>
        <w:rPr>
          <w:highlight w:val="yellow"/>
          <w:lang w:eastAsia="nl-NL"/>
        </w:rPr>
      </w:pPr>
    </w:p>
    <w:tbl>
      <w:tblPr>
        <w:tblpPr w:leftFromText="141" w:rightFromText="141" w:vertAnchor="text"/>
        <w:tblW w:w="7361" w:type="dxa"/>
        <w:tblCellMar>
          <w:left w:w="0" w:type="dxa"/>
          <w:right w:w="0" w:type="dxa"/>
        </w:tblCellMar>
        <w:tblLook w:val="04A0" w:firstRow="1" w:lastRow="0" w:firstColumn="1" w:lastColumn="0" w:noHBand="0" w:noVBand="1"/>
      </w:tblPr>
      <w:tblGrid>
        <w:gridCol w:w="2258"/>
        <w:gridCol w:w="1418"/>
        <w:gridCol w:w="992"/>
        <w:gridCol w:w="1276"/>
        <w:gridCol w:w="1417"/>
      </w:tblGrid>
      <w:tr w:rsidR="00432C27" w:rsidRPr="00F43E60" w14:paraId="1CE773C1" w14:textId="77777777" w:rsidTr="0095277E">
        <w:trPr>
          <w:trHeight w:val="292"/>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bookmarkEnd w:id="7"/>
          <w:p w14:paraId="51EE8668" w14:textId="77777777" w:rsidR="00432C27" w:rsidRPr="009E6CFC" w:rsidRDefault="00432C27" w:rsidP="0095277E">
            <w:pPr>
              <w:spacing w:line="240" w:lineRule="atLeast"/>
              <w:jc w:val="center"/>
              <w:rPr>
                <w:rFonts w:ascii="Calibri" w:hAnsi="Calibri" w:cs="Calibri"/>
                <w:color w:val="000000"/>
                <w:szCs w:val="22"/>
                <w:lang w:eastAsia="nl-NL"/>
              </w:rPr>
            </w:pPr>
            <w:r w:rsidRPr="00F43E60">
              <w:t>2024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46A736A5" w14:textId="77777777" w:rsidR="00432C27" w:rsidRPr="009E6CFC" w:rsidRDefault="00432C27" w:rsidP="0095277E">
            <w:pPr>
              <w:spacing w:line="240" w:lineRule="atLeast"/>
              <w:jc w:val="center"/>
              <w:rPr>
                <w:rFonts w:cs="Maiandra GD"/>
                <w:color w:val="000000"/>
                <w:szCs w:val="18"/>
                <w:lang w:eastAsia="nl-NL"/>
              </w:rPr>
            </w:pPr>
            <w:r w:rsidRPr="00F43E60">
              <w:t>NL listing</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17E8433E" w14:textId="77777777" w:rsidR="00432C27" w:rsidRPr="009E6CFC" w:rsidRDefault="00432C27" w:rsidP="0095277E">
            <w:pPr>
              <w:spacing w:line="240" w:lineRule="atLeast"/>
              <w:jc w:val="center"/>
              <w:rPr>
                <w:rFonts w:cs="Maiandra GD"/>
                <w:color w:val="000000"/>
                <w:szCs w:val="18"/>
                <w:lang w:eastAsia="nl-NL"/>
              </w:rPr>
            </w:pPr>
            <w:r w:rsidRPr="00F43E60">
              <w:t>NL PBR</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44685932" w14:textId="77777777" w:rsidR="00432C27" w:rsidRPr="009E6CFC" w:rsidRDefault="00432C27" w:rsidP="0095277E">
            <w:pPr>
              <w:spacing w:line="240" w:lineRule="atLeast"/>
              <w:jc w:val="center"/>
              <w:rPr>
                <w:rFonts w:cs="Arial"/>
                <w:color w:val="000000"/>
                <w:szCs w:val="18"/>
                <w:lang w:eastAsia="nl-NL"/>
              </w:rPr>
            </w:pPr>
            <w:r w:rsidRPr="00F43E60">
              <w:t>EU PBR</w:t>
            </w:r>
          </w:p>
        </w:tc>
        <w:tc>
          <w:tcPr>
            <w:tcW w:w="141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7232AB6D" w14:textId="77777777" w:rsidR="00432C27" w:rsidRPr="009E6CFC" w:rsidRDefault="00432C27" w:rsidP="0095277E">
            <w:pPr>
              <w:spacing w:line="240" w:lineRule="atLeast"/>
              <w:jc w:val="center"/>
              <w:rPr>
                <w:rFonts w:ascii="Calibri" w:hAnsi="Calibri" w:cs="Calibri"/>
                <w:color w:val="000000"/>
                <w:szCs w:val="18"/>
                <w:lang w:eastAsia="nl-NL"/>
              </w:rPr>
            </w:pPr>
            <w:r w:rsidRPr="00F43E60">
              <w:t>TOTAL</w:t>
            </w:r>
          </w:p>
        </w:tc>
      </w:tr>
      <w:tr w:rsidR="00432C27" w:rsidRPr="00F43E60" w14:paraId="2518C103" w14:textId="77777777" w:rsidTr="0095277E">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6507007" w14:textId="77777777" w:rsidR="00432C27" w:rsidRPr="009E6CFC" w:rsidRDefault="00432C27" w:rsidP="0095277E">
            <w:pPr>
              <w:spacing w:line="240" w:lineRule="atLeast"/>
              <w:jc w:val="left"/>
              <w:rPr>
                <w:rFonts w:cs="Maiandra GD"/>
                <w:i/>
                <w:iCs/>
                <w:color w:val="000000"/>
                <w:szCs w:val="18"/>
                <w:lang w:eastAsia="nl-NL"/>
              </w:rPr>
            </w:pPr>
            <w:r w:rsidRPr="00F43E60">
              <w:t>Agriculture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6E6B03C" w14:textId="77777777" w:rsidR="00432C27" w:rsidRPr="009E6CFC" w:rsidRDefault="00432C27" w:rsidP="0095277E">
            <w:pPr>
              <w:spacing w:line="240" w:lineRule="atLeast"/>
              <w:jc w:val="center"/>
              <w:rPr>
                <w:rFonts w:cs="Maiandra GD"/>
                <w:szCs w:val="18"/>
                <w:lang w:eastAsia="nl-NL"/>
              </w:rPr>
            </w:pPr>
            <w:r w:rsidRPr="00F43E60">
              <w:t>247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B03B2A8" w14:textId="77777777" w:rsidR="00432C27" w:rsidRPr="009E6CFC" w:rsidRDefault="00432C27" w:rsidP="0095277E">
            <w:pPr>
              <w:spacing w:line="240" w:lineRule="atLeast"/>
              <w:jc w:val="center"/>
              <w:rPr>
                <w:rFonts w:cs="Maiandra GD"/>
                <w:color w:val="000000"/>
                <w:szCs w:val="18"/>
                <w:lang w:eastAsia="nl-NL"/>
              </w:rPr>
            </w:pPr>
            <w:r w:rsidRPr="00F43E60">
              <w:t>54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7E9AE19" w14:textId="77777777" w:rsidR="00432C27" w:rsidRPr="009E6CFC" w:rsidRDefault="00432C27" w:rsidP="0095277E">
            <w:pPr>
              <w:spacing w:line="240" w:lineRule="atLeast"/>
              <w:jc w:val="center"/>
              <w:rPr>
                <w:rFonts w:cs="Maiandra GD"/>
                <w:color w:val="000000"/>
                <w:szCs w:val="18"/>
                <w:lang w:eastAsia="nl-NL"/>
              </w:rPr>
            </w:pPr>
            <w:r w:rsidRPr="00F43E60">
              <w:t>13</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AC8D179" w14:textId="77777777" w:rsidR="00432C27" w:rsidRPr="009E6CFC" w:rsidRDefault="00432C27" w:rsidP="0095277E">
            <w:pPr>
              <w:spacing w:line="240" w:lineRule="atLeast"/>
              <w:jc w:val="center"/>
              <w:rPr>
                <w:rFonts w:cs="Maiandra GD"/>
                <w:color w:val="000000"/>
                <w:szCs w:val="18"/>
                <w:lang w:eastAsia="nl-NL"/>
              </w:rPr>
            </w:pPr>
            <w:r w:rsidRPr="00F43E60">
              <w:t>320</w:t>
            </w:r>
          </w:p>
        </w:tc>
      </w:tr>
      <w:tr w:rsidR="00432C27" w:rsidRPr="00F43E60" w14:paraId="3E58F227" w14:textId="77777777" w:rsidTr="0095277E">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41B15074" w14:textId="77777777" w:rsidR="00432C27" w:rsidRPr="009E6CFC" w:rsidRDefault="00432C27" w:rsidP="0095277E">
            <w:pPr>
              <w:spacing w:line="240" w:lineRule="atLeast"/>
              <w:jc w:val="left"/>
              <w:rPr>
                <w:rFonts w:cs="Maiandra GD"/>
                <w:i/>
                <w:iCs/>
                <w:color w:val="000000"/>
                <w:szCs w:val="18"/>
                <w:lang w:eastAsia="nl-NL"/>
              </w:rPr>
            </w:pPr>
            <w:r w:rsidRPr="00F43E60">
              <w:t>Vegetable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A684D1A" w14:textId="77777777" w:rsidR="00432C27" w:rsidRPr="009E6CFC" w:rsidRDefault="00432C27" w:rsidP="0095277E">
            <w:pPr>
              <w:spacing w:line="240" w:lineRule="atLeast"/>
              <w:jc w:val="center"/>
              <w:rPr>
                <w:rFonts w:cs="Maiandra GD"/>
                <w:szCs w:val="18"/>
                <w:lang w:eastAsia="nl-NL"/>
              </w:rPr>
            </w:pPr>
            <w:r w:rsidRPr="00F43E60">
              <w:t>757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E62CBEB" w14:textId="77777777" w:rsidR="00432C27" w:rsidRPr="009E6CFC" w:rsidRDefault="00432C27" w:rsidP="0095277E">
            <w:pPr>
              <w:spacing w:line="240" w:lineRule="atLeast"/>
              <w:jc w:val="center"/>
              <w:rPr>
                <w:rFonts w:cs="Maiandra GD"/>
                <w:color w:val="000000"/>
                <w:szCs w:val="18"/>
                <w:lang w:eastAsia="nl-NL"/>
              </w:rPr>
            </w:pPr>
            <w:r w:rsidRPr="00F43E60">
              <w:t>622</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F35B84F" w14:textId="77777777" w:rsidR="00432C27" w:rsidRPr="009E6CFC" w:rsidRDefault="00432C27" w:rsidP="0095277E">
            <w:pPr>
              <w:spacing w:line="240" w:lineRule="atLeast"/>
              <w:jc w:val="center"/>
              <w:rPr>
                <w:rFonts w:cs="Maiandra GD"/>
                <w:color w:val="000000"/>
                <w:szCs w:val="18"/>
                <w:lang w:eastAsia="nl-NL"/>
              </w:rPr>
            </w:pPr>
            <w:r w:rsidRPr="00F43E60">
              <w:t>72</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AEC828B" w14:textId="77777777" w:rsidR="00432C27" w:rsidRPr="009E6CFC" w:rsidRDefault="00432C27" w:rsidP="0095277E">
            <w:pPr>
              <w:spacing w:line="240" w:lineRule="atLeast"/>
              <w:jc w:val="center"/>
              <w:rPr>
                <w:rFonts w:cs="Maiandra GD"/>
                <w:color w:val="000000"/>
                <w:szCs w:val="18"/>
                <w:lang w:eastAsia="nl-NL"/>
              </w:rPr>
            </w:pPr>
            <w:r w:rsidRPr="00F43E60">
              <w:t>1487</w:t>
            </w:r>
          </w:p>
        </w:tc>
      </w:tr>
      <w:tr w:rsidR="00432C27" w:rsidRPr="00F43E60" w14:paraId="3793ECF4" w14:textId="77777777" w:rsidTr="0095277E">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54E8BF8" w14:textId="77777777" w:rsidR="00432C27" w:rsidRPr="009E6CFC" w:rsidRDefault="00432C27" w:rsidP="0095277E">
            <w:pPr>
              <w:spacing w:line="240" w:lineRule="atLeast"/>
              <w:jc w:val="left"/>
              <w:rPr>
                <w:rFonts w:cs="Maiandra GD"/>
                <w:i/>
                <w:iCs/>
                <w:color w:val="000000"/>
                <w:szCs w:val="18"/>
                <w:lang w:eastAsia="nl-NL"/>
              </w:rPr>
            </w:pPr>
            <w:r w:rsidRPr="00F43E60">
              <w:t>Ornamental (incl. trees)</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15CA613" w14:textId="77777777" w:rsidR="00432C27" w:rsidRPr="009E6CFC" w:rsidRDefault="00432C27" w:rsidP="0095277E">
            <w:pPr>
              <w:spacing w:line="240" w:lineRule="atLeast"/>
              <w:jc w:val="center"/>
              <w:rPr>
                <w:rFonts w:cs="Maiandra GD"/>
                <w:szCs w:val="18"/>
                <w:lang w:eastAsia="nl-NL"/>
              </w:rPr>
            </w:pP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A5BFFD8" w14:textId="77777777" w:rsidR="00432C27" w:rsidRPr="009E6CFC" w:rsidRDefault="00432C27" w:rsidP="0095277E">
            <w:pPr>
              <w:spacing w:line="240" w:lineRule="atLeast"/>
              <w:jc w:val="center"/>
              <w:rPr>
                <w:rFonts w:cs="Maiandra GD"/>
                <w:color w:val="000000"/>
                <w:szCs w:val="18"/>
                <w:lang w:eastAsia="nl-NL"/>
              </w:rPr>
            </w:pPr>
            <w:r w:rsidRPr="00F43E60">
              <w:t>124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672CC3F" w14:textId="77777777" w:rsidR="00432C27" w:rsidRPr="009E6CFC" w:rsidRDefault="00432C27" w:rsidP="0095277E">
            <w:pPr>
              <w:spacing w:line="240" w:lineRule="atLeast"/>
              <w:jc w:val="center"/>
              <w:rPr>
                <w:rFonts w:cs="Maiandra GD"/>
                <w:color w:val="000000"/>
                <w:szCs w:val="18"/>
                <w:lang w:eastAsia="nl-NL"/>
              </w:rPr>
            </w:pPr>
            <w:r w:rsidRPr="00F43E60">
              <w:t>625</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D12715E" w14:textId="77777777" w:rsidR="00432C27" w:rsidRPr="009E6CFC" w:rsidRDefault="00432C27" w:rsidP="0095277E">
            <w:pPr>
              <w:spacing w:line="240" w:lineRule="atLeast"/>
              <w:jc w:val="center"/>
              <w:rPr>
                <w:rFonts w:cs="Maiandra GD"/>
                <w:color w:val="000000"/>
                <w:szCs w:val="18"/>
                <w:lang w:eastAsia="nl-NL"/>
              </w:rPr>
            </w:pPr>
            <w:r w:rsidRPr="00F43E60">
              <w:t>794</w:t>
            </w:r>
          </w:p>
        </w:tc>
      </w:tr>
      <w:tr w:rsidR="00432C27" w:rsidRPr="00F43E60" w14:paraId="7EECABE5" w14:textId="77777777" w:rsidTr="0095277E">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40F62342" w14:textId="77777777" w:rsidR="00432C27" w:rsidRPr="009E6CFC" w:rsidRDefault="00432C27" w:rsidP="0095277E">
            <w:pPr>
              <w:spacing w:line="240" w:lineRule="atLeast"/>
              <w:jc w:val="left"/>
              <w:rPr>
                <w:rFonts w:cs="Maiandra GD"/>
                <w:color w:val="000000"/>
                <w:szCs w:val="18"/>
                <w:lang w:eastAsia="nl-NL"/>
              </w:rPr>
            </w:pPr>
            <w:r w:rsidRPr="00F43E60">
              <w:t>TOTAL</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DB373EB" w14:textId="77777777" w:rsidR="00432C27" w:rsidRPr="009E6CFC" w:rsidRDefault="00432C27" w:rsidP="0095277E">
            <w:pPr>
              <w:spacing w:line="240" w:lineRule="atLeast"/>
              <w:jc w:val="center"/>
              <w:rPr>
                <w:rFonts w:cs="Maiandra GD"/>
                <w:szCs w:val="18"/>
                <w:lang w:eastAsia="nl-NL"/>
              </w:rPr>
            </w:pPr>
            <w:r w:rsidRPr="00F43E60">
              <w:t>1004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872C927" w14:textId="77777777" w:rsidR="00432C27" w:rsidRPr="009E6CFC" w:rsidRDefault="00432C27" w:rsidP="0095277E">
            <w:pPr>
              <w:spacing w:line="240" w:lineRule="atLeast"/>
              <w:jc w:val="center"/>
              <w:rPr>
                <w:rFonts w:cs="Maiandra GD"/>
                <w:color w:val="000000"/>
                <w:szCs w:val="18"/>
                <w:lang w:eastAsia="nl-NL"/>
              </w:rPr>
            </w:pPr>
            <w:r w:rsidRPr="00F43E60">
              <w:t>800</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69B9B48" w14:textId="77777777" w:rsidR="00432C27" w:rsidRPr="009E6CFC" w:rsidRDefault="00432C27" w:rsidP="0095277E">
            <w:pPr>
              <w:spacing w:line="240" w:lineRule="atLeast"/>
              <w:jc w:val="center"/>
              <w:rPr>
                <w:rFonts w:cs="Maiandra GD"/>
                <w:color w:val="000000"/>
                <w:szCs w:val="18"/>
                <w:lang w:eastAsia="nl-NL"/>
              </w:rPr>
            </w:pPr>
            <w:r w:rsidRPr="00F43E60">
              <w:t>710</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AA10940" w14:textId="77777777" w:rsidR="00432C27" w:rsidRPr="009E6CFC" w:rsidRDefault="00432C27" w:rsidP="0095277E">
            <w:pPr>
              <w:spacing w:line="240" w:lineRule="atLeast"/>
              <w:jc w:val="center"/>
              <w:rPr>
                <w:rFonts w:cs="Maiandra GD"/>
                <w:color w:val="000000"/>
                <w:szCs w:val="18"/>
                <w:lang w:eastAsia="nl-NL"/>
              </w:rPr>
            </w:pPr>
            <w:r w:rsidRPr="00F43E60">
              <w:t>2514</w:t>
            </w:r>
          </w:p>
        </w:tc>
      </w:tr>
    </w:tbl>
    <w:p w14:paraId="588B739D" w14:textId="77777777" w:rsidR="00432C27" w:rsidRPr="009E6CFC" w:rsidRDefault="00432C27" w:rsidP="00432C27">
      <w:pPr>
        <w:spacing w:line="240" w:lineRule="atLeast"/>
        <w:jc w:val="center"/>
        <w:rPr>
          <w:rFonts w:ascii="Calibri" w:eastAsia="Arial" w:hAnsi="Calibri" w:cs="Calibri"/>
          <w:color w:val="000000"/>
          <w:sz w:val="22"/>
          <w:szCs w:val="22"/>
          <w14:ligatures w14:val="standardContextual"/>
        </w:rPr>
      </w:pPr>
    </w:p>
    <w:p w14:paraId="78DF3EF3" w14:textId="77777777" w:rsidR="00432C27" w:rsidRPr="009E6CFC" w:rsidRDefault="00432C27" w:rsidP="00432C27">
      <w:pPr>
        <w:spacing w:line="240" w:lineRule="atLeast"/>
        <w:jc w:val="left"/>
        <w:rPr>
          <w:rFonts w:cs="Arial"/>
          <w:color w:val="000000"/>
          <w:lang w:eastAsia="nl-NL"/>
        </w:rPr>
      </w:pPr>
    </w:p>
    <w:p w14:paraId="277EE637" w14:textId="77777777" w:rsidR="00432C27" w:rsidRPr="009E6CFC" w:rsidRDefault="00432C27" w:rsidP="00432C27">
      <w:pPr>
        <w:spacing w:line="240" w:lineRule="atLeast"/>
        <w:jc w:val="left"/>
        <w:rPr>
          <w:rFonts w:ascii="Calibri" w:hAnsi="Calibri" w:cs="Calibri"/>
          <w:color w:val="000000"/>
          <w:sz w:val="22"/>
          <w:szCs w:val="22"/>
        </w:rPr>
      </w:pPr>
    </w:p>
    <w:p w14:paraId="4A52A239" w14:textId="77777777" w:rsidR="00432C27" w:rsidRPr="00F43E60" w:rsidRDefault="00432C27" w:rsidP="00432C27">
      <w:pPr>
        <w:spacing w:line="240" w:lineRule="atLeast"/>
        <w:jc w:val="left"/>
        <w:rPr>
          <w:rFonts w:cs="Maiandra GD"/>
          <w:szCs w:val="18"/>
          <w:lang w:eastAsia="nl-NL"/>
        </w:rPr>
      </w:pPr>
    </w:p>
    <w:p w14:paraId="5F26412B" w14:textId="77777777" w:rsidR="00432C27" w:rsidRPr="00F43E60" w:rsidRDefault="00432C27" w:rsidP="00432C27">
      <w:pPr>
        <w:spacing w:line="240" w:lineRule="atLeast"/>
        <w:jc w:val="left"/>
        <w:rPr>
          <w:rFonts w:cs="Maiandra GD"/>
          <w:szCs w:val="18"/>
          <w:lang w:eastAsia="nl-NL"/>
        </w:rPr>
      </w:pPr>
    </w:p>
    <w:p w14:paraId="599EEE01" w14:textId="77777777" w:rsidR="00432C27" w:rsidRPr="00F43E60" w:rsidRDefault="00432C27" w:rsidP="00432C27">
      <w:pPr>
        <w:spacing w:line="240" w:lineRule="atLeast"/>
        <w:jc w:val="left"/>
        <w:rPr>
          <w:rFonts w:cs="Maiandra GD"/>
          <w:szCs w:val="18"/>
          <w:lang w:eastAsia="nl-NL"/>
        </w:rPr>
      </w:pPr>
    </w:p>
    <w:p w14:paraId="411D7EF8" w14:textId="77777777" w:rsidR="00432C27" w:rsidRPr="009E6CFC" w:rsidRDefault="00432C27" w:rsidP="00432C27">
      <w:pPr>
        <w:spacing w:line="240" w:lineRule="atLeast"/>
        <w:jc w:val="left"/>
        <w:rPr>
          <w:rFonts w:cs="Maiandra GD"/>
          <w:color w:val="000000"/>
          <w:szCs w:val="18"/>
          <w:lang w:eastAsia="nl-NL"/>
        </w:rPr>
      </w:pPr>
    </w:p>
    <w:bookmarkEnd w:id="9"/>
    <w:p w14:paraId="239CCB6F" w14:textId="77777777" w:rsidR="00432C27" w:rsidRPr="009E6CFC" w:rsidRDefault="00432C27" w:rsidP="00432C27">
      <w:pPr>
        <w:rPr>
          <w:lang w:eastAsia="nl-NL"/>
        </w:rPr>
      </w:pPr>
    </w:p>
    <w:p w14:paraId="513524E9" w14:textId="77777777" w:rsidR="00432C27" w:rsidRPr="009E6CFC" w:rsidRDefault="00432C27" w:rsidP="00432C27">
      <w:pPr>
        <w:rPr>
          <w:lang w:eastAsia="nl-NL"/>
        </w:rPr>
      </w:pPr>
    </w:p>
    <w:p w14:paraId="7ED5D256" w14:textId="77777777" w:rsidR="00432C27" w:rsidRPr="009E6CFC" w:rsidRDefault="00432C27" w:rsidP="00432C27">
      <w:pPr>
        <w:pStyle w:val="Heading2"/>
        <w:rPr>
          <w:lang w:eastAsia="nl-NL"/>
        </w:rPr>
      </w:pPr>
      <w:r w:rsidRPr="009E6CFC">
        <w:rPr>
          <w:lang w:eastAsia="nl-NL"/>
        </w:rPr>
        <w:t>DUS projects</w:t>
      </w:r>
    </w:p>
    <w:p w14:paraId="6BF32952" w14:textId="77777777" w:rsidR="00432C27" w:rsidRPr="009E6CFC" w:rsidRDefault="00432C27" w:rsidP="00432C27">
      <w:pPr>
        <w:pStyle w:val="EndnoteText"/>
        <w:rPr>
          <w:lang w:eastAsia="nl-NL"/>
        </w:rPr>
      </w:pPr>
    </w:p>
    <w:p w14:paraId="6A852732" w14:textId="77777777" w:rsidR="00432C27" w:rsidRPr="009E6CFC" w:rsidRDefault="00432C27" w:rsidP="00432C27">
      <w:pPr>
        <w:spacing w:line="240" w:lineRule="atLeast"/>
        <w:rPr>
          <w:rFonts w:cs="Arial"/>
          <w:color w:val="000000"/>
          <w:lang w:eastAsia="nl-NL"/>
        </w:rPr>
      </w:pPr>
      <w:proofErr w:type="spellStart"/>
      <w:r w:rsidRPr="009E6CFC">
        <w:rPr>
          <w:rFonts w:cs="Maiandra GD"/>
          <w:color w:val="000000"/>
          <w:szCs w:val="18"/>
          <w:lang w:eastAsia="nl-NL"/>
        </w:rPr>
        <w:t>Digitisation</w:t>
      </w:r>
      <w:proofErr w:type="spellEnd"/>
    </w:p>
    <w:p w14:paraId="113DA579" w14:textId="77777777" w:rsidR="00432C27" w:rsidRPr="009E6CFC" w:rsidRDefault="00432C27" w:rsidP="00432C27">
      <w:pPr>
        <w:pStyle w:val="BasistekstNaktuinbouw"/>
        <w:numPr>
          <w:ilvl w:val="0"/>
          <w:numId w:val="6"/>
        </w:numPr>
        <w:ind w:left="567" w:hanging="284"/>
        <w:jc w:val="both"/>
        <w:rPr>
          <w:lang w:val="en-US"/>
        </w:rPr>
      </w:pPr>
      <w:r w:rsidRPr="009E6CFC">
        <w:rPr>
          <w:lang w:val="en-US"/>
        </w:rPr>
        <w:t xml:space="preserve">Naktuinbouw continues to work on the expansion of the Naktuinbouw Academy: a digital training platform. </w:t>
      </w:r>
    </w:p>
    <w:p w14:paraId="0501D38D" w14:textId="77777777" w:rsidR="00432C27" w:rsidRPr="009E6CFC" w:rsidRDefault="00432C27" w:rsidP="00432C27">
      <w:pPr>
        <w:pStyle w:val="BasistekstNaktuinbouw"/>
        <w:numPr>
          <w:ilvl w:val="0"/>
          <w:numId w:val="6"/>
        </w:numPr>
        <w:ind w:left="567" w:hanging="284"/>
        <w:jc w:val="both"/>
        <w:rPr>
          <w:lang w:val="en-US"/>
        </w:rPr>
      </w:pPr>
      <w:r w:rsidRPr="009E6CFC">
        <w:rPr>
          <w:lang w:val="en-US"/>
        </w:rPr>
        <w:t>Databases: Naktuinbouw develops SNP-databases in French bean, Hemp, Tomato and Lettuce. Some databases are developed nationally, others in international projects (e.g. IMODDUS). The projects are funded by amongst others the Dutch board for plant varieties and CPVO.</w:t>
      </w:r>
    </w:p>
    <w:p w14:paraId="321D6B5D" w14:textId="77777777" w:rsidR="00432C27" w:rsidRPr="009E6CFC" w:rsidRDefault="00432C27" w:rsidP="00432C27">
      <w:pPr>
        <w:rPr>
          <w:lang w:eastAsia="nl-NL"/>
        </w:rPr>
      </w:pPr>
    </w:p>
    <w:p w14:paraId="2DACAFE5" w14:textId="77777777" w:rsidR="00432C27" w:rsidRPr="009E6CFC" w:rsidRDefault="00432C27" w:rsidP="00432C27">
      <w:pPr>
        <w:spacing w:line="240" w:lineRule="atLeast"/>
        <w:rPr>
          <w:rFonts w:cs="Maiandra GD"/>
          <w:color w:val="000000"/>
          <w:szCs w:val="18"/>
          <w:lang w:eastAsia="nl-NL"/>
        </w:rPr>
      </w:pPr>
      <w:bookmarkStart w:id="10" w:name="_Hlk163038815"/>
      <w:r w:rsidRPr="009E6CFC">
        <w:rPr>
          <w:rFonts w:cs="Maiandra GD"/>
          <w:color w:val="000000"/>
          <w:szCs w:val="18"/>
          <w:lang w:eastAsia="nl-NL"/>
        </w:rPr>
        <w:t>Projects</w:t>
      </w:r>
    </w:p>
    <w:p w14:paraId="54E4A740" w14:textId="77777777" w:rsidR="00432C27" w:rsidRPr="009E6CFC" w:rsidRDefault="00432C27" w:rsidP="00432C27">
      <w:pPr>
        <w:pStyle w:val="BasistekstNaktuinbouw"/>
        <w:numPr>
          <w:ilvl w:val="0"/>
          <w:numId w:val="6"/>
        </w:numPr>
        <w:ind w:left="567" w:hanging="284"/>
        <w:jc w:val="both"/>
        <w:rPr>
          <w:lang w:val="en-US"/>
        </w:rPr>
      </w:pPr>
      <w:proofErr w:type="spellStart"/>
      <w:r w:rsidRPr="009E6CFC">
        <w:rPr>
          <w:lang w:val="en-US"/>
        </w:rPr>
        <w:t>Harmorescoll</w:t>
      </w:r>
      <w:proofErr w:type="spellEnd"/>
      <w:r w:rsidRPr="009E6CFC">
        <w:rPr>
          <w:lang w:val="en-US"/>
        </w:rPr>
        <w:t>: in this project the reference material for obligatory disease resistance tests is harmonized. We expect that this work will be continues in 2025 and further.</w:t>
      </w:r>
    </w:p>
    <w:p w14:paraId="62F131E4" w14:textId="77777777" w:rsidR="00432C27" w:rsidRPr="009E6CFC" w:rsidRDefault="00432C27" w:rsidP="00432C27">
      <w:pPr>
        <w:pStyle w:val="BasistekstNaktuinbouw"/>
        <w:numPr>
          <w:ilvl w:val="0"/>
          <w:numId w:val="6"/>
        </w:numPr>
        <w:ind w:left="567" w:hanging="284"/>
        <w:jc w:val="both"/>
        <w:rPr>
          <w:lang w:val="en-US"/>
        </w:rPr>
      </w:pPr>
      <w:r w:rsidRPr="009E6CFC">
        <w:rPr>
          <w:lang w:val="en-US"/>
        </w:rPr>
        <w:t xml:space="preserve">The EU project INVITE on the improvement on DUS and VCU. Naktuinbouw is one of the partners in this program. 2024 was the last year of this project. Naktuinbouw will continue with follow up project to get usable tools for Analysis with drones in </w:t>
      </w:r>
      <w:r>
        <w:rPr>
          <w:lang w:val="en-US"/>
        </w:rPr>
        <w:t>Ryegrass</w:t>
      </w:r>
      <w:r w:rsidRPr="009E6CFC">
        <w:rPr>
          <w:lang w:val="en-US"/>
        </w:rPr>
        <w:t>, to use an app for some characteristics in tomato and to continue the work on common databases.</w:t>
      </w:r>
    </w:p>
    <w:p w14:paraId="5A13EA64" w14:textId="77777777" w:rsidR="00432C27" w:rsidRPr="009E6CFC" w:rsidRDefault="00432C27" w:rsidP="00432C27">
      <w:pPr>
        <w:pStyle w:val="BasistekstNaktuinbouw"/>
        <w:numPr>
          <w:ilvl w:val="0"/>
          <w:numId w:val="6"/>
        </w:numPr>
        <w:ind w:left="567" w:hanging="284"/>
        <w:jc w:val="both"/>
        <w:rPr>
          <w:lang w:val="en-US"/>
        </w:rPr>
      </w:pPr>
      <w:r w:rsidRPr="009E6CFC">
        <w:rPr>
          <w:lang w:val="en-US"/>
        </w:rPr>
        <w:t>Naktuinbouw continues to support IP</w:t>
      </w:r>
      <w:r>
        <w:rPr>
          <w:lang w:val="en-US"/>
        </w:rPr>
        <w:t xml:space="preserve"> </w:t>
      </w:r>
      <w:r w:rsidRPr="009E6CFC">
        <w:rPr>
          <w:lang w:val="en-US"/>
        </w:rPr>
        <w:t>Key projects.</w:t>
      </w:r>
    </w:p>
    <w:p w14:paraId="4913F41D" w14:textId="77777777" w:rsidR="00432C27" w:rsidRPr="009E6CFC" w:rsidRDefault="00432C27" w:rsidP="00432C27">
      <w:pPr>
        <w:pStyle w:val="BasistekstNaktuinbouw"/>
        <w:numPr>
          <w:ilvl w:val="0"/>
          <w:numId w:val="6"/>
        </w:numPr>
        <w:ind w:left="567" w:hanging="284"/>
        <w:jc w:val="both"/>
        <w:rPr>
          <w:lang w:val="en-US"/>
        </w:rPr>
      </w:pPr>
      <w:r w:rsidRPr="009E6CFC">
        <w:rPr>
          <w:lang w:val="en-US"/>
        </w:rPr>
        <w:t xml:space="preserve">CPVO funds a project to develop a disease resistance test for </w:t>
      </w:r>
      <w:proofErr w:type="spellStart"/>
      <w:r w:rsidRPr="009E6CFC">
        <w:rPr>
          <w:lang w:val="en-US"/>
        </w:rPr>
        <w:t>ToBRFV</w:t>
      </w:r>
      <w:proofErr w:type="spellEnd"/>
      <w:r w:rsidRPr="009E6CFC">
        <w:rPr>
          <w:lang w:val="en-US"/>
        </w:rPr>
        <w:t xml:space="preserve"> in tomato and for </w:t>
      </w:r>
      <w:r w:rsidRPr="00904063">
        <w:rPr>
          <w:i/>
          <w:iCs/>
          <w:lang w:val="en-US"/>
        </w:rPr>
        <w:t>Aphis gossypii</w:t>
      </w:r>
      <w:r w:rsidRPr="009E6CFC">
        <w:rPr>
          <w:lang w:val="en-US"/>
        </w:rPr>
        <w:t xml:space="preserve"> in cucumber</w:t>
      </w:r>
      <w:r>
        <w:rPr>
          <w:lang w:val="en-US"/>
        </w:rPr>
        <w:t>.</w:t>
      </w:r>
      <w:r w:rsidRPr="009E6CFC">
        <w:rPr>
          <w:lang w:val="en-US"/>
        </w:rPr>
        <w:t xml:space="preserve"> Another project is to develop SNP marker set for lettuce together with Germany, Spain and France.</w:t>
      </w:r>
    </w:p>
    <w:p w14:paraId="1D88EB0F" w14:textId="77777777" w:rsidR="00432C27" w:rsidRPr="00F43E60" w:rsidRDefault="00432C27" w:rsidP="00432C27">
      <w:pPr>
        <w:pStyle w:val="EndnoteText"/>
        <w:rPr>
          <w:lang w:eastAsia="nl-NL"/>
        </w:rPr>
      </w:pPr>
    </w:p>
    <w:p w14:paraId="28AE4EDB" w14:textId="77777777" w:rsidR="00432C27" w:rsidRPr="009E6CFC" w:rsidRDefault="00432C27" w:rsidP="00432C27">
      <w:pPr>
        <w:keepNext/>
        <w:spacing w:line="240" w:lineRule="atLeast"/>
        <w:rPr>
          <w:rFonts w:cs="Maiandra GD"/>
          <w:color w:val="000000"/>
          <w:szCs w:val="18"/>
          <w:lang w:eastAsia="nl-NL"/>
        </w:rPr>
      </w:pPr>
      <w:r w:rsidRPr="009E6CFC">
        <w:rPr>
          <w:rFonts w:cs="Maiandra GD"/>
          <w:color w:val="000000"/>
          <w:szCs w:val="18"/>
          <w:lang w:eastAsia="nl-NL"/>
        </w:rPr>
        <w:lastRenderedPageBreak/>
        <w:t>Other projects</w:t>
      </w:r>
    </w:p>
    <w:p w14:paraId="4213E812" w14:textId="77777777" w:rsidR="00432C27" w:rsidRPr="009E6CFC" w:rsidRDefault="00432C27" w:rsidP="00432C27">
      <w:pPr>
        <w:keepNext/>
        <w:spacing w:line="240" w:lineRule="atLeast"/>
        <w:rPr>
          <w:rFonts w:cs="Maiandra GD"/>
          <w:color w:val="000000"/>
          <w:szCs w:val="18"/>
          <w:lang w:eastAsia="nl-NL"/>
        </w:rPr>
      </w:pPr>
      <w:r w:rsidRPr="00F43E60">
        <w:rPr>
          <w:rFonts w:cs="Maiandra GD"/>
          <w:color w:val="000000"/>
          <w:szCs w:val="18"/>
          <w:lang w:eastAsia="nl-NL"/>
        </w:rPr>
        <w:t xml:space="preserve">Methodology projects that are funded by the Board for plant varieties in the Netherlands </w:t>
      </w:r>
      <w:r>
        <w:rPr>
          <w:rFonts w:cs="Maiandra GD"/>
          <w:color w:val="000000"/>
          <w:szCs w:val="18"/>
          <w:lang w:eastAsia="nl-NL"/>
        </w:rPr>
        <w:t xml:space="preserve">(Kingdom of the) </w:t>
      </w:r>
      <w:r w:rsidRPr="00F43E60">
        <w:rPr>
          <w:rFonts w:cs="Maiandra GD"/>
          <w:color w:val="000000"/>
          <w:szCs w:val="18"/>
          <w:lang w:eastAsia="nl-NL"/>
        </w:rPr>
        <w:t xml:space="preserve">are e.g. </w:t>
      </w:r>
    </w:p>
    <w:p w14:paraId="10BAE371" w14:textId="77777777" w:rsidR="00432C27" w:rsidRPr="00F43E60" w:rsidRDefault="00432C27" w:rsidP="00432C27">
      <w:pPr>
        <w:numPr>
          <w:ilvl w:val="0"/>
          <w:numId w:val="8"/>
        </w:numPr>
        <w:spacing w:line="240" w:lineRule="atLeast"/>
        <w:rPr>
          <w:rFonts w:cs="Maiandra GD"/>
          <w:color w:val="000000"/>
          <w:szCs w:val="18"/>
          <w:lang w:eastAsia="nl-NL"/>
        </w:rPr>
      </w:pPr>
      <w:bookmarkStart w:id="11" w:name="_Hlk99720143"/>
      <w:bookmarkEnd w:id="10"/>
      <w:r w:rsidRPr="00F43E60">
        <w:rPr>
          <w:rFonts w:cs="Maiandra GD"/>
          <w:color w:val="000000"/>
          <w:szCs w:val="18"/>
          <w:lang w:eastAsia="nl-NL"/>
        </w:rPr>
        <w:t>Marker development for fusarium (FOC1) resistance in brassica,</w:t>
      </w:r>
    </w:p>
    <w:p w14:paraId="6CB424EA" w14:textId="77777777" w:rsidR="00432C27" w:rsidRPr="00F43E60" w:rsidRDefault="00432C27" w:rsidP="00432C27">
      <w:pPr>
        <w:numPr>
          <w:ilvl w:val="0"/>
          <w:numId w:val="8"/>
        </w:numPr>
        <w:spacing w:line="240" w:lineRule="atLeast"/>
        <w:rPr>
          <w:rFonts w:cs="Maiandra GD"/>
          <w:color w:val="000000"/>
          <w:szCs w:val="18"/>
          <w:lang w:eastAsia="nl-NL"/>
        </w:rPr>
      </w:pPr>
      <w:r w:rsidRPr="00F43E60">
        <w:rPr>
          <w:rFonts w:cs="Maiandra GD"/>
          <w:color w:val="000000"/>
          <w:szCs w:val="18"/>
          <w:lang w:eastAsia="nl-NL"/>
        </w:rPr>
        <w:t>Verification research on DNA combined with morphology in tomato and onion,</w:t>
      </w:r>
    </w:p>
    <w:p w14:paraId="55F90E0E" w14:textId="77777777" w:rsidR="00432C27" w:rsidRPr="00F43E60" w:rsidRDefault="00432C27" w:rsidP="00432C27">
      <w:pPr>
        <w:numPr>
          <w:ilvl w:val="0"/>
          <w:numId w:val="8"/>
        </w:numPr>
        <w:spacing w:line="240" w:lineRule="atLeast"/>
        <w:rPr>
          <w:rFonts w:cs="Maiandra GD"/>
          <w:color w:val="000000"/>
          <w:szCs w:val="18"/>
          <w:lang w:eastAsia="nl-NL"/>
        </w:rPr>
      </w:pPr>
      <w:r w:rsidRPr="00F43E60">
        <w:rPr>
          <w:rFonts w:cs="Maiandra GD"/>
          <w:color w:val="000000"/>
          <w:szCs w:val="18"/>
          <w:lang w:eastAsia="nl-NL"/>
        </w:rPr>
        <w:t>Selecting similar varieties with image analysis and AI.</w:t>
      </w:r>
    </w:p>
    <w:p w14:paraId="4E9D2266" w14:textId="77777777" w:rsidR="00432C27" w:rsidRPr="009E6CFC" w:rsidRDefault="00432C27" w:rsidP="00432C27">
      <w:pPr>
        <w:spacing w:line="240" w:lineRule="atLeast"/>
        <w:rPr>
          <w:rFonts w:cs="Maiandra GD"/>
          <w:color w:val="000000"/>
          <w:szCs w:val="18"/>
          <w:lang w:eastAsia="nl-NL"/>
        </w:rPr>
      </w:pPr>
    </w:p>
    <w:bookmarkEnd w:id="11"/>
    <w:p w14:paraId="7D3D91CC" w14:textId="77777777" w:rsidR="00432C27" w:rsidRPr="009E6CFC" w:rsidRDefault="00432C27" w:rsidP="00432C27">
      <w:pPr>
        <w:spacing w:line="240" w:lineRule="atLeast"/>
        <w:rPr>
          <w:rFonts w:cs="Arial"/>
          <w:color w:val="000000"/>
          <w:lang w:eastAsia="nl-NL"/>
        </w:rPr>
      </w:pPr>
      <w:r w:rsidRPr="009E6CFC">
        <w:rPr>
          <w:rFonts w:cs="Maiandra GD"/>
          <w:color w:val="000000"/>
          <w:szCs w:val="18"/>
          <w:lang w:eastAsia="nl-NL"/>
        </w:rPr>
        <w:t>International cooperation 2025</w:t>
      </w:r>
    </w:p>
    <w:p w14:paraId="3E0F2AC8" w14:textId="77777777" w:rsidR="00432C27" w:rsidRPr="009E6CFC" w:rsidRDefault="00432C27" w:rsidP="00432C27">
      <w:pPr>
        <w:numPr>
          <w:ilvl w:val="0"/>
          <w:numId w:val="8"/>
        </w:numPr>
        <w:spacing w:line="240" w:lineRule="atLeast"/>
      </w:pPr>
      <w:r w:rsidRPr="009E6CFC">
        <w:t>Since 2021, Naktuinbouw has participated in the Collaborative Seed Program in Nigeria. One of the project's goals is to set up a PVP system in the country.</w:t>
      </w:r>
    </w:p>
    <w:p w14:paraId="66E9153E" w14:textId="77777777" w:rsidR="00432C27" w:rsidRPr="009E6CFC" w:rsidRDefault="00432C27" w:rsidP="00432C27">
      <w:pPr>
        <w:numPr>
          <w:ilvl w:val="0"/>
          <w:numId w:val="8"/>
        </w:numPr>
        <w:spacing w:line="240" w:lineRule="atLeast"/>
      </w:pPr>
      <w:r w:rsidRPr="009E6CFC">
        <w:t xml:space="preserve">In 2024 a project with Suriname has been started by the </w:t>
      </w:r>
      <w:proofErr w:type="spellStart"/>
      <w:r w:rsidRPr="009E6CFC">
        <w:t>Makandra</w:t>
      </w:r>
      <w:proofErr w:type="spellEnd"/>
      <w:r w:rsidRPr="009E6CFC">
        <w:t xml:space="preserve"> Program.</w:t>
      </w:r>
    </w:p>
    <w:p w14:paraId="16E0DC85" w14:textId="77777777" w:rsidR="00432C27" w:rsidRPr="009E6CFC" w:rsidRDefault="00432C27" w:rsidP="00432C27">
      <w:pPr>
        <w:numPr>
          <w:ilvl w:val="0"/>
          <w:numId w:val="8"/>
        </w:numPr>
        <w:spacing w:line="240" w:lineRule="atLeast"/>
      </w:pPr>
      <w:r w:rsidRPr="009E6CFC">
        <w:t xml:space="preserve">We are participating in Advisory Committee for India – Bangladesh – Netherlands Seed Partnership. These two partnerships are initiative of </w:t>
      </w:r>
      <w:proofErr w:type="spellStart"/>
      <w:r w:rsidRPr="009E6CFC">
        <w:t>SeedNL</w:t>
      </w:r>
      <w:proofErr w:type="spellEnd"/>
      <w:r w:rsidRPr="009E6CFC">
        <w:t>. Under India-Netherlands Seed Partnership, a delegation will visit Naktuinbouw in May. The focus of the visit is PBR and Inspections in the Netherlands. The visit is still being planned so dates are not final yet.</w:t>
      </w:r>
    </w:p>
    <w:p w14:paraId="4B788A7F" w14:textId="77777777" w:rsidR="00432C27" w:rsidRPr="009E6CFC" w:rsidRDefault="00432C27" w:rsidP="00432C27">
      <w:pPr>
        <w:numPr>
          <w:ilvl w:val="0"/>
          <w:numId w:val="8"/>
        </w:numPr>
        <w:spacing w:line="240" w:lineRule="atLeast"/>
      </w:pPr>
      <w:r w:rsidRPr="009E6CFC">
        <w:t xml:space="preserve">Together with CPVO a visit to Netherlands </w:t>
      </w:r>
      <w:r>
        <w:rPr>
          <w:rFonts w:cs="Maiandra GD"/>
          <w:color w:val="000000"/>
          <w:szCs w:val="18"/>
          <w:lang w:eastAsia="nl-NL"/>
        </w:rPr>
        <w:t xml:space="preserve">(Kingdom of the) </w:t>
      </w:r>
      <w:r w:rsidRPr="009E6CFC">
        <w:t>for the Bosnia and Herzegovina will be started (funded by TAIEX).</w:t>
      </w:r>
    </w:p>
    <w:p w14:paraId="6A65FC1B" w14:textId="77777777" w:rsidR="00432C27" w:rsidRPr="009E6CFC" w:rsidRDefault="00432C27" w:rsidP="00432C27">
      <w:pPr>
        <w:rPr>
          <w:lang w:eastAsia="nl-NL"/>
        </w:rPr>
      </w:pPr>
    </w:p>
    <w:p w14:paraId="65858D12" w14:textId="77777777" w:rsidR="00432C27" w:rsidRPr="009E6CFC" w:rsidRDefault="00432C27" w:rsidP="00432C27">
      <w:pPr>
        <w:spacing w:line="240" w:lineRule="atLeast"/>
        <w:rPr>
          <w:rFonts w:cs="Maiandra GD"/>
          <w:color w:val="000000"/>
          <w:szCs w:val="18"/>
          <w:lang w:eastAsia="nl-NL"/>
        </w:rPr>
      </w:pPr>
      <w:r w:rsidRPr="009E6CFC">
        <w:rPr>
          <w:rFonts w:cs="Maiandra GD"/>
          <w:color w:val="000000"/>
          <w:szCs w:val="18"/>
          <w:lang w:eastAsia="nl-NL"/>
        </w:rPr>
        <w:t>PVP Development Program (Toolbox)</w:t>
      </w:r>
    </w:p>
    <w:p w14:paraId="4F81CFA5" w14:textId="77777777" w:rsidR="00432C27" w:rsidRPr="009E6CFC" w:rsidRDefault="00432C27" w:rsidP="00432C27">
      <w:pPr>
        <w:numPr>
          <w:ilvl w:val="0"/>
          <w:numId w:val="8"/>
        </w:numPr>
        <w:spacing w:line="240" w:lineRule="atLeast"/>
      </w:pPr>
      <w:r w:rsidRPr="009E6CFC">
        <w:t>This tool helps countries develop, improve, and implement their Plant Breeders’ Rights system. In 2024, different PVP projects were carried out in 11 countries and 12 projects were granted in 2025: Argentina, Armenia, Egypt, Ghana, Guatemala, Kazakhstan, Nigeria, Peru, PVP Toolbox Evaluation 2021-24, UPOV PRISMA support and Viet</w:t>
      </w:r>
      <w:r>
        <w:t xml:space="preserve"> N</w:t>
      </w:r>
      <w:r w:rsidRPr="009E6CFC">
        <w:t>am.</w:t>
      </w:r>
    </w:p>
    <w:p w14:paraId="4207BA31" w14:textId="77777777" w:rsidR="00432C27" w:rsidRPr="009E6CFC" w:rsidRDefault="00432C27" w:rsidP="00432C27">
      <w:pPr>
        <w:numPr>
          <w:ilvl w:val="0"/>
          <w:numId w:val="8"/>
        </w:numPr>
        <w:spacing w:line="240" w:lineRule="atLeast"/>
      </w:pPr>
      <w:r w:rsidRPr="009E6CFC">
        <w:t xml:space="preserve">More info: PVP Development Program – PVP Toolbox | Naktuinbouw or contact: </w:t>
      </w:r>
      <w:hyperlink r:id="rId15" w:history="1">
        <w:r w:rsidRPr="009E6CFC">
          <w:rPr>
            <w:rStyle w:val="Hyperlink"/>
          </w:rPr>
          <w:t>PVPToolbox@naktuinbouw.nl</w:t>
        </w:r>
      </w:hyperlink>
    </w:p>
    <w:p w14:paraId="3D7ECE0E" w14:textId="77777777" w:rsidR="00432C27" w:rsidRPr="009E6CFC" w:rsidRDefault="00432C27" w:rsidP="00432C27">
      <w:pPr>
        <w:rPr>
          <w:lang w:eastAsia="nl-NL"/>
        </w:rPr>
      </w:pPr>
    </w:p>
    <w:p w14:paraId="44B3CA46" w14:textId="77777777" w:rsidR="00432C27" w:rsidRPr="009E6CFC" w:rsidRDefault="00432C27" w:rsidP="00432C27">
      <w:pPr>
        <w:spacing w:line="240" w:lineRule="atLeast"/>
        <w:rPr>
          <w:rFonts w:cs="Maiandra GD"/>
          <w:szCs w:val="18"/>
          <w:lang w:eastAsia="nl-NL"/>
        </w:rPr>
      </w:pPr>
      <w:r w:rsidRPr="009E6CFC">
        <w:rPr>
          <w:rFonts w:cs="Maiandra GD"/>
          <w:color w:val="000000"/>
          <w:szCs w:val="18"/>
          <w:lang w:eastAsia="nl-NL"/>
        </w:rPr>
        <w:t xml:space="preserve">Plant Breeders Rights training course. </w:t>
      </w:r>
    </w:p>
    <w:p w14:paraId="4063BB71" w14:textId="42D64F33" w:rsidR="00432C27" w:rsidRPr="009E6CFC" w:rsidRDefault="00432C27" w:rsidP="00432C27">
      <w:pPr>
        <w:numPr>
          <w:ilvl w:val="0"/>
          <w:numId w:val="7"/>
        </w:numPr>
        <w:rPr>
          <w:rFonts w:cs="Arial"/>
          <w:lang w:eastAsia="nl-NL"/>
        </w:rPr>
      </w:pPr>
      <w:r w:rsidRPr="009E6CFC">
        <w:rPr>
          <w:rFonts w:cs="Arial"/>
          <w:lang w:eastAsia="nl-NL"/>
        </w:rPr>
        <w:t>In Jan-March 2025, the training course on Plant Breeders Rights has been presented as an e-course with weekly online plenary sessions where the contents were discussed. This edition was attended by 9 students from Nigeria, Surinam</w:t>
      </w:r>
      <w:r w:rsidR="0046738A">
        <w:rPr>
          <w:rFonts w:cs="Arial"/>
          <w:lang w:eastAsia="nl-NL"/>
        </w:rPr>
        <w:t>e</w:t>
      </w:r>
      <w:r w:rsidRPr="009E6CFC">
        <w:rPr>
          <w:rFonts w:cs="Arial"/>
          <w:lang w:eastAsia="nl-NL"/>
        </w:rPr>
        <w:t xml:space="preserve"> and the Netherlands</w:t>
      </w:r>
      <w:r>
        <w:rPr>
          <w:rFonts w:cs="Arial"/>
          <w:lang w:eastAsia="nl-NL"/>
        </w:rPr>
        <w:t xml:space="preserve"> </w:t>
      </w:r>
      <w:r>
        <w:rPr>
          <w:rFonts w:cs="Maiandra GD"/>
          <w:color w:val="000000"/>
          <w:szCs w:val="18"/>
          <w:lang w:eastAsia="nl-NL"/>
        </w:rPr>
        <w:t>(Kingdom of the)</w:t>
      </w:r>
      <w:r w:rsidRPr="009E6CFC">
        <w:rPr>
          <w:rFonts w:cs="Arial"/>
          <w:lang w:eastAsia="nl-NL"/>
        </w:rPr>
        <w:t>.</w:t>
      </w:r>
    </w:p>
    <w:p w14:paraId="4D1AB9FD" w14:textId="77777777" w:rsidR="00432C27" w:rsidRPr="009E6CFC" w:rsidRDefault="00432C27" w:rsidP="00432C27">
      <w:pPr>
        <w:numPr>
          <w:ilvl w:val="0"/>
          <w:numId w:val="7"/>
        </w:numPr>
        <w:rPr>
          <w:rFonts w:cs="Arial"/>
          <w:lang w:eastAsia="nl-NL"/>
        </w:rPr>
      </w:pPr>
      <w:r w:rsidRPr="009E6CFC">
        <w:rPr>
          <w:rFonts w:cs="Arial"/>
          <w:lang w:eastAsia="nl-NL"/>
        </w:rPr>
        <w:t>In the remainder of 2025 and onwards, the course can be followed as an e-learning with tutoring per e-mail. Participants can register and start at any time throughout the year. The study load is around 80-100 h</w:t>
      </w:r>
      <w:r>
        <w:rPr>
          <w:rFonts w:cs="Arial"/>
          <w:lang w:eastAsia="nl-NL"/>
        </w:rPr>
        <w:t>ou</w:t>
      </w:r>
      <w:r w:rsidRPr="009E6CFC">
        <w:rPr>
          <w:rFonts w:cs="Arial"/>
          <w:lang w:eastAsia="nl-NL"/>
        </w:rPr>
        <w:t>rs, depending on prior knowledge.</w:t>
      </w:r>
    </w:p>
    <w:p w14:paraId="155DF3E2" w14:textId="77777777" w:rsidR="00432C27" w:rsidRPr="009E6CFC" w:rsidRDefault="00432C27" w:rsidP="00432C27">
      <w:pPr>
        <w:numPr>
          <w:ilvl w:val="0"/>
          <w:numId w:val="7"/>
        </w:numPr>
        <w:rPr>
          <w:rFonts w:cs="Arial"/>
          <w:lang w:eastAsia="nl-NL"/>
        </w:rPr>
      </w:pPr>
      <w:r w:rsidRPr="009E6CFC">
        <w:rPr>
          <w:rFonts w:cs="Arial"/>
          <w:lang w:eastAsia="nl-NL"/>
        </w:rPr>
        <w:t xml:space="preserve">A hybrid version of this course (e-learning + </w:t>
      </w:r>
      <w:proofErr w:type="gramStart"/>
      <w:r w:rsidRPr="009E6CFC">
        <w:rPr>
          <w:rFonts w:cs="Arial"/>
          <w:lang w:eastAsia="nl-NL"/>
        </w:rPr>
        <w:t>1 week</w:t>
      </w:r>
      <w:proofErr w:type="gramEnd"/>
      <w:r w:rsidRPr="009E6CFC">
        <w:rPr>
          <w:rFonts w:cs="Arial"/>
          <w:lang w:eastAsia="nl-NL"/>
        </w:rPr>
        <w:t xml:space="preserve"> practical training in the Netherlands</w:t>
      </w:r>
      <w:r>
        <w:rPr>
          <w:rFonts w:cs="Arial"/>
          <w:lang w:eastAsia="nl-NL"/>
        </w:rPr>
        <w:t xml:space="preserve"> </w:t>
      </w:r>
      <w:r>
        <w:rPr>
          <w:rFonts w:cs="Maiandra GD"/>
          <w:color w:val="000000"/>
          <w:szCs w:val="18"/>
          <w:lang w:eastAsia="nl-NL"/>
        </w:rPr>
        <w:t>(Kingdom of the)</w:t>
      </w:r>
      <w:r w:rsidRPr="009E6CFC">
        <w:rPr>
          <w:rFonts w:cs="Arial"/>
          <w:lang w:eastAsia="nl-NL"/>
        </w:rPr>
        <w:t>) may be organized in spring 2026, provided there is sufficient interest.</w:t>
      </w:r>
    </w:p>
    <w:p w14:paraId="5061D7D4" w14:textId="77777777" w:rsidR="00432C27" w:rsidRPr="00DE08FF" w:rsidRDefault="00432C27" w:rsidP="00432C27">
      <w:pPr>
        <w:numPr>
          <w:ilvl w:val="0"/>
          <w:numId w:val="7"/>
        </w:numPr>
        <w:rPr>
          <w:rFonts w:cs="Arial"/>
          <w:lang w:eastAsia="nl-NL"/>
        </w:rPr>
      </w:pPr>
      <w:r w:rsidRPr="009E6CFC">
        <w:rPr>
          <w:rFonts w:cs="Arial"/>
          <w:lang w:eastAsia="nl-NL"/>
        </w:rPr>
        <w:t xml:space="preserve">More information: </w:t>
      </w:r>
      <w:hyperlink r:id="rId16" w:history="1">
        <w:r w:rsidRPr="009E6CFC">
          <w:rPr>
            <w:rStyle w:val="Hyperlink"/>
            <w:rFonts w:cs="Arial"/>
            <w:lang w:eastAsia="nl-NL"/>
          </w:rPr>
          <w:t>https://www.naktuinbouw.com/knowledge-education/training-courses/plant-breeders-rights-for-food-security-and-economic-development</w:t>
        </w:r>
      </w:hyperlink>
      <w:r w:rsidRPr="009E6CFC">
        <w:rPr>
          <w:rFonts w:cs="Arial"/>
          <w:lang w:eastAsia="nl-NL"/>
        </w:rPr>
        <w:t xml:space="preserve"> or contact </w:t>
      </w:r>
      <w:hyperlink r:id="rId17" w:history="1">
        <w:r w:rsidRPr="009E6CFC">
          <w:rPr>
            <w:rStyle w:val="Hyperlink"/>
            <w:rFonts w:cs="Arial"/>
            <w:lang w:eastAsia="nl-NL"/>
          </w:rPr>
          <w:t>l.pinan.gonzalez@naktuinbouw.nl</w:t>
        </w:r>
      </w:hyperlink>
    </w:p>
    <w:p w14:paraId="54A1B8BB" w14:textId="77777777" w:rsidR="00432C27" w:rsidRDefault="00432C27" w:rsidP="00432C27"/>
    <w:p w14:paraId="5B38BA2B" w14:textId="77777777" w:rsidR="00432C27" w:rsidRDefault="00432C27" w:rsidP="00432C27"/>
    <w:p w14:paraId="2A4AF477" w14:textId="77777777" w:rsidR="00432C27" w:rsidRDefault="00432C27" w:rsidP="00432C27"/>
    <w:p w14:paraId="189141D7" w14:textId="17EF0C03" w:rsidR="00432C27" w:rsidRPr="00F43E60" w:rsidRDefault="00432C27" w:rsidP="00432C27">
      <w:pPr>
        <w:jc w:val="right"/>
        <w:rPr>
          <w:rFonts w:cs="Arial"/>
          <w:lang w:eastAsia="nl-NL"/>
        </w:rPr>
      </w:pPr>
      <w:r>
        <w:t xml:space="preserve">[Annex </w:t>
      </w:r>
      <w:r w:rsidR="006063BD">
        <w:t>V</w:t>
      </w:r>
      <w:r>
        <w:t xml:space="preserve"> follows]</w:t>
      </w:r>
    </w:p>
    <w:p w14:paraId="5C44B75B" w14:textId="77777777" w:rsidR="00432C27" w:rsidRDefault="00432C27" w:rsidP="00D01F96">
      <w:pPr>
        <w:rPr>
          <w:snapToGrid w:val="0"/>
        </w:rPr>
        <w:sectPr w:rsidR="00432C27" w:rsidSect="005E7466">
          <w:headerReference w:type="default" r:id="rId18"/>
          <w:headerReference w:type="first" r:id="rId19"/>
          <w:pgSz w:w="11907" w:h="16840" w:code="9"/>
          <w:pgMar w:top="510" w:right="1134" w:bottom="1134" w:left="1134" w:header="510" w:footer="680" w:gutter="0"/>
          <w:pgNumType w:start="1"/>
          <w:cols w:space="720"/>
          <w:titlePg/>
        </w:sectPr>
      </w:pPr>
    </w:p>
    <w:p w14:paraId="16D200F6" w14:textId="77777777" w:rsidR="00B05FEC" w:rsidRDefault="00B05FEC" w:rsidP="00D01F96">
      <w:pPr>
        <w:rPr>
          <w:snapToGrid w:val="0"/>
        </w:rPr>
      </w:pPr>
    </w:p>
    <w:p w14:paraId="5D004083" w14:textId="38151E14" w:rsidR="00432C27" w:rsidRDefault="00432C27" w:rsidP="00432C27">
      <w:pPr>
        <w:jc w:val="center"/>
        <w:rPr>
          <w:snapToGrid w:val="0"/>
        </w:rPr>
      </w:pPr>
      <w:r>
        <w:rPr>
          <w:snapToGrid w:val="0"/>
        </w:rPr>
        <w:t>NEW ZEALAND</w:t>
      </w:r>
    </w:p>
    <w:p w14:paraId="40A62E35" w14:textId="77777777" w:rsidR="00432C27" w:rsidRDefault="00432C27" w:rsidP="00D01F96">
      <w:pPr>
        <w:rPr>
          <w:snapToGrid w:val="0"/>
        </w:rPr>
      </w:pPr>
    </w:p>
    <w:p w14:paraId="74DB2370" w14:textId="77777777" w:rsidR="00F87BE0" w:rsidRDefault="00F87BE0" w:rsidP="00D01F96">
      <w:pPr>
        <w:rPr>
          <w:snapToGrid w:val="0"/>
        </w:rPr>
      </w:pPr>
    </w:p>
    <w:p w14:paraId="524549CC" w14:textId="77777777" w:rsidR="00432C27" w:rsidRDefault="00432C27" w:rsidP="00432C27">
      <w:r w:rsidRPr="002B6E04">
        <w:t>Application numbers for fruit varieties in the 202</w:t>
      </w:r>
      <w:r>
        <w:t>4</w:t>
      </w:r>
      <w:r w:rsidRPr="002B6E04">
        <w:t>/2</w:t>
      </w:r>
      <w:r>
        <w:t>5</w:t>
      </w:r>
      <w:r w:rsidRPr="002B6E04">
        <w:t xml:space="preserve"> period</w:t>
      </w:r>
      <w:r>
        <w:t xml:space="preserve"> (1 July to 1 May) </w:t>
      </w:r>
      <w:r w:rsidRPr="002B6E04">
        <w:t xml:space="preserve">have </w:t>
      </w:r>
      <w:r>
        <w:t xml:space="preserve">reduced </w:t>
      </w:r>
      <w:r w:rsidRPr="002B6E04">
        <w:t xml:space="preserve">in comparison with </w:t>
      </w:r>
      <w:r>
        <w:t>the same period in 2023/2024</w:t>
      </w:r>
      <w:r w:rsidRPr="002B6E04">
        <w:t xml:space="preserve">, with </w:t>
      </w:r>
      <w:r>
        <w:t>31</w:t>
      </w:r>
      <w:r w:rsidRPr="002B6E04">
        <w:t xml:space="preserve"> new fruit applications accepted. These included </w:t>
      </w:r>
      <w:r>
        <w:t>eighteen</w:t>
      </w:r>
      <w:r w:rsidRPr="002B6E04">
        <w:t xml:space="preserve"> (</w:t>
      </w:r>
      <w:r>
        <w:t>18</w:t>
      </w:r>
      <w:r w:rsidRPr="002B6E04">
        <w:t xml:space="preserve">) apple varieties, four (4) </w:t>
      </w:r>
      <w:r>
        <w:t>sweet cherry</w:t>
      </w:r>
      <w:r w:rsidRPr="002B6E04">
        <w:t xml:space="preserve">, </w:t>
      </w:r>
      <w:r>
        <w:t>four</w:t>
      </w:r>
      <w:r w:rsidRPr="002B6E04">
        <w:t xml:space="preserve"> (</w:t>
      </w:r>
      <w:r>
        <w:t>4</w:t>
      </w:r>
      <w:r w:rsidRPr="002B6E04">
        <w:t xml:space="preserve">) </w:t>
      </w:r>
      <w:r>
        <w:t>strawberry</w:t>
      </w:r>
      <w:r w:rsidRPr="002B6E04">
        <w:t xml:space="preserve">, </w:t>
      </w:r>
      <w:r>
        <w:t xml:space="preserve">two (2) cherry rootstocks and </w:t>
      </w:r>
      <w:r w:rsidRPr="002B6E04">
        <w:t xml:space="preserve">one (1) </w:t>
      </w:r>
      <w:r>
        <w:t>each of grape</w:t>
      </w:r>
      <w:r w:rsidRPr="002B6E04">
        <w:t xml:space="preserve">, </w:t>
      </w:r>
      <w:r>
        <w:t>raspberry</w:t>
      </w:r>
      <w:r w:rsidRPr="002B6E04">
        <w:t xml:space="preserve"> </w:t>
      </w:r>
      <w:r>
        <w:t>and peach.</w:t>
      </w:r>
      <w:r w:rsidRPr="002B6E04">
        <w:t xml:space="preserve"> </w:t>
      </w:r>
      <w:r>
        <w:t xml:space="preserve">At the time of writing </w:t>
      </w:r>
      <w:r w:rsidRPr="002B6E04">
        <w:t>there were 1</w:t>
      </w:r>
      <w:r>
        <w:t>41</w:t>
      </w:r>
      <w:r w:rsidRPr="002B6E04">
        <w:t xml:space="preserve"> fruit varieties under examination. </w:t>
      </w:r>
    </w:p>
    <w:p w14:paraId="27A18555" w14:textId="77777777" w:rsidR="00432C27" w:rsidRDefault="00432C27" w:rsidP="00432C27"/>
    <w:p w14:paraId="472CF1D9" w14:textId="77777777" w:rsidR="00432C27" w:rsidRDefault="00432C27" w:rsidP="00432C27">
      <w:r w:rsidRPr="00CB6793">
        <w:t xml:space="preserve">Apple </w:t>
      </w:r>
      <w:r>
        <w:t>varieties made up 58%</w:t>
      </w:r>
      <w:r w:rsidRPr="00CB6793">
        <w:t xml:space="preserve"> of 202</w:t>
      </w:r>
      <w:r>
        <w:t>4</w:t>
      </w:r>
      <w:r w:rsidRPr="00CB6793">
        <w:t>/202</w:t>
      </w:r>
      <w:r>
        <w:t>5</w:t>
      </w:r>
      <w:r w:rsidRPr="00CB6793">
        <w:t xml:space="preserve"> fruit applications in New Zealand. Applications for strawberry and blueberry varieties have decreased significantly </w:t>
      </w:r>
      <w:r>
        <w:t xml:space="preserve">in the last 12 months </w:t>
      </w:r>
      <w:r w:rsidRPr="00CB6793">
        <w:t xml:space="preserve">with no new </w:t>
      </w:r>
      <w:r>
        <w:t>blueberry</w:t>
      </w:r>
      <w:r w:rsidRPr="00CB6793">
        <w:t xml:space="preserve"> </w:t>
      </w:r>
      <w:r>
        <w:t xml:space="preserve">variety </w:t>
      </w:r>
      <w:r w:rsidRPr="00CB6793">
        <w:t xml:space="preserve">applications filed. </w:t>
      </w:r>
      <w:r>
        <w:t xml:space="preserve">Cherry variety applications have also decreased along with kiwifruit. </w:t>
      </w:r>
      <w:r w:rsidRPr="00CB6793">
        <w:t xml:space="preserve">Currently there are </w:t>
      </w:r>
      <w:r>
        <w:t xml:space="preserve">49 apple </w:t>
      </w:r>
      <w:r w:rsidRPr="00CB6793">
        <w:t>varieties</w:t>
      </w:r>
      <w:r>
        <w:t>, 28 sweet cherry and 12 kiwifruit varieties under test.</w:t>
      </w:r>
    </w:p>
    <w:p w14:paraId="523CAEC1" w14:textId="77777777" w:rsidR="00432C27" w:rsidRDefault="00432C27" w:rsidP="00432C27"/>
    <w:p w14:paraId="2246EA66" w14:textId="77777777" w:rsidR="00432C27" w:rsidRDefault="00432C27" w:rsidP="00432C27">
      <w:pPr>
        <w:rPr>
          <w:rFonts w:cs="Arial"/>
        </w:rPr>
      </w:pPr>
      <w:r w:rsidRPr="00273D00">
        <w:t>The Cultivar Centre</w:t>
      </w:r>
      <w:r>
        <w:t xml:space="preserve"> Havelock North</w:t>
      </w:r>
      <w:r w:rsidRPr="00273D00">
        <w:t xml:space="preserve">, home of the PVR Variety Collection for </w:t>
      </w:r>
      <w:r w:rsidRPr="00273D00">
        <w:rPr>
          <w:i/>
          <w:iCs/>
        </w:rPr>
        <w:t>Malus</w:t>
      </w:r>
      <w:r w:rsidRPr="00273D00">
        <w:t xml:space="preserve">, </w:t>
      </w:r>
      <w:r>
        <w:t>was</w:t>
      </w:r>
      <w:r w:rsidRPr="00273D00">
        <w:t xml:space="preserve"> severely impacted by Cyclone Gabrielle which hit eastern parts of New Zealand’s North Island</w:t>
      </w:r>
      <w:r>
        <w:t xml:space="preserve"> in February 2023.</w:t>
      </w:r>
      <w:r w:rsidRPr="00273D00">
        <w:t xml:space="preserve"> Over 80 varieties, both candidate and reference</w:t>
      </w:r>
      <w:r>
        <w:t xml:space="preserve"> have now been replaced, however tree health in some parts of the collection which was flooded continues to be problematic with the resulting negative impact on DUS testing in the short term. </w:t>
      </w:r>
      <w:r>
        <w:rPr>
          <w:rFonts w:cs="Arial"/>
        </w:rPr>
        <w:t xml:space="preserve">We are continuing to work cooperatively with variety owners or agents to source replacement plant material for both reference and candidate varieties as needed. </w:t>
      </w:r>
    </w:p>
    <w:p w14:paraId="5FB32EE9" w14:textId="77777777" w:rsidR="00432C27" w:rsidRDefault="00432C27" w:rsidP="00432C27">
      <w:pPr>
        <w:rPr>
          <w:rFonts w:cs="Arial"/>
        </w:rPr>
      </w:pPr>
    </w:p>
    <w:p w14:paraId="159B195C" w14:textId="77777777" w:rsidR="00432C27" w:rsidRDefault="00432C27" w:rsidP="00432C27">
      <w:r w:rsidRPr="00273D00">
        <w:t xml:space="preserve">The Plant Variety Rights Act 2022 and the Plant Variety Rights Regulations 2022 </w:t>
      </w:r>
      <w:r>
        <w:t>has now been in force for two years. T</w:t>
      </w:r>
      <w:r w:rsidRPr="00273D00">
        <w:t>he special provisions for applications for varieties belonging to taonga (treasured) species, primarily species of native plants</w:t>
      </w:r>
      <w:r>
        <w:t xml:space="preserve"> came into force in November 2024. </w:t>
      </w:r>
      <w:r w:rsidRPr="00273D00">
        <w:t xml:space="preserve"> These provisions address obligations under the Treaty of Waitangi and include establishment of the Māori Plant Varieties Committee</w:t>
      </w:r>
      <w:r>
        <w:t xml:space="preserve">. This committee has now been established and had its first meeting in April 2025. There </w:t>
      </w:r>
      <w:proofErr w:type="gramStart"/>
      <w:r>
        <w:t>are</w:t>
      </w:r>
      <w:proofErr w:type="gramEnd"/>
      <w:r>
        <w:t xml:space="preserve"> no fruit species considered to have taonga (treasured) status.</w:t>
      </w:r>
    </w:p>
    <w:p w14:paraId="4AAF4CE5" w14:textId="77777777" w:rsidR="00432C27" w:rsidRDefault="00432C27" w:rsidP="00D01F96">
      <w:pPr>
        <w:rPr>
          <w:snapToGrid w:val="0"/>
        </w:rPr>
      </w:pPr>
    </w:p>
    <w:p w14:paraId="777C8DD7" w14:textId="77777777" w:rsidR="00F87BE0" w:rsidRDefault="00F87BE0" w:rsidP="00D01F96">
      <w:pPr>
        <w:rPr>
          <w:snapToGrid w:val="0"/>
        </w:rPr>
      </w:pPr>
    </w:p>
    <w:p w14:paraId="70E9DE1C" w14:textId="77777777" w:rsidR="00B05FEC" w:rsidRDefault="00B05FEC" w:rsidP="00D01F96">
      <w:pPr>
        <w:rPr>
          <w:snapToGrid w:val="0"/>
        </w:rPr>
      </w:pPr>
    </w:p>
    <w:p w14:paraId="53981D4D" w14:textId="1BEEEACE" w:rsidR="00432C27" w:rsidRPr="00F43E60" w:rsidRDefault="00432C27" w:rsidP="00F87BE0">
      <w:pPr>
        <w:jc w:val="right"/>
        <w:rPr>
          <w:snapToGrid w:val="0"/>
        </w:rPr>
      </w:pPr>
      <w:r>
        <w:rPr>
          <w:snapToGrid w:val="0"/>
        </w:rPr>
        <w:t xml:space="preserve">[End of Annex </w:t>
      </w:r>
      <w:r w:rsidR="006063BD">
        <w:rPr>
          <w:snapToGrid w:val="0"/>
        </w:rPr>
        <w:t>V</w:t>
      </w:r>
      <w:r>
        <w:rPr>
          <w:snapToGrid w:val="0"/>
        </w:rPr>
        <w:t xml:space="preserve"> and of document]</w:t>
      </w:r>
    </w:p>
    <w:sectPr w:rsidR="00432C27" w:rsidRPr="00F43E60" w:rsidSect="005E7466">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AB505" w14:textId="77777777" w:rsidR="00760DB3" w:rsidRDefault="00760DB3" w:rsidP="006655D3">
      <w:r>
        <w:separator/>
      </w:r>
    </w:p>
    <w:p w14:paraId="742F31BE" w14:textId="77777777" w:rsidR="00760DB3" w:rsidRDefault="00760DB3" w:rsidP="006655D3"/>
    <w:p w14:paraId="51943750" w14:textId="77777777" w:rsidR="00760DB3" w:rsidRDefault="00760DB3" w:rsidP="006655D3"/>
  </w:endnote>
  <w:endnote w:type="continuationSeparator" w:id="0">
    <w:p w14:paraId="29A2322C" w14:textId="77777777" w:rsidR="00760DB3" w:rsidRDefault="00760DB3" w:rsidP="006655D3">
      <w:r>
        <w:separator/>
      </w:r>
    </w:p>
    <w:p w14:paraId="4E6B9262" w14:textId="77777777" w:rsidR="00760DB3" w:rsidRPr="00294751" w:rsidRDefault="00760DB3">
      <w:pPr>
        <w:pStyle w:val="Footer"/>
        <w:spacing w:after="60"/>
        <w:rPr>
          <w:sz w:val="18"/>
          <w:lang w:val="fr-FR"/>
        </w:rPr>
      </w:pPr>
      <w:r w:rsidRPr="00294751">
        <w:rPr>
          <w:sz w:val="18"/>
          <w:lang w:val="fr-FR"/>
        </w:rPr>
        <w:t>[Suite de la note de la page précédente]</w:t>
      </w:r>
    </w:p>
    <w:p w14:paraId="0FDB8F9F" w14:textId="77777777" w:rsidR="00760DB3" w:rsidRPr="00294751" w:rsidRDefault="00760DB3" w:rsidP="006655D3">
      <w:pPr>
        <w:rPr>
          <w:lang w:val="fr-FR"/>
        </w:rPr>
      </w:pPr>
    </w:p>
    <w:p w14:paraId="75218E51" w14:textId="77777777" w:rsidR="00760DB3" w:rsidRPr="00294751" w:rsidRDefault="00760DB3" w:rsidP="006655D3">
      <w:pPr>
        <w:rPr>
          <w:lang w:val="fr-FR"/>
        </w:rPr>
      </w:pPr>
    </w:p>
  </w:endnote>
  <w:endnote w:type="continuationNotice" w:id="1">
    <w:p w14:paraId="5A966A9D" w14:textId="77777777" w:rsidR="00760DB3" w:rsidRPr="00294751" w:rsidRDefault="00760DB3" w:rsidP="006655D3">
      <w:pPr>
        <w:rPr>
          <w:lang w:val="fr-FR"/>
        </w:rPr>
      </w:pPr>
      <w:r w:rsidRPr="00294751">
        <w:rPr>
          <w:lang w:val="fr-FR"/>
        </w:rPr>
        <w:t>[Suite de la note page suivante]</w:t>
      </w:r>
    </w:p>
    <w:p w14:paraId="5784FCE0" w14:textId="77777777" w:rsidR="00760DB3" w:rsidRPr="00294751" w:rsidRDefault="00760DB3" w:rsidP="006655D3">
      <w:pPr>
        <w:rPr>
          <w:lang w:val="fr-FR"/>
        </w:rPr>
      </w:pPr>
    </w:p>
    <w:p w14:paraId="23E5F02C" w14:textId="77777777" w:rsidR="00760DB3" w:rsidRPr="00294751" w:rsidRDefault="00760D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87751" w14:textId="77777777" w:rsidR="00760DB3" w:rsidRDefault="00760DB3" w:rsidP="006655D3">
      <w:r>
        <w:separator/>
      </w:r>
    </w:p>
  </w:footnote>
  <w:footnote w:type="continuationSeparator" w:id="0">
    <w:p w14:paraId="7931419E" w14:textId="77777777" w:rsidR="00760DB3" w:rsidRDefault="00760DB3" w:rsidP="006655D3">
      <w:r>
        <w:separator/>
      </w:r>
    </w:p>
  </w:footnote>
  <w:footnote w:type="continuationNotice" w:id="1">
    <w:p w14:paraId="6A3005E6" w14:textId="77777777" w:rsidR="00760DB3" w:rsidRPr="00AB530F" w:rsidRDefault="00760DB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4E1A" w14:textId="77777777" w:rsidR="0004198B" w:rsidRPr="00C5280D" w:rsidRDefault="00320E00" w:rsidP="00EB048E">
    <w:pPr>
      <w:pStyle w:val="Header"/>
      <w:rPr>
        <w:rStyle w:val="PageNumber"/>
        <w:lang w:val="en-US"/>
      </w:rPr>
    </w:pPr>
    <w:r>
      <w:rPr>
        <w:rStyle w:val="PageNumber"/>
        <w:lang w:val="en-US"/>
      </w:rPr>
      <w:t>TWF/5</w:t>
    </w:r>
    <w:r w:rsidR="0069479D">
      <w:rPr>
        <w:rStyle w:val="PageNumber"/>
        <w:lang w:val="en-US"/>
      </w:rPr>
      <w:t>6</w:t>
    </w:r>
    <w:r w:rsidR="0004198B">
      <w:rPr>
        <w:rStyle w:val="PageNumber"/>
        <w:lang w:val="en-US"/>
      </w:rPr>
      <w:t>/</w:t>
    </w:r>
  </w:p>
  <w:p w14:paraId="1DD5EF2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F5D">
      <w:rPr>
        <w:rStyle w:val="PageNumber"/>
        <w:noProof/>
        <w:lang w:val="en-US"/>
      </w:rPr>
      <w:t>2</w:t>
    </w:r>
    <w:r w:rsidRPr="00C5280D">
      <w:rPr>
        <w:rStyle w:val="PageNumber"/>
        <w:lang w:val="en-US"/>
      </w:rPr>
      <w:fldChar w:fldCharType="end"/>
    </w:r>
  </w:p>
  <w:p w14:paraId="33444505"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99AA" w14:textId="5EC55E08" w:rsidR="006D0F62" w:rsidRDefault="006D0F62" w:rsidP="0004198B">
    <w:pPr>
      <w:pStyle w:val="Header"/>
      <w:rPr>
        <w:lang w:val="en-US"/>
      </w:rPr>
    </w:pPr>
    <w:r>
      <w:rPr>
        <w:lang w:val="en-US"/>
      </w:rPr>
      <w:t>TWF/56/2</w:t>
    </w:r>
  </w:p>
  <w:p w14:paraId="481AA788" w14:textId="77777777" w:rsidR="0086218E" w:rsidRDefault="0086218E" w:rsidP="0004198B">
    <w:pPr>
      <w:pStyle w:val="Header"/>
      <w:rPr>
        <w:lang w:val="en-US"/>
      </w:rPr>
    </w:pPr>
  </w:p>
  <w:p w14:paraId="4AD4E42D" w14:textId="77777777" w:rsidR="006D0F62" w:rsidRDefault="006D0F62" w:rsidP="0004198B">
    <w:pPr>
      <w:pStyle w:val="Header"/>
      <w:rPr>
        <w:lang w:val="en-US"/>
      </w:rPr>
    </w:pPr>
  </w:p>
  <w:p w14:paraId="64426EE2" w14:textId="77777777" w:rsidR="006D0F62" w:rsidRDefault="006D0F62" w:rsidP="0004198B">
    <w:pPr>
      <w:pStyle w:val="Header"/>
      <w:rPr>
        <w:lang w:val="en-US"/>
      </w:rPr>
    </w:pPr>
    <w:r>
      <w:rPr>
        <w:lang w:val="en-US"/>
      </w:rPr>
      <w:t>ANNEX I</w:t>
    </w:r>
  </w:p>
  <w:p w14:paraId="63A4BA74" w14:textId="77777777" w:rsidR="006D0F62" w:rsidRPr="00B05FEC" w:rsidRDefault="006D0F62" w:rsidP="000419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126C" w14:textId="77777777" w:rsidR="00C76634" w:rsidRDefault="00C76634" w:rsidP="0004198B">
    <w:pPr>
      <w:pStyle w:val="Header"/>
      <w:rPr>
        <w:lang w:val="en-US"/>
      </w:rPr>
    </w:pPr>
    <w:r>
      <w:rPr>
        <w:lang w:val="en-US"/>
      </w:rPr>
      <w:t>TWF/56/2</w:t>
    </w:r>
  </w:p>
  <w:p w14:paraId="11618D02" w14:textId="77777777" w:rsidR="00C76634" w:rsidRDefault="00C76634" w:rsidP="0004198B">
    <w:pPr>
      <w:pStyle w:val="Header"/>
      <w:rPr>
        <w:lang w:val="en-US"/>
      </w:rPr>
    </w:pPr>
  </w:p>
  <w:p w14:paraId="666B3C0C" w14:textId="77777777" w:rsidR="00C76634" w:rsidRDefault="00C76634" w:rsidP="0004198B">
    <w:pPr>
      <w:pStyle w:val="Header"/>
      <w:rPr>
        <w:lang w:val="en-US"/>
      </w:rPr>
    </w:pPr>
  </w:p>
  <w:p w14:paraId="3AEB8CA6" w14:textId="2E25E153" w:rsidR="00C76634" w:rsidRDefault="00C76634" w:rsidP="0004198B">
    <w:pPr>
      <w:pStyle w:val="Header"/>
      <w:rPr>
        <w:lang w:val="en-US"/>
      </w:rPr>
    </w:pPr>
    <w:r>
      <w:rPr>
        <w:lang w:val="en-US"/>
      </w:rPr>
      <w:t>ANNEX II</w:t>
    </w:r>
  </w:p>
  <w:p w14:paraId="797F928B" w14:textId="77777777" w:rsidR="00C76634" w:rsidRPr="00B05FEC" w:rsidRDefault="00C76634"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56A73" w14:textId="0B83AAB4" w:rsidR="00432C27" w:rsidRPr="00432C27" w:rsidRDefault="00432C27" w:rsidP="00EB048E">
    <w:pPr>
      <w:pStyle w:val="Header"/>
      <w:rPr>
        <w:rStyle w:val="PageNumber"/>
      </w:rPr>
    </w:pPr>
    <w:r w:rsidRPr="00432C27">
      <w:rPr>
        <w:rStyle w:val="PageNumber"/>
      </w:rPr>
      <w:t>TWF/56/2</w:t>
    </w:r>
  </w:p>
  <w:p w14:paraId="39F1B2AB" w14:textId="2FB962B5" w:rsidR="00432C27" w:rsidRPr="00432C27" w:rsidRDefault="00432C27" w:rsidP="00EB048E">
    <w:pPr>
      <w:pStyle w:val="Header"/>
    </w:pPr>
    <w:r w:rsidRPr="00432C27">
      <w:t xml:space="preserve">Annex II, page </w:t>
    </w:r>
    <w:r w:rsidRPr="00C5280D">
      <w:rPr>
        <w:rStyle w:val="PageNumber"/>
        <w:lang w:val="en-US"/>
      </w:rPr>
      <w:fldChar w:fldCharType="begin"/>
    </w:r>
    <w:r w:rsidRPr="00432C27">
      <w:rPr>
        <w:rStyle w:val="PageNumber"/>
      </w:rPr>
      <w:instrText xml:space="preserve"> PAGE </w:instrText>
    </w:r>
    <w:r w:rsidRPr="00C5280D">
      <w:rPr>
        <w:rStyle w:val="PageNumber"/>
        <w:lang w:val="en-US"/>
      </w:rPr>
      <w:fldChar w:fldCharType="separate"/>
    </w:r>
    <w:r w:rsidRPr="00432C27">
      <w:rPr>
        <w:rStyle w:val="PageNumber"/>
        <w:noProof/>
      </w:rPr>
      <w:t>2</w:t>
    </w:r>
    <w:r w:rsidRPr="00C5280D">
      <w:rPr>
        <w:rStyle w:val="PageNumber"/>
        <w:lang w:val="en-US"/>
      </w:rPr>
      <w:fldChar w:fldCharType="end"/>
    </w:r>
  </w:p>
  <w:p w14:paraId="08600B63" w14:textId="77777777" w:rsidR="00432C27" w:rsidRPr="00432C27" w:rsidRDefault="00432C27"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37B8" w14:textId="46CCBFF3" w:rsidR="00432C27" w:rsidRDefault="00432C27" w:rsidP="0004198B">
    <w:pPr>
      <w:pStyle w:val="Header"/>
      <w:rPr>
        <w:lang w:val="en-US"/>
      </w:rPr>
    </w:pPr>
    <w:r>
      <w:rPr>
        <w:lang w:val="en-US"/>
      </w:rPr>
      <w:t>TWF/56/2</w:t>
    </w:r>
  </w:p>
  <w:p w14:paraId="66AA46A3" w14:textId="77777777" w:rsidR="00432C27" w:rsidRDefault="00432C27" w:rsidP="0004198B">
    <w:pPr>
      <w:pStyle w:val="Header"/>
      <w:rPr>
        <w:lang w:val="en-US"/>
      </w:rPr>
    </w:pPr>
  </w:p>
  <w:p w14:paraId="2D64CF48" w14:textId="2F4DAF92" w:rsidR="00432C27" w:rsidRDefault="00432C27" w:rsidP="0004198B">
    <w:pPr>
      <w:pStyle w:val="Header"/>
      <w:rPr>
        <w:lang w:val="en-US"/>
      </w:rPr>
    </w:pPr>
    <w:r>
      <w:rPr>
        <w:lang w:val="en-US"/>
      </w:rPr>
      <w:t xml:space="preserve">ANNEX </w:t>
    </w:r>
    <w:r w:rsidR="006063BD">
      <w:rPr>
        <w:lang w:val="en-US"/>
      </w:rPr>
      <w:t>I</w:t>
    </w:r>
    <w:r>
      <w:rPr>
        <w:lang w:val="en-US"/>
      </w:rPr>
      <w:t>II</w:t>
    </w:r>
  </w:p>
  <w:p w14:paraId="0F70BE7F" w14:textId="77777777" w:rsidR="00432C27" w:rsidRPr="00B05FEC" w:rsidRDefault="00432C27"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64AE" w14:textId="77777777" w:rsidR="006063BD" w:rsidRPr="00432C27" w:rsidRDefault="006063BD" w:rsidP="00EB048E">
    <w:pPr>
      <w:pStyle w:val="Header"/>
      <w:rPr>
        <w:rStyle w:val="PageNumber"/>
      </w:rPr>
    </w:pPr>
    <w:r w:rsidRPr="00432C27">
      <w:rPr>
        <w:rStyle w:val="PageNumber"/>
      </w:rPr>
      <w:t>TWF/56/2</w:t>
    </w:r>
  </w:p>
  <w:p w14:paraId="13D93FA1" w14:textId="6D84A2C3" w:rsidR="006063BD" w:rsidRPr="00432C27" w:rsidRDefault="006063BD" w:rsidP="00EB048E">
    <w:pPr>
      <w:pStyle w:val="Header"/>
    </w:pPr>
    <w:r w:rsidRPr="00432C27">
      <w:t>Annex I</w:t>
    </w:r>
    <w:r>
      <w:t>V</w:t>
    </w:r>
    <w:r w:rsidRPr="00432C27">
      <w:t xml:space="preserve">, page </w:t>
    </w:r>
    <w:r w:rsidRPr="00C5280D">
      <w:rPr>
        <w:rStyle w:val="PageNumber"/>
        <w:lang w:val="en-US"/>
      </w:rPr>
      <w:fldChar w:fldCharType="begin"/>
    </w:r>
    <w:r w:rsidRPr="00432C27">
      <w:rPr>
        <w:rStyle w:val="PageNumber"/>
      </w:rPr>
      <w:instrText xml:space="preserve"> PAGE </w:instrText>
    </w:r>
    <w:r w:rsidRPr="00C5280D">
      <w:rPr>
        <w:rStyle w:val="PageNumber"/>
        <w:lang w:val="en-US"/>
      </w:rPr>
      <w:fldChar w:fldCharType="separate"/>
    </w:r>
    <w:r w:rsidRPr="00432C27">
      <w:rPr>
        <w:rStyle w:val="PageNumber"/>
        <w:noProof/>
      </w:rPr>
      <w:t>2</w:t>
    </w:r>
    <w:r w:rsidRPr="00C5280D">
      <w:rPr>
        <w:rStyle w:val="PageNumber"/>
        <w:lang w:val="en-US"/>
      </w:rPr>
      <w:fldChar w:fldCharType="end"/>
    </w:r>
  </w:p>
  <w:p w14:paraId="106AC3DB" w14:textId="77777777" w:rsidR="006063BD" w:rsidRPr="00432C27" w:rsidRDefault="006063BD"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D5F2" w14:textId="77777777" w:rsidR="006063BD" w:rsidRDefault="006063BD" w:rsidP="0004198B">
    <w:pPr>
      <w:pStyle w:val="Header"/>
      <w:rPr>
        <w:lang w:val="en-US"/>
      </w:rPr>
    </w:pPr>
    <w:r>
      <w:rPr>
        <w:lang w:val="en-US"/>
      </w:rPr>
      <w:t>TWF/56/2</w:t>
    </w:r>
  </w:p>
  <w:p w14:paraId="3077953C" w14:textId="77777777" w:rsidR="006063BD" w:rsidRDefault="006063BD" w:rsidP="0004198B">
    <w:pPr>
      <w:pStyle w:val="Header"/>
      <w:rPr>
        <w:lang w:val="en-US"/>
      </w:rPr>
    </w:pPr>
  </w:p>
  <w:p w14:paraId="76A4DCFC" w14:textId="7A5A9EAF" w:rsidR="006063BD" w:rsidRDefault="006063BD" w:rsidP="0004198B">
    <w:pPr>
      <w:pStyle w:val="Header"/>
      <w:rPr>
        <w:lang w:val="en-US"/>
      </w:rPr>
    </w:pPr>
    <w:r>
      <w:rPr>
        <w:lang w:val="en-US"/>
      </w:rPr>
      <w:t>ANNEX IV</w:t>
    </w:r>
  </w:p>
  <w:p w14:paraId="2DBEA69C" w14:textId="77777777" w:rsidR="006063BD" w:rsidRPr="00B05FEC" w:rsidRDefault="006063BD" w:rsidP="0004198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7A19" w14:textId="74354776" w:rsidR="00432C27" w:rsidRDefault="00432C27" w:rsidP="0004198B">
    <w:pPr>
      <w:pStyle w:val="Header"/>
      <w:rPr>
        <w:lang w:val="en-US"/>
      </w:rPr>
    </w:pPr>
    <w:r>
      <w:rPr>
        <w:lang w:val="en-US"/>
      </w:rPr>
      <w:t>TWF/56/2</w:t>
    </w:r>
  </w:p>
  <w:p w14:paraId="62A70897" w14:textId="77777777" w:rsidR="00432C27" w:rsidRDefault="00432C27" w:rsidP="0004198B">
    <w:pPr>
      <w:pStyle w:val="Header"/>
      <w:rPr>
        <w:lang w:val="en-US"/>
      </w:rPr>
    </w:pPr>
  </w:p>
  <w:p w14:paraId="3D017E32" w14:textId="361A4177" w:rsidR="00432C27" w:rsidRDefault="00432C27" w:rsidP="0004198B">
    <w:pPr>
      <w:pStyle w:val="Header"/>
      <w:rPr>
        <w:lang w:val="en-US"/>
      </w:rPr>
    </w:pPr>
    <w:r>
      <w:rPr>
        <w:lang w:val="en-US"/>
      </w:rPr>
      <w:t xml:space="preserve">ANNEX </w:t>
    </w:r>
    <w:r w:rsidR="006063BD">
      <w:rPr>
        <w:lang w:val="en-US"/>
      </w:rPr>
      <w:t>V</w:t>
    </w:r>
  </w:p>
  <w:p w14:paraId="7D5308DF" w14:textId="77777777" w:rsidR="00432C27" w:rsidRPr="00B05FEC" w:rsidRDefault="00432C27"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C79F9"/>
    <w:multiLevelType w:val="hybridMultilevel"/>
    <w:tmpl w:val="0B3AF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2696">
    <w:abstractNumId w:val="4"/>
  </w:num>
  <w:num w:numId="2" w16cid:durableId="820390211">
    <w:abstractNumId w:val="3"/>
  </w:num>
  <w:num w:numId="3" w16cid:durableId="53740147">
    <w:abstractNumId w:val="7"/>
  </w:num>
  <w:num w:numId="4" w16cid:durableId="441732721">
    <w:abstractNumId w:val="6"/>
  </w:num>
  <w:num w:numId="5" w16cid:durableId="1623882118">
    <w:abstractNumId w:val="0"/>
  </w:num>
  <w:num w:numId="6" w16cid:durableId="1343508402">
    <w:abstractNumId w:val="2"/>
  </w:num>
  <w:num w:numId="7" w16cid:durableId="751437087">
    <w:abstractNumId w:val="1"/>
  </w:num>
  <w:num w:numId="8" w16cid:durableId="691539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3"/>
    <w:rsid w:val="00010CF3"/>
    <w:rsid w:val="00011E27"/>
    <w:rsid w:val="000148BC"/>
    <w:rsid w:val="00024AB8"/>
    <w:rsid w:val="00030854"/>
    <w:rsid w:val="00036028"/>
    <w:rsid w:val="0004198B"/>
    <w:rsid w:val="00044642"/>
    <w:rsid w:val="000446B9"/>
    <w:rsid w:val="00047E21"/>
    <w:rsid w:val="00050E16"/>
    <w:rsid w:val="00080B45"/>
    <w:rsid w:val="00085505"/>
    <w:rsid w:val="000C4E25"/>
    <w:rsid w:val="000C7021"/>
    <w:rsid w:val="000D0F5B"/>
    <w:rsid w:val="000D3E65"/>
    <w:rsid w:val="000D6BBC"/>
    <w:rsid w:val="000D7780"/>
    <w:rsid w:val="000E636A"/>
    <w:rsid w:val="000F2F11"/>
    <w:rsid w:val="00100A5F"/>
    <w:rsid w:val="00105929"/>
    <w:rsid w:val="00110BED"/>
    <w:rsid w:val="00110C36"/>
    <w:rsid w:val="00112F5D"/>
    <w:rsid w:val="001131D5"/>
    <w:rsid w:val="00114547"/>
    <w:rsid w:val="00141DB8"/>
    <w:rsid w:val="0014310A"/>
    <w:rsid w:val="00155986"/>
    <w:rsid w:val="00172084"/>
    <w:rsid w:val="0017474A"/>
    <w:rsid w:val="001758C6"/>
    <w:rsid w:val="00182B99"/>
    <w:rsid w:val="00197C24"/>
    <w:rsid w:val="001C1525"/>
    <w:rsid w:val="0021332C"/>
    <w:rsid w:val="00213982"/>
    <w:rsid w:val="0024416D"/>
    <w:rsid w:val="002513C1"/>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5E82"/>
    <w:rsid w:val="002E7257"/>
    <w:rsid w:val="00305A7F"/>
    <w:rsid w:val="003152FE"/>
    <w:rsid w:val="00320E00"/>
    <w:rsid w:val="00327436"/>
    <w:rsid w:val="00344BD6"/>
    <w:rsid w:val="00354D1F"/>
    <w:rsid w:val="0035528D"/>
    <w:rsid w:val="00355A8C"/>
    <w:rsid w:val="00361821"/>
    <w:rsid w:val="00361E9E"/>
    <w:rsid w:val="003753EE"/>
    <w:rsid w:val="003915CE"/>
    <w:rsid w:val="003A0835"/>
    <w:rsid w:val="003A5AAF"/>
    <w:rsid w:val="003B700A"/>
    <w:rsid w:val="003C7FBE"/>
    <w:rsid w:val="003D0B2E"/>
    <w:rsid w:val="003D227C"/>
    <w:rsid w:val="003D2B4D"/>
    <w:rsid w:val="003F37F5"/>
    <w:rsid w:val="003F71EF"/>
    <w:rsid w:val="00432C27"/>
    <w:rsid w:val="00444A88"/>
    <w:rsid w:val="0046738A"/>
    <w:rsid w:val="00467879"/>
    <w:rsid w:val="00474DA4"/>
    <w:rsid w:val="00474EAE"/>
    <w:rsid w:val="00476B4D"/>
    <w:rsid w:val="004805FA"/>
    <w:rsid w:val="004935D2"/>
    <w:rsid w:val="004B1215"/>
    <w:rsid w:val="004B184F"/>
    <w:rsid w:val="004D047D"/>
    <w:rsid w:val="004F1E9E"/>
    <w:rsid w:val="004F305A"/>
    <w:rsid w:val="00512164"/>
    <w:rsid w:val="00520297"/>
    <w:rsid w:val="0053165D"/>
    <w:rsid w:val="005338F9"/>
    <w:rsid w:val="0054281C"/>
    <w:rsid w:val="00544581"/>
    <w:rsid w:val="0055268D"/>
    <w:rsid w:val="00575DE2"/>
    <w:rsid w:val="00576BE4"/>
    <w:rsid w:val="005779DB"/>
    <w:rsid w:val="00585A6C"/>
    <w:rsid w:val="005A2A67"/>
    <w:rsid w:val="005A400A"/>
    <w:rsid w:val="005B269D"/>
    <w:rsid w:val="005E3DAB"/>
    <w:rsid w:val="005E7466"/>
    <w:rsid w:val="005F7B92"/>
    <w:rsid w:val="00602315"/>
    <w:rsid w:val="006063BD"/>
    <w:rsid w:val="00612379"/>
    <w:rsid w:val="006153B6"/>
    <w:rsid w:val="0061555F"/>
    <w:rsid w:val="006245ED"/>
    <w:rsid w:val="00636CA6"/>
    <w:rsid w:val="00641200"/>
    <w:rsid w:val="0064267B"/>
    <w:rsid w:val="00645CA8"/>
    <w:rsid w:val="00650546"/>
    <w:rsid w:val="00654E35"/>
    <w:rsid w:val="006655D3"/>
    <w:rsid w:val="00667404"/>
    <w:rsid w:val="00687EB4"/>
    <w:rsid w:val="0069479D"/>
    <w:rsid w:val="00695C56"/>
    <w:rsid w:val="006A5CDE"/>
    <w:rsid w:val="006A644A"/>
    <w:rsid w:val="006B17D2"/>
    <w:rsid w:val="006C224E"/>
    <w:rsid w:val="006D0F62"/>
    <w:rsid w:val="006D780A"/>
    <w:rsid w:val="00704ECF"/>
    <w:rsid w:val="0071271E"/>
    <w:rsid w:val="0072458E"/>
    <w:rsid w:val="00732DEC"/>
    <w:rsid w:val="00735BD5"/>
    <w:rsid w:val="007451EC"/>
    <w:rsid w:val="00751613"/>
    <w:rsid w:val="00753452"/>
    <w:rsid w:val="00753EE9"/>
    <w:rsid w:val="007556F6"/>
    <w:rsid w:val="00760DB3"/>
    <w:rsid w:val="00760EEF"/>
    <w:rsid w:val="00777EE5"/>
    <w:rsid w:val="00784836"/>
    <w:rsid w:val="0079023E"/>
    <w:rsid w:val="007A2854"/>
    <w:rsid w:val="007B20AF"/>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218E"/>
    <w:rsid w:val="00862501"/>
    <w:rsid w:val="00867AC1"/>
    <w:rsid w:val="008751DE"/>
    <w:rsid w:val="00890DF8"/>
    <w:rsid w:val="008A0ADE"/>
    <w:rsid w:val="008A743F"/>
    <w:rsid w:val="008C0970"/>
    <w:rsid w:val="008C1925"/>
    <w:rsid w:val="008C3898"/>
    <w:rsid w:val="008D0BC5"/>
    <w:rsid w:val="008D2CF7"/>
    <w:rsid w:val="008D5420"/>
    <w:rsid w:val="00900C26"/>
    <w:rsid w:val="0090197F"/>
    <w:rsid w:val="00903264"/>
    <w:rsid w:val="00904063"/>
    <w:rsid w:val="00906DDC"/>
    <w:rsid w:val="00934E09"/>
    <w:rsid w:val="00936253"/>
    <w:rsid w:val="00940D46"/>
    <w:rsid w:val="009413F1"/>
    <w:rsid w:val="00951234"/>
    <w:rsid w:val="00952DD4"/>
    <w:rsid w:val="009561F4"/>
    <w:rsid w:val="00965AE7"/>
    <w:rsid w:val="00967BFC"/>
    <w:rsid w:val="00970FED"/>
    <w:rsid w:val="00971E8E"/>
    <w:rsid w:val="009734FD"/>
    <w:rsid w:val="00992D82"/>
    <w:rsid w:val="00997029"/>
    <w:rsid w:val="009A7339"/>
    <w:rsid w:val="009B440E"/>
    <w:rsid w:val="009D690D"/>
    <w:rsid w:val="009E65B6"/>
    <w:rsid w:val="009F0A51"/>
    <w:rsid w:val="009F77CF"/>
    <w:rsid w:val="00A05125"/>
    <w:rsid w:val="00A1452E"/>
    <w:rsid w:val="00A24C10"/>
    <w:rsid w:val="00A36AD8"/>
    <w:rsid w:val="00A42AC3"/>
    <w:rsid w:val="00A430CF"/>
    <w:rsid w:val="00A4498D"/>
    <w:rsid w:val="00A54309"/>
    <w:rsid w:val="00A610A9"/>
    <w:rsid w:val="00A7262B"/>
    <w:rsid w:val="00A80F2A"/>
    <w:rsid w:val="00A96C33"/>
    <w:rsid w:val="00AA5901"/>
    <w:rsid w:val="00AB2B93"/>
    <w:rsid w:val="00AB530F"/>
    <w:rsid w:val="00AB7E5B"/>
    <w:rsid w:val="00AC2883"/>
    <w:rsid w:val="00AE0EF1"/>
    <w:rsid w:val="00AE2937"/>
    <w:rsid w:val="00B05FEC"/>
    <w:rsid w:val="00B07301"/>
    <w:rsid w:val="00B11F3E"/>
    <w:rsid w:val="00B224DE"/>
    <w:rsid w:val="00B324D4"/>
    <w:rsid w:val="00B46575"/>
    <w:rsid w:val="00B541C3"/>
    <w:rsid w:val="00B61777"/>
    <w:rsid w:val="00B622E6"/>
    <w:rsid w:val="00B83E82"/>
    <w:rsid w:val="00B84BBD"/>
    <w:rsid w:val="00BA413C"/>
    <w:rsid w:val="00BA43FB"/>
    <w:rsid w:val="00BC127D"/>
    <w:rsid w:val="00BC1FE6"/>
    <w:rsid w:val="00C061B6"/>
    <w:rsid w:val="00C2446C"/>
    <w:rsid w:val="00C31D2F"/>
    <w:rsid w:val="00C36AE5"/>
    <w:rsid w:val="00C41F17"/>
    <w:rsid w:val="00C437A3"/>
    <w:rsid w:val="00C527FA"/>
    <w:rsid w:val="00C5280D"/>
    <w:rsid w:val="00C53EB3"/>
    <w:rsid w:val="00C5791C"/>
    <w:rsid w:val="00C66290"/>
    <w:rsid w:val="00C72B7A"/>
    <w:rsid w:val="00C76634"/>
    <w:rsid w:val="00C915A4"/>
    <w:rsid w:val="00C973F2"/>
    <w:rsid w:val="00CA304C"/>
    <w:rsid w:val="00CA774A"/>
    <w:rsid w:val="00CB4921"/>
    <w:rsid w:val="00CC11B0"/>
    <w:rsid w:val="00CC2841"/>
    <w:rsid w:val="00CD5201"/>
    <w:rsid w:val="00CF1330"/>
    <w:rsid w:val="00CF7E36"/>
    <w:rsid w:val="00D0106A"/>
    <w:rsid w:val="00D01F96"/>
    <w:rsid w:val="00D0405C"/>
    <w:rsid w:val="00D3708D"/>
    <w:rsid w:val="00D40426"/>
    <w:rsid w:val="00D57C96"/>
    <w:rsid w:val="00D57D18"/>
    <w:rsid w:val="00D70E65"/>
    <w:rsid w:val="00D73F92"/>
    <w:rsid w:val="00D91203"/>
    <w:rsid w:val="00D95174"/>
    <w:rsid w:val="00DA4973"/>
    <w:rsid w:val="00DA67C2"/>
    <w:rsid w:val="00DA6F36"/>
    <w:rsid w:val="00DB596E"/>
    <w:rsid w:val="00DB7773"/>
    <w:rsid w:val="00DC00EA"/>
    <w:rsid w:val="00DC3802"/>
    <w:rsid w:val="00DD3411"/>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190D"/>
    <w:rsid w:val="00F6334D"/>
    <w:rsid w:val="00F63599"/>
    <w:rsid w:val="00F71781"/>
    <w:rsid w:val="00F87974"/>
    <w:rsid w:val="00F87BE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7837D"/>
  <w15:docId w15:val="{770B961F-D093-4D90-8916-CCDAAE8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aliases w:val="Hyperlink Naktuinbouw"/>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602315"/>
    <w:pPr>
      <w:ind w:left="720"/>
      <w:contextualSpacing/>
    </w:pPr>
  </w:style>
  <w:style w:type="paragraph" w:customStyle="1" w:styleId="BasistekstNaktuinbouw">
    <w:name w:val="Basistekst Naktuinbouw"/>
    <w:basedOn w:val="Normal"/>
    <w:qFormat/>
    <w:rsid w:val="00432C27"/>
    <w:pPr>
      <w:spacing w:line="240" w:lineRule="atLeast"/>
      <w:jc w:val="left"/>
    </w:pPr>
    <w:rPr>
      <w:rFonts w:cs="Maiandra GD"/>
      <w:color w:val="000000" w:themeColor="text1"/>
      <w:szCs w:val="18"/>
      <w:lang w:val="nl-NL" w:eastAsia="nl-NL"/>
    </w:rPr>
  </w:style>
  <w:style w:type="paragraph" w:styleId="Revision">
    <w:name w:val="Revision"/>
    <w:hidden/>
    <w:uiPriority w:val="99"/>
    <w:semiHidden/>
    <w:rsid w:val="009734FD"/>
    <w:rPr>
      <w:rFonts w:ascii="Arial" w:hAnsi="Arial"/>
    </w:rPr>
  </w:style>
  <w:style w:type="table" w:styleId="TableGrid">
    <w:name w:val="Table Grid"/>
    <w:basedOn w:val="TableNormal"/>
    <w:uiPriority w:val="59"/>
    <w:rsid w:val="00C76634"/>
    <w:rPr>
      <w:rFonts w:ascii="Cambria" w:eastAsia="MS Mincho" w:hAnsi="Cambria"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pinan.gonzalez@naktuinbouw.nl" TargetMode="External"/><Relationship Id="rId2" Type="http://schemas.openxmlformats.org/officeDocument/2006/relationships/numbering" Target="numbering.xml"/><Relationship Id="rId16" Type="http://schemas.openxmlformats.org/officeDocument/2006/relationships/hyperlink" Target="https://www.naktuinbouw.com/knowledge-education/training-courses/plant-breeders-rights-for-food-security-and-economic-developmen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shokusan/hinshu/info/sinsa_kijun_jp.html" TargetMode="External"/><Relationship Id="rId5" Type="http://schemas.openxmlformats.org/officeDocument/2006/relationships/webSettings" Target="webSettings.xml"/><Relationship Id="rId15" Type="http://schemas.openxmlformats.org/officeDocument/2006/relationships/hyperlink" Target="mailto:PVPToolbox@naktuinbouw.nl"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6\Template\routing_slip_with_doc_twf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routing_slip_with_doc_twf_56</Template>
  <TotalTime>8</TotalTime>
  <Pages>7</Pages>
  <Words>2001</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TWF/56/</vt:lpstr>
    </vt:vector>
  </TitlesOfParts>
  <Company>UPOV</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TWF/56/</dc:title>
  <dc:creator>MAY Jessica</dc:creator>
  <cp:lastModifiedBy>MAY Jessica</cp:lastModifiedBy>
  <cp:revision>9</cp:revision>
  <cp:lastPrinted>2016-11-22T15:41:00Z</cp:lastPrinted>
  <dcterms:created xsi:type="dcterms:W3CDTF">2025-06-30T09:31:00Z</dcterms:created>
  <dcterms:modified xsi:type="dcterms:W3CDTF">2025-07-07T13:46:00Z</dcterms:modified>
</cp:coreProperties>
</file>