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320E00" w:rsidRPr="00365DC1" w:rsidRDefault="00320E00" w:rsidP="00320E00"/>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320E00" w:rsidRPr="00C5280D" w:rsidTr="004226CC">
        <w:tc>
          <w:tcPr>
            <w:tcW w:w="6512" w:type="dxa"/>
          </w:tcPr>
          <w:p w:rsidR="00320E00" w:rsidRPr="00AC2883" w:rsidRDefault="00320E00" w:rsidP="004226CC">
            <w:pPr>
              <w:pStyle w:val="Sessiontc"/>
            </w:pPr>
            <w:r w:rsidRPr="00E70039">
              <w:t xml:space="preserve">Technical Working Party for </w:t>
            </w:r>
            <w:r>
              <w:t>Fruit Crops</w:t>
            </w:r>
          </w:p>
          <w:p w:rsidR="00320E00" w:rsidRPr="00DC3802" w:rsidRDefault="00320E00" w:rsidP="008360AE">
            <w:pPr>
              <w:pStyle w:val="Sessiontcplacedate"/>
              <w:rPr>
                <w:sz w:val="22"/>
              </w:rPr>
            </w:pPr>
            <w:r w:rsidRPr="001434F5">
              <w:t>Fifty-</w:t>
            </w:r>
            <w:r w:rsidR="008360AE">
              <w:t>Third</w:t>
            </w:r>
            <w:r w:rsidRPr="001434F5">
              <w:t xml:space="preserve"> </w:t>
            </w:r>
            <w:r w:rsidRPr="00300C1E">
              <w:t>Session</w:t>
            </w:r>
            <w:r w:rsidRPr="00300C1E">
              <w:br/>
            </w:r>
            <w:r w:rsidR="00AA5901">
              <w:t xml:space="preserve">Virtual meeting, </w:t>
            </w:r>
            <w:r w:rsidR="008360AE">
              <w:t>July 11 to 15, 2022</w:t>
            </w:r>
          </w:p>
        </w:tc>
        <w:tc>
          <w:tcPr>
            <w:tcW w:w="3127" w:type="dxa"/>
          </w:tcPr>
          <w:p w:rsidR="00320E00" w:rsidRPr="003C7FBE" w:rsidRDefault="00320E00" w:rsidP="004226CC">
            <w:pPr>
              <w:pStyle w:val="Doccode"/>
            </w:pPr>
            <w:r>
              <w:t>TWF</w:t>
            </w:r>
            <w:r w:rsidRPr="00AC2883">
              <w:t>/</w:t>
            </w:r>
            <w:r>
              <w:t>5</w:t>
            </w:r>
            <w:r w:rsidR="008360AE">
              <w:t>3</w:t>
            </w:r>
            <w:r w:rsidRPr="00AC2883">
              <w:t>/</w:t>
            </w:r>
            <w:r w:rsidR="00597BEA">
              <w:t>13</w:t>
            </w:r>
          </w:p>
          <w:p w:rsidR="00320E00" w:rsidRPr="003C7FBE" w:rsidRDefault="00320E00" w:rsidP="004226CC">
            <w:pPr>
              <w:pStyle w:val="Docoriginal"/>
            </w:pPr>
            <w:r w:rsidRPr="00AC2883">
              <w:t>Original:</w:t>
            </w:r>
            <w:r w:rsidRPr="000E636A">
              <w:rPr>
                <w:b w:val="0"/>
                <w:spacing w:val="0"/>
              </w:rPr>
              <w:t xml:space="preserve">  English</w:t>
            </w:r>
          </w:p>
          <w:p w:rsidR="00320E00" w:rsidRPr="007C1D92" w:rsidRDefault="00320E00" w:rsidP="00C43C13">
            <w:pPr>
              <w:pStyle w:val="Docoriginal"/>
            </w:pPr>
            <w:r w:rsidRPr="00AC2883">
              <w:t>Date:</w:t>
            </w:r>
            <w:r w:rsidRPr="000E636A">
              <w:rPr>
                <w:b w:val="0"/>
                <w:spacing w:val="0"/>
              </w:rPr>
              <w:t xml:space="preserve">  </w:t>
            </w:r>
            <w:bookmarkStart w:id="0" w:name="_GoBack"/>
            <w:bookmarkEnd w:id="0"/>
            <w:r w:rsidR="00C43C13" w:rsidRPr="00C43C13">
              <w:rPr>
                <w:b w:val="0"/>
                <w:spacing w:val="0"/>
              </w:rPr>
              <w:t>July 1</w:t>
            </w:r>
            <w:r w:rsidRPr="00C43C13">
              <w:rPr>
                <w:b w:val="0"/>
                <w:spacing w:val="0"/>
              </w:rPr>
              <w:t>, 202</w:t>
            </w:r>
            <w:r w:rsidR="008360AE" w:rsidRPr="00C43C13">
              <w:rPr>
                <w:b w:val="0"/>
                <w:spacing w:val="0"/>
              </w:rPr>
              <w:t>2</w:t>
            </w:r>
          </w:p>
        </w:tc>
      </w:tr>
    </w:tbl>
    <w:p w:rsidR="00320E00" w:rsidRPr="006A644A" w:rsidRDefault="00597BEA" w:rsidP="00320E00">
      <w:pPr>
        <w:pStyle w:val="Titleofdoc0"/>
      </w:pPr>
      <w:bookmarkStart w:id="1" w:name="TitleOfDoc"/>
      <w:bookmarkEnd w:id="1"/>
      <w:r w:rsidRPr="004D74AF">
        <w:t>comments on guidance and information materials</w:t>
      </w:r>
    </w:p>
    <w:p w:rsidR="00320E00" w:rsidRPr="006A644A" w:rsidRDefault="00320E00" w:rsidP="00320E00">
      <w:pPr>
        <w:pStyle w:val="preparedby1"/>
      </w:pPr>
      <w:bookmarkStart w:id="2" w:name="Prepared"/>
      <w:bookmarkEnd w:id="2"/>
      <w:r w:rsidRPr="000C4E25">
        <w:t>Document prepared by the Office of the Union</w:t>
      </w:r>
    </w:p>
    <w:p w:rsidR="00320E00" w:rsidRPr="006A644A" w:rsidRDefault="00320E00" w:rsidP="00320E00">
      <w:pPr>
        <w:pStyle w:val="Disclaimer"/>
      </w:pPr>
      <w:r w:rsidRPr="006A644A">
        <w:t>Disclaimer:  this document does not represent UPOV policies or guidance</w:t>
      </w:r>
    </w:p>
    <w:p w:rsidR="00597BEA" w:rsidRPr="004D74AF" w:rsidRDefault="00597BEA" w:rsidP="00597BEA">
      <w:r w:rsidRPr="004D74AF">
        <w:fldChar w:fldCharType="begin"/>
      </w:r>
      <w:r w:rsidRPr="004D74AF">
        <w:instrText xml:space="preserve"> AUTONUM  </w:instrText>
      </w:r>
      <w:r w:rsidRPr="004D74AF">
        <w:fldChar w:fldCharType="end"/>
      </w:r>
      <w:r w:rsidRPr="004D74AF">
        <w:tab/>
        <w:t xml:space="preserve">The purpose of this document is to report the comments on guidance and information materials made </w:t>
      </w:r>
      <w:r w:rsidRPr="00B02CEC">
        <w:t>by the Technical Working Party for Vegetables (TWV)</w:t>
      </w:r>
      <w:r w:rsidRPr="00B02CEC">
        <w:rPr>
          <w:rStyle w:val="FootnoteReference"/>
        </w:rPr>
        <w:footnoteReference w:id="2"/>
      </w:r>
      <w:r>
        <w:t>,</w:t>
      </w:r>
      <w:r w:rsidRPr="00B02CEC">
        <w:t xml:space="preserve"> Technical Working Party for Agricultural Crops (TWA)</w:t>
      </w:r>
      <w:r w:rsidRPr="00B02CEC">
        <w:rPr>
          <w:rStyle w:val="FootnoteReference"/>
        </w:rPr>
        <w:footnoteReference w:id="3"/>
      </w:r>
      <w:r w:rsidRPr="00B02CEC">
        <w:t xml:space="preserve"> </w:t>
      </w:r>
      <w:r w:rsidRPr="005D0E81">
        <w:t xml:space="preserve">and </w:t>
      </w:r>
      <w:r w:rsidRPr="005D0E81">
        <w:rPr>
          <w:rFonts w:cs="Arial"/>
        </w:rPr>
        <w:t>Technical Working Party for Ornamental Plants and Forest Trees</w:t>
      </w:r>
      <w:r w:rsidRPr="005D0E81">
        <w:t xml:space="preserve"> (TWO)</w:t>
      </w:r>
      <w:r w:rsidRPr="005D0E81">
        <w:rPr>
          <w:rStyle w:val="FootnoteReference"/>
        </w:rPr>
        <w:footnoteReference w:id="4"/>
      </w:r>
      <w:r w:rsidRPr="005D0E81">
        <w:t xml:space="preserve"> at their sessions in 2022.</w:t>
      </w:r>
    </w:p>
    <w:p w:rsidR="00597BEA" w:rsidRPr="004D74AF" w:rsidRDefault="00597BEA" w:rsidP="00597BEA"/>
    <w:p w:rsidR="00597BEA" w:rsidRPr="004D74AF" w:rsidRDefault="00597BEA" w:rsidP="00597BEA">
      <w:r w:rsidRPr="004D74AF">
        <w:fldChar w:fldCharType="begin"/>
      </w:r>
      <w:r w:rsidRPr="004D74AF">
        <w:instrText xml:space="preserve"> AUTONUM  </w:instrText>
      </w:r>
      <w:r w:rsidRPr="004D74AF">
        <w:fldChar w:fldCharType="end"/>
      </w:r>
      <w:r w:rsidRPr="004D74AF">
        <w:tab/>
        <w:t>The structure of this document is as follows:</w:t>
      </w:r>
    </w:p>
    <w:p w:rsidR="00597BEA" w:rsidRPr="004D74AF" w:rsidRDefault="00597BEA" w:rsidP="00597BEA">
      <w:pPr>
        <w:rPr>
          <w:highlight w:val="yellow"/>
        </w:rPr>
      </w:pPr>
    </w:p>
    <w:p w:rsidR="000D5417" w:rsidRDefault="00597BEA">
      <w:pPr>
        <w:pStyle w:val="TOC1"/>
        <w:rPr>
          <w:rFonts w:asciiTheme="minorHAnsi" w:eastAsiaTheme="minorEastAsia" w:hAnsiTheme="minorHAnsi" w:cstheme="minorBidi"/>
          <w:bCs w:val="0"/>
          <w:caps w:val="0"/>
          <w:sz w:val="22"/>
          <w:szCs w:val="22"/>
        </w:rPr>
      </w:pPr>
      <w:r w:rsidRPr="004D74AF">
        <w:rPr>
          <w:rFonts w:cs="Times New Roman"/>
          <w:bCs w:val="0"/>
          <w:snapToGrid w:val="0"/>
          <w:sz w:val="20"/>
          <w:highlight w:val="yellow"/>
        </w:rPr>
        <w:fldChar w:fldCharType="begin"/>
      </w:r>
      <w:r w:rsidRPr="004D74AF">
        <w:rPr>
          <w:snapToGrid w:val="0"/>
          <w:highlight w:val="yellow"/>
        </w:rPr>
        <w:instrText xml:space="preserve"> TOC \o "1-3" \h \z \u </w:instrText>
      </w:r>
      <w:r w:rsidRPr="004D74AF">
        <w:rPr>
          <w:rFonts w:cs="Times New Roman"/>
          <w:bCs w:val="0"/>
          <w:snapToGrid w:val="0"/>
          <w:sz w:val="20"/>
          <w:highlight w:val="yellow"/>
        </w:rPr>
        <w:fldChar w:fldCharType="separate"/>
      </w:r>
      <w:hyperlink w:anchor="_Toc107317635" w:history="1">
        <w:r w:rsidR="000D5417" w:rsidRPr="0070420D">
          <w:rPr>
            <w:rStyle w:val="Hyperlink"/>
          </w:rPr>
          <w:t>Development of guidance and information materials</w:t>
        </w:r>
        <w:r w:rsidR="000D5417">
          <w:rPr>
            <w:webHidden/>
          </w:rPr>
          <w:tab/>
        </w:r>
        <w:r w:rsidR="000D5417">
          <w:rPr>
            <w:webHidden/>
          </w:rPr>
          <w:fldChar w:fldCharType="begin"/>
        </w:r>
        <w:r w:rsidR="000D5417">
          <w:rPr>
            <w:webHidden/>
          </w:rPr>
          <w:instrText xml:space="preserve"> PAGEREF _Toc107317635 \h </w:instrText>
        </w:r>
        <w:r w:rsidR="000D5417">
          <w:rPr>
            <w:webHidden/>
          </w:rPr>
        </w:r>
        <w:r w:rsidR="000D5417">
          <w:rPr>
            <w:webHidden/>
          </w:rPr>
          <w:fldChar w:fldCharType="separate"/>
        </w:r>
        <w:r w:rsidR="00C43C13">
          <w:rPr>
            <w:webHidden/>
          </w:rPr>
          <w:t>2</w:t>
        </w:r>
        <w:r w:rsidR="000D5417">
          <w:rPr>
            <w:webHidden/>
          </w:rPr>
          <w:fldChar w:fldCharType="end"/>
        </w:r>
      </w:hyperlink>
    </w:p>
    <w:p w:rsidR="000D5417" w:rsidRDefault="00C43C13">
      <w:pPr>
        <w:pStyle w:val="TOC2"/>
        <w:rPr>
          <w:rFonts w:asciiTheme="minorHAnsi" w:eastAsiaTheme="minorEastAsia" w:hAnsiTheme="minorHAnsi" w:cstheme="minorBidi"/>
          <w:sz w:val="22"/>
          <w:szCs w:val="22"/>
        </w:rPr>
      </w:pPr>
      <w:hyperlink w:anchor="_Toc107317636" w:history="1">
        <w:r w:rsidR="000D5417" w:rsidRPr="0070420D">
          <w:rPr>
            <w:rStyle w:val="Hyperlink"/>
          </w:rPr>
          <w:t>Document UPOV/INF/23 “UPOV Code System”</w:t>
        </w:r>
        <w:r w:rsidR="000D5417">
          <w:rPr>
            <w:webHidden/>
          </w:rPr>
          <w:tab/>
        </w:r>
        <w:r w:rsidR="000D5417">
          <w:rPr>
            <w:webHidden/>
          </w:rPr>
          <w:fldChar w:fldCharType="begin"/>
        </w:r>
        <w:r w:rsidR="000D5417">
          <w:rPr>
            <w:webHidden/>
          </w:rPr>
          <w:instrText xml:space="preserve"> PAGEREF _Toc107317636 \h </w:instrText>
        </w:r>
        <w:r w:rsidR="000D5417">
          <w:rPr>
            <w:webHidden/>
          </w:rPr>
        </w:r>
        <w:r w:rsidR="000D5417">
          <w:rPr>
            <w:webHidden/>
          </w:rPr>
          <w:fldChar w:fldCharType="separate"/>
        </w:r>
        <w:r>
          <w:rPr>
            <w:webHidden/>
          </w:rPr>
          <w:t>2</w:t>
        </w:r>
        <w:r w:rsidR="000D5417">
          <w:rPr>
            <w:webHidden/>
          </w:rPr>
          <w:fldChar w:fldCharType="end"/>
        </w:r>
      </w:hyperlink>
    </w:p>
    <w:p w:rsidR="000D5417" w:rsidRDefault="00C43C13">
      <w:pPr>
        <w:pStyle w:val="TOC2"/>
        <w:rPr>
          <w:rFonts w:asciiTheme="minorHAnsi" w:eastAsiaTheme="minorEastAsia" w:hAnsiTheme="minorHAnsi" w:cstheme="minorBidi"/>
          <w:sz w:val="22"/>
          <w:szCs w:val="22"/>
        </w:rPr>
      </w:pPr>
      <w:hyperlink w:anchor="_Toc107317637" w:history="1">
        <w:r w:rsidR="000D5417" w:rsidRPr="0070420D">
          <w:rPr>
            <w:rStyle w:val="Hyperlink"/>
          </w:rPr>
          <w:t>Document TGP/7 “Development of Test Guidelines”</w:t>
        </w:r>
        <w:r w:rsidR="000D5417">
          <w:rPr>
            <w:webHidden/>
          </w:rPr>
          <w:tab/>
        </w:r>
        <w:r w:rsidR="000D5417">
          <w:rPr>
            <w:webHidden/>
          </w:rPr>
          <w:fldChar w:fldCharType="begin"/>
        </w:r>
        <w:r w:rsidR="000D5417">
          <w:rPr>
            <w:webHidden/>
          </w:rPr>
          <w:instrText xml:space="preserve"> PAGEREF _Toc107317637 \h </w:instrText>
        </w:r>
        <w:r w:rsidR="000D5417">
          <w:rPr>
            <w:webHidden/>
          </w:rPr>
        </w:r>
        <w:r w:rsidR="000D5417">
          <w:rPr>
            <w:webHidden/>
          </w:rPr>
          <w:fldChar w:fldCharType="separate"/>
        </w:r>
        <w:r>
          <w:rPr>
            <w:webHidden/>
          </w:rPr>
          <w:t>2</w:t>
        </w:r>
        <w:r w:rsidR="000D5417">
          <w:rPr>
            <w:webHidden/>
          </w:rPr>
          <w:fldChar w:fldCharType="end"/>
        </w:r>
      </w:hyperlink>
    </w:p>
    <w:p w:rsidR="000D5417" w:rsidRDefault="00C43C13">
      <w:pPr>
        <w:pStyle w:val="TOC3"/>
        <w:rPr>
          <w:rFonts w:asciiTheme="minorHAnsi" w:eastAsiaTheme="minorEastAsia" w:hAnsiTheme="minorHAnsi" w:cstheme="minorBidi"/>
          <w:i w:val="0"/>
          <w:sz w:val="22"/>
          <w:szCs w:val="22"/>
        </w:rPr>
      </w:pPr>
      <w:hyperlink w:anchor="_Toc107317638" w:history="1">
        <w:r w:rsidR="000D5417" w:rsidRPr="0070420D">
          <w:rPr>
            <w:rStyle w:val="Hyperlink"/>
          </w:rPr>
          <w:t>Example varieties for asterisked quantitative characteristics when illustrations are provided</w:t>
        </w:r>
        <w:r w:rsidR="000D5417">
          <w:rPr>
            <w:webHidden/>
          </w:rPr>
          <w:tab/>
        </w:r>
        <w:r w:rsidR="000D5417">
          <w:rPr>
            <w:webHidden/>
          </w:rPr>
          <w:fldChar w:fldCharType="begin"/>
        </w:r>
        <w:r w:rsidR="000D5417">
          <w:rPr>
            <w:webHidden/>
          </w:rPr>
          <w:instrText xml:space="preserve"> PAGEREF _Toc107317638 \h </w:instrText>
        </w:r>
        <w:r w:rsidR="000D5417">
          <w:rPr>
            <w:webHidden/>
          </w:rPr>
        </w:r>
        <w:r w:rsidR="000D5417">
          <w:rPr>
            <w:webHidden/>
          </w:rPr>
          <w:fldChar w:fldCharType="separate"/>
        </w:r>
        <w:r>
          <w:rPr>
            <w:webHidden/>
          </w:rPr>
          <w:t>2</w:t>
        </w:r>
        <w:r w:rsidR="000D5417">
          <w:rPr>
            <w:webHidden/>
          </w:rPr>
          <w:fldChar w:fldCharType="end"/>
        </w:r>
      </w:hyperlink>
    </w:p>
    <w:p w:rsidR="000D5417" w:rsidRDefault="00C43C13" w:rsidP="000D5417">
      <w:pPr>
        <w:pStyle w:val="TOC3"/>
        <w:ind w:right="1134"/>
        <w:rPr>
          <w:rFonts w:asciiTheme="minorHAnsi" w:eastAsiaTheme="minorEastAsia" w:hAnsiTheme="minorHAnsi" w:cstheme="minorBidi"/>
          <w:i w:val="0"/>
          <w:sz w:val="22"/>
          <w:szCs w:val="22"/>
        </w:rPr>
      </w:pPr>
      <w:hyperlink w:anchor="_Toc107317639" w:history="1">
        <w:r w:rsidR="000D5417" w:rsidRPr="0070420D">
          <w:rPr>
            <w:rStyle w:val="Hyperlink"/>
          </w:rPr>
          <w:t>Indication of grouping characteristics in UPOV Test Guidelines (Table of characteristics and TQ 5)</w:t>
        </w:r>
        <w:r w:rsidR="000D5417">
          <w:rPr>
            <w:webHidden/>
          </w:rPr>
          <w:tab/>
        </w:r>
        <w:r w:rsidR="000D5417">
          <w:rPr>
            <w:webHidden/>
          </w:rPr>
          <w:fldChar w:fldCharType="begin"/>
        </w:r>
        <w:r w:rsidR="000D5417">
          <w:rPr>
            <w:webHidden/>
          </w:rPr>
          <w:instrText xml:space="preserve"> PAGEREF _Toc107317639 \h </w:instrText>
        </w:r>
        <w:r w:rsidR="000D5417">
          <w:rPr>
            <w:webHidden/>
          </w:rPr>
        </w:r>
        <w:r w:rsidR="000D5417">
          <w:rPr>
            <w:webHidden/>
          </w:rPr>
          <w:fldChar w:fldCharType="separate"/>
        </w:r>
        <w:r>
          <w:rPr>
            <w:webHidden/>
          </w:rPr>
          <w:t>4</w:t>
        </w:r>
        <w:r w:rsidR="000D5417">
          <w:rPr>
            <w:webHidden/>
          </w:rPr>
          <w:fldChar w:fldCharType="end"/>
        </w:r>
      </w:hyperlink>
    </w:p>
    <w:p w:rsidR="000D5417" w:rsidRDefault="00C43C13">
      <w:pPr>
        <w:pStyle w:val="TOC3"/>
        <w:rPr>
          <w:rFonts w:asciiTheme="minorHAnsi" w:eastAsiaTheme="minorEastAsia" w:hAnsiTheme="minorHAnsi" w:cstheme="minorBidi"/>
          <w:i w:val="0"/>
          <w:sz w:val="22"/>
          <w:szCs w:val="22"/>
        </w:rPr>
      </w:pPr>
      <w:hyperlink w:anchor="_Toc107317640" w:history="1">
        <w:r w:rsidR="000D5417" w:rsidRPr="0070420D">
          <w:rPr>
            <w:rStyle w:val="Hyperlink"/>
          </w:rPr>
          <w:t>Converting standard wording in Test Guidelines into optional wording</w:t>
        </w:r>
        <w:r w:rsidR="000D5417">
          <w:rPr>
            <w:webHidden/>
          </w:rPr>
          <w:tab/>
        </w:r>
        <w:r w:rsidR="000D5417">
          <w:rPr>
            <w:webHidden/>
          </w:rPr>
          <w:fldChar w:fldCharType="begin"/>
        </w:r>
        <w:r w:rsidR="000D5417">
          <w:rPr>
            <w:webHidden/>
          </w:rPr>
          <w:instrText xml:space="preserve"> PAGEREF _Toc107317640 \h </w:instrText>
        </w:r>
        <w:r w:rsidR="000D5417">
          <w:rPr>
            <w:webHidden/>
          </w:rPr>
        </w:r>
        <w:r w:rsidR="000D5417">
          <w:rPr>
            <w:webHidden/>
          </w:rPr>
          <w:fldChar w:fldCharType="separate"/>
        </w:r>
        <w:r>
          <w:rPr>
            <w:webHidden/>
          </w:rPr>
          <w:t>4</w:t>
        </w:r>
        <w:r w:rsidR="000D5417">
          <w:rPr>
            <w:webHidden/>
          </w:rPr>
          <w:fldChar w:fldCharType="end"/>
        </w:r>
      </w:hyperlink>
    </w:p>
    <w:p w:rsidR="000D5417" w:rsidRDefault="00C43C13" w:rsidP="000D5417">
      <w:pPr>
        <w:pStyle w:val="TOC2"/>
        <w:ind w:right="283"/>
        <w:rPr>
          <w:rFonts w:asciiTheme="minorHAnsi" w:eastAsiaTheme="minorEastAsia" w:hAnsiTheme="minorHAnsi" w:cstheme="minorBidi"/>
          <w:sz w:val="22"/>
          <w:szCs w:val="22"/>
        </w:rPr>
      </w:pPr>
      <w:hyperlink w:anchor="_Toc107317641" w:history="1">
        <w:r w:rsidR="000D5417" w:rsidRPr="0070420D">
          <w:rPr>
            <w:rStyle w:val="Hyperlink"/>
          </w:rPr>
          <w:t>Document TGP/8 ‘</w:t>
        </w:r>
        <w:r w:rsidR="000D5417" w:rsidRPr="0070420D">
          <w:rPr>
            <w:rStyle w:val="Hyperlink"/>
            <w:shd w:val="clear" w:color="auto" w:fill="FFFFFF"/>
          </w:rPr>
          <w:t>Trial Design and Techniques Used in the Examination of Distinctness, Uniformity and Stability’</w:t>
        </w:r>
        <w:r w:rsidR="000D5417">
          <w:rPr>
            <w:webHidden/>
          </w:rPr>
          <w:tab/>
        </w:r>
        <w:r w:rsidR="000D5417">
          <w:rPr>
            <w:webHidden/>
          </w:rPr>
          <w:fldChar w:fldCharType="begin"/>
        </w:r>
        <w:r w:rsidR="000D5417">
          <w:rPr>
            <w:webHidden/>
          </w:rPr>
          <w:instrText xml:space="preserve"> PAGEREF _Toc107317641 \h </w:instrText>
        </w:r>
        <w:r w:rsidR="000D5417">
          <w:rPr>
            <w:webHidden/>
          </w:rPr>
        </w:r>
        <w:r w:rsidR="000D5417">
          <w:rPr>
            <w:webHidden/>
          </w:rPr>
          <w:fldChar w:fldCharType="separate"/>
        </w:r>
        <w:r>
          <w:rPr>
            <w:webHidden/>
          </w:rPr>
          <w:t>4</w:t>
        </w:r>
        <w:r w:rsidR="000D5417">
          <w:rPr>
            <w:webHidden/>
          </w:rPr>
          <w:fldChar w:fldCharType="end"/>
        </w:r>
      </w:hyperlink>
    </w:p>
    <w:p w:rsidR="000D5417" w:rsidRDefault="00C43C13">
      <w:pPr>
        <w:pStyle w:val="TOC3"/>
        <w:rPr>
          <w:rFonts w:asciiTheme="minorHAnsi" w:eastAsiaTheme="minorEastAsia" w:hAnsiTheme="minorHAnsi" w:cstheme="minorBidi"/>
          <w:i w:val="0"/>
          <w:sz w:val="22"/>
          <w:szCs w:val="22"/>
        </w:rPr>
      </w:pPr>
      <w:hyperlink w:anchor="_Toc107317642" w:history="1">
        <w:r w:rsidR="000D5417" w:rsidRPr="0070420D">
          <w:rPr>
            <w:rStyle w:val="Hyperlink"/>
          </w:rPr>
          <w:t>The Combined Over Years Uniformity Criterion (COYU)</w:t>
        </w:r>
        <w:r w:rsidR="000D5417">
          <w:rPr>
            <w:webHidden/>
          </w:rPr>
          <w:tab/>
        </w:r>
        <w:r w:rsidR="000D5417">
          <w:rPr>
            <w:webHidden/>
          </w:rPr>
          <w:fldChar w:fldCharType="begin"/>
        </w:r>
        <w:r w:rsidR="000D5417">
          <w:rPr>
            <w:webHidden/>
          </w:rPr>
          <w:instrText xml:space="preserve"> PAGEREF _Toc107317642 \h </w:instrText>
        </w:r>
        <w:r w:rsidR="000D5417">
          <w:rPr>
            <w:webHidden/>
          </w:rPr>
        </w:r>
        <w:r w:rsidR="000D5417">
          <w:rPr>
            <w:webHidden/>
          </w:rPr>
          <w:fldChar w:fldCharType="separate"/>
        </w:r>
        <w:r>
          <w:rPr>
            <w:webHidden/>
          </w:rPr>
          <w:t>4</w:t>
        </w:r>
        <w:r w:rsidR="000D5417">
          <w:rPr>
            <w:webHidden/>
          </w:rPr>
          <w:fldChar w:fldCharType="end"/>
        </w:r>
      </w:hyperlink>
    </w:p>
    <w:p w:rsidR="000D5417" w:rsidRDefault="00C43C13">
      <w:pPr>
        <w:pStyle w:val="TOC2"/>
        <w:rPr>
          <w:rFonts w:asciiTheme="minorHAnsi" w:eastAsiaTheme="minorEastAsia" w:hAnsiTheme="minorHAnsi" w:cstheme="minorBidi"/>
          <w:sz w:val="22"/>
          <w:szCs w:val="22"/>
        </w:rPr>
      </w:pPr>
      <w:hyperlink w:anchor="_Toc107317643" w:history="1">
        <w:r w:rsidR="000D5417" w:rsidRPr="0070420D">
          <w:rPr>
            <w:rStyle w:val="Hyperlink"/>
          </w:rPr>
          <w:t>Document TGP/12 ‘Guidance on certain physiological characteristics’</w:t>
        </w:r>
        <w:r w:rsidR="000D5417">
          <w:rPr>
            <w:webHidden/>
          </w:rPr>
          <w:tab/>
        </w:r>
        <w:r w:rsidR="000D5417">
          <w:rPr>
            <w:webHidden/>
          </w:rPr>
          <w:fldChar w:fldCharType="begin"/>
        </w:r>
        <w:r w:rsidR="000D5417">
          <w:rPr>
            <w:webHidden/>
          </w:rPr>
          <w:instrText xml:space="preserve"> PAGEREF _Toc107317643 \h </w:instrText>
        </w:r>
        <w:r w:rsidR="000D5417">
          <w:rPr>
            <w:webHidden/>
          </w:rPr>
        </w:r>
        <w:r w:rsidR="000D5417">
          <w:rPr>
            <w:webHidden/>
          </w:rPr>
          <w:fldChar w:fldCharType="separate"/>
        </w:r>
        <w:r>
          <w:rPr>
            <w:webHidden/>
          </w:rPr>
          <w:t>5</w:t>
        </w:r>
        <w:r w:rsidR="000D5417">
          <w:rPr>
            <w:webHidden/>
          </w:rPr>
          <w:fldChar w:fldCharType="end"/>
        </w:r>
      </w:hyperlink>
    </w:p>
    <w:p w:rsidR="000D5417" w:rsidRDefault="00C43C13">
      <w:pPr>
        <w:pStyle w:val="TOC3"/>
        <w:rPr>
          <w:rFonts w:asciiTheme="minorHAnsi" w:eastAsiaTheme="minorEastAsia" w:hAnsiTheme="minorHAnsi" w:cstheme="minorBidi"/>
          <w:i w:val="0"/>
          <w:sz w:val="22"/>
          <w:szCs w:val="22"/>
        </w:rPr>
      </w:pPr>
      <w:hyperlink w:anchor="_Toc107317644" w:history="1">
        <w:r w:rsidR="000D5417" w:rsidRPr="0070420D">
          <w:rPr>
            <w:rStyle w:val="Hyperlink"/>
          </w:rPr>
          <w:t>Word “highly” in only one state of expression</w:t>
        </w:r>
        <w:r w:rsidR="000D5417">
          <w:rPr>
            <w:webHidden/>
          </w:rPr>
          <w:tab/>
        </w:r>
        <w:r w:rsidR="000D5417">
          <w:rPr>
            <w:webHidden/>
          </w:rPr>
          <w:fldChar w:fldCharType="begin"/>
        </w:r>
        <w:r w:rsidR="000D5417">
          <w:rPr>
            <w:webHidden/>
          </w:rPr>
          <w:instrText xml:space="preserve"> PAGEREF _Toc107317644 \h </w:instrText>
        </w:r>
        <w:r w:rsidR="000D5417">
          <w:rPr>
            <w:webHidden/>
          </w:rPr>
        </w:r>
        <w:r w:rsidR="000D5417">
          <w:rPr>
            <w:webHidden/>
          </w:rPr>
          <w:fldChar w:fldCharType="separate"/>
        </w:r>
        <w:r>
          <w:rPr>
            <w:webHidden/>
          </w:rPr>
          <w:t>5</w:t>
        </w:r>
        <w:r w:rsidR="000D5417">
          <w:rPr>
            <w:webHidden/>
          </w:rPr>
          <w:fldChar w:fldCharType="end"/>
        </w:r>
      </w:hyperlink>
    </w:p>
    <w:p w:rsidR="000D5417" w:rsidRDefault="00C43C13">
      <w:pPr>
        <w:pStyle w:val="TOC1"/>
        <w:rPr>
          <w:rFonts w:asciiTheme="minorHAnsi" w:eastAsiaTheme="minorEastAsia" w:hAnsiTheme="minorHAnsi" w:cstheme="minorBidi"/>
          <w:bCs w:val="0"/>
          <w:caps w:val="0"/>
          <w:sz w:val="22"/>
          <w:szCs w:val="22"/>
        </w:rPr>
      </w:pPr>
      <w:hyperlink w:anchor="_Toc107317645" w:history="1">
        <w:r w:rsidR="000D5417" w:rsidRPr="0070420D">
          <w:rPr>
            <w:rStyle w:val="Hyperlink"/>
            <w:snapToGrid w:val="0"/>
          </w:rPr>
          <w:t>Information and databases</w:t>
        </w:r>
        <w:r w:rsidR="000D5417">
          <w:rPr>
            <w:webHidden/>
          </w:rPr>
          <w:tab/>
        </w:r>
        <w:r w:rsidR="000D5417">
          <w:rPr>
            <w:webHidden/>
          </w:rPr>
          <w:fldChar w:fldCharType="begin"/>
        </w:r>
        <w:r w:rsidR="000D5417">
          <w:rPr>
            <w:webHidden/>
          </w:rPr>
          <w:instrText xml:space="preserve"> PAGEREF _Toc107317645 \h </w:instrText>
        </w:r>
        <w:r w:rsidR="000D5417">
          <w:rPr>
            <w:webHidden/>
          </w:rPr>
        </w:r>
        <w:r w:rsidR="000D5417">
          <w:rPr>
            <w:webHidden/>
          </w:rPr>
          <w:fldChar w:fldCharType="separate"/>
        </w:r>
        <w:r>
          <w:rPr>
            <w:webHidden/>
          </w:rPr>
          <w:t>6</w:t>
        </w:r>
        <w:r w:rsidR="000D5417">
          <w:rPr>
            <w:webHidden/>
          </w:rPr>
          <w:fldChar w:fldCharType="end"/>
        </w:r>
      </w:hyperlink>
    </w:p>
    <w:p w:rsidR="000D5417" w:rsidRDefault="00C43C13">
      <w:pPr>
        <w:pStyle w:val="TOC2"/>
        <w:tabs>
          <w:tab w:val="left" w:pos="738"/>
        </w:tabs>
        <w:rPr>
          <w:rFonts w:asciiTheme="minorHAnsi" w:eastAsiaTheme="minorEastAsia" w:hAnsiTheme="minorHAnsi" w:cstheme="minorBidi"/>
          <w:sz w:val="22"/>
          <w:szCs w:val="22"/>
        </w:rPr>
      </w:pPr>
      <w:hyperlink w:anchor="_Toc107317646" w:history="1">
        <w:r w:rsidR="000D5417" w:rsidRPr="0070420D">
          <w:rPr>
            <w:rStyle w:val="Hyperlink"/>
            <w:snapToGrid w:val="0"/>
          </w:rPr>
          <w:t>(c)</w:t>
        </w:r>
        <w:r w:rsidR="000D5417">
          <w:rPr>
            <w:rFonts w:asciiTheme="minorHAnsi" w:eastAsiaTheme="minorEastAsia" w:hAnsiTheme="minorHAnsi" w:cstheme="minorBidi"/>
            <w:sz w:val="22"/>
            <w:szCs w:val="22"/>
          </w:rPr>
          <w:tab/>
        </w:r>
        <w:r w:rsidR="000D5417" w:rsidRPr="0070420D">
          <w:rPr>
            <w:rStyle w:val="Hyperlink"/>
            <w:snapToGrid w:val="0"/>
          </w:rPr>
          <w:t>Exchange and use of software and equipment</w:t>
        </w:r>
        <w:r w:rsidR="000D5417">
          <w:rPr>
            <w:webHidden/>
          </w:rPr>
          <w:tab/>
        </w:r>
        <w:r w:rsidR="000D5417">
          <w:rPr>
            <w:webHidden/>
          </w:rPr>
          <w:fldChar w:fldCharType="begin"/>
        </w:r>
        <w:r w:rsidR="000D5417">
          <w:rPr>
            <w:webHidden/>
          </w:rPr>
          <w:instrText xml:space="preserve"> PAGEREF _Toc107317646 \h </w:instrText>
        </w:r>
        <w:r w:rsidR="000D5417">
          <w:rPr>
            <w:webHidden/>
          </w:rPr>
        </w:r>
        <w:r w:rsidR="000D5417">
          <w:rPr>
            <w:webHidden/>
          </w:rPr>
          <w:fldChar w:fldCharType="separate"/>
        </w:r>
        <w:r>
          <w:rPr>
            <w:webHidden/>
          </w:rPr>
          <w:t>6</w:t>
        </w:r>
        <w:r w:rsidR="000D5417">
          <w:rPr>
            <w:webHidden/>
          </w:rPr>
          <w:fldChar w:fldCharType="end"/>
        </w:r>
      </w:hyperlink>
    </w:p>
    <w:p w:rsidR="000D5417" w:rsidRDefault="00C43C13">
      <w:pPr>
        <w:pStyle w:val="TOC3"/>
        <w:rPr>
          <w:rFonts w:asciiTheme="minorHAnsi" w:eastAsiaTheme="minorEastAsia" w:hAnsiTheme="minorHAnsi" w:cstheme="minorBidi"/>
          <w:i w:val="0"/>
          <w:sz w:val="22"/>
          <w:szCs w:val="22"/>
        </w:rPr>
      </w:pPr>
      <w:hyperlink w:anchor="_Toc107317647" w:history="1">
        <w:r w:rsidR="000D5417" w:rsidRPr="0070420D">
          <w:rPr>
            <w:rStyle w:val="Hyperlink"/>
          </w:rPr>
          <w:t>Document UPOV/INF/16 “Exchangeable Software”</w:t>
        </w:r>
        <w:r w:rsidR="000D5417">
          <w:rPr>
            <w:webHidden/>
          </w:rPr>
          <w:tab/>
        </w:r>
        <w:r w:rsidR="000D5417">
          <w:rPr>
            <w:webHidden/>
          </w:rPr>
          <w:fldChar w:fldCharType="begin"/>
        </w:r>
        <w:r w:rsidR="000D5417">
          <w:rPr>
            <w:webHidden/>
          </w:rPr>
          <w:instrText xml:space="preserve"> PAGEREF _Toc107317647 \h </w:instrText>
        </w:r>
        <w:r w:rsidR="000D5417">
          <w:rPr>
            <w:webHidden/>
          </w:rPr>
        </w:r>
        <w:r w:rsidR="000D5417">
          <w:rPr>
            <w:webHidden/>
          </w:rPr>
          <w:fldChar w:fldCharType="separate"/>
        </w:r>
        <w:r>
          <w:rPr>
            <w:webHidden/>
          </w:rPr>
          <w:t>6</w:t>
        </w:r>
        <w:r w:rsidR="000D5417">
          <w:rPr>
            <w:webHidden/>
          </w:rPr>
          <w:fldChar w:fldCharType="end"/>
        </w:r>
      </w:hyperlink>
    </w:p>
    <w:p w:rsidR="000D5417" w:rsidRDefault="00C43C13">
      <w:pPr>
        <w:pStyle w:val="TOC3"/>
        <w:rPr>
          <w:rFonts w:asciiTheme="minorHAnsi" w:eastAsiaTheme="minorEastAsia" w:hAnsiTheme="minorHAnsi" w:cstheme="minorBidi"/>
          <w:i w:val="0"/>
          <w:sz w:val="22"/>
          <w:szCs w:val="22"/>
        </w:rPr>
      </w:pPr>
      <w:hyperlink w:anchor="_Toc107317648" w:history="1">
        <w:r w:rsidR="000D5417" w:rsidRPr="0070420D">
          <w:rPr>
            <w:rStyle w:val="Hyperlink"/>
          </w:rPr>
          <w:t>Document</w:t>
        </w:r>
        <w:r w:rsidR="000D5417" w:rsidRPr="0070420D">
          <w:rPr>
            <w:rStyle w:val="Hyperlink"/>
            <w:lang w:eastAsia="ja-JP"/>
          </w:rPr>
          <w:t xml:space="preserve"> </w:t>
        </w:r>
        <w:r w:rsidR="000D5417" w:rsidRPr="0070420D">
          <w:rPr>
            <w:rStyle w:val="Hyperlink"/>
          </w:rPr>
          <w:t>UPOV/INF/22 “Software and Equipment Used by Members of</w:t>
        </w:r>
        <w:r w:rsidR="000D5417" w:rsidRPr="0070420D">
          <w:rPr>
            <w:rStyle w:val="Hyperlink"/>
            <w:lang w:eastAsia="ja-JP"/>
          </w:rPr>
          <w:t xml:space="preserve"> </w:t>
        </w:r>
        <w:r w:rsidR="000D5417" w:rsidRPr="0070420D">
          <w:rPr>
            <w:rStyle w:val="Hyperlink"/>
          </w:rPr>
          <w:t>the Union”</w:t>
        </w:r>
        <w:r w:rsidR="000D5417">
          <w:rPr>
            <w:webHidden/>
          </w:rPr>
          <w:tab/>
        </w:r>
        <w:r w:rsidR="000D5417">
          <w:rPr>
            <w:webHidden/>
          </w:rPr>
          <w:fldChar w:fldCharType="begin"/>
        </w:r>
        <w:r w:rsidR="000D5417">
          <w:rPr>
            <w:webHidden/>
          </w:rPr>
          <w:instrText xml:space="preserve"> PAGEREF _Toc107317648 \h </w:instrText>
        </w:r>
        <w:r w:rsidR="000D5417">
          <w:rPr>
            <w:webHidden/>
          </w:rPr>
        </w:r>
        <w:r w:rsidR="000D5417">
          <w:rPr>
            <w:webHidden/>
          </w:rPr>
          <w:fldChar w:fldCharType="separate"/>
        </w:r>
        <w:r>
          <w:rPr>
            <w:webHidden/>
          </w:rPr>
          <w:t>6</w:t>
        </w:r>
        <w:r w:rsidR="000D5417">
          <w:rPr>
            <w:webHidden/>
          </w:rPr>
          <w:fldChar w:fldCharType="end"/>
        </w:r>
      </w:hyperlink>
    </w:p>
    <w:p w:rsidR="000D5417" w:rsidRDefault="00C43C13">
      <w:pPr>
        <w:pStyle w:val="TOC1"/>
        <w:rPr>
          <w:rFonts w:asciiTheme="minorHAnsi" w:eastAsiaTheme="minorEastAsia" w:hAnsiTheme="minorHAnsi" w:cstheme="minorBidi"/>
          <w:bCs w:val="0"/>
          <w:caps w:val="0"/>
          <w:sz w:val="22"/>
          <w:szCs w:val="22"/>
        </w:rPr>
      </w:pPr>
      <w:hyperlink w:anchor="_Toc107317649" w:history="1">
        <w:r w:rsidR="000D5417" w:rsidRPr="0070420D">
          <w:rPr>
            <w:rStyle w:val="Hyperlink"/>
            <w:snapToGrid w:val="0"/>
          </w:rPr>
          <w:t>Variety denominations</w:t>
        </w:r>
        <w:r w:rsidR="000D5417">
          <w:rPr>
            <w:webHidden/>
          </w:rPr>
          <w:tab/>
        </w:r>
        <w:r w:rsidR="000D5417">
          <w:rPr>
            <w:webHidden/>
          </w:rPr>
          <w:fldChar w:fldCharType="begin"/>
        </w:r>
        <w:r w:rsidR="000D5417">
          <w:rPr>
            <w:webHidden/>
          </w:rPr>
          <w:instrText xml:space="preserve"> PAGEREF _Toc107317649 \h </w:instrText>
        </w:r>
        <w:r w:rsidR="000D5417">
          <w:rPr>
            <w:webHidden/>
          </w:rPr>
        </w:r>
        <w:r w:rsidR="000D5417">
          <w:rPr>
            <w:webHidden/>
          </w:rPr>
          <w:fldChar w:fldCharType="separate"/>
        </w:r>
        <w:r>
          <w:rPr>
            <w:webHidden/>
          </w:rPr>
          <w:t>6</w:t>
        </w:r>
        <w:r w:rsidR="000D5417">
          <w:rPr>
            <w:webHidden/>
          </w:rPr>
          <w:fldChar w:fldCharType="end"/>
        </w:r>
      </w:hyperlink>
    </w:p>
    <w:p w:rsidR="00597BEA" w:rsidRPr="004D74AF" w:rsidRDefault="00597BEA" w:rsidP="00597BEA">
      <w:pPr>
        <w:keepNext/>
        <w:outlineLvl w:val="0"/>
        <w:rPr>
          <w:rFonts w:cs="Arial"/>
          <w:bCs/>
          <w:caps/>
          <w:snapToGrid w:val="0"/>
          <w:sz w:val="18"/>
        </w:rPr>
      </w:pPr>
      <w:r w:rsidRPr="004D74AF">
        <w:rPr>
          <w:rFonts w:cs="Arial"/>
          <w:bCs/>
          <w:caps/>
          <w:snapToGrid w:val="0"/>
          <w:sz w:val="18"/>
          <w:highlight w:val="yellow"/>
        </w:rPr>
        <w:fldChar w:fldCharType="end"/>
      </w:r>
    </w:p>
    <w:p w:rsidR="00597BEA" w:rsidRPr="004D74AF" w:rsidRDefault="00597BEA" w:rsidP="00597BEA">
      <w:pPr>
        <w:jc w:val="left"/>
        <w:rPr>
          <w:rFonts w:cs="Arial"/>
          <w:color w:val="000000"/>
        </w:rPr>
      </w:pPr>
      <w:r w:rsidRPr="004D74AF">
        <w:rPr>
          <w:rFonts w:cs="Arial"/>
          <w:color w:val="000000"/>
        </w:rPr>
        <w:fldChar w:fldCharType="begin"/>
      </w:r>
      <w:r w:rsidRPr="004D74AF">
        <w:rPr>
          <w:rFonts w:cs="Arial"/>
          <w:color w:val="000000"/>
        </w:rPr>
        <w:instrText xml:space="preserve"> AUTONUM  </w:instrText>
      </w:r>
      <w:r w:rsidRPr="004D74AF">
        <w:rPr>
          <w:rFonts w:cs="Arial"/>
          <w:color w:val="000000"/>
        </w:rPr>
        <w:fldChar w:fldCharType="end"/>
      </w:r>
      <w:r w:rsidRPr="004D74AF">
        <w:rPr>
          <w:rFonts w:cs="Arial"/>
          <w:color w:val="000000"/>
        </w:rPr>
        <w:tab/>
        <w:t xml:space="preserve">The following abbreviations </w:t>
      </w:r>
      <w:proofErr w:type="gramStart"/>
      <w:r w:rsidRPr="004D74AF">
        <w:rPr>
          <w:rFonts w:cs="Arial"/>
          <w:color w:val="000000"/>
        </w:rPr>
        <w:t>are used</w:t>
      </w:r>
      <w:proofErr w:type="gramEnd"/>
      <w:r w:rsidRPr="004D74AF">
        <w:rPr>
          <w:rFonts w:cs="Arial"/>
          <w:color w:val="000000"/>
        </w:rPr>
        <w:t xml:space="preserve"> in this document:</w:t>
      </w:r>
    </w:p>
    <w:p w:rsidR="00597BEA" w:rsidRPr="004D74AF" w:rsidRDefault="00597BEA" w:rsidP="00597BEA">
      <w:pPr>
        <w:jc w:val="left"/>
        <w:rPr>
          <w:rFonts w:cs="Arial"/>
          <w:color w:val="000000"/>
        </w:rPr>
      </w:pPr>
    </w:p>
    <w:p w:rsidR="00597BEA" w:rsidRPr="004D74AF" w:rsidRDefault="00597BEA" w:rsidP="00597BEA">
      <w:pPr>
        <w:tabs>
          <w:tab w:val="left" w:pos="1134"/>
        </w:tabs>
        <w:jc w:val="left"/>
        <w:rPr>
          <w:rFonts w:cs="Arial"/>
          <w:color w:val="000000"/>
        </w:rPr>
      </w:pPr>
      <w:r w:rsidRPr="004D74AF">
        <w:rPr>
          <w:rFonts w:cs="Arial"/>
          <w:color w:val="000000"/>
        </w:rPr>
        <w:t xml:space="preserve">TC:  </w:t>
      </w:r>
      <w:r w:rsidRPr="004D74AF">
        <w:rPr>
          <w:rFonts w:cs="Arial"/>
          <w:color w:val="000000"/>
        </w:rPr>
        <w:tab/>
        <w:t>Technical Committee</w:t>
      </w:r>
    </w:p>
    <w:p w:rsidR="00597BEA" w:rsidRPr="004D74AF" w:rsidRDefault="00597BEA" w:rsidP="00597BEA">
      <w:pPr>
        <w:jc w:val="left"/>
        <w:rPr>
          <w:rFonts w:cs="Arial"/>
          <w:color w:val="000000"/>
        </w:rPr>
      </w:pPr>
      <w:r w:rsidRPr="004D74AF">
        <w:rPr>
          <w:rFonts w:cs="Arial"/>
          <w:color w:val="000000"/>
        </w:rPr>
        <w:t xml:space="preserve">TC-EDC:  </w:t>
      </w:r>
      <w:r w:rsidRPr="004D74AF">
        <w:rPr>
          <w:rFonts w:cs="Arial"/>
          <w:color w:val="000000"/>
        </w:rPr>
        <w:tab/>
        <w:t>Enlarged Editorial Committee</w:t>
      </w:r>
    </w:p>
    <w:p w:rsidR="00597BEA" w:rsidRPr="004D74AF" w:rsidRDefault="00597BEA" w:rsidP="00597BEA">
      <w:pPr>
        <w:jc w:val="left"/>
        <w:rPr>
          <w:rFonts w:cs="Arial"/>
          <w:color w:val="000000"/>
        </w:rPr>
      </w:pPr>
      <w:r w:rsidRPr="004D74AF">
        <w:rPr>
          <w:rFonts w:cs="Arial"/>
          <w:color w:val="000000"/>
        </w:rPr>
        <w:t xml:space="preserve">TWA:  </w:t>
      </w:r>
      <w:r w:rsidRPr="004D74AF">
        <w:rPr>
          <w:rFonts w:cs="Arial"/>
          <w:color w:val="000000"/>
        </w:rPr>
        <w:tab/>
        <w:t>Technical Working Party for Agricultural Crops</w:t>
      </w:r>
    </w:p>
    <w:p w:rsidR="00597BEA" w:rsidRPr="004D74AF" w:rsidRDefault="00597BEA" w:rsidP="00597BEA">
      <w:pPr>
        <w:jc w:val="left"/>
        <w:rPr>
          <w:rFonts w:cs="Arial"/>
          <w:color w:val="000000"/>
        </w:rPr>
      </w:pPr>
      <w:r w:rsidRPr="004D74AF">
        <w:rPr>
          <w:rFonts w:cs="Arial"/>
          <w:color w:val="000000"/>
        </w:rPr>
        <w:t xml:space="preserve">TWC:  </w:t>
      </w:r>
      <w:r w:rsidRPr="004D74AF">
        <w:rPr>
          <w:rFonts w:cs="Arial"/>
          <w:color w:val="000000"/>
        </w:rPr>
        <w:tab/>
        <w:t>Technical Working Party on Automation and Computer Programs</w:t>
      </w:r>
    </w:p>
    <w:p w:rsidR="00597BEA" w:rsidRDefault="00597BEA" w:rsidP="00597BEA">
      <w:pPr>
        <w:jc w:val="left"/>
        <w:rPr>
          <w:rFonts w:cs="Arial"/>
          <w:color w:val="000000"/>
        </w:rPr>
      </w:pPr>
      <w:r w:rsidRPr="004D74AF">
        <w:rPr>
          <w:rFonts w:cs="Arial"/>
          <w:color w:val="000000"/>
        </w:rPr>
        <w:t xml:space="preserve">TWF:  </w:t>
      </w:r>
      <w:r w:rsidRPr="004D74AF">
        <w:rPr>
          <w:rFonts w:cs="Arial"/>
          <w:color w:val="000000"/>
        </w:rPr>
        <w:tab/>
        <w:t xml:space="preserve">Technical Working Party for Fruit Crops </w:t>
      </w:r>
    </w:p>
    <w:p w:rsidR="00597BEA" w:rsidRPr="004D74AF" w:rsidRDefault="00597BEA" w:rsidP="00597BEA">
      <w:pPr>
        <w:jc w:val="left"/>
        <w:rPr>
          <w:rFonts w:cs="Arial"/>
          <w:color w:val="000000"/>
        </w:rPr>
      </w:pPr>
      <w:r w:rsidRPr="00787948">
        <w:rPr>
          <w:rFonts w:cs="Arial"/>
          <w:color w:val="000000"/>
        </w:rPr>
        <w:t>TWM:</w:t>
      </w:r>
      <w:r w:rsidRPr="00787948">
        <w:rPr>
          <w:rFonts w:cs="Arial"/>
          <w:color w:val="000000"/>
        </w:rPr>
        <w:tab/>
      </w:r>
      <w:r w:rsidRPr="00787948">
        <w:rPr>
          <w:rFonts w:cs="Arial"/>
          <w:color w:val="000000"/>
        </w:rPr>
        <w:tab/>
        <w:t>Technical Working Party on Testing Methods and Techniques</w:t>
      </w:r>
    </w:p>
    <w:p w:rsidR="00597BEA" w:rsidRPr="004D74AF" w:rsidRDefault="00597BEA" w:rsidP="00597BEA">
      <w:pPr>
        <w:jc w:val="left"/>
        <w:rPr>
          <w:rFonts w:cs="Arial"/>
          <w:color w:val="000000"/>
        </w:rPr>
      </w:pPr>
      <w:r w:rsidRPr="004D74AF">
        <w:rPr>
          <w:rFonts w:cs="Arial"/>
          <w:color w:val="000000"/>
        </w:rPr>
        <w:t xml:space="preserve">TWO:  </w:t>
      </w:r>
      <w:r w:rsidRPr="004D74AF">
        <w:rPr>
          <w:rFonts w:cs="Arial"/>
          <w:color w:val="000000"/>
        </w:rPr>
        <w:tab/>
        <w:t xml:space="preserve">Technical Working Party for Ornamental Plants and Forest Trees </w:t>
      </w:r>
    </w:p>
    <w:p w:rsidR="00597BEA" w:rsidRPr="004D74AF" w:rsidRDefault="00597BEA" w:rsidP="00597BEA">
      <w:pPr>
        <w:jc w:val="left"/>
        <w:rPr>
          <w:rFonts w:cs="Arial"/>
          <w:color w:val="000000"/>
        </w:rPr>
      </w:pPr>
      <w:r w:rsidRPr="004D74AF">
        <w:rPr>
          <w:rFonts w:cs="Arial"/>
          <w:color w:val="000000"/>
        </w:rPr>
        <w:t xml:space="preserve">TWV:  </w:t>
      </w:r>
      <w:r w:rsidRPr="004D74AF">
        <w:rPr>
          <w:rFonts w:cs="Arial"/>
          <w:color w:val="000000"/>
        </w:rPr>
        <w:tab/>
        <w:t>Technical Working Party for Vegetables</w:t>
      </w:r>
    </w:p>
    <w:p w:rsidR="00597BEA" w:rsidRPr="004D74AF" w:rsidRDefault="00597BEA" w:rsidP="00597BEA">
      <w:pPr>
        <w:jc w:val="left"/>
        <w:rPr>
          <w:rFonts w:cs="Arial"/>
          <w:color w:val="000000"/>
        </w:rPr>
      </w:pPr>
      <w:r w:rsidRPr="004D74AF">
        <w:rPr>
          <w:rFonts w:cs="Arial"/>
          <w:color w:val="000000"/>
        </w:rPr>
        <w:t>TWPs:</w:t>
      </w:r>
      <w:r w:rsidRPr="004D74AF">
        <w:rPr>
          <w:rFonts w:cs="Arial"/>
          <w:color w:val="000000"/>
        </w:rPr>
        <w:tab/>
        <w:t>Technical Working Parties</w:t>
      </w:r>
    </w:p>
    <w:p w:rsidR="00597BEA" w:rsidRDefault="00597BEA" w:rsidP="00597BEA"/>
    <w:p w:rsidR="00597BEA" w:rsidRDefault="00597BEA" w:rsidP="00597BEA"/>
    <w:p w:rsidR="00597BEA" w:rsidRDefault="00597BEA" w:rsidP="00597BEA"/>
    <w:p w:rsidR="00597BEA" w:rsidRPr="002D1B80" w:rsidRDefault="00597BEA" w:rsidP="005A6BDD">
      <w:pPr>
        <w:pStyle w:val="Heading1"/>
      </w:pPr>
      <w:bookmarkStart w:id="3" w:name="_Toc107317635"/>
      <w:r w:rsidRPr="002D1B80">
        <w:lastRenderedPageBreak/>
        <w:t>Development of guidance and information materials</w:t>
      </w:r>
      <w:bookmarkEnd w:id="3"/>
    </w:p>
    <w:p w:rsidR="00597BEA" w:rsidRPr="002D1B80" w:rsidRDefault="00597BEA" w:rsidP="00597BEA">
      <w:pPr>
        <w:pStyle w:val="Heading2"/>
      </w:pPr>
    </w:p>
    <w:p w:rsidR="00597BEA" w:rsidRPr="005D0E81" w:rsidRDefault="00597BEA" w:rsidP="00597BEA">
      <w:pPr>
        <w:keepNext/>
      </w:pPr>
      <w:r w:rsidRPr="005D0E81">
        <w:fldChar w:fldCharType="begin"/>
      </w:r>
      <w:r w:rsidRPr="005D0E81">
        <w:instrText xml:space="preserve"> AUTONUM  </w:instrText>
      </w:r>
      <w:r w:rsidRPr="005D0E81">
        <w:fldChar w:fldCharType="end"/>
      </w:r>
      <w:r w:rsidRPr="005D0E81">
        <w:tab/>
        <w:t>The TWV, TWA and TWO considered document TWP/6/1.</w:t>
      </w:r>
    </w:p>
    <w:p w:rsidR="00597BEA" w:rsidRPr="005D0E81" w:rsidRDefault="00597BEA" w:rsidP="00597BEA">
      <w:pPr>
        <w:keepNext/>
      </w:pPr>
    </w:p>
    <w:p w:rsidR="00597BEA" w:rsidRPr="005D0E81" w:rsidRDefault="00597BEA" w:rsidP="00597BEA">
      <w:pPr>
        <w:pStyle w:val="Heading2"/>
      </w:pPr>
      <w:bookmarkStart w:id="4" w:name="_Toc95126306"/>
      <w:bookmarkStart w:id="5" w:name="_Toc107317636"/>
      <w:r w:rsidRPr="005D0E81">
        <w:t>Document UPOV/INF/23 “UPOV Code System”</w:t>
      </w:r>
      <w:bookmarkEnd w:id="4"/>
      <w:bookmarkEnd w:id="5"/>
    </w:p>
    <w:p w:rsidR="00597BEA" w:rsidRPr="005D0E81" w:rsidRDefault="00597BEA" w:rsidP="00597BEA">
      <w:pPr>
        <w:keepNext/>
      </w:pPr>
    </w:p>
    <w:p w:rsidR="00597BEA" w:rsidRPr="00B02CEC" w:rsidRDefault="00597BEA" w:rsidP="00597BEA">
      <w:r w:rsidRPr="005D0E81">
        <w:fldChar w:fldCharType="begin"/>
      </w:r>
      <w:r w:rsidRPr="005D0E81">
        <w:instrText xml:space="preserve"> AUTONUM  </w:instrText>
      </w:r>
      <w:r w:rsidRPr="005D0E81">
        <w:fldChar w:fldCharType="end"/>
      </w:r>
      <w:r w:rsidRPr="005D0E81">
        <w:tab/>
      </w:r>
      <w:proofErr w:type="gramStart"/>
      <w:r w:rsidRPr="005D0E81">
        <w:t>The TWV, TWA and TWO agreed to revise document UPOV/INF/23 “Guide to the UPOV Code System” to clarify the maximum number of characters to be used in the appended element to UPOV codes, as set out in document TWP/6/1, paragraph 13 (see documents TWV/56/22 “Report”, paragraph 7, TWA/51/11 “Report”, paragraph 23, and TWO/54/6 “Report”, paragraph 22).</w:t>
      </w:r>
      <w:proofErr w:type="gramEnd"/>
    </w:p>
    <w:p w:rsidR="00597BEA" w:rsidRPr="00B02CEC" w:rsidRDefault="00597BEA" w:rsidP="00597BEA"/>
    <w:p w:rsidR="00597BEA" w:rsidRPr="00B02CEC" w:rsidRDefault="00597BEA" w:rsidP="00597BEA">
      <w:pPr>
        <w:pStyle w:val="Heading2"/>
      </w:pPr>
      <w:bookmarkStart w:id="6" w:name="_Toc95126308"/>
      <w:bookmarkStart w:id="7" w:name="_Toc107317637"/>
      <w:r w:rsidRPr="00B02CEC">
        <w:t>Document TGP/7 “Development of Test Guidelines”</w:t>
      </w:r>
      <w:bookmarkEnd w:id="6"/>
      <w:bookmarkEnd w:id="7"/>
    </w:p>
    <w:p w:rsidR="00597BEA" w:rsidRPr="00B02CEC" w:rsidRDefault="00597BEA" w:rsidP="00597BEA">
      <w:pPr>
        <w:keepNext/>
      </w:pPr>
    </w:p>
    <w:p w:rsidR="00597BEA" w:rsidRPr="00B02CEC" w:rsidRDefault="00597BEA" w:rsidP="00597BEA">
      <w:pPr>
        <w:pStyle w:val="Heading3"/>
      </w:pPr>
      <w:bookmarkStart w:id="8" w:name="_Toc95126309"/>
      <w:bookmarkStart w:id="9" w:name="_Toc107317638"/>
      <w:r w:rsidRPr="00B02CEC">
        <w:t>Example varieties for asterisked quantitative characteristics when illustrations are provided</w:t>
      </w:r>
      <w:bookmarkEnd w:id="8"/>
      <w:bookmarkEnd w:id="9"/>
    </w:p>
    <w:p w:rsidR="00597BEA" w:rsidRPr="00B02CEC" w:rsidRDefault="00597BEA" w:rsidP="00597BEA">
      <w:pPr>
        <w:keepNext/>
      </w:pPr>
    </w:p>
    <w:p w:rsidR="00597BEA" w:rsidRPr="00153BC6" w:rsidRDefault="00597BEA" w:rsidP="00597BEA">
      <w:pPr>
        <w:keepNext/>
      </w:pPr>
      <w:r w:rsidRPr="00B02CEC">
        <w:fldChar w:fldCharType="begin"/>
      </w:r>
      <w:r w:rsidRPr="00B02CEC">
        <w:instrText xml:space="preserve"> AUTONUM  </w:instrText>
      </w:r>
      <w:r w:rsidRPr="00B02CEC">
        <w:fldChar w:fldCharType="end"/>
      </w:r>
      <w:r w:rsidRPr="00B02CEC">
        <w:tab/>
        <w:t xml:space="preserve">The TWV and TWA considered the proposal to amend document TGP/7 to remove the requirement to provide example varieties for asterisked quantitative characteristics if illustrations </w:t>
      </w:r>
      <w:proofErr w:type="gramStart"/>
      <w:r w:rsidRPr="00B02CEC">
        <w:t>are provided</w:t>
      </w:r>
      <w:proofErr w:type="gramEnd"/>
      <w:r w:rsidRPr="00B02CEC">
        <w:t>, as set out in document TWP/6/1, paragraphs 18 and 19 (see document</w:t>
      </w:r>
      <w:r>
        <w:t>s</w:t>
      </w:r>
      <w:r w:rsidRPr="00B02CEC">
        <w:t xml:space="preserve"> TWV/56/22 “Report”, paragraph 8 and TWA/51/11 “Report”, paragraph 24).</w:t>
      </w:r>
    </w:p>
    <w:p w:rsidR="00597BEA" w:rsidRPr="00153BC6" w:rsidRDefault="00597BEA" w:rsidP="00597BEA"/>
    <w:p w:rsidR="00597BEA" w:rsidRPr="00B02CEC" w:rsidRDefault="00597BEA" w:rsidP="00597BEA">
      <w:r w:rsidRPr="00153BC6">
        <w:fldChar w:fldCharType="begin"/>
      </w:r>
      <w:r w:rsidRPr="00153BC6">
        <w:instrText xml:space="preserve"> AUTONUM  </w:instrText>
      </w:r>
      <w:r w:rsidRPr="00153BC6">
        <w:fldChar w:fldCharType="end"/>
      </w:r>
      <w:r w:rsidRPr="00153BC6">
        <w:tab/>
        <w:t xml:space="preserve">The TWV agreed that example varieties should continue to </w:t>
      </w:r>
      <w:proofErr w:type="gramStart"/>
      <w:r w:rsidRPr="00153BC6">
        <w:t>be provided</w:t>
      </w:r>
      <w:proofErr w:type="gramEnd"/>
      <w:r w:rsidRPr="00153BC6">
        <w:t xml:space="preserve"> for asterisked quantitative characteristics for vegetable</w:t>
      </w:r>
      <w:r w:rsidRPr="002D1B80">
        <w:t xml:space="preserve"> crops.  The TWV agreed that example varieties </w:t>
      </w:r>
      <w:proofErr w:type="gramStart"/>
      <w:r w:rsidRPr="002D1B80">
        <w:t>could be easily provided</w:t>
      </w:r>
      <w:proofErr w:type="gramEnd"/>
      <w:r w:rsidRPr="002D1B80">
        <w:t xml:space="preserve"> for vegetable crops and were useful for harmonizing DUS examination and producing variety descriptions.  The TWV recalled that guidance in document TGP/7 required example varieties for three or two states of </w:t>
      </w:r>
      <w:r w:rsidRPr="00B02CEC">
        <w:t xml:space="preserve">expression, according to the scale of notes used (see document TWV/56/22 “Report”, paragraph 9).  </w:t>
      </w:r>
    </w:p>
    <w:p w:rsidR="00597BEA" w:rsidRPr="00B02CEC" w:rsidRDefault="00597BEA" w:rsidP="00597BEA"/>
    <w:p w:rsidR="00597BEA" w:rsidRPr="00B02CEC" w:rsidRDefault="00597BEA" w:rsidP="00597BEA">
      <w:r w:rsidRPr="00B02CEC">
        <w:fldChar w:fldCharType="begin"/>
      </w:r>
      <w:r w:rsidRPr="00B02CEC">
        <w:instrText xml:space="preserve"> AUTONUM  </w:instrText>
      </w:r>
      <w:r w:rsidRPr="00B02CEC">
        <w:fldChar w:fldCharType="end"/>
      </w:r>
      <w:r w:rsidRPr="00B02CEC">
        <w:tab/>
        <w:t xml:space="preserve">The TWA agreed example varieties should continue to be required for asterisked quantitative characteristics.  The TWA agreed that illustrations were useful and that characteristics </w:t>
      </w:r>
      <w:proofErr w:type="gramStart"/>
      <w:r w:rsidRPr="00B02CEC">
        <w:t>should be illustrated</w:t>
      </w:r>
      <w:proofErr w:type="gramEnd"/>
      <w:r w:rsidRPr="00B02CEC">
        <w:t xml:space="preserve"> as much as possible, in addition to having example varieties.  The TWA agreed that example varieties for asterisked quantitative characteristics </w:t>
      </w:r>
      <w:proofErr w:type="gramStart"/>
      <w:r w:rsidRPr="00B02CEC">
        <w:t>could be replaced</w:t>
      </w:r>
      <w:proofErr w:type="gramEnd"/>
      <w:r w:rsidRPr="00B02CEC">
        <w:t xml:space="preserve"> by illustrations under exceptional circumstances when it was not possible to provide example varieties (see document TWA/51/11 “Report”, paragraphs 25 and 26).</w:t>
      </w:r>
    </w:p>
    <w:p w:rsidR="00597BEA" w:rsidRPr="00B02CEC" w:rsidRDefault="00597BEA" w:rsidP="00597BEA"/>
    <w:p w:rsidR="00597BEA" w:rsidRDefault="00597BEA" w:rsidP="00597BEA">
      <w:r w:rsidRPr="00B02CEC">
        <w:fldChar w:fldCharType="begin"/>
      </w:r>
      <w:r w:rsidRPr="00B02CEC">
        <w:instrText xml:space="preserve"> AUTONUM  </w:instrText>
      </w:r>
      <w:r w:rsidRPr="00B02CEC">
        <w:fldChar w:fldCharType="end"/>
      </w:r>
      <w:r w:rsidRPr="00B02CEC">
        <w:tab/>
        <w:t>The TWA considered the Flow Diagram 2 “</w:t>
      </w:r>
      <w:r w:rsidRPr="00B02CEC">
        <w:rPr>
          <w:i/>
        </w:rPr>
        <w:t>Deciding if example varieties are needed: Regional sets of example varieties</w:t>
      </w:r>
      <w:r w:rsidRPr="00B02CEC">
        <w:t xml:space="preserve">”, provided in document TGP/7, GN 28.  The TWA agreed that the procedure to decide whether example varieties </w:t>
      </w:r>
      <w:proofErr w:type="gramStart"/>
      <w:r w:rsidRPr="00B02CEC">
        <w:t>were needed</w:t>
      </w:r>
      <w:proofErr w:type="gramEnd"/>
      <w:r w:rsidRPr="00B02CEC">
        <w:t xml:space="preserve"> for regional sets of example varieties was the same as for the Test Guidelines.  The TWA agreed to propose deleting the “Flow Diagram 2” and amending Flow Diagram 1 to remove the mention to regional sets of example varieties.</w:t>
      </w:r>
    </w:p>
    <w:p w:rsidR="00597BEA" w:rsidRDefault="00597BEA" w:rsidP="00597BEA"/>
    <w:p w:rsidR="00597BEA" w:rsidRPr="00C036D2" w:rsidRDefault="00597BEA" w:rsidP="00597BEA">
      <w:pPr>
        <w:rPr>
          <w:rFonts w:eastAsia="Calibri"/>
        </w:rPr>
      </w:pPr>
      <w:r w:rsidRPr="005D0E81">
        <w:t>23.</w:t>
      </w:r>
      <w:r w:rsidRPr="005D0E81">
        <w:tab/>
        <w:t>The TWO agreed to propose amending document TGP/7 to remove the requirement to provide example varieties for asterisked quantitative and pseudo</w:t>
      </w:r>
      <w:r w:rsidRPr="005D0E81">
        <w:noBreakHyphen/>
        <w:t xml:space="preserve">qualitative characteristics if illustrations </w:t>
      </w:r>
      <w:proofErr w:type="gramStart"/>
      <w:r w:rsidRPr="005D0E81">
        <w:t>are provided</w:t>
      </w:r>
      <w:proofErr w:type="gramEnd"/>
      <w:r w:rsidRPr="005D0E81">
        <w:t xml:space="preserve">, </w:t>
      </w:r>
      <w:r w:rsidRPr="005D0E81">
        <w:rPr>
          <w:rFonts w:eastAsia="Calibri"/>
        </w:rPr>
        <w:t xml:space="preserve">to read as follows (see document </w:t>
      </w:r>
      <w:r w:rsidRPr="005D0E81">
        <w:t xml:space="preserve">TWO/54/6 “Report”, paragraphs 23 to </w:t>
      </w:r>
      <w:r w:rsidR="00783D48" w:rsidRPr="005D0E81">
        <w:t>25</w:t>
      </w:r>
      <w:r w:rsidRPr="005D0E81">
        <w:rPr>
          <w:rFonts w:eastAsia="Calibri"/>
        </w:rPr>
        <w:t>):</w:t>
      </w:r>
    </w:p>
    <w:p w:rsidR="00597BEA" w:rsidRPr="00C036D2" w:rsidRDefault="00597BEA" w:rsidP="00597BEA">
      <w:pPr>
        <w:keepNext/>
        <w:keepLines/>
      </w:pPr>
    </w:p>
    <w:p w:rsidR="00597BEA" w:rsidRPr="00545D31" w:rsidRDefault="00783D48" w:rsidP="00597BEA">
      <w:pPr>
        <w:keepNext/>
        <w:keepLines/>
        <w:ind w:left="567" w:right="567"/>
        <w:rPr>
          <w:rFonts w:eastAsia="Calibri"/>
        </w:rPr>
      </w:pPr>
      <w:r>
        <w:rPr>
          <w:rFonts w:eastAsia="Calibri"/>
        </w:rPr>
        <w:t>“</w:t>
      </w:r>
      <w:r w:rsidR="00597BEA" w:rsidRPr="00545D31">
        <w:rPr>
          <w:rFonts w:eastAsia="Calibri"/>
        </w:rPr>
        <w:t>(iii)</w:t>
      </w:r>
      <w:r w:rsidR="00597BEA" w:rsidRPr="00545D31">
        <w:rPr>
          <w:rFonts w:eastAsia="Calibri"/>
        </w:rPr>
        <w:tab/>
        <w:t xml:space="preserve">If a characteristic is important for the international harmonization of variety descriptions (asterisked characteristics) </w:t>
      </w:r>
      <w:r w:rsidR="00597BEA" w:rsidRPr="00545D31">
        <w:rPr>
          <w:rFonts w:eastAsia="Calibri"/>
          <w:strike/>
          <w:highlight w:val="lightGray"/>
        </w:rPr>
        <w:t>and</w:t>
      </w:r>
      <w:r w:rsidR="00597BEA" w:rsidRPr="00545D31">
        <w:rPr>
          <w:rFonts w:eastAsia="Calibri"/>
        </w:rPr>
        <w:t xml:space="preserve"> </w:t>
      </w:r>
      <w:r w:rsidR="00597BEA" w:rsidRPr="00545D31">
        <w:rPr>
          <w:rFonts w:eastAsia="Calibri"/>
          <w:highlight w:val="lightGray"/>
          <w:u w:val="single"/>
        </w:rPr>
        <w:t xml:space="preserve">, </w:t>
      </w:r>
      <w:r w:rsidR="00597BEA" w:rsidRPr="00545D31">
        <w:rPr>
          <w:rFonts w:eastAsia="Calibri"/>
        </w:rPr>
        <w:t>is influenced by the environment</w:t>
      </w:r>
      <w:r w:rsidR="00597BEA" w:rsidRPr="00545D31">
        <w:rPr>
          <w:rFonts w:eastAsia="Calibri"/>
          <w:u w:val="single"/>
        </w:rPr>
        <w:t xml:space="preserve"> </w:t>
      </w:r>
      <w:r w:rsidR="00597BEA" w:rsidRPr="00545D31">
        <w:rPr>
          <w:rFonts w:eastAsia="Calibri"/>
          <w:highlight w:val="lightGray"/>
          <w:u w:val="single"/>
        </w:rPr>
        <w:t>and</w:t>
      </w:r>
      <w:r w:rsidR="00597BEA" w:rsidRPr="00545D31">
        <w:rPr>
          <w:rFonts w:eastAsia="Calibri"/>
        </w:rPr>
        <w:t xml:space="preserve"> </w:t>
      </w:r>
      <w:r w:rsidR="00597BEA" w:rsidRPr="00545D31">
        <w:rPr>
          <w:rFonts w:eastAsia="Calibri"/>
          <w:highlight w:val="lightGray"/>
          <w:u w:val="single"/>
        </w:rPr>
        <w:t>cannot be illustrated by photographs or drawings in a meaningful way</w:t>
      </w:r>
      <w:r w:rsidR="00597BEA" w:rsidRPr="00545D31">
        <w:rPr>
          <w:rFonts w:eastAsia="Calibri"/>
        </w:rPr>
        <w:t xml:space="preserve"> </w:t>
      </w:r>
      <w:r w:rsidR="00597BEA" w:rsidRPr="00545D31">
        <w:rPr>
          <w:rFonts w:eastAsia="Calibri"/>
          <w:strike/>
          <w:highlight w:val="lightGray"/>
        </w:rPr>
        <w:t>(most quantitative and pseudo-qualitative characteristics)</w:t>
      </w:r>
      <w:r w:rsidR="00597BEA" w:rsidRPr="00545D31">
        <w:rPr>
          <w:rFonts w:eastAsia="Calibri"/>
          <w:highlight w:val="lightGray"/>
        </w:rPr>
        <w:t xml:space="preserve"> </w:t>
      </w:r>
      <w:r w:rsidR="00597BEA" w:rsidRPr="00545D31">
        <w:rPr>
          <w:rFonts w:eastAsia="Calibri"/>
          <w:strike/>
          <w:highlight w:val="lightGray"/>
        </w:rPr>
        <w:t>or example varieties are necessary for illustration of the characteristic (see Section 3.1)</w:t>
      </w:r>
      <w:r w:rsidR="00597BEA" w:rsidRPr="00545D31">
        <w:rPr>
          <w:rFonts w:eastAsia="Calibri"/>
        </w:rPr>
        <w:t xml:space="preserve"> it is necessary to provide example varieties. </w:t>
      </w:r>
    </w:p>
    <w:p w:rsidR="00597BEA" w:rsidRPr="00545D31" w:rsidRDefault="00597BEA" w:rsidP="00597BEA">
      <w:pPr>
        <w:keepNext/>
        <w:keepLines/>
        <w:ind w:left="567" w:right="567"/>
        <w:rPr>
          <w:rFonts w:eastAsia="Calibri"/>
        </w:rPr>
      </w:pPr>
    </w:p>
    <w:p w:rsidR="00597BEA" w:rsidRPr="00595C08" w:rsidRDefault="00597BEA" w:rsidP="00597BEA">
      <w:pPr>
        <w:keepNext/>
        <w:keepLines/>
        <w:ind w:left="567" w:right="567"/>
        <w:rPr>
          <w:rFonts w:eastAsia="Calibri"/>
          <w:u w:val="single"/>
        </w:rPr>
      </w:pPr>
      <w:r w:rsidRPr="00052B08">
        <w:rPr>
          <w:rFonts w:eastAsia="Calibri"/>
          <w:highlight w:val="lightGray"/>
          <w:u w:val="single"/>
        </w:rPr>
        <w:t>“In species where the range of expression is high at the variety level for a quantitative characteristic (which cannot be measured), it would not be appropriate to illustrate the states of expression exclusively with a drawing or photograph.  In these cases, example varieties would be required.”</w:t>
      </w:r>
    </w:p>
    <w:p w:rsidR="00597BEA" w:rsidRPr="00C26AC6" w:rsidRDefault="00597BEA" w:rsidP="00597BEA">
      <w:pPr>
        <w:keepNext/>
        <w:keepLines/>
        <w:ind w:left="567" w:right="567"/>
        <w:rPr>
          <w:rFonts w:eastAsia="Calibri"/>
          <w:sz w:val="18"/>
          <w:highlight w:val="lightGray"/>
          <w:u w:val="single"/>
        </w:rPr>
      </w:pPr>
    </w:p>
    <w:p w:rsidR="00597BEA" w:rsidRDefault="00597BEA" w:rsidP="00597BEA">
      <w:r w:rsidRPr="005D0E81">
        <w:t>24.</w:t>
      </w:r>
      <w:r w:rsidRPr="005D0E81">
        <w:tab/>
        <w:t>The TWO noted that Test Guidelines for ornamental plants included many quantitative and pseudo</w:t>
      </w:r>
      <w:r w:rsidRPr="005D0E81">
        <w:noBreakHyphen/>
        <w:t xml:space="preserve">qualitative floral characteristics, which were not measured and only visually observed (VG).  The TWO agreed that the use of illustrations would be suitable to replace example varieties for such characteristics and further facilitate international harmonization.  The TWO agreed that the following characteristics </w:t>
      </w:r>
      <w:proofErr w:type="gramStart"/>
      <w:r w:rsidRPr="005D0E81">
        <w:t>could be used</w:t>
      </w:r>
      <w:proofErr w:type="gramEnd"/>
      <w:r w:rsidRPr="005D0E81">
        <w:t xml:space="preserve"> as examples of the approach to replace example varieties when illustrations were provided:</w:t>
      </w:r>
    </w:p>
    <w:p w:rsidR="00597BEA" w:rsidRDefault="00597BEA" w:rsidP="00597BEA"/>
    <w:p w:rsidR="00597BEA" w:rsidRDefault="00597BEA" w:rsidP="00783D48">
      <w:pPr>
        <w:pStyle w:val="ListParagraph"/>
        <w:keepNext/>
        <w:numPr>
          <w:ilvl w:val="0"/>
          <w:numId w:val="2"/>
        </w:numPr>
      </w:pPr>
      <w:r>
        <w:t>Document TG/336/1 “Coreopsis”:</w:t>
      </w:r>
    </w:p>
    <w:tbl>
      <w:tblPr>
        <w:tblOverlap w:val="never"/>
        <w:tblW w:w="9299" w:type="dxa"/>
        <w:tblInd w:w="567" w:type="dxa"/>
        <w:tblLayout w:type="fixed"/>
        <w:tblLook w:val="01E0" w:firstRow="1" w:lastRow="1" w:firstColumn="1" w:lastColumn="1" w:noHBand="0" w:noVBand="0"/>
      </w:tblPr>
      <w:tblGrid>
        <w:gridCol w:w="9299"/>
      </w:tblGrid>
      <w:tr w:rsidR="00597BEA" w:rsidRPr="008162C5" w:rsidTr="00525C39">
        <w:trPr>
          <w:trHeight w:val="230"/>
          <w:hidden/>
        </w:trPr>
        <w:tc>
          <w:tcPr>
            <w:tcW w:w="9299" w:type="dxa"/>
            <w:tcMar>
              <w:top w:w="0" w:type="dxa"/>
              <w:left w:w="0" w:type="dxa"/>
              <w:bottom w:w="0" w:type="dxa"/>
              <w:right w:w="0" w:type="dxa"/>
            </w:tcMar>
          </w:tcPr>
          <w:p w:rsidR="00597BEA" w:rsidRPr="008162C5" w:rsidRDefault="00597BEA" w:rsidP="00783D48">
            <w:pPr>
              <w:keepNext/>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597BEA" w:rsidRPr="008162C5" w:rsidTr="00525C39">
              <w:tc>
                <w:tcPr>
                  <w:tcW w:w="9299" w:type="dxa"/>
                  <w:tcMar>
                    <w:top w:w="0" w:type="dxa"/>
                    <w:left w:w="0" w:type="dxa"/>
                    <w:bottom w:w="0" w:type="dxa"/>
                    <w:right w:w="0" w:type="dxa"/>
                  </w:tcMar>
                </w:tcPr>
                <w:p w:rsidR="00597BEA" w:rsidRPr="00F440F1" w:rsidRDefault="00597BEA" w:rsidP="00783D48">
                  <w:pPr>
                    <w:keepNext/>
                  </w:pPr>
                  <w:r w:rsidRPr="00F440F1">
                    <w:rPr>
                      <w:rFonts w:eastAsia="Arial" w:cs="Arial"/>
                      <w:color w:val="000000"/>
                    </w:rPr>
                    <w:t>Ad. 24: Ray floret: attitude of basal part (QN)</w:t>
                  </w:r>
                </w:p>
                <w:p w:rsidR="00597BEA" w:rsidRPr="008162C5" w:rsidRDefault="00597BEA" w:rsidP="00783D48">
                  <w:pPr>
                    <w:keepNext/>
                  </w:pPr>
                  <w:r w:rsidRPr="008162C5">
                    <w:rPr>
                      <w:rFonts w:eastAsia="Arial" w:cs="Arial"/>
                      <w:color w:val="000000"/>
                    </w:rPr>
                    <w:t xml:space="preserve">  </w:t>
                  </w:r>
                </w:p>
                <w:tbl>
                  <w:tblPr>
                    <w:tblOverlap w:val="never"/>
                    <w:tblW w:w="7088" w:type="dxa"/>
                    <w:tblLayout w:type="fixed"/>
                    <w:tblLook w:val="01E0" w:firstRow="1" w:lastRow="1" w:firstColumn="1" w:lastColumn="1" w:noHBand="0" w:noVBand="0"/>
                  </w:tblPr>
                  <w:tblGrid>
                    <w:gridCol w:w="1701"/>
                    <w:gridCol w:w="1701"/>
                    <w:gridCol w:w="1843"/>
                    <w:gridCol w:w="1843"/>
                  </w:tblGrid>
                  <w:tr w:rsidR="00597BEA" w:rsidRPr="008162C5" w:rsidTr="00525C39">
                    <w:tc>
                      <w:tcPr>
                        <w:tcW w:w="1701" w:type="dxa"/>
                        <w:tcMar>
                          <w:top w:w="0" w:type="dxa"/>
                          <w:left w:w="0" w:type="dxa"/>
                          <w:bottom w:w="0" w:type="dxa"/>
                          <w:right w:w="0" w:type="dxa"/>
                        </w:tcMar>
                      </w:tcPr>
                      <w:p w:rsidR="00597BEA" w:rsidRPr="008162C5" w:rsidRDefault="00597BEA" w:rsidP="00783D48">
                        <w:pPr>
                          <w:keepNext/>
                          <w:jc w:val="center"/>
                        </w:pPr>
                        <w:r w:rsidRPr="008162C5">
                          <w:rPr>
                            <w:noProof/>
                          </w:rPr>
                          <mc:AlternateContent>
                            <mc:Choice Requires="wps">
                              <w:drawing>
                                <wp:anchor distT="0" distB="0" distL="114300" distR="114300" simplePos="0" relativeHeight="251659264" behindDoc="0" locked="0" layoutInCell="1" allowOverlap="1" wp14:anchorId="4A323C7D" wp14:editId="04477316">
                                  <wp:simplePos x="0" y="0"/>
                                  <wp:positionH relativeFrom="column">
                                    <wp:posOffset>0</wp:posOffset>
                                  </wp:positionH>
                                  <wp:positionV relativeFrom="paragraph">
                                    <wp:posOffset>0</wp:posOffset>
                                  </wp:positionV>
                                  <wp:extent cx="635000" cy="635000"/>
                                  <wp:effectExtent l="0" t="0" r="3175" b="3175"/>
                                  <wp:wrapNone/>
                                  <wp:docPr id="175" name="AutoShape 20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A05710" id="AutoShape 208"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yzxuwIAANM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TPyzx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8162C5">
                          <w:rPr>
                            <w:noProof/>
                          </w:rPr>
                          <w:drawing>
                            <wp:inline distT="0" distB="0" distL="0" distR="0" wp14:anchorId="4416C724" wp14:editId="38E29A1A">
                              <wp:extent cx="753110" cy="532765"/>
                              <wp:effectExtent l="0" t="0" r="0" b="0"/>
                              <wp:docPr id="32" name="Picture 32" descr="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10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3110" cy="532765"/>
                                      </a:xfrm>
                                      <a:prstGeom prst="rect">
                                        <a:avLst/>
                                      </a:prstGeom>
                                      <a:noFill/>
                                      <a:ln>
                                        <a:noFill/>
                                      </a:ln>
                                    </pic:spPr>
                                  </pic:pic>
                                </a:graphicData>
                              </a:graphic>
                            </wp:inline>
                          </w:drawing>
                        </w:r>
                      </w:p>
                    </w:tc>
                    <w:tc>
                      <w:tcPr>
                        <w:tcW w:w="1701" w:type="dxa"/>
                        <w:tcMar>
                          <w:top w:w="0" w:type="dxa"/>
                          <w:left w:w="0" w:type="dxa"/>
                          <w:bottom w:w="0" w:type="dxa"/>
                          <w:right w:w="0" w:type="dxa"/>
                        </w:tcMar>
                      </w:tcPr>
                      <w:p w:rsidR="00597BEA" w:rsidRPr="008162C5" w:rsidRDefault="00597BEA" w:rsidP="00783D48">
                        <w:pPr>
                          <w:keepNext/>
                          <w:jc w:val="center"/>
                        </w:pPr>
                        <w:r w:rsidRPr="008162C5">
                          <w:rPr>
                            <w:noProof/>
                          </w:rPr>
                          <mc:AlternateContent>
                            <mc:Choice Requires="wps">
                              <w:drawing>
                                <wp:anchor distT="0" distB="0" distL="114300" distR="114300" simplePos="0" relativeHeight="251660288" behindDoc="0" locked="0" layoutInCell="1" allowOverlap="1" wp14:anchorId="683EB21B" wp14:editId="4843ADC5">
                                  <wp:simplePos x="0" y="0"/>
                                  <wp:positionH relativeFrom="column">
                                    <wp:posOffset>0</wp:posOffset>
                                  </wp:positionH>
                                  <wp:positionV relativeFrom="paragraph">
                                    <wp:posOffset>0</wp:posOffset>
                                  </wp:positionV>
                                  <wp:extent cx="635000" cy="635000"/>
                                  <wp:effectExtent l="0" t="0" r="3175" b="3175"/>
                                  <wp:wrapNone/>
                                  <wp:docPr id="174" name="AutoShape 20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F688A2" id="AutoShape 209"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SuuwIAANM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7X/Su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8162C5">
                          <w:rPr>
                            <w:noProof/>
                          </w:rPr>
                          <w:drawing>
                            <wp:inline distT="0" distB="0" distL="0" distR="0" wp14:anchorId="676E30FC" wp14:editId="095A2C43">
                              <wp:extent cx="875030" cy="494030"/>
                              <wp:effectExtent l="0" t="0" r="0" b="0"/>
                              <wp:docPr id="33" name="Picture 33" descr="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10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5030" cy="494030"/>
                                      </a:xfrm>
                                      <a:prstGeom prst="rect">
                                        <a:avLst/>
                                      </a:prstGeom>
                                      <a:noFill/>
                                      <a:ln>
                                        <a:noFill/>
                                      </a:ln>
                                    </pic:spPr>
                                  </pic:pic>
                                </a:graphicData>
                              </a:graphic>
                            </wp:inline>
                          </w:drawing>
                        </w:r>
                      </w:p>
                    </w:tc>
                    <w:tc>
                      <w:tcPr>
                        <w:tcW w:w="1843" w:type="dxa"/>
                        <w:tcMar>
                          <w:top w:w="0" w:type="dxa"/>
                          <w:left w:w="0" w:type="dxa"/>
                          <w:bottom w:w="0" w:type="dxa"/>
                          <w:right w:w="0" w:type="dxa"/>
                        </w:tcMar>
                      </w:tcPr>
                      <w:p w:rsidR="00597BEA" w:rsidRPr="008162C5" w:rsidRDefault="00597BEA" w:rsidP="00783D48">
                        <w:pPr>
                          <w:keepNext/>
                          <w:jc w:val="center"/>
                        </w:pPr>
                        <w:r w:rsidRPr="008162C5">
                          <w:rPr>
                            <w:noProof/>
                          </w:rPr>
                          <mc:AlternateContent>
                            <mc:Choice Requires="wps">
                              <w:drawing>
                                <wp:anchor distT="0" distB="0" distL="114300" distR="114300" simplePos="0" relativeHeight="251661312" behindDoc="0" locked="0" layoutInCell="1" allowOverlap="1" wp14:anchorId="6360AB5A" wp14:editId="0E9A9190">
                                  <wp:simplePos x="0" y="0"/>
                                  <wp:positionH relativeFrom="column">
                                    <wp:posOffset>0</wp:posOffset>
                                  </wp:positionH>
                                  <wp:positionV relativeFrom="paragraph">
                                    <wp:posOffset>0</wp:posOffset>
                                  </wp:positionV>
                                  <wp:extent cx="635000" cy="635000"/>
                                  <wp:effectExtent l="0" t="0" r="3175" b="3175"/>
                                  <wp:wrapNone/>
                                  <wp:docPr id="173" name="AutoShape 2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48E9A6" id="AutoShape 210"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9VuwIAANM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RR/9V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8162C5">
                          <w:rPr>
                            <w:noProof/>
                          </w:rPr>
                          <w:drawing>
                            <wp:inline distT="0" distB="0" distL="0" distR="0" wp14:anchorId="5ACEEA12" wp14:editId="4EF6AD8C">
                              <wp:extent cx="904875" cy="459740"/>
                              <wp:effectExtent l="0" t="0" r="0" b="0"/>
                              <wp:docPr id="34" name="Picture 34" descr="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10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4875" cy="459740"/>
                                      </a:xfrm>
                                      <a:prstGeom prst="rect">
                                        <a:avLst/>
                                      </a:prstGeom>
                                      <a:noFill/>
                                      <a:ln>
                                        <a:noFill/>
                                      </a:ln>
                                    </pic:spPr>
                                  </pic:pic>
                                </a:graphicData>
                              </a:graphic>
                            </wp:inline>
                          </w:drawing>
                        </w:r>
                      </w:p>
                    </w:tc>
                    <w:tc>
                      <w:tcPr>
                        <w:tcW w:w="1843" w:type="dxa"/>
                        <w:tcMar>
                          <w:top w:w="0" w:type="dxa"/>
                          <w:left w:w="0" w:type="dxa"/>
                          <w:bottom w:w="0" w:type="dxa"/>
                          <w:right w:w="0" w:type="dxa"/>
                        </w:tcMar>
                      </w:tcPr>
                      <w:p w:rsidR="00597BEA" w:rsidRPr="008162C5" w:rsidRDefault="00597BEA" w:rsidP="00783D48">
                        <w:pPr>
                          <w:keepNext/>
                          <w:jc w:val="center"/>
                        </w:pPr>
                        <w:r w:rsidRPr="008162C5">
                          <w:rPr>
                            <w:noProof/>
                          </w:rPr>
                          <mc:AlternateContent>
                            <mc:Choice Requires="wps">
                              <w:drawing>
                                <wp:anchor distT="0" distB="0" distL="114300" distR="114300" simplePos="0" relativeHeight="251662336" behindDoc="0" locked="0" layoutInCell="1" allowOverlap="1" wp14:anchorId="686CBB1C" wp14:editId="2E53068D">
                                  <wp:simplePos x="0" y="0"/>
                                  <wp:positionH relativeFrom="column">
                                    <wp:posOffset>0</wp:posOffset>
                                  </wp:positionH>
                                  <wp:positionV relativeFrom="paragraph">
                                    <wp:posOffset>0</wp:posOffset>
                                  </wp:positionV>
                                  <wp:extent cx="635000" cy="635000"/>
                                  <wp:effectExtent l="0" t="0" r="3175" b="3175"/>
                                  <wp:wrapNone/>
                                  <wp:docPr id="172" name="AutoShape 2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EE75D0" id="AutoShape 211"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ycKuwIAANM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5JycK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8162C5">
                          <w:rPr>
                            <w:noProof/>
                          </w:rPr>
                          <w:drawing>
                            <wp:inline distT="0" distB="0" distL="0" distR="0" wp14:anchorId="422F1FD8" wp14:editId="24E58C65">
                              <wp:extent cx="953770" cy="464820"/>
                              <wp:effectExtent l="0" t="0" r="0" b="0"/>
                              <wp:docPr id="35" name="Picture 35" descr="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10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3770" cy="464820"/>
                                      </a:xfrm>
                                      <a:prstGeom prst="rect">
                                        <a:avLst/>
                                      </a:prstGeom>
                                      <a:noFill/>
                                      <a:ln>
                                        <a:noFill/>
                                      </a:ln>
                                    </pic:spPr>
                                  </pic:pic>
                                </a:graphicData>
                              </a:graphic>
                            </wp:inline>
                          </w:drawing>
                        </w:r>
                      </w:p>
                    </w:tc>
                  </w:tr>
                  <w:tr w:rsidR="00597BEA" w:rsidRPr="008162C5" w:rsidTr="00525C39">
                    <w:tc>
                      <w:tcPr>
                        <w:tcW w:w="1701" w:type="dxa"/>
                        <w:tcMar>
                          <w:top w:w="0" w:type="dxa"/>
                          <w:left w:w="0" w:type="dxa"/>
                          <w:bottom w:w="0" w:type="dxa"/>
                          <w:right w:w="0" w:type="dxa"/>
                        </w:tcMar>
                      </w:tcPr>
                      <w:p w:rsidR="00597BEA" w:rsidRPr="008162C5" w:rsidRDefault="00597BEA" w:rsidP="00783D48">
                        <w:pPr>
                          <w:keepNext/>
                          <w:jc w:val="center"/>
                        </w:pPr>
                        <w:r w:rsidRPr="008162C5">
                          <w:rPr>
                            <w:rFonts w:eastAsia="Arial" w:cs="Arial"/>
                            <w:color w:val="000000"/>
                          </w:rPr>
                          <w:t>1</w:t>
                        </w:r>
                      </w:p>
                    </w:tc>
                    <w:tc>
                      <w:tcPr>
                        <w:tcW w:w="1701" w:type="dxa"/>
                        <w:tcMar>
                          <w:top w:w="0" w:type="dxa"/>
                          <w:left w:w="0" w:type="dxa"/>
                          <w:bottom w:w="0" w:type="dxa"/>
                          <w:right w:w="0" w:type="dxa"/>
                        </w:tcMar>
                      </w:tcPr>
                      <w:p w:rsidR="00597BEA" w:rsidRPr="008162C5" w:rsidRDefault="00597BEA" w:rsidP="00783D48">
                        <w:pPr>
                          <w:keepNext/>
                          <w:jc w:val="center"/>
                        </w:pPr>
                        <w:r w:rsidRPr="008162C5">
                          <w:rPr>
                            <w:rFonts w:eastAsia="Arial" w:cs="Arial"/>
                            <w:color w:val="000000"/>
                          </w:rPr>
                          <w:t>2</w:t>
                        </w:r>
                      </w:p>
                    </w:tc>
                    <w:tc>
                      <w:tcPr>
                        <w:tcW w:w="1843" w:type="dxa"/>
                        <w:tcMar>
                          <w:top w:w="0" w:type="dxa"/>
                          <w:left w:w="0" w:type="dxa"/>
                          <w:bottom w:w="0" w:type="dxa"/>
                          <w:right w:w="0" w:type="dxa"/>
                        </w:tcMar>
                      </w:tcPr>
                      <w:p w:rsidR="00597BEA" w:rsidRPr="008162C5" w:rsidRDefault="00597BEA" w:rsidP="00783D48">
                        <w:pPr>
                          <w:keepNext/>
                          <w:jc w:val="center"/>
                        </w:pPr>
                        <w:r w:rsidRPr="008162C5">
                          <w:rPr>
                            <w:rFonts w:eastAsia="Arial" w:cs="Arial"/>
                            <w:color w:val="000000"/>
                          </w:rPr>
                          <w:t>3</w:t>
                        </w:r>
                      </w:p>
                    </w:tc>
                    <w:tc>
                      <w:tcPr>
                        <w:tcW w:w="1843" w:type="dxa"/>
                        <w:tcMar>
                          <w:top w:w="0" w:type="dxa"/>
                          <w:left w:w="0" w:type="dxa"/>
                          <w:bottom w:w="0" w:type="dxa"/>
                          <w:right w:w="0" w:type="dxa"/>
                        </w:tcMar>
                      </w:tcPr>
                      <w:p w:rsidR="00597BEA" w:rsidRPr="008162C5" w:rsidRDefault="00597BEA" w:rsidP="00783D48">
                        <w:pPr>
                          <w:keepNext/>
                          <w:jc w:val="center"/>
                        </w:pPr>
                        <w:r w:rsidRPr="008162C5">
                          <w:rPr>
                            <w:rFonts w:eastAsia="Arial" w:cs="Arial"/>
                            <w:color w:val="000000"/>
                          </w:rPr>
                          <w:t>4</w:t>
                        </w:r>
                      </w:p>
                    </w:tc>
                  </w:tr>
                  <w:tr w:rsidR="00597BEA" w:rsidRPr="008162C5" w:rsidTr="00525C39">
                    <w:tc>
                      <w:tcPr>
                        <w:tcW w:w="1701" w:type="dxa"/>
                        <w:tcMar>
                          <w:top w:w="0" w:type="dxa"/>
                          <w:left w:w="0" w:type="dxa"/>
                          <w:bottom w:w="0" w:type="dxa"/>
                          <w:right w:w="0" w:type="dxa"/>
                        </w:tcMar>
                      </w:tcPr>
                      <w:p w:rsidR="00597BEA" w:rsidRPr="008162C5" w:rsidRDefault="00597BEA" w:rsidP="00783D48">
                        <w:pPr>
                          <w:keepNext/>
                          <w:jc w:val="center"/>
                        </w:pPr>
                        <w:r w:rsidRPr="008162C5">
                          <w:rPr>
                            <w:rFonts w:eastAsia="Arial" w:cs="Arial"/>
                            <w:color w:val="000000"/>
                          </w:rPr>
                          <w:t xml:space="preserve">strongly </w:t>
                        </w:r>
                        <w:r w:rsidRPr="008162C5">
                          <w:rPr>
                            <w:rFonts w:eastAsia="Arial" w:cs="Arial"/>
                            <w:color w:val="000000"/>
                          </w:rPr>
                          <w:br/>
                          <w:t>ascending</w:t>
                        </w:r>
                      </w:p>
                    </w:tc>
                    <w:tc>
                      <w:tcPr>
                        <w:tcW w:w="1701" w:type="dxa"/>
                        <w:tcMar>
                          <w:top w:w="0" w:type="dxa"/>
                          <w:left w:w="0" w:type="dxa"/>
                          <w:bottom w:w="0" w:type="dxa"/>
                          <w:right w:w="0" w:type="dxa"/>
                        </w:tcMar>
                      </w:tcPr>
                      <w:p w:rsidR="00597BEA" w:rsidRPr="008162C5" w:rsidRDefault="00597BEA" w:rsidP="00783D48">
                        <w:pPr>
                          <w:keepNext/>
                          <w:jc w:val="center"/>
                        </w:pPr>
                        <w:r w:rsidRPr="008162C5">
                          <w:rPr>
                            <w:rFonts w:eastAsia="Arial" w:cs="Arial"/>
                            <w:color w:val="000000"/>
                          </w:rPr>
                          <w:t>moderately ascending</w:t>
                        </w:r>
                      </w:p>
                    </w:tc>
                    <w:tc>
                      <w:tcPr>
                        <w:tcW w:w="1843" w:type="dxa"/>
                        <w:tcMar>
                          <w:top w:w="0" w:type="dxa"/>
                          <w:left w:w="0" w:type="dxa"/>
                          <w:bottom w:w="0" w:type="dxa"/>
                          <w:right w:w="0" w:type="dxa"/>
                        </w:tcMar>
                      </w:tcPr>
                      <w:p w:rsidR="00597BEA" w:rsidRPr="008162C5" w:rsidRDefault="00597BEA" w:rsidP="00783D48">
                        <w:pPr>
                          <w:keepNext/>
                          <w:jc w:val="center"/>
                        </w:pPr>
                        <w:r w:rsidRPr="008162C5">
                          <w:rPr>
                            <w:rFonts w:eastAsia="Arial" w:cs="Arial"/>
                            <w:color w:val="000000"/>
                          </w:rPr>
                          <w:t xml:space="preserve">weakly </w:t>
                        </w:r>
                        <w:r w:rsidRPr="008162C5">
                          <w:rPr>
                            <w:rFonts w:eastAsia="Arial" w:cs="Arial"/>
                            <w:color w:val="000000"/>
                          </w:rPr>
                          <w:br/>
                          <w:t>ascending</w:t>
                        </w:r>
                      </w:p>
                    </w:tc>
                    <w:tc>
                      <w:tcPr>
                        <w:tcW w:w="1843" w:type="dxa"/>
                        <w:tcMar>
                          <w:top w:w="0" w:type="dxa"/>
                          <w:left w:w="0" w:type="dxa"/>
                          <w:bottom w:w="0" w:type="dxa"/>
                          <w:right w:w="0" w:type="dxa"/>
                        </w:tcMar>
                      </w:tcPr>
                      <w:p w:rsidR="00597BEA" w:rsidRPr="008162C5" w:rsidRDefault="00597BEA" w:rsidP="00783D48">
                        <w:pPr>
                          <w:keepNext/>
                          <w:jc w:val="center"/>
                        </w:pPr>
                        <w:r w:rsidRPr="008162C5">
                          <w:rPr>
                            <w:rFonts w:eastAsia="Arial" w:cs="Arial"/>
                            <w:color w:val="000000"/>
                          </w:rPr>
                          <w:t>horizontal</w:t>
                        </w:r>
                      </w:p>
                    </w:tc>
                  </w:tr>
                </w:tbl>
                <w:p w:rsidR="00597BEA" w:rsidRPr="008162C5" w:rsidRDefault="00597BEA" w:rsidP="00783D48">
                  <w:pPr>
                    <w:keepNext/>
                  </w:pPr>
                </w:p>
                <w:tbl>
                  <w:tblPr>
                    <w:tblOverlap w:val="never"/>
                    <w:tblW w:w="5529" w:type="dxa"/>
                    <w:tblLayout w:type="fixed"/>
                    <w:tblLook w:val="01E0" w:firstRow="1" w:lastRow="1" w:firstColumn="1" w:lastColumn="1" w:noHBand="0" w:noVBand="0"/>
                  </w:tblPr>
                  <w:tblGrid>
                    <w:gridCol w:w="1985"/>
                    <w:gridCol w:w="1843"/>
                    <w:gridCol w:w="1701"/>
                  </w:tblGrid>
                  <w:tr w:rsidR="00597BEA" w:rsidRPr="008162C5" w:rsidTr="00525C39">
                    <w:tc>
                      <w:tcPr>
                        <w:tcW w:w="1985" w:type="dxa"/>
                        <w:tcMar>
                          <w:top w:w="0" w:type="dxa"/>
                          <w:left w:w="0" w:type="dxa"/>
                          <w:bottom w:w="0" w:type="dxa"/>
                          <w:right w:w="0" w:type="dxa"/>
                        </w:tcMar>
                      </w:tcPr>
                      <w:p w:rsidR="00597BEA" w:rsidRPr="008162C5" w:rsidRDefault="00597BEA" w:rsidP="00783D48">
                        <w:pPr>
                          <w:keepNext/>
                          <w:jc w:val="center"/>
                        </w:pPr>
                        <w:r w:rsidRPr="008162C5">
                          <w:rPr>
                            <w:noProof/>
                          </w:rPr>
                          <mc:AlternateContent>
                            <mc:Choice Requires="wps">
                              <w:drawing>
                                <wp:anchor distT="0" distB="0" distL="114300" distR="114300" simplePos="0" relativeHeight="251663360" behindDoc="0" locked="0" layoutInCell="1" allowOverlap="1" wp14:anchorId="1547B9E3" wp14:editId="7BB2FFF8">
                                  <wp:simplePos x="0" y="0"/>
                                  <wp:positionH relativeFrom="column">
                                    <wp:posOffset>0</wp:posOffset>
                                  </wp:positionH>
                                  <wp:positionV relativeFrom="paragraph">
                                    <wp:posOffset>0</wp:posOffset>
                                  </wp:positionV>
                                  <wp:extent cx="635000" cy="635000"/>
                                  <wp:effectExtent l="0" t="0" r="3175" b="3175"/>
                                  <wp:wrapNone/>
                                  <wp:docPr id="171" name="AutoShape 2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390903" id="AutoShape 212"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k/quwIAANM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Bhk/q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8162C5">
                          <w:rPr>
                            <w:noProof/>
                          </w:rPr>
                          <w:drawing>
                            <wp:inline distT="0" distB="0" distL="0" distR="0" wp14:anchorId="1D12CA60" wp14:editId="74EA9352">
                              <wp:extent cx="1104900" cy="494030"/>
                              <wp:effectExtent l="0" t="0" r="0" b="0"/>
                              <wp:docPr id="36" name="Picture 36" descr="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1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04900" cy="494030"/>
                                      </a:xfrm>
                                      <a:prstGeom prst="rect">
                                        <a:avLst/>
                                      </a:prstGeom>
                                      <a:noFill/>
                                      <a:ln>
                                        <a:noFill/>
                                      </a:ln>
                                    </pic:spPr>
                                  </pic:pic>
                                </a:graphicData>
                              </a:graphic>
                            </wp:inline>
                          </w:drawing>
                        </w:r>
                      </w:p>
                    </w:tc>
                    <w:tc>
                      <w:tcPr>
                        <w:tcW w:w="1843" w:type="dxa"/>
                        <w:tcMar>
                          <w:top w:w="0" w:type="dxa"/>
                          <w:left w:w="0" w:type="dxa"/>
                          <w:bottom w:w="0" w:type="dxa"/>
                          <w:right w:w="0" w:type="dxa"/>
                        </w:tcMar>
                      </w:tcPr>
                      <w:p w:rsidR="00597BEA" w:rsidRPr="008162C5" w:rsidRDefault="00597BEA" w:rsidP="00783D48">
                        <w:pPr>
                          <w:keepNext/>
                          <w:jc w:val="center"/>
                        </w:pPr>
                        <w:r w:rsidRPr="008162C5">
                          <w:rPr>
                            <w:noProof/>
                          </w:rPr>
                          <mc:AlternateContent>
                            <mc:Choice Requires="wps">
                              <w:drawing>
                                <wp:anchor distT="0" distB="0" distL="114300" distR="114300" simplePos="0" relativeHeight="251664384" behindDoc="0" locked="0" layoutInCell="1" allowOverlap="1" wp14:anchorId="6622B7CF" wp14:editId="5CF26653">
                                  <wp:simplePos x="0" y="0"/>
                                  <wp:positionH relativeFrom="column">
                                    <wp:posOffset>0</wp:posOffset>
                                  </wp:positionH>
                                  <wp:positionV relativeFrom="paragraph">
                                    <wp:posOffset>0</wp:posOffset>
                                  </wp:positionV>
                                  <wp:extent cx="635000" cy="635000"/>
                                  <wp:effectExtent l="0" t="0" r="3175" b="3175"/>
                                  <wp:wrapNone/>
                                  <wp:docPr id="170" name="AutoShape 2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1519E6" id="AutoShape 213"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pe1uwIAANM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p5pe1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8162C5">
                          <w:rPr>
                            <w:noProof/>
                          </w:rPr>
                          <w:drawing>
                            <wp:inline distT="0" distB="0" distL="0" distR="0" wp14:anchorId="5A4C6E18" wp14:editId="412876CB">
                              <wp:extent cx="953770" cy="400685"/>
                              <wp:effectExtent l="0" t="0" r="0" b="0"/>
                              <wp:docPr id="37" name="Picture 37"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1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3770" cy="400685"/>
                                      </a:xfrm>
                                      <a:prstGeom prst="rect">
                                        <a:avLst/>
                                      </a:prstGeom>
                                      <a:noFill/>
                                      <a:ln>
                                        <a:noFill/>
                                      </a:ln>
                                    </pic:spPr>
                                  </pic:pic>
                                </a:graphicData>
                              </a:graphic>
                            </wp:inline>
                          </w:drawing>
                        </w:r>
                      </w:p>
                    </w:tc>
                    <w:tc>
                      <w:tcPr>
                        <w:tcW w:w="1701" w:type="dxa"/>
                        <w:tcMar>
                          <w:top w:w="0" w:type="dxa"/>
                          <w:left w:w="0" w:type="dxa"/>
                          <w:bottom w:w="0" w:type="dxa"/>
                          <w:right w:w="0" w:type="dxa"/>
                        </w:tcMar>
                      </w:tcPr>
                      <w:p w:rsidR="00597BEA" w:rsidRPr="008162C5" w:rsidRDefault="00597BEA" w:rsidP="00783D48">
                        <w:pPr>
                          <w:keepNext/>
                          <w:jc w:val="center"/>
                        </w:pPr>
                        <w:r w:rsidRPr="008162C5">
                          <w:rPr>
                            <w:noProof/>
                          </w:rPr>
                          <mc:AlternateContent>
                            <mc:Choice Requires="wps">
                              <w:drawing>
                                <wp:anchor distT="0" distB="0" distL="114300" distR="114300" simplePos="0" relativeHeight="251665408" behindDoc="0" locked="0" layoutInCell="1" allowOverlap="1" wp14:anchorId="48622F0D" wp14:editId="79B3CF60">
                                  <wp:simplePos x="0" y="0"/>
                                  <wp:positionH relativeFrom="column">
                                    <wp:posOffset>0</wp:posOffset>
                                  </wp:positionH>
                                  <wp:positionV relativeFrom="paragraph">
                                    <wp:posOffset>0</wp:posOffset>
                                  </wp:positionV>
                                  <wp:extent cx="635000" cy="635000"/>
                                  <wp:effectExtent l="0" t="0" r="3175" b="3175"/>
                                  <wp:wrapNone/>
                                  <wp:docPr id="169" name="AutoShape 2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C6BEB4" id="AutoShape 214" o:spid="_x0000_s1026"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z4euwIAANM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LRz4e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8162C5">
                          <w:rPr>
                            <w:noProof/>
                          </w:rPr>
                          <w:drawing>
                            <wp:inline distT="0" distB="0" distL="0" distR="0" wp14:anchorId="022784EC" wp14:editId="41230CB4">
                              <wp:extent cx="914400" cy="400685"/>
                              <wp:effectExtent l="0" t="0" r="0" b="0"/>
                              <wp:docPr id="38" name="Picture 38" descr="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1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14400" cy="400685"/>
                                      </a:xfrm>
                                      <a:prstGeom prst="rect">
                                        <a:avLst/>
                                      </a:prstGeom>
                                      <a:noFill/>
                                      <a:ln>
                                        <a:noFill/>
                                      </a:ln>
                                    </pic:spPr>
                                  </pic:pic>
                                </a:graphicData>
                              </a:graphic>
                            </wp:inline>
                          </w:drawing>
                        </w:r>
                      </w:p>
                    </w:tc>
                  </w:tr>
                  <w:tr w:rsidR="00597BEA" w:rsidRPr="008162C5" w:rsidTr="00525C39">
                    <w:tc>
                      <w:tcPr>
                        <w:tcW w:w="1985" w:type="dxa"/>
                        <w:tcMar>
                          <w:top w:w="0" w:type="dxa"/>
                          <w:left w:w="0" w:type="dxa"/>
                          <w:bottom w:w="0" w:type="dxa"/>
                          <w:right w:w="0" w:type="dxa"/>
                        </w:tcMar>
                      </w:tcPr>
                      <w:p w:rsidR="00597BEA" w:rsidRPr="008162C5" w:rsidRDefault="00597BEA" w:rsidP="00783D48">
                        <w:pPr>
                          <w:keepNext/>
                          <w:jc w:val="center"/>
                        </w:pPr>
                        <w:r w:rsidRPr="008162C5">
                          <w:rPr>
                            <w:rFonts w:eastAsia="Arial" w:cs="Arial"/>
                            <w:color w:val="000000"/>
                          </w:rPr>
                          <w:t>5</w:t>
                        </w:r>
                      </w:p>
                    </w:tc>
                    <w:tc>
                      <w:tcPr>
                        <w:tcW w:w="1843" w:type="dxa"/>
                        <w:tcMar>
                          <w:top w:w="0" w:type="dxa"/>
                          <w:left w:w="0" w:type="dxa"/>
                          <w:bottom w:w="0" w:type="dxa"/>
                          <w:right w:w="0" w:type="dxa"/>
                        </w:tcMar>
                      </w:tcPr>
                      <w:p w:rsidR="00597BEA" w:rsidRPr="008162C5" w:rsidRDefault="00597BEA" w:rsidP="00783D48">
                        <w:pPr>
                          <w:keepNext/>
                          <w:jc w:val="center"/>
                        </w:pPr>
                        <w:r w:rsidRPr="008162C5">
                          <w:rPr>
                            <w:rFonts w:eastAsia="Arial" w:cs="Arial"/>
                            <w:color w:val="000000"/>
                          </w:rPr>
                          <w:t>6</w:t>
                        </w:r>
                      </w:p>
                    </w:tc>
                    <w:tc>
                      <w:tcPr>
                        <w:tcW w:w="1701" w:type="dxa"/>
                        <w:tcMar>
                          <w:top w:w="0" w:type="dxa"/>
                          <w:left w:w="0" w:type="dxa"/>
                          <w:bottom w:w="0" w:type="dxa"/>
                          <w:right w:w="0" w:type="dxa"/>
                        </w:tcMar>
                      </w:tcPr>
                      <w:p w:rsidR="00597BEA" w:rsidRPr="008162C5" w:rsidRDefault="00597BEA" w:rsidP="00783D48">
                        <w:pPr>
                          <w:keepNext/>
                          <w:jc w:val="center"/>
                        </w:pPr>
                        <w:r w:rsidRPr="008162C5">
                          <w:rPr>
                            <w:rFonts w:eastAsia="Arial" w:cs="Arial"/>
                            <w:color w:val="000000"/>
                          </w:rPr>
                          <w:t>7</w:t>
                        </w:r>
                      </w:p>
                    </w:tc>
                  </w:tr>
                  <w:tr w:rsidR="00597BEA" w:rsidRPr="008162C5" w:rsidTr="00525C39">
                    <w:tc>
                      <w:tcPr>
                        <w:tcW w:w="1985" w:type="dxa"/>
                        <w:tcMar>
                          <w:top w:w="0" w:type="dxa"/>
                          <w:left w:w="0" w:type="dxa"/>
                          <w:bottom w:w="0" w:type="dxa"/>
                          <w:right w:w="0" w:type="dxa"/>
                        </w:tcMar>
                      </w:tcPr>
                      <w:p w:rsidR="00597BEA" w:rsidRPr="008162C5" w:rsidRDefault="00597BEA" w:rsidP="00783D48">
                        <w:pPr>
                          <w:keepNext/>
                          <w:jc w:val="center"/>
                        </w:pPr>
                        <w:r w:rsidRPr="008162C5">
                          <w:rPr>
                            <w:rFonts w:eastAsia="Arial" w:cs="Arial"/>
                            <w:color w:val="000000"/>
                          </w:rPr>
                          <w:t xml:space="preserve">weakly </w:t>
                        </w:r>
                        <w:r w:rsidRPr="008162C5">
                          <w:rPr>
                            <w:rFonts w:eastAsia="Arial" w:cs="Arial"/>
                            <w:color w:val="000000"/>
                          </w:rPr>
                          <w:br/>
                          <w:t>descending</w:t>
                        </w:r>
                      </w:p>
                    </w:tc>
                    <w:tc>
                      <w:tcPr>
                        <w:tcW w:w="1843" w:type="dxa"/>
                        <w:tcMar>
                          <w:top w:w="0" w:type="dxa"/>
                          <w:left w:w="0" w:type="dxa"/>
                          <w:bottom w:w="0" w:type="dxa"/>
                          <w:right w:w="0" w:type="dxa"/>
                        </w:tcMar>
                      </w:tcPr>
                      <w:p w:rsidR="00597BEA" w:rsidRPr="008162C5" w:rsidRDefault="00597BEA" w:rsidP="00783D48">
                        <w:pPr>
                          <w:keepNext/>
                          <w:jc w:val="center"/>
                        </w:pPr>
                        <w:r w:rsidRPr="008162C5">
                          <w:rPr>
                            <w:rFonts w:eastAsia="Arial" w:cs="Arial"/>
                            <w:color w:val="000000"/>
                          </w:rPr>
                          <w:t>moderately descending</w:t>
                        </w:r>
                      </w:p>
                    </w:tc>
                    <w:tc>
                      <w:tcPr>
                        <w:tcW w:w="1701" w:type="dxa"/>
                        <w:tcMar>
                          <w:top w:w="0" w:type="dxa"/>
                          <w:left w:w="0" w:type="dxa"/>
                          <w:bottom w:w="0" w:type="dxa"/>
                          <w:right w:w="0" w:type="dxa"/>
                        </w:tcMar>
                      </w:tcPr>
                      <w:p w:rsidR="00597BEA" w:rsidRPr="008162C5" w:rsidRDefault="00597BEA" w:rsidP="00783D48">
                        <w:pPr>
                          <w:keepNext/>
                          <w:jc w:val="center"/>
                        </w:pPr>
                        <w:r w:rsidRPr="008162C5">
                          <w:rPr>
                            <w:rFonts w:eastAsia="Arial" w:cs="Arial"/>
                            <w:color w:val="000000"/>
                          </w:rPr>
                          <w:t>strongly descending</w:t>
                        </w:r>
                      </w:p>
                    </w:tc>
                  </w:tr>
                </w:tbl>
                <w:p w:rsidR="00597BEA" w:rsidRPr="008162C5" w:rsidRDefault="00597BEA" w:rsidP="00783D48">
                  <w:pPr>
                    <w:keepNext/>
                  </w:pPr>
                </w:p>
              </w:tc>
            </w:tr>
          </w:tbl>
          <w:p w:rsidR="00597BEA" w:rsidRPr="008162C5" w:rsidRDefault="00597BEA" w:rsidP="00783D48">
            <w:pPr>
              <w:keepNext/>
              <w:spacing w:line="1" w:lineRule="auto"/>
            </w:pPr>
          </w:p>
        </w:tc>
      </w:tr>
    </w:tbl>
    <w:p w:rsidR="00597BEA" w:rsidRDefault="00597BEA" w:rsidP="00597BEA"/>
    <w:p w:rsidR="00597BEA" w:rsidRPr="00F440F1" w:rsidRDefault="00597BEA" w:rsidP="00597BEA">
      <w:pPr>
        <w:keepNext/>
        <w:ind w:left="567"/>
        <w:rPr>
          <w:rFonts w:eastAsia="Arial" w:cs="Arial"/>
          <w:color w:val="000000"/>
        </w:rPr>
      </w:pPr>
      <w:r w:rsidRPr="00F440F1">
        <w:rPr>
          <w:rFonts w:eastAsia="Arial" w:cs="Arial"/>
          <w:color w:val="000000"/>
        </w:rPr>
        <w:t>Ad. 29: Ray floret: distribution of main color</w:t>
      </w:r>
      <w:r>
        <w:rPr>
          <w:rFonts w:eastAsia="Arial" w:cs="Arial"/>
          <w:color w:val="000000"/>
        </w:rPr>
        <w:t xml:space="preserve"> (PQ)</w:t>
      </w:r>
    </w:p>
    <w:p w:rsidR="00597BEA" w:rsidRDefault="00597BEA" w:rsidP="00597BEA">
      <w:pPr>
        <w:keepNext/>
        <w:ind w:left="567"/>
      </w:pPr>
    </w:p>
    <w:p w:rsidR="00597BEA" w:rsidRDefault="00597BEA" w:rsidP="00597BEA">
      <w:pPr>
        <w:keepNext/>
        <w:jc w:val="center"/>
      </w:pPr>
      <w:r>
        <w:rPr>
          <w:noProof/>
        </w:rPr>
        <w:drawing>
          <wp:inline distT="0" distB="0" distL="0" distR="0" wp14:anchorId="78AB2D5B" wp14:editId="59F7F657">
            <wp:extent cx="3472981" cy="24475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478941" cy="2451753"/>
                    </a:xfrm>
                    <a:prstGeom prst="rect">
                      <a:avLst/>
                    </a:prstGeom>
                  </pic:spPr>
                </pic:pic>
              </a:graphicData>
            </a:graphic>
          </wp:inline>
        </w:drawing>
      </w:r>
    </w:p>
    <w:p w:rsidR="00597BEA" w:rsidRDefault="00597BEA" w:rsidP="00597BEA"/>
    <w:p w:rsidR="00597BEA" w:rsidRDefault="00597BEA" w:rsidP="00597BEA">
      <w:pPr>
        <w:pStyle w:val="ListParagraph"/>
        <w:numPr>
          <w:ilvl w:val="0"/>
          <w:numId w:val="2"/>
        </w:numPr>
      </w:pPr>
      <w:r>
        <w:t>Document TG/168/3 “</w:t>
      </w:r>
      <w:proofErr w:type="spellStart"/>
      <w:r>
        <w:t>Statice</w:t>
      </w:r>
      <w:proofErr w:type="spellEnd"/>
      <w:r>
        <w:t>”: Ad. 24: Inflorescence: type (PQ)</w:t>
      </w:r>
    </w:p>
    <w:p w:rsidR="00597BEA" w:rsidRDefault="00597BEA" w:rsidP="00597BEA">
      <w:pPr>
        <w:jc w:val="center"/>
      </w:pPr>
      <w:r>
        <w:rPr>
          <w:noProof/>
        </w:rPr>
        <w:drawing>
          <wp:inline distT="0" distB="0" distL="0" distR="0" wp14:anchorId="18B2523B" wp14:editId="0C09671F">
            <wp:extent cx="2236737" cy="299158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247182" cy="3005556"/>
                    </a:xfrm>
                    <a:prstGeom prst="rect">
                      <a:avLst/>
                    </a:prstGeom>
                  </pic:spPr>
                </pic:pic>
              </a:graphicData>
            </a:graphic>
          </wp:inline>
        </w:drawing>
      </w:r>
    </w:p>
    <w:p w:rsidR="00597BEA" w:rsidRDefault="00597BEA" w:rsidP="00783D48"/>
    <w:p w:rsidR="00597BEA" w:rsidRDefault="00783D48" w:rsidP="00783D48">
      <w:pPr>
        <w:keepNext/>
      </w:pPr>
      <w:r w:rsidRPr="005D0E81">
        <w:t>25.</w:t>
      </w:r>
      <w:r w:rsidR="00597BEA" w:rsidRPr="005D0E81">
        <w:tab/>
        <w:t xml:space="preserve">The TWO noted that the term “controlled environment” in Flow Diagram 1 of document TGP/7, GN 28, </w:t>
      </w:r>
      <w:proofErr w:type="gramStart"/>
      <w:r w:rsidR="00597BEA" w:rsidRPr="005D0E81">
        <w:t>was not explained</w:t>
      </w:r>
      <w:proofErr w:type="gramEnd"/>
      <w:r w:rsidR="00597BEA" w:rsidRPr="005D0E81">
        <w:t xml:space="preserve"> in the text of GN 28. The TWO agreed that the environment </w:t>
      </w:r>
      <w:proofErr w:type="gramStart"/>
      <w:r w:rsidR="00597BEA" w:rsidRPr="005D0E81">
        <w:t>could not be fully controlled</w:t>
      </w:r>
      <w:proofErr w:type="gramEnd"/>
      <w:r w:rsidR="00597BEA" w:rsidRPr="005D0E81">
        <w:t xml:space="preserve"> even under greenhouse conditions.  The TWO agreed to propose that Flow Diagram 1 be amended to replace the question “is the environment controlled” by “is the characteristic observed visually only?</w:t>
      </w:r>
      <w:proofErr w:type="gramStart"/>
      <w:r w:rsidR="00597BEA" w:rsidRPr="005D0E81">
        <w:t>”,</w:t>
      </w:r>
      <w:proofErr w:type="gramEnd"/>
      <w:r w:rsidR="00597BEA" w:rsidRPr="005D0E81">
        <w:t xml:space="preserve"> as follows:</w:t>
      </w:r>
      <w:r w:rsidR="00597BEA">
        <w:t xml:space="preserve"> </w:t>
      </w:r>
    </w:p>
    <w:p w:rsidR="00597BEA" w:rsidRDefault="00597BEA" w:rsidP="00597BEA"/>
    <w:p w:rsidR="00597BEA" w:rsidRDefault="00597BEA" w:rsidP="00597BEA">
      <w:pPr>
        <w:jc w:val="center"/>
      </w:pPr>
      <w:r>
        <w:rPr>
          <w:noProof/>
        </w:rPr>
        <w:drawing>
          <wp:inline distT="0" distB="0" distL="0" distR="0" wp14:anchorId="5FC5C0E3" wp14:editId="4085C03F">
            <wp:extent cx="5021865" cy="3818929"/>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022-06-16_20-24-01new.png"/>
                    <pic:cNvPicPr/>
                  </pic:nvPicPr>
                  <pic:blipFill>
                    <a:blip r:embed="rId18">
                      <a:extLst>
                        <a:ext uri="{28A0092B-C50C-407E-A947-70E740481C1C}">
                          <a14:useLocalDpi xmlns:a14="http://schemas.microsoft.com/office/drawing/2010/main" val="0"/>
                        </a:ext>
                      </a:extLst>
                    </a:blip>
                    <a:stretch>
                      <a:fillRect/>
                    </a:stretch>
                  </pic:blipFill>
                  <pic:spPr>
                    <a:xfrm>
                      <a:off x="0" y="0"/>
                      <a:ext cx="5026845" cy="3822716"/>
                    </a:xfrm>
                    <a:prstGeom prst="rect">
                      <a:avLst/>
                    </a:prstGeom>
                  </pic:spPr>
                </pic:pic>
              </a:graphicData>
            </a:graphic>
          </wp:inline>
        </w:drawing>
      </w:r>
    </w:p>
    <w:p w:rsidR="00597BEA" w:rsidRDefault="00597BEA" w:rsidP="00597BEA"/>
    <w:p w:rsidR="00597BEA" w:rsidRPr="002D1B80" w:rsidRDefault="00597BEA" w:rsidP="00597BEA"/>
    <w:p w:rsidR="00597BEA" w:rsidRPr="0081562D" w:rsidRDefault="00597BEA" w:rsidP="00597BEA">
      <w:pPr>
        <w:pStyle w:val="Heading3"/>
      </w:pPr>
      <w:bookmarkStart w:id="10" w:name="_Toc79508488"/>
      <w:bookmarkStart w:id="11" w:name="_Toc95126310"/>
      <w:bookmarkStart w:id="12" w:name="_Toc107317639"/>
      <w:r w:rsidRPr="0081562D">
        <w:t>Indication of grouping characteristics in UPOV Test Guidelines (Table of characteristics and TQ 5)</w:t>
      </w:r>
      <w:bookmarkEnd w:id="10"/>
      <w:bookmarkEnd w:id="11"/>
      <w:bookmarkEnd w:id="12"/>
    </w:p>
    <w:p w:rsidR="00597BEA" w:rsidRPr="002D1B80" w:rsidRDefault="00597BEA" w:rsidP="00597BEA"/>
    <w:p w:rsidR="00597BEA" w:rsidRPr="005D0E81" w:rsidRDefault="00597BEA" w:rsidP="00597BEA">
      <w:r w:rsidRPr="005D0E81">
        <w:fldChar w:fldCharType="begin"/>
      </w:r>
      <w:r w:rsidRPr="005D0E81">
        <w:instrText xml:space="preserve"> AUTONUM  </w:instrText>
      </w:r>
      <w:r w:rsidRPr="005D0E81">
        <w:fldChar w:fldCharType="end"/>
      </w:r>
      <w:r w:rsidRPr="005D0E81">
        <w:tab/>
        <w:t>The TWV</w:t>
      </w:r>
      <w:r w:rsidR="003155FF" w:rsidRPr="005D0E81">
        <w:t xml:space="preserve"> </w:t>
      </w:r>
      <w:r w:rsidRPr="005D0E81">
        <w:t>agreed to revise document TGP/7 “Development of Test Guidelines” to indicate characteristics in the table of characteristics and technical questionnaire used as grouping characteristics, as set out in document TWP/6/1, paragraph 22 (see document TWV/56/22 “Report”, paragraph 10).</w:t>
      </w:r>
    </w:p>
    <w:p w:rsidR="00783D48" w:rsidRPr="005D0E81" w:rsidRDefault="00783D48" w:rsidP="00597BEA"/>
    <w:p w:rsidR="00783D48" w:rsidRPr="005D0E81" w:rsidRDefault="00783D48" w:rsidP="00783D48">
      <w:pPr>
        <w:rPr>
          <w:snapToGrid w:val="0"/>
        </w:rPr>
      </w:pPr>
      <w:r w:rsidRPr="005D0E81">
        <w:fldChar w:fldCharType="begin"/>
      </w:r>
      <w:r w:rsidRPr="005D0E81">
        <w:instrText xml:space="preserve"> AUTONUM  </w:instrText>
      </w:r>
      <w:r w:rsidRPr="005D0E81">
        <w:fldChar w:fldCharType="end"/>
      </w:r>
      <w:r w:rsidRPr="005D0E81">
        <w:tab/>
      </w:r>
      <w:proofErr w:type="gramStart"/>
      <w:r w:rsidRPr="005D0E81">
        <w:rPr>
          <w:snapToGrid w:val="0"/>
        </w:rPr>
        <w:t>The TWO</w:t>
      </w:r>
      <w:r w:rsidR="003155FF" w:rsidRPr="005D0E81">
        <w:rPr>
          <w:snapToGrid w:val="0"/>
        </w:rPr>
        <w:t>, at its fifty-fo</w:t>
      </w:r>
      <w:r w:rsidR="006F2288" w:rsidRPr="005D0E81">
        <w:rPr>
          <w:snapToGrid w:val="0"/>
        </w:rPr>
        <w:t>u</w:t>
      </w:r>
      <w:r w:rsidR="003155FF" w:rsidRPr="005D0E81">
        <w:rPr>
          <w:snapToGrid w:val="0"/>
        </w:rPr>
        <w:t>rth session,</w:t>
      </w:r>
      <w:r w:rsidRPr="005D0E81">
        <w:rPr>
          <w:snapToGrid w:val="0"/>
        </w:rPr>
        <w:t xml:space="preserve"> agreed with the TWA, at its fifty-first session, that no revision of document TGP/7 would be required as information on grouping characteristics was not relevant in the technical questionnaire and it would not be necessary to repeat information from Section 5 in the table of characteristics (see document</w:t>
      </w:r>
      <w:r w:rsidR="006F2288" w:rsidRPr="005D0E81">
        <w:rPr>
          <w:snapToGrid w:val="0"/>
        </w:rPr>
        <w:t>s</w:t>
      </w:r>
      <w:r w:rsidRPr="005D0E81">
        <w:rPr>
          <w:snapToGrid w:val="0"/>
        </w:rPr>
        <w:t xml:space="preserve"> </w:t>
      </w:r>
      <w:r w:rsidR="006F2288" w:rsidRPr="005D0E81">
        <w:t xml:space="preserve">TWA/51/11 “Report”, paragraph 28, and </w:t>
      </w:r>
      <w:r w:rsidRPr="005D0E81">
        <w:t>TWO/54/6 “Report”, paragraph 27)</w:t>
      </w:r>
      <w:r w:rsidRPr="005D0E81">
        <w:rPr>
          <w:snapToGrid w:val="0"/>
        </w:rPr>
        <w:t>.</w:t>
      </w:r>
      <w:proofErr w:type="gramEnd"/>
    </w:p>
    <w:p w:rsidR="00597BEA" w:rsidRPr="005D0E81" w:rsidRDefault="00597BEA" w:rsidP="00597BEA">
      <w:pPr>
        <w:pStyle w:val="Heading5"/>
      </w:pPr>
      <w:bookmarkStart w:id="13" w:name="_Toc95126311"/>
    </w:p>
    <w:p w:rsidR="00597BEA" w:rsidRPr="005D0E81" w:rsidRDefault="00597BEA" w:rsidP="00597BEA">
      <w:pPr>
        <w:pStyle w:val="Heading3"/>
      </w:pPr>
      <w:bookmarkStart w:id="14" w:name="_Toc107317640"/>
      <w:r w:rsidRPr="005D0E81">
        <w:t>Converting standard wording in Test Guidelines into optional wording</w:t>
      </w:r>
      <w:bookmarkEnd w:id="13"/>
      <w:bookmarkEnd w:id="14"/>
      <w:r w:rsidRPr="005D0E81">
        <w:t xml:space="preserve"> </w:t>
      </w:r>
    </w:p>
    <w:p w:rsidR="00597BEA" w:rsidRPr="005D0E81" w:rsidRDefault="00597BEA" w:rsidP="00597BEA"/>
    <w:p w:rsidR="00597BEA" w:rsidRPr="005D0E81" w:rsidRDefault="00597BEA" w:rsidP="00597BEA">
      <w:r w:rsidRPr="005D0E81">
        <w:fldChar w:fldCharType="begin"/>
      </w:r>
      <w:r w:rsidRPr="005D0E81">
        <w:instrText xml:space="preserve"> AUTONUM  </w:instrText>
      </w:r>
      <w:r w:rsidRPr="005D0E81">
        <w:fldChar w:fldCharType="end"/>
      </w:r>
      <w:r w:rsidRPr="005D0E81">
        <w:tab/>
      </w:r>
      <w:proofErr w:type="gramStart"/>
      <w:r w:rsidRPr="005D0E81">
        <w:t xml:space="preserve">The </w:t>
      </w:r>
      <w:r w:rsidR="00783D48" w:rsidRPr="005D0E81">
        <w:t xml:space="preserve">TWV, TWA and TWO </w:t>
      </w:r>
      <w:r w:rsidRPr="005D0E81">
        <w:t>agreed to amend document TGP/7 “Development of Test Guidelines” to convert the standard wording in the Test Guidelines template, paragraph 4.2.2, into additional standard wording (optional), as set out in document TWP/6/1, paragraph 25 (see documents TWV/56/22 “Report”, paragraph 11, TWA/51/11 “Report”, paragraph 29</w:t>
      </w:r>
      <w:r w:rsidR="00783D48" w:rsidRPr="005D0E81">
        <w:t>, and TWO/54/6 “Report”, paragraph 28</w:t>
      </w:r>
      <w:r w:rsidRPr="005D0E81">
        <w:t>).</w:t>
      </w:r>
      <w:proofErr w:type="gramEnd"/>
    </w:p>
    <w:p w:rsidR="00597BEA" w:rsidRPr="005D0E81" w:rsidRDefault="00597BEA" w:rsidP="00597BEA"/>
    <w:p w:rsidR="00597BEA" w:rsidRPr="005D0E81" w:rsidRDefault="00597BEA" w:rsidP="00597BEA">
      <w:pPr>
        <w:pStyle w:val="Heading2"/>
      </w:pPr>
      <w:bookmarkStart w:id="15" w:name="_Toc107317641"/>
      <w:r w:rsidRPr="005D0E81">
        <w:t>Document TGP/8 ‘</w:t>
      </w:r>
      <w:r w:rsidRPr="005D0E81">
        <w:rPr>
          <w:shd w:val="clear" w:color="auto" w:fill="FFFFFF"/>
        </w:rPr>
        <w:t>Trial Design and Techniques Used in the Examination of Distinctness, Uniformity and Stability’</w:t>
      </w:r>
      <w:bookmarkEnd w:id="15"/>
    </w:p>
    <w:p w:rsidR="00597BEA" w:rsidRPr="005D0E81" w:rsidRDefault="00597BEA" w:rsidP="00597BEA"/>
    <w:p w:rsidR="00597BEA" w:rsidRPr="005D0E81" w:rsidRDefault="00597BEA" w:rsidP="00597BEA">
      <w:pPr>
        <w:pStyle w:val="Heading3"/>
      </w:pPr>
      <w:bookmarkStart w:id="16" w:name="_Toc107317642"/>
      <w:r w:rsidRPr="005D0E81">
        <w:t>The Combined Over Years Uniformity Criterion (COYU)</w:t>
      </w:r>
      <w:bookmarkEnd w:id="16"/>
    </w:p>
    <w:p w:rsidR="00597BEA" w:rsidRPr="005D0E81" w:rsidRDefault="00597BEA" w:rsidP="00597BEA"/>
    <w:p w:rsidR="00597BEA" w:rsidRPr="005D0E81" w:rsidRDefault="00597BEA" w:rsidP="00597BEA">
      <w:pPr>
        <w:rPr>
          <w:rFonts w:cs="Arial"/>
        </w:rPr>
      </w:pPr>
      <w:r w:rsidRPr="005D0E81">
        <w:fldChar w:fldCharType="begin"/>
      </w:r>
      <w:r w:rsidRPr="005D0E81">
        <w:instrText xml:space="preserve"> AUTONUM  </w:instrText>
      </w:r>
      <w:r w:rsidRPr="005D0E81">
        <w:fldChar w:fldCharType="end"/>
      </w:r>
      <w:r w:rsidRPr="005D0E81">
        <w:tab/>
      </w:r>
      <w:r w:rsidRPr="005D0E81">
        <w:rPr>
          <w:rFonts w:cs="Arial"/>
        </w:rPr>
        <w:t xml:space="preserve">The </w:t>
      </w:r>
      <w:r w:rsidR="00783D48" w:rsidRPr="005D0E81">
        <w:t xml:space="preserve">TWV, TWA and TWO </w:t>
      </w:r>
      <w:r w:rsidRPr="005D0E81">
        <w:rPr>
          <w:rFonts w:cs="Arial"/>
        </w:rPr>
        <w:t xml:space="preserve">considered document TWP/6/11 </w:t>
      </w:r>
      <w:r w:rsidRPr="005D0E81">
        <w:t>(see documents TWV/56/22 “Report”, paragraphs 12 to 15, TWA/51/11 “Report”, paragraphs 30 to 34</w:t>
      </w:r>
      <w:r w:rsidR="00783D48" w:rsidRPr="005D0E81">
        <w:t>, and TWO/54/6 “Report”, paragraphs 29 to 33</w:t>
      </w:r>
      <w:r w:rsidRPr="005D0E81">
        <w:t>)</w:t>
      </w:r>
      <w:r w:rsidRPr="005D0E81">
        <w:rPr>
          <w:rFonts w:cs="Arial"/>
        </w:rPr>
        <w:t>.</w:t>
      </w:r>
    </w:p>
    <w:p w:rsidR="00597BEA" w:rsidRPr="005D0E81" w:rsidRDefault="00597BEA" w:rsidP="00597BEA">
      <w:pPr>
        <w:rPr>
          <w:rFonts w:cs="Arial"/>
        </w:rPr>
      </w:pPr>
    </w:p>
    <w:p w:rsidR="00597BEA" w:rsidRPr="00627AF5" w:rsidRDefault="00597BEA" w:rsidP="00597BEA">
      <w:pPr>
        <w:rPr>
          <w:rFonts w:cs="Arial"/>
        </w:rPr>
      </w:pPr>
      <w:r w:rsidRPr="005D0E81">
        <w:fldChar w:fldCharType="begin"/>
      </w:r>
      <w:r w:rsidRPr="005D0E81">
        <w:instrText xml:space="preserve"> AUTONUM  </w:instrText>
      </w:r>
      <w:r w:rsidRPr="005D0E81">
        <w:fldChar w:fldCharType="end"/>
      </w:r>
      <w:r w:rsidRPr="005D0E81">
        <w:tab/>
      </w:r>
      <w:r w:rsidRPr="005D0E81">
        <w:rPr>
          <w:rFonts w:cs="Arial"/>
        </w:rPr>
        <w:t xml:space="preserve">The </w:t>
      </w:r>
      <w:r w:rsidR="005A6BDD" w:rsidRPr="005D0E81">
        <w:t>TWV, TWA and TWO</w:t>
      </w:r>
      <w:r w:rsidR="005A6BDD" w:rsidRPr="005D0E81">
        <w:rPr>
          <w:rFonts w:cs="Arial"/>
        </w:rPr>
        <w:t xml:space="preserve"> </w:t>
      </w:r>
      <w:r w:rsidRPr="005D0E81">
        <w:rPr>
          <w:rFonts w:cs="Arial"/>
        </w:rPr>
        <w:t xml:space="preserve">noted that software for COYU Splines would be under evaluation and planned to </w:t>
      </w:r>
      <w:proofErr w:type="gramStart"/>
      <w:r w:rsidRPr="005D0E81">
        <w:rPr>
          <w:rFonts w:cs="Arial"/>
        </w:rPr>
        <w:t>be implemented</w:t>
      </w:r>
      <w:proofErr w:type="gramEnd"/>
      <w:r w:rsidRPr="005D0E81">
        <w:rPr>
          <w:rFonts w:cs="Arial"/>
        </w:rPr>
        <w:t xml:space="preserve"> in the United Kingdom from 2022.</w:t>
      </w:r>
    </w:p>
    <w:p w:rsidR="00597BEA" w:rsidRPr="00627AF5" w:rsidRDefault="00597BEA" w:rsidP="00597BEA">
      <w:pPr>
        <w:rPr>
          <w:rFonts w:cs="Arial"/>
        </w:rPr>
      </w:pPr>
    </w:p>
    <w:p w:rsidR="00597BEA" w:rsidRPr="005D0E81" w:rsidRDefault="00597BEA" w:rsidP="00597BEA">
      <w:pPr>
        <w:rPr>
          <w:rFonts w:cs="Arial"/>
        </w:rPr>
      </w:pPr>
      <w:r w:rsidRPr="005D0E81">
        <w:fldChar w:fldCharType="begin"/>
      </w:r>
      <w:r w:rsidRPr="005D0E81">
        <w:instrText xml:space="preserve"> AUTONUM  </w:instrText>
      </w:r>
      <w:r w:rsidRPr="005D0E81">
        <w:fldChar w:fldCharType="end"/>
      </w:r>
      <w:r w:rsidRPr="005D0E81">
        <w:tab/>
      </w:r>
      <w:r w:rsidRPr="005D0E81">
        <w:rPr>
          <w:rFonts w:cs="Arial"/>
        </w:rPr>
        <w:t xml:space="preserve">The </w:t>
      </w:r>
      <w:r w:rsidR="005A6BDD" w:rsidRPr="005D0E81">
        <w:t>TWV, TWA and TWO</w:t>
      </w:r>
      <w:r w:rsidR="005A6BDD" w:rsidRPr="005D0E81">
        <w:rPr>
          <w:rFonts w:cs="Arial"/>
        </w:rPr>
        <w:t xml:space="preserve"> </w:t>
      </w:r>
      <w:r w:rsidRPr="005D0E81">
        <w:rPr>
          <w:rFonts w:cs="Arial"/>
        </w:rPr>
        <w:t xml:space="preserve">noted that evaluation versions of software for COYU Splines </w:t>
      </w:r>
      <w:proofErr w:type="gramStart"/>
      <w:r w:rsidRPr="005D0E81">
        <w:rPr>
          <w:rFonts w:cs="Arial"/>
        </w:rPr>
        <w:t>had been made</w:t>
      </w:r>
      <w:proofErr w:type="gramEnd"/>
      <w:r w:rsidRPr="005D0E81">
        <w:rPr>
          <w:rFonts w:cs="Arial"/>
        </w:rPr>
        <w:t xml:space="preserve"> available in August 2021.  The TWV noted the invitation for members of the Union to participate in the test campaign of the COYU Splines software and report outcomes to the expert from the United Kingdom. </w:t>
      </w:r>
    </w:p>
    <w:p w:rsidR="00597BEA" w:rsidRPr="005D0E81" w:rsidRDefault="00597BEA" w:rsidP="00597BEA">
      <w:pPr>
        <w:rPr>
          <w:rFonts w:cs="Arial"/>
        </w:rPr>
      </w:pPr>
    </w:p>
    <w:p w:rsidR="00597BEA" w:rsidRDefault="00597BEA" w:rsidP="00597BEA">
      <w:pPr>
        <w:rPr>
          <w:rFonts w:cs="Arial"/>
        </w:rPr>
      </w:pPr>
      <w:r w:rsidRPr="005D0E81">
        <w:fldChar w:fldCharType="begin"/>
      </w:r>
      <w:r w:rsidRPr="005D0E81">
        <w:instrText xml:space="preserve"> AUTONUM  </w:instrText>
      </w:r>
      <w:r w:rsidRPr="005D0E81">
        <w:fldChar w:fldCharType="end"/>
      </w:r>
      <w:r w:rsidRPr="005D0E81">
        <w:tab/>
      </w:r>
      <w:r w:rsidRPr="005D0E81">
        <w:rPr>
          <w:rFonts w:cs="Arial"/>
        </w:rPr>
        <w:t xml:space="preserve">The </w:t>
      </w:r>
      <w:r w:rsidR="005A6BDD" w:rsidRPr="005D0E81">
        <w:t>TWV, TWA and TWO</w:t>
      </w:r>
      <w:r w:rsidR="005A6BDD" w:rsidRPr="005D0E81">
        <w:rPr>
          <w:rFonts w:cs="Arial"/>
        </w:rPr>
        <w:t xml:space="preserve"> </w:t>
      </w:r>
      <w:r w:rsidRPr="005D0E81">
        <w:rPr>
          <w:rFonts w:cs="Arial"/>
        </w:rPr>
        <w:t>noted the request for the TWM to prepare a report of the results of the test</w:t>
      </w:r>
      <w:r w:rsidRPr="00627AF5">
        <w:rPr>
          <w:rFonts w:cs="Arial"/>
        </w:rPr>
        <w:t xml:space="preserve"> campaign of the software for COYU Splines for consideration by the TC, at its fifty-eight session, in conjunction with the revision of document TGP/8.</w:t>
      </w:r>
    </w:p>
    <w:p w:rsidR="00597BEA" w:rsidRDefault="00597BEA" w:rsidP="00597BEA">
      <w:pPr>
        <w:rPr>
          <w:rFonts w:cs="Arial"/>
        </w:rPr>
      </w:pPr>
    </w:p>
    <w:p w:rsidR="00597BEA" w:rsidRPr="003818CA" w:rsidRDefault="00597BEA" w:rsidP="00597BEA">
      <w:pPr>
        <w:pStyle w:val="Heading4"/>
        <w:rPr>
          <w:lang w:val="en-US"/>
        </w:rPr>
      </w:pPr>
      <w:r w:rsidRPr="003818CA">
        <w:rPr>
          <w:lang w:val="en-US"/>
        </w:rPr>
        <w:t>Using the COYU-Splines method in DUS examination</w:t>
      </w:r>
    </w:p>
    <w:p w:rsidR="00597BEA" w:rsidRDefault="00597BEA" w:rsidP="00597BEA"/>
    <w:p w:rsidR="00597BEA" w:rsidRDefault="00597BEA" w:rsidP="00597BEA">
      <w:r w:rsidRPr="0009715A">
        <w:fldChar w:fldCharType="begin"/>
      </w:r>
      <w:r w:rsidRPr="0009715A">
        <w:instrText xml:space="preserve"> AUTONUM  </w:instrText>
      </w:r>
      <w:r w:rsidRPr="0009715A">
        <w:fldChar w:fldCharType="end"/>
      </w:r>
      <w:r w:rsidRPr="0009715A">
        <w:tab/>
        <w:t xml:space="preserve">The TWA received a </w:t>
      </w:r>
      <w:r w:rsidRPr="0009715A">
        <w:rPr>
          <w:snapToGrid w:val="0"/>
        </w:rPr>
        <w:t xml:space="preserve">presentation on “COYU Splines: Path to implementation in the United Kingdom” by an expert from the United Kingdom.  </w:t>
      </w:r>
      <w:r w:rsidRPr="0009715A">
        <w:t xml:space="preserve">A copy of the presentation </w:t>
      </w:r>
      <w:proofErr w:type="gramStart"/>
      <w:r w:rsidRPr="0009715A">
        <w:t>is provided</w:t>
      </w:r>
      <w:proofErr w:type="gramEnd"/>
      <w:r w:rsidRPr="0009715A">
        <w:t xml:space="preserve"> in document TWA/51/8.  The TWA noted the work reported and agreed to invite the expert from the United Kingdom to report developments at its fifty</w:t>
      </w:r>
      <w:r w:rsidRPr="0009715A">
        <w:noBreakHyphen/>
        <w:t xml:space="preserve">second session </w:t>
      </w:r>
      <w:r w:rsidRPr="0009715A">
        <w:rPr>
          <w:rFonts w:cs="Arial"/>
        </w:rPr>
        <w:t xml:space="preserve">(see document </w:t>
      </w:r>
      <w:r w:rsidRPr="0009715A">
        <w:t>TWA/51/11 “Report”, paragraph 35).</w:t>
      </w:r>
    </w:p>
    <w:p w:rsidR="00597BEA" w:rsidRPr="008F7EE7" w:rsidRDefault="00597BEA" w:rsidP="00597BEA"/>
    <w:p w:rsidR="00597BEA" w:rsidRPr="00B92309" w:rsidRDefault="00597BEA" w:rsidP="00597BEA">
      <w:pPr>
        <w:pStyle w:val="Heading2"/>
      </w:pPr>
      <w:bookmarkStart w:id="17" w:name="_Toc95126312"/>
      <w:bookmarkStart w:id="18" w:name="_Toc107317643"/>
      <w:r w:rsidRPr="00B92309">
        <w:t>Document TGP/12 ‘Guidance on certain physiological characteristics’</w:t>
      </w:r>
      <w:bookmarkEnd w:id="17"/>
      <w:bookmarkEnd w:id="18"/>
    </w:p>
    <w:p w:rsidR="00597BEA" w:rsidRPr="002D1B80" w:rsidRDefault="00597BEA" w:rsidP="00597BEA">
      <w:pPr>
        <w:keepNext/>
      </w:pPr>
    </w:p>
    <w:p w:rsidR="00597BEA" w:rsidRPr="002D1B80" w:rsidRDefault="00597BEA" w:rsidP="00597BEA">
      <w:pPr>
        <w:pStyle w:val="Heading3"/>
      </w:pPr>
      <w:bookmarkStart w:id="19" w:name="_Toc95126313"/>
      <w:bookmarkStart w:id="20" w:name="_Toc107317644"/>
      <w:r w:rsidRPr="002D1B80">
        <w:t>Word “highly” in only one state of expression</w:t>
      </w:r>
      <w:bookmarkEnd w:id="19"/>
      <w:bookmarkEnd w:id="20"/>
    </w:p>
    <w:p w:rsidR="00597BEA" w:rsidRPr="002D1B80" w:rsidRDefault="00597BEA" w:rsidP="00597BEA">
      <w:pPr>
        <w:keepNext/>
      </w:pPr>
    </w:p>
    <w:p w:rsidR="00597BEA" w:rsidRPr="00153BC6" w:rsidRDefault="00597BEA" w:rsidP="00597BEA">
      <w:r w:rsidRPr="002D1B80">
        <w:fldChar w:fldCharType="begin"/>
      </w:r>
      <w:r w:rsidRPr="002D1B80">
        <w:instrText xml:space="preserve"> AUTONUM  </w:instrText>
      </w:r>
      <w:r w:rsidRPr="002D1B80">
        <w:fldChar w:fldCharType="end"/>
      </w:r>
      <w:r w:rsidRPr="002D1B80">
        <w:tab/>
        <w:t xml:space="preserve">The TWV considered whether to revise the states of expression in the example characteristic in </w:t>
      </w:r>
      <w:r w:rsidRPr="00153BC6">
        <w:t>document TGP/12/2, Section 2.3.2, to address the use of the word “highly” in only one state of expression</w:t>
      </w:r>
      <w:r>
        <w:t xml:space="preserve"> (see document TWV/56/22 “Report”, paragraphs 16 to 20)</w:t>
      </w:r>
      <w:r w:rsidRPr="00153BC6">
        <w:t>.</w:t>
      </w:r>
    </w:p>
    <w:p w:rsidR="00597BEA" w:rsidRPr="00153BC6" w:rsidRDefault="00597BEA" w:rsidP="00597BEA"/>
    <w:p w:rsidR="00597BEA" w:rsidRPr="00153BC6" w:rsidRDefault="00597BEA" w:rsidP="00597BEA">
      <w:r w:rsidRPr="00153BC6">
        <w:fldChar w:fldCharType="begin"/>
      </w:r>
      <w:r w:rsidRPr="00153BC6">
        <w:instrText xml:space="preserve"> AUTONUM  </w:instrText>
      </w:r>
      <w:r w:rsidRPr="00153BC6">
        <w:fldChar w:fldCharType="end"/>
      </w:r>
      <w:r w:rsidRPr="00153BC6">
        <w:tab/>
        <w:t xml:space="preserve">The TWV noted that the scale “susceptible; intermediately resistant; and highly resistant” </w:t>
      </w:r>
      <w:proofErr w:type="gramStart"/>
      <w:r w:rsidRPr="00153BC6">
        <w:t>had been previously used</w:t>
      </w:r>
      <w:proofErr w:type="gramEnd"/>
      <w:r w:rsidRPr="00153BC6">
        <w:t xml:space="preserve"> in the Test Guidelines for Cucumber, Lettuce and Melon and was commonly used in the vegetable sector.  </w:t>
      </w:r>
    </w:p>
    <w:p w:rsidR="00597BEA" w:rsidRPr="00153BC6" w:rsidRDefault="00597BEA" w:rsidP="00597BEA"/>
    <w:p w:rsidR="00597BEA" w:rsidRPr="00153BC6" w:rsidRDefault="00597BEA" w:rsidP="00597BEA">
      <w:r w:rsidRPr="00153BC6">
        <w:fldChar w:fldCharType="begin"/>
      </w:r>
      <w:r w:rsidRPr="00153BC6">
        <w:instrText xml:space="preserve"> AUTONUM  </w:instrText>
      </w:r>
      <w:r w:rsidRPr="00153BC6">
        <w:fldChar w:fldCharType="end"/>
      </w:r>
      <w:r w:rsidRPr="00153BC6">
        <w:tab/>
        <w:t>The TWV noted the explanation from France that state of expression “susceptible” covered a range of expressions, including “highly susceptible”.  The TWV discussed how to apply general UPOV guidance for drafting disease resistance characteristics and agreed there was no consensus to amend guidance in document TGP/12 to delete the word “highly” from state of expression “highly resistant”.</w:t>
      </w:r>
    </w:p>
    <w:p w:rsidR="00597BEA" w:rsidRPr="00153BC6" w:rsidRDefault="00597BEA" w:rsidP="00597BEA"/>
    <w:p w:rsidR="00597BEA" w:rsidRPr="00153BC6" w:rsidRDefault="00597BEA" w:rsidP="00597BEA">
      <w:pPr>
        <w:keepLines/>
      </w:pPr>
      <w:r w:rsidRPr="00153BC6">
        <w:fldChar w:fldCharType="begin"/>
      </w:r>
      <w:r w:rsidRPr="00153BC6">
        <w:instrText xml:space="preserve"> AUTONUM  </w:instrText>
      </w:r>
      <w:r w:rsidRPr="00153BC6">
        <w:fldChar w:fldCharType="end"/>
      </w:r>
      <w:r w:rsidRPr="00153BC6">
        <w:tab/>
        <w:t>The TWV agreed to invite the experts from France and the Netherlands to propose draft guidance explaining the particular features of disease resistance characteristics that require special treatment in relation to general UPOV guidance</w:t>
      </w:r>
      <w:r w:rsidRPr="002D1B80">
        <w:t xml:space="preserve">, to </w:t>
      </w:r>
      <w:proofErr w:type="gramStart"/>
      <w:r w:rsidRPr="002D1B80">
        <w:t>be presented</w:t>
      </w:r>
      <w:proofErr w:type="gramEnd"/>
      <w:r w:rsidRPr="002D1B80">
        <w:t xml:space="preserve"> to the TWV, at its fifty</w:t>
      </w:r>
      <w:r w:rsidRPr="002D1B80">
        <w:noBreakHyphen/>
        <w:t xml:space="preserve">seventh session.  The draft guidance should address matters such as establishing clear distinctness for quantitative disease resistance characteristics on the basis of a difference of one note between varieties;  and explore possibilities for correlating </w:t>
      </w:r>
      <w:r>
        <w:t xml:space="preserve">the scales of </w:t>
      </w:r>
      <w:r w:rsidRPr="00153BC6">
        <w:t xml:space="preserve">UPOV characteristics with those used by </w:t>
      </w:r>
      <w:proofErr w:type="spellStart"/>
      <w:r w:rsidRPr="00153BC6">
        <w:t>phytopathologists</w:t>
      </w:r>
      <w:proofErr w:type="spellEnd"/>
      <w:r w:rsidRPr="00153BC6">
        <w:t xml:space="preserve"> for variety descriptions (e.g.: UPOV “Resistant” = phytopathology “Highly Resistant”).  </w:t>
      </w:r>
    </w:p>
    <w:p w:rsidR="00597BEA" w:rsidRPr="00153BC6" w:rsidRDefault="00597BEA" w:rsidP="00597BEA"/>
    <w:p w:rsidR="00597BEA" w:rsidRPr="002D1B80" w:rsidRDefault="00597BEA" w:rsidP="00597BEA">
      <w:r w:rsidRPr="00153BC6">
        <w:fldChar w:fldCharType="begin"/>
      </w:r>
      <w:r w:rsidRPr="00153BC6">
        <w:instrText xml:space="preserve"> AUTONUM  </w:instrText>
      </w:r>
      <w:r w:rsidRPr="00153BC6">
        <w:fldChar w:fldCharType="end"/>
      </w:r>
      <w:r w:rsidRPr="00153BC6">
        <w:tab/>
        <w:t xml:space="preserve">The TWV agreed that state “intermediate” in the example </w:t>
      </w:r>
      <w:proofErr w:type="gramStart"/>
      <w:r w:rsidRPr="00153BC6">
        <w:t>provided in document TWP/6/1, paragraph 28, should read</w:t>
      </w:r>
      <w:r w:rsidRPr="002D1B80">
        <w:t xml:space="preserve"> “intermediate resistan</w:t>
      </w:r>
      <w:r>
        <w:t>t</w:t>
      </w:r>
      <w:r w:rsidRPr="002D1B80">
        <w:t>”</w:t>
      </w:r>
      <w:proofErr w:type="gramEnd"/>
      <w:r w:rsidRPr="002D1B80">
        <w:t xml:space="preserve">. </w:t>
      </w:r>
    </w:p>
    <w:p w:rsidR="00597BEA" w:rsidRDefault="00597BEA" w:rsidP="00597BEA"/>
    <w:p w:rsidR="00597BEA" w:rsidRDefault="00597BEA" w:rsidP="00597BEA">
      <w:r w:rsidRPr="0009715A">
        <w:fldChar w:fldCharType="begin"/>
      </w:r>
      <w:r w:rsidRPr="0009715A">
        <w:instrText xml:space="preserve"> AUTONUM  </w:instrText>
      </w:r>
      <w:r w:rsidRPr="0009715A">
        <w:fldChar w:fldCharType="end"/>
      </w:r>
      <w:r w:rsidRPr="0009715A">
        <w:tab/>
        <w:t xml:space="preserve">The TWA noted discussions on whether to revise the states of expression in the example characteristic in document TGP/12/2, Section 2.3.2, to address the use of the word “highly” in only one state of expression </w:t>
      </w:r>
      <w:r w:rsidRPr="0009715A">
        <w:rPr>
          <w:rFonts w:cs="Arial"/>
        </w:rPr>
        <w:t xml:space="preserve">(see document </w:t>
      </w:r>
      <w:r w:rsidRPr="0009715A">
        <w:t>TWA/51/11 “Report”, paragraph 35).</w:t>
      </w:r>
    </w:p>
    <w:p w:rsidR="00597BEA" w:rsidRDefault="00597BEA" w:rsidP="00597BEA"/>
    <w:p w:rsidR="005A6BDD" w:rsidRPr="005D0E81" w:rsidRDefault="005A6BDD" w:rsidP="005A6BDD">
      <w:r w:rsidRPr="005D0E81">
        <w:fldChar w:fldCharType="begin"/>
      </w:r>
      <w:r w:rsidRPr="005D0E81">
        <w:instrText xml:space="preserve"> AUTONUM  </w:instrText>
      </w:r>
      <w:r w:rsidRPr="005D0E81">
        <w:fldChar w:fldCharType="end"/>
      </w:r>
      <w:r w:rsidRPr="005D0E81">
        <w:tab/>
        <w:t>The TWO noted the proposal to revise the states of expression in the example characteristic in document TGP/12/2, Section 2.3.2, to address the use of the word “highly” in only one state of expression (see document TWO/54/6 “Report”, paragraphs 34 and 35).</w:t>
      </w:r>
    </w:p>
    <w:p w:rsidR="005A6BDD" w:rsidRPr="005D0E81" w:rsidRDefault="005A6BDD" w:rsidP="00597BEA"/>
    <w:p w:rsidR="005A6BDD" w:rsidRDefault="005A6BDD" w:rsidP="00597BEA">
      <w:r w:rsidRPr="005D0E81">
        <w:fldChar w:fldCharType="begin"/>
      </w:r>
      <w:r w:rsidRPr="005D0E81">
        <w:instrText xml:space="preserve"> AUTONUM  </w:instrText>
      </w:r>
      <w:r w:rsidRPr="005D0E81">
        <w:fldChar w:fldCharType="end"/>
      </w:r>
      <w:r w:rsidRPr="005D0E81">
        <w:tab/>
        <w:t>The TWO noted that the proposal was restricted to the TWV and agreed to propose including all TWPs in discussions.</w:t>
      </w:r>
    </w:p>
    <w:p w:rsidR="005A6BDD" w:rsidRDefault="005A6BDD" w:rsidP="00597BEA"/>
    <w:p w:rsidR="005A6BDD" w:rsidRPr="002D1B80" w:rsidRDefault="005A6BDD" w:rsidP="00597BEA"/>
    <w:p w:rsidR="00597BEA" w:rsidRDefault="00597BEA" w:rsidP="00597BEA"/>
    <w:p w:rsidR="00597BEA" w:rsidRDefault="00597BEA" w:rsidP="006F2288">
      <w:pPr>
        <w:pStyle w:val="Heading1"/>
        <w:keepLines/>
      </w:pPr>
      <w:bookmarkStart w:id="21" w:name="_Toc107317645"/>
      <w:r w:rsidRPr="002D1B80">
        <w:rPr>
          <w:snapToGrid w:val="0"/>
        </w:rPr>
        <w:t>Information and databases</w:t>
      </w:r>
      <w:bookmarkEnd w:id="21"/>
    </w:p>
    <w:p w:rsidR="00597BEA" w:rsidRDefault="00597BEA" w:rsidP="006F2288">
      <w:pPr>
        <w:keepNext/>
        <w:keepLines/>
      </w:pPr>
    </w:p>
    <w:p w:rsidR="00597BEA" w:rsidRPr="002D1B80" w:rsidRDefault="00597BEA" w:rsidP="006F2288">
      <w:pPr>
        <w:pStyle w:val="Heading2"/>
        <w:keepLines/>
        <w:rPr>
          <w:snapToGrid w:val="0"/>
        </w:rPr>
      </w:pPr>
      <w:bookmarkStart w:id="22" w:name="_Toc107317646"/>
      <w:r w:rsidRPr="002D1B80">
        <w:rPr>
          <w:snapToGrid w:val="0"/>
        </w:rPr>
        <w:t>(c)</w:t>
      </w:r>
      <w:r w:rsidRPr="002D1B80">
        <w:rPr>
          <w:snapToGrid w:val="0"/>
        </w:rPr>
        <w:tab/>
        <w:t>Exchange and use of software and equipment</w:t>
      </w:r>
      <w:bookmarkEnd w:id="22"/>
    </w:p>
    <w:p w:rsidR="00597BEA" w:rsidRPr="002D1B80" w:rsidRDefault="00597BEA" w:rsidP="006F2288">
      <w:pPr>
        <w:keepNext/>
        <w:keepLines/>
        <w:rPr>
          <w:snapToGrid w:val="0"/>
        </w:rPr>
      </w:pPr>
    </w:p>
    <w:p w:rsidR="00597BEA" w:rsidRPr="005D0E81" w:rsidRDefault="00597BEA" w:rsidP="006F2288">
      <w:pPr>
        <w:keepNext/>
        <w:keepLines/>
        <w:rPr>
          <w:snapToGrid w:val="0"/>
        </w:rPr>
      </w:pPr>
      <w:r w:rsidRPr="005D0E81">
        <w:rPr>
          <w:snapToGrid w:val="0"/>
        </w:rPr>
        <w:fldChar w:fldCharType="begin"/>
      </w:r>
      <w:r w:rsidRPr="005D0E81">
        <w:rPr>
          <w:snapToGrid w:val="0"/>
        </w:rPr>
        <w:instrText xml:space="preserve"> AUTONUM  </w:instrText>
      </w:r>
      <w:r w:rsidRPr="005D0E81">
        <w:rPr>
          <w:snapToGrid w:val="0"/>
        </w:rPr>
        <w:fldChar w:fldCharType="end"/>
      </w:r>
      <w:r w:rsidRPr="005D0E81">
        <w:rPr>
          <w:snapToGrid w:val="0"/>
        </w:rPr>
        <w:tab/>
        <w:t xml:space="preserve">The </w:t>
      </w:r>
      <w:r w:rsidR="00D736F0" w:rsidRPr="005D0E81">
        <w:t xml:space="preserve">TWV, TWA and TWO </w:t>
      </w:r>
      <w:r w:rsidRPr="005D0E81">
        <w:rPr>
          <w:snapToGrid w:val="0"/>
        </w:rPr>
        <w:t>considered document TWP/6/5.</w:t>
      </w:r>
    </w:p>
    <w:p w:rsidR="00597BEA" w:rsidRPr="005D0E81" w:rsidRDefault="00597BEA" w:rsidP="006F2288">
      <w:pPr>
        <w:keepNext/>
        <w:keepLines/>
        <w:rPr>
          <w:snapToGrid w:val="0"/>
        </w:rPr>
      </w:pPr>
    </w:p>
    <w:p w:rsidR="00597BEA" w:rsidRPr="005D0E81" w:rsidRDefault="00597BEA" w:rsidP="006F2288">
      <w:pPr>
        <w:pStyle w:val="Heading3"/>
        <w:keepLines/>
      </w:pPr>
      <w:bookmarkStart w:id="23" w:name="_Toc99994211"/>
      <w:bookmarkStart w:id="24" w:name="_Toc107317647"/>
      <w:r w:rsidRPr="005D0E81">
        <w:t>Document UPOV/INF/16 “Exchangeable Software”</w:t>
      </w:r>
      <w:bookmarkEnd w:id="23"/>
      <w:bookmarkEnd w:id="24"/>
    </w:p>
    <w:p w:rsidR="00597BEA" w:rsidRPr="005D0E81" w:rsidRDefault="00597BEA" w:rsidP="006F2288">
      <w:pPr>
        <w:keepNext/>
        <w:keepLines/>
        <w:rPr>
          <w:snapToGrid w:val="0"/>
        </w:rPr>
      </w:pPr>
    </w:p>
    <w:p w:rsidR="00597BEA" w:rsidRPr="005D0E81" w:rsidRDefault="00597BEA" w:rsidP="006F2288">
      <w:pPr>
        <w:keepNext/>
        <w:keepLines/>
        <w:rPr>
          <w:snapToGrid w:val="0"/>
        </w:rPr>
      </w:pPr>
      <w:r w:rsidRPr="005D0E81">
        <w:rPr>
          <w:snapToGrid w:val="0"/>
        </w:rPr>
        <w:fldChar w:fldCharType="begin"/>
      </w:r>
      <w:r w:rsidRPr="005D0E81">
        <w:rPr>
          <w:snapToGrid w:val="0"/>
        </w:rPr>
        <w:instrText xml:space="preserve"> AUTONUM  </w:instrText>
      </w:r>
      <w:r w:rsidRPr="005D0E81">
        <w:rPr>
          <w:snapToGrid w:val="0"/>
        </w:rPr>
        <w:fldChar w:fldCharType="end"/>
      </w:r>
      <w:r w:rsidRPr="005D0E81">
        <w:rPr>
          <w:snapToGrid w:val="0"/>
        </w:rPr>
        <w:tab/>
        <w:t xml:space="preserve">The </w:t>
      </w:r>
      <w:r w:rsidR="00D736F0" w:rsidRPr="005D0E81">
        <w:t xml:space="preserve">TWV, TWA and TWO </w:t>
      </w:r>
      <w:r w:rsidRPr="005D0E81">
        <w:rPr>
          <w:snapToGrid w:val="0"/>
        </w:rPr>
        <w:t xml:space="preserve">noted that the Council had adopted by correspondence, on September 21, 2021, document UPOV/INF/16/10 “Exchangeable Software” </w:t>
      </w:r>
      <w:r w:rsidRPr="005D0E81">
        <w:t>(see documents</w:t>
      </w:r>
      <w:r w:rsidR="00D736F0" w:rsidRPr="005D0E81">
        <w:t xml:space="preserve"> TWV/56/22 “Report”, paragraphs </w:t>
      </w:r>
      <w:r w:rsidRPr="005D0E81">
        <w:t>40 to 44, TWA/51/11 “Report”, paragraphs 52 to 55</w:t>
      </w:r>
      <w:r w:rsidR="00D736F0" w:rsidRPr="005D0E81">
        <w:t>, and TWO/54/6 “Report”, paragraphs 53 to 56</w:t>
      </w:r>
      <w:r w:rsidRPr="005D0E81">
        <w:t>)</w:t>
      </w:r>
      <w:r w:rsidRPr="005D0E81">
        <w:rPr>
          <w:snapToGrid w:val="0"/>
        </w:rPr>
        <w:t>.</w:t>
      </w:r>
    </w:p>
    <w:p w:rsidR="00597BEA" w:rsidRPr="005D0E81" w:rsidRDefault="00597BEA" w:rsidP="00597BEA">
      <w:pPr>
        <w:rPr>
          <w:snapToGrid w:val="0"/>
        </w:rPr>
      </w:pPr>
    </w:p>
    <w:p w:rsidR="00597BEA" w:rsidRPr="005D0E81" w:rsidRDefault="00597BEA" w:rsidP="00597BEA">
      <w:pPr>
        <w:rPr>
          <w:snapToGrid w:val="0"/>
        </w:rPr>
      </w:pPr>
      <w:r w:rsidRPr="005D0E81">
        <w:rPr>
          <w:snapToGrid w:val="0"/>
        </w:rPr>
        <w:fldChar w:fldCharType="begin"/>
      </w:r>
      <w:r w:rsidRPr="005D0E81">
        <w:rPr>
          <w:snapToGrid w:val="0"/>
        </w:rPr>
        <w:instrText xml:space="preserve"> AUTONUM  </w:instrText>
      </w:r>
      <w:r w:rsidRPr="005D0E81">
        <w:rPr>
          <w:snapToGrid w:val="0"/>
        </w:rPr>
        <w:fldChar w:fldCharType="end"/>
      </w:r>
      <w:r w:rsidRPr="005D0E81">
        <w:rPr>
          <w:snapToGrid w:val="0"/>
        </w:rPr>
        <w:tab/>
        <w:t xml:space="preserve">The </w:t>
      </w:r>
      <w:r w:rsidR="00D736F0" w:rsidRPr="005D0E81">
        <w:t xml:space="preserve">TWV, TWA and TWO </w:t>
      </w:r>
      <w:r w:rsidRPr="005D0E81">
        <w:rPr>
          <w:snapToGrid w:val="0"/>
        </w:rPr>
        <w:t>noted that the Office of the Union had issued on January 18, 2022, Circular E</w:t>
      </w:r>
      <w:r w:rsidRPr="005D0E81">
        <w:rPr>
          <w:snapToGrid w:val="0"/>
        </w:rPr>
        <w:noBreakHyphen/>
        <w:t>22/002 inviting the designated persons of the members of the Union in the TC to provide or update information regarding the use of the software included in document UPOV/INF/16.</w:t>
      </w:r>
    </w:p>
    <w:p w:rsidR="00597BEA" w:rsidRPr="005D0E81" w:rsidRDefault="00597BEA" w:rsidP="00597BEA">
      <w:pPr>
        <w:rPr>
          <w:snapToGrid w:val="0"/>
        </w:rPr>
      </w:pPr>
    </w:p>
    <w:p w:rsidR="00597BEA" w:rsidRPr="005D0E81" w:rsidRDefault="00597BEA" w:rsidP="00597BEA">
      <w:pPr>
        <w:rPr>
          <w:snapToGrid w:val="0"/>
        </w:rPr>
      </w:pPr>
      <w:r w:rsidRPr="005D0E81">
        <w:rPr>
          <w:snapToGrid w:val="0"/>
        </w:rPr>
        <w:fldChar w:fldCharType="begin"/>
      </w:r>
      <w:r w:rsidRPr="005D0E81">
        <w:rPr>
          <w:snapToGrid w:val="0"/>
        </w:rPr>
        <w:instrText xml:space="preserve"> AUTONUM  </w:instrText>
      </w:r>
      <w:r w:rsidRPr="005D0E81">
        <w:rPr>
          <w:snapToGrid w:val="0"/>
        </w:rPr>
        <w:fldChar w:fldCharType="end"/>
      </w:r>
      <w:r w:rsidRPr="005D0E81">
        <w:rPr>
          <w:snapToGrid w:val="0"/>
        </w:rPr>
        <w:tab/>
        <w:t xml:space="preserve">The </w:t>
      </w:r>
      <w:r w:rsidR="00D736F0" w:rsidRPr="005D0E81">
        <w:t xml:space="preserve">TWV, TWA and TWO </w:t>
      </w:r>
      <w:r w:rsidRPr="005D0E81">
        <w:rPr>
          <w:snapToGrid w:val="0"/>
        </w:rPr>
        <w:t xml:space="preserve">noted that information from China, Czech Republic, France, Poland and Uzbekistan </w:t>
      </w:r>
      <w:proofErr w:type="gramStart"/>
      <w:r w:rsidRPr="005D0E81">
        <w:rPr>
          <w:snapToGrid w:val="0"/>
        </w:rPr>
        <w:t>had been received</w:t>
      </w:r>
      <w:proofErr w:type="gramEnd"/>
      <w:r w:rsidRPr="005D0E81">
        <w:rPr>
          <w:snapToGrid w:val="0"/>
        </w:rPr>
        <w:t xml:space="preserve"> to update document UPOV/INF/16.</w:t>
      </w:r>
    </w:p>
    <w:p w:rsidR="00597BEA" w:rsidRPr="005D0E81" w:rsidRDefault="00597BEA" w:rsidP="00597BEA">
      <w:pPr>
        <w:rPr>
          <w:snapToGrid w:val="0"/>
        </w:rPr>
      </w:pPr>
    </w:p>
    <w:p w:rsidR="00597BEA" w:rsidRPr="005D0E81" w:rsidRDefault="00597BEA" w:rsidP="00597BEA">
      <w:pPr>
        <w:rPr>
          <w:snapToGrid w:val="0"/>
        </w:rPr>
      </w:pPr>
      <w:r w:rsidRPr="005D0E81">
        <w:rPr>
          <w:snapToGrid w:val="0"/>
        </w:rPr>
        <w:fldChar w:fldCharType="begin"/>
      </w:r>
      <w:r w:rsidRPr="005D0E81">
        <w:rPr>
          <w:snapToGrid w:val="0"/>
        </w:rPr>
        <w:instrText xml:space="preserve"> AUTONUM  </w:instrText>
      </w:r>
      <w:r w:rsidRPr="005D0E81">
        <w:rPr>
          <w:snapToGrid w:val="0"/>
        </w:rPr>
        <w:fldChar w:fldCharType="end"/>
      </w:r>
      <w:r w:rsidRPr="005D0E81">
        <w:rPr>
          <w:snapToGrid w:val="0"/>
        </w:rPr>
        <w:tab/>
        <w:t xml:space="preserve">The </w:t>
      </w:r>
      <w:r w:rsidR="00D736F0" w:rsidRPr="005D0E81">
        <w:t xml:space="preserve">TWV, TWA and TWO </w:t>
      </w:r>
      <w:r w:rsidRPr="005D0E81">
        <w:rPr>
          <w:snapToGrid w:val="0"/>
        </w:rPr>
        <w:t xml:space="preserve">noted that the TWM, at its first session, </w:t>
      </w:r>
      <w:proofErr w:type="gramStart"/>
      <w:r w:rsidRPr="005D0E81">
        <w:rPr>
          <w:snapToGrid w:val="0"/>
        </w:rPr>
        <w:t>would be invited</w:t>
      </w:r>
      <w:proofErr w:type="gramEnd"/>
      <w:r w:rsidRPr="005D0E81">
        <w:rPr>
          <w:snapToGrid w:val="0"/>
        </w:rPr>
        <w:t xml:space="preserve"> to review the software proposed by China, Czech Republic, France, Poland and Uzbekistan and make a recommendation to the TC, at its fifty</w:t>
      </w:r>
      <w:r w:rsidRPr="005D0E81">
        <w:rPr>
          <w:snapToGrid w:val="0"/>
        </w:rPr>
        <w:noBreakHyphen/>
        <w:t>eighth session, on whether to include the proposed software in document UPOV/INF/16.</w:t>
      </w:r>
    </w:p>
    <w:p w:rsidR="00597BEA" w:rsidRPr="005D0E81" w:rsidRDefault="00597BEA" w:rsidP="00597BEA">
      <w:pPr>
        <w:rPr>
          <w:snapToGrid w:val="0"/>
        </w:rPr>
      </w:pPr>
    </w:p>
    <w:p w:rsidR="00597BEA" w:rsidRPr="005D0E81" w:rsidRDefault="00597BEA" w:rsidP="00597BEA">
      <w:pPr>
        <w:rPr>
          <w:snapToGrid w:val="0"/>
        </w:rPr>
      </w:pPr>
      <w:r w:rsidRPr="005D0E81">
        <w:rPr>
          <w:snapToGrid w:val="0"/>
        </w:rPr>
        <w:fldChar w:fldCharType="begin"/>
      </w:r>
      <w:r w:rsidRPr="005D0E81">
        <w:rPr>
          <w:snapToGrid w:val="0"/>
        </w:rPr>
        <w:instrText xml:space="preserve"> AUTONUM  </w:instrText>
      </w:r>
      <w:r w:rsidRPr="005D0E81">
        <w:rPr>
          <w:snapToGrid w:val="0"/>
        </w:rPr>
        <w:fldChar w:fldCharType="end"/>
      </w:r>
      <w:r w:rsidRPr="005D0E81">
        <w:rPr>
          <w:snapToGrid w:val="0"/>
        </w:rPr>
        <w:tab/>
        <w:t xml:space="preserve">The TWV received a presentation on </w:t>
      </w:r>
      <w:r w:rsidRPr="005D0E81">
        <w:t>“A Statistical Analysis Software: DUSCEL3.5” from an expert from China</w:t>
      </w:r>
      <w:r w:rsidRPr="005D0E81">
        <w:rPr>
          <w:snapToGrid w:val="0"/>
        </w:rPr>
        <w:t xml:space="preserve">.  A copy of the presentation </w:t>
      </w:r>
      <w:proofErr w:type="gramStart"/>
      <w:r w:rsidRPr="005D0E81">
        <w:rPr>
          <w:snapToGrid w:val="0"/>
        </w:rPr>
        <w:t>is provided</w:t>
      </w:r>
      <w:proofErr w:type="gramEnd"/>
      <w:r w:rsidRPr="005D0E81">
        <w:rPr>
          <w:snapToGrid w:val="0"/>
        </w:rPr>
        <w:t xml:space="preserve"> in document TWV/56/12 </w:t>
      </w:r>
      <w:r w:rsidRPr="005D0E81">
        <w:t>(see document TWV/56/22 “Report”, paragraph 43)</w:t>
      </w:r>
      <w:r w:rsidRPr="005D0E81">
        <w:rPr>
          <w:snapToGrid w:val="0"/>
        </w:rPr>
        <w:t>.</w:t>
      </w:r>
    </w:p>
    <w:p w:rsidR="00597BEA" w:rsidRPr="005D0E81" w:rsidRDefault="00597BEA" w:rsidP="00597BEA">
      <w:pPr>
        <w:rPr>
          <w:snapToGrid w:val="0"/>
        </w:rPr>
      </w:pPr>
    </w:p>
    <w:p w:rsidR="00597BEA" w:rsidRPr="005D0E81" w:rsidRDefault="00597BEA" w:rsidP="00597BEA">
      <w:pPr>
        <w:pStyle w:val="Heading3"/>
      </w:pPr>
      <w:bookmarkStart w:id="25" w:name="_Toc99994216"/>
      <w:bookmarkStart w:id="26" w:name="_Toc107317648"/>
      <w:r w:rsidRPr="005D0E81">
        <w:t>Document</w:t>
      </w:r>
      <w:r w:rsidRPr="005D0E81">
        <w:rPr>
          <w:lang w:eastAsia="ja-JP"/>
        </w:rPr>
        <w:t xml:space="preserve"> </w:t>
      </w:r>
      <w:r w:rsidRPr="005D0E81">
        <w:t>UPOV/INF/22 “Software and Equipment Used by Members of</w:t>
      </w:r>
      <w:r w:rsidRPr="005D0E81">
        <w:rPr>
          <w:lang w:eastAsia="ja-JP"/>
        </w:rPr>
        <w:t xml:space="preserve"> </w:t>
      </w:r>
      <w:r w:rsidRPr="005D0E81">
        <w:t>the Union”</w:t>
      </w:r>
      <w:bookmarkEnd w:id="25"/>
      <w:bookmarkEnd w:id="26"/>
    </w:p>
    <w:p w:rsidR="00597BEA" w:rsidRPr="005D0E81" w:rsidRDefault="00597BEA" w:rsidP="00597BEA">
      <w:pPr>
        <w:keepNext/>
        <w:rPr>
          <w:snapToGrid w:val="0"/>
        </w:rPr>
      </w:pPr>
    </w:p>
    <w:p w:rsidR="00597BEA" w:rsidRPr="005D0E81" w:rsidRDefault="00597BEA" w:rsidP="00597BEA">
      <w:pPr>
        <w:rPr>
          <w:snapToGrid w:val="0"/>
        </w:rPr>
      </w:pPr>
      <w:r w:rsidRPr="005D0E81">
        <w:rPr>
          <w:snapToGrid w:val="0"/>
        </w:rPr>
        <w:fldChar w:fldCharType="begin"/>
      </w:r>
      <w:r w:rsidRPr="005D0E81">
        <w:rPr>
          <w:snapToGrid w:val="0"/>
        </w:rPr>
        <w:instrText xml:space="preserve"> AUTONUM  </w:instrText>
      </w:r>
      <w:r w:rsidRPr="005D0E81">
        <w:rPr>
          <w:snapToGrid w:val="0"/>
        </w:rPr>
        <w:fldChar w:fldCharType="end"/>
      </w:r>
      <w:r w:rsidRPr="005D0E81">
        <w:rPr>
          <w:snapToGrid w:val="0"/>
        </w:rPr>
        <w:tab/>
        <w:t xml:space="preserve">The </w:t>
      </w:r>
      <w:r w:rsidR="00D736F0" w:rsidRPr="005D0E81">
        <w:t xml:space="preserve">TWV, TWA and TWO </w:t>
      </w:r>
      <w:r w:rsidRPr="005D0E81">
        <w:rPr>
          <w:snapToGrid w:val="0"/>
        </w:rPr>
        <w:t>noted that the Council had adopted by correspondence, on September 21,</w:t>
      </w:r>
      <w:r w:rsidRPr="0009715A">
        <w:rPr>
          <w:snapToGrid w:val="0"/>
        </w:rPr>
        <w:t xml:space="preserve"> 2021, document UPOV/INF/22/8 “Software and Equipment Used by Members of the Union” </w:t>
      </w:r>
      <w:r w:rsidRPr="0009715A">
        <w:t xml:space="preserve">expression (see </w:t>
      </w:r>
      <w:r w:rsidRPr="005D0E81">
        <w:t>documents TWV/56/22 “Report”, paragraphs 45 to 48, TWA/51/11 “Report”, paragraphs 56 to 59</w:t>
      </w:r>
      <w:r w:rsidR="00D736F0" w:rsidRPr="005D0E81">
        <w:t>, and TWO/54/6 “Report”, paragraphs 57 to 60</w:t>
      </w:r>
      <w:r w:rsidRPr="005D0E81">
        <w:t>)</w:t>
      </w:r>
      <w:r w:rsidRPr="005D0E81">
        <w:rPr>
          <w:snapToGrid w:val="0"/>
        </w:rPr>
        <w:t>.</w:t>
      </w:r>
    </w:p>
    <w:p w:rsidR="00597BEA" w:rsidRPr="005D0E81" w:rsidRDefault="00597BEA" w:rsidP="00597BEA">
      <w:pPr>
        <w:rPr>
          <w:snapToGrid w:val="0"/>
        </w:rPr>
      </w:pPr>
    </w:p>
    <w:p w:rsidR="00597BEA" w:rsidRPr="005D0E81" w:rsidRDefault="00597BEA" w:rsidP="00597BEA">
      <w:pPr>
        <w:rPr>
          <w:snapToGrid w:val="0"/>
        </w:rPr>
      </w:pPr>
      <w:r w:rsidRPr="005D0E81">
        <w:rPr>
          <w:snapToGrid w:val="0"/>
        </w:rPr>
        <w:fldChar w:fldCharType="begin"/>
      </w:r>
      <w:r w:rsidRPr="005D0E81">
        <w:rPr>
          <w:snapToGrid w:val="0"/>
        </w:rPr>
        <w:instrText xml:space="preserve"> AUTONUM  </w:instrText>
      </w:r>
      <w:r w:rsidRPr="005D0E81">
        <w:rPr>
          <w:snapToGrid w:val="0"/>
        </w:rPr>
        <w:fldChar w:fldCharType="end"/>
      </w:r>
      <w:r w:rsidRPr="005D0E81">
        <w:rPr>
          <w:snapToGrid w:val="0"/>
        </w:rPr>
        <w:tab/>
        <w:t xml:space="preserve">The </w:t>
      </w:r>
      <w:r w:rsidR="00D736F0" w:rsidRPr="005D0E81">
        <w:t xml:space="preserve">TWV, TWA and TWO </w:t>
      </w:r>
      <w:r w:rsidRPr="005D0E81">
        <w:rPr>
          <w:snapToGrid w:val="0"/>
        </w:rPr>
        <w:t xml:space="preserve">noted that the Office of the Union had issued </w:t>
      </w:r>
      <w:r w:rsidR="00D736F0" w:rsidRPr="005D0E81">
        <w:rPr>
          <w:snapToGrid w:val="0"/>
        </w:rPr>
        <w:t>on January 18, 2022, Circular E</w:t>
      </w:r>
      <w:r w:rsidR="00D736F0" w:rsidRPr="005D0E81">
        <w:rPr>
          <w:snapToGrid w:val="0"/>
        </w:rPr>
        <w:noBreakHyphen/>
      </w:r>
      <w:r w:rsidRPr="005D0E81">
        <w:rPr>
          <w:snapToGrid w:val="0"/>
        </w:rPr>
        <w:t>22/002 inviting the designated persons of the members of the Union in the TC to provide or update information regarding the use of the software included in document UPOV/INF/22.</w:t>
      </w:r>
    </w:p>
    <w:p w:rsidR="00597BEA" w:rsidRPr="005D0E81" w:rsidRDefault="00597BEA" w:rsidP="00597BEA">
      <w:pPr>
        <w:rPr>
          <w:snapToGrid w:val="0"/>
        </w:rPr>
      </w:pPr>
    </w:p>
    <w:p w:rsidR="00597BEA" w:rsidRPr="005D0E81" w:rsidRDefault="00597BEA" w:rsidP="00597BEA">
      <w:pPr>
        <w:rPr>
          <w:snapToGrid w:val="0"/>
        </w:rPr>
      </w:pPr>
      <w:r w:rsidRPr="005D0E81">
        <w:rPr>
          <w:snapToGrid w:val="0"/>
        </w:rPr>
        <w:fldChar w:fldCharType="begin"/>
      </w:r>
      <w:r w:rsidRPr="005D0E81">
        <w:rPr>
          <w:snapToGrid w:val="0"/>
        </w:rPr>
        <w:instrText xml:space="preserve"> AUTONUM  </w:instrText>
      </w:r>
      <w:r w:rsidRPr="005D0E81">
        <w:rPr>
          <w:snapToGrid w:val="0"/>
        </w:rPr>
        <w:fldChar w:fldCharType="end"/>
      </w:r>
      <w:r w:rsidRPr="005D0E81">
        <w:rPr>
          <w:snapToGrid w:val="0"/>
        </w:rPr>
        <w:tab/>
        <w:t xml:space="preserve">The </w:t>
      </w:r>
      <w:r w:rsidR="00D736F0" w:rsidRPr="005D0E81">
        <w:t xml:space="preserve">TWV, TWA and TWO </w:t>
      </w:r>
      <w:r w:rsidRPr="005D0E81">
        <w:rPr>
          <w:snapToGrid w:val="0"/>
        </w:rPr>
        <w:t xml:space="preserve">noted that information from the Czech Republic, Netherlands, Poland and Uzbekistan </w:t>
      </w:r>
      <w:proofErr w:type="gramStart"/>
      <w:r w:rsidRPr="005D0E81">
        <w:rPr>
          <w:snapToGrid w:val="0"/>
        </w:rPr>
        <w:t>had been received</w:t>
      </w:r>
      <w:proofErr w:type="gramEnd"/>
      <w:r w:rsidRPr="005D0E81">
        <w:rPr>
          <w:snapToGrid w:val="0"/>
        </w:rPr>
        <w:t xml:space="preserve"> to update document UPOV/INF/22.</w:t>
      </w:r>
    </w:p>
    <w:p w:rsidR="00597BEA" w:rsidRPr="005D0E81" w:rsidRDefault="00597BEA" w:rsidP="00597BEA">
      <w:pPr>
        <w:rPr>
          <w:snapToGrid w:val="0"/>
        </w:rPr>
      </w:pPr>
    </w:p>
    <w:p w:rsidR="00597BEA" w:rsidRPr="005D0E81" w:rsidRDefault="00597BEA" w:rsidP="00597BEA">
      <w:pPr>
        <w:rPr>
          <w:snapToGrid w:val="0"/>
        </w:rPr>
      </w:pPr>
      <w:r w:rsidRPr="005D0E81">
        <w:rPr>
          <w:snapToGrid w:val="0"/>
        </w:rPr>
        <w:fldChar w:fldCharType="begin"/>
      </w:r>
      <w:r w:rsidRPr="005D0E81">
        <w:rPr>
          <w:snapToGrid w:val="0"/>
        </w:rPr>
        <w:instrText xml:space="preserve"> AUTONUM  </w:instrText>
      </w:r>
      <w:r w:rsidRPr="005D0E81">
        <w:rPr>
          <w:snapToGrid w:val="0"/>
        </w:rPr>
        <w:fldChar w:fldCharType="end"/>
      </w:r>
      <w:r w:rsidRPr="005D0E81">
        <w:rPr>
          <w:snapToGrid w:val="0"/>
        </w:rPr>
        <w:tab/>
        <w:t xml:space="preserve">The </w:t>
      </w:r>
      <w:r w:rsidR="00D736F0" w:rsidRPr="005D0E81">
        <w:t xml:space="preserve">TWV, TWA and TWO </w:t>
      </w:r>
      <w:r w:rsidRPr="005D0E81">
        <w:rPr>
          <w:snapToGrid w:val="0"/>
        </w:rPr>
        <w:t xml:space="preserve">noted that the TC, at its fifty-eighth session, </w:t>
      </w:r>
      <w:proofErr w:type="gramStart"/>
      <w:r w:rsidRPr="005D0E81">
        <w:rPr>
          <w:snapToGrid w:val="0"/>
        </w:rPr>
        <w:t>would be invited</w:t>
      </w:r>
      <w:proofErr w:type="gramEnd"/>
      <w:r w:rsidRPr="005D0E81">
        <w:rPr>
          <w:snapToGrid w:val="0"/>
        </w:rPr>
        <w:t xml:space="preserve"> to consider whether to include the proposed software or equipment in document UPOV/INF/22, or whether to request further guidance from other relevant bodies.</w:t>
      </w:r>
    </w:p>
    <w:p w:rsidR="00597BEA" w:rsidRPr="005D0E81" w:rsidRDefault="00597BEA" w:rsidP="00597BEA"/>
    <w:p w:rsidR="00597BEA" w:rsidRPr="005D0E81" w:rsidRDefault="00597BEA" w:rsidP="00597BEA"/>
    <w:p w:rsidR="00597BEA" w:rsidRPr="005D0E81" w:rsidRDefault="00597BEA" w:rsidP="005A6BDD">
      <w:pPr>
        <w:pStyle w:val="Heading1"/>
        <w:rPr>
          <w:snapToGrid w:val="0"/>
        </w:rPr>
      </w:pPr>
      <w:bookmarkStart w:id="27" w:name="_Toc107317649"/>
      <w:r w:rsidRPr="005D0E81">
        <w:rPr>
          <w:snapToGrid w:val="0"/>
        </w:rPr>
        <w:t>Variety denominations</w:t>
      </w:r>
      <w:bookmarkEnd w:id="27"/>
    </w:p>
    <w:p w:rsidR="00597BEA" w:rsidRPr="005D0E81" w:rsidRDefault="00597BEA" w:rsidP="00597BEA">
      <w:pPr>
        <w:ind w:left="567" w:hanging="567"/>
        <w:rPr>
          <w:snapToGrid w:val="0"/>
        </w:rPr>
      </w:pPr>
    </w:p>
    <w:p w:rsidR="00597BEA" w:rsidRPr="0009715A" w:rsidRDefault="00597BEA" w:rsidP="00597BEA">
      <w:r w:rsidRPr="005D0E81">
        <w:rPr>
          <w:rFonts w:cs="Arial"/>
        </w:rPr>
        <w:fldChar w:fldCharType="begin"/>
      </w:r>
      <w:r w:rsidRPr="005D0E81">
        <w:rPr>
          <w:rFonts w:cs="Arial"/>
        </w:rPr>
        <w:instrText xml:space="preserve"> AUTONUM  </w:instrText>
      </w:r>
      <w:r w:rsidRPr="005D0E81">
        <w:rPr>
          <w:rFonts w:cs="Arial"/>
        </w:rPr>
        <w:fldChar w:fldCharType="end"/>
      </w:r>
      <w:r w:rsidRPr="005D0E81">
        <w:rPr>
          <w:rFonts w:cs="Arial"/>
        </w:rPr>
        <w:tab/>
      </w:r>
      <w:proofErr w:type="gramStart"/>
      <w:r w:rsidRPr="005D0E81">
        <w:rPr>
          <w:rFonts w:cs="Arial"/>
        </w:rPr>
        <w:t xml:space="preserve">The </w:t>
      </w:r>
      <w:r w:rsidR="00411EAF" w:rsidRPr="005D0E81">
        <w:t>TWV, TWA and TWO</w:t>
      </w:r>
      <w:r w:rsidRPr="005D0E81">
        <w:rPr>
          <w:rFonts w:cs="Arial"/>
        </w:rPr>
        <w:t xml:space="preserve"> considered document TWP/6/6 and </w:t>
      </w:r>
      <w:r w:rsidRPr="005D0E81">
        <w:rPr>
          <w:snapToGrid w:val="0"/>
        </w:rPr>
        <w:t xml:space="preserve">noted developments concerning the “Explanatory Notes on Variety Denominations under the UPOV Convention” (document UPOV/EXN/DEN/1), the possible development of a UPOV similarity search tool for variety denomination and the expansion of the content of the PLUTO database </w:t>
      </w:r>
      <w:r w:rsidRPr="005D0E81">
        <w:t>(see documents TWV/56/22 “Report”, paragraph 51, TWA/51/11 “Report”, paragraph 62</w:t>
      </w:r>
      <w:r w:rsidR="00411EAF" w:rsidRPr="005D0E81">
        <w:t>, and TWO/54/6 “Report”, paragraph 40</w:t>
      </w:r>
      <w:r w:rsidRPr="005D0E81">
        <w:t>)</w:t>
      </w:r>
      <w:r w:rsidRPr="005D0E81">
        <w:rPr>
          <w:snapToGrid w:val="0"/>
        </w:rPr>
        <w:t>.</w:t>
      </w:r>
      <w:proofErr w:type="gramEnd"/>
    </w:p>
    <w:p w:rsidR="00597BEA" w:rsidRPr="0009715A" w:rsidRDefault="00597BEA" w:rsidP="00597BEA">
      <w:pPr>
        <w:ind w:left="567" w:hanging="567"/>
        <w:rPr>
          <w:snapToGrid w:val="0"/>
        </w:rPr>
      </w:pPr>
    </w:p>
    <w:p w:rsidR="00597BEA" w:rsidRPr="00153BC6" w:rsidRDefault="00597BEA" w:rsidP="00597BEA">
      <w:pPr>
        <w:rPr>
          <w:snapToGrid w:val="0"/>
        </w:rPr>
      </w:pPr>
      <w:r w:rsidRPr="0009715A">
        <w:rPr>
          <w:snapToGrid w:val="0"/>
        </w:rPr>
        <w:fldChar w:fldCharType="begin"/>
      </w:r>
      <w:r w:rsidRPr="0009715A">
        <w:rPr>
          <w:snapToGrid w:val="0"/>
        </w:rPr>
        <w:instrText xml:space="preserve"> AUTONUM  </w:instrText>
      </w:r>
      <w:r w:rsidRPr="0009715A">
        <w:rPr>
          <w:snapToGrid w:val="0"/>
        </w:rPr>
        <w:fldChar w:fldCharType="end"/>
      </w:r>
      <w:r w:rsidRPr="0009715A">
        <w:rPr>
          <w:snapToGrid w:val="0"/>
        </w:rPr>
        <w:tab/>
        <w:t xml:space="preserve">The TWV considered document </w:t>
      </w:r>
      <w:proofErr w:type="gramStart"/>
      <w:r w:rsidRPr="0009715A">
        <w:rPr>
          <w:snapToGrid w:val="0"/>
        </w:rPr>
        <w:t xml:space="preserve">TWV/56/4 and the </w:t>
      </w:r>
      <w:r w:rsidRPr="0009715A">
        <w:t>changes proposed to variety denomination classes</w:t>
      </w:r>
      <w:r w:rsidRPr="002D1B80">
        <w:t xml:space="preserve"> for </w:t>
      </w:r>
      <w:r w:rsidRPr="002D1B80">
        <w:rPr>
          <w:i/>
        </w:rPr>
        <w:t>Brassica</w:t>
      </w:r>
      <w:r w:rsidRPr="002D1B80">
        <w:t xml:space="preserve"> and creation of new classes within </w:t>
      </w:r>
      <w:r w:rsidRPr="002D1B80">
        <w:rPr>
          <w:i/>
        </w:rPr>
        <w:t>Allium</w:t>
      </w:r>
      <w:r w:rsidRPr="002D1B80">
        <w:t xml:space="preserve"> and </w:t>
      </w:r>
      <w:proofErr w:type="spellStart"/>
      <w:r w:rsidRPr="002D1B80">
        <w:rPr>
          <w:i/>
        </w:rPr>
        <w:t>Prunus</w:t>
      </w:r>
      <w:proofErr w:type="spellEnd"/>
      <w:r w:rsidRPr="002D1B80">
        <w:t xml:space="preserve">, as presented by an expert from the </w:t>
      </w:r>
      <w:r w:rsidRPr="00153BC6">
        <w:t>Czech Republic</w:t>
      </w:r>
      <w:r>
        <w:t xml:space="preserve"> (see document TWV/56/22 “Report”, paragraphs 52 to 54)</w:t>
      </w:r>
      <w:proofErr w:type="gramEnd"/>
      <w:r w:rsidRPr="002D1B80">
        <w:rPr>
          <w:snapToGrid w:val="0"/>
        </w:rPr>
        <w:t>.</w:t>
      </w:r>
      <w:r w:rsidRPr="00153BC6">
        <w:rPr>
          <w:snapToGrid w:val="0"/>
        </w:rPr>
        <w:t xml:space="preserve"> </w:t>
      </w:r>
    </w:p>
    <w:p w:rsidR="00597BEA" w:rsidRPr="00153BC6" w:rsidRDefault="00597BEA" w:rsidP="00597BEA">
      <w:pPr>
        <w:ind w:left="567" w:hanging="567"/>
        <w:rPr>
          <w:snapToGrid w:val="0"/>
        </w:rPr>
      </w:pPr>
    </w:p>
    <w:p w:rsidR="00597BEA" w:rsidRPr="00153BC6" w:rsidRDefault="00597BEA" w:rsidP="00597BEA">
      <w:r w:rsidRPr="00153BC6">
        <w:fldChar w:fldCharType="begin"/>
      </w:r>
      <w:r w:rsidRPr="00153BC6">
        <w:instrText xml:space="preserve"> AUTONUM  </w:instrText>
      </w:r>
      <w:r w:rsidRPr="00153BC6">
        <w:fldChar w:fldCharType="end"/>
      </w:r>
      <w:r w:rsidRPr="00153BC6">
        <w:tab/>
        <w:t xml:space="preserve">The TWV considered the different species within the proposed classes for </w:t>
      </w:r>
      <w:r w:rsidRPr="00153BC6">
        <w:rPr>
          <w:i/>
        </w:rPr>
        <w:t>Allium</w:t>
      </w:r>
      <w:r w:rsidRPr="00153BC6">
        <w:t xml:space="preserve"> and </w:t>
      </w:r>
      <w:r w:rsidRPr="00153BC6">
        <w:rPr>
          <w:i/>
        </w:rPr>
        <w:t>Brassica</w:t>
      </w:r>
      <w:r w:rsidRPr="00153BC6">
        <w:t xml:space="preserve"> and agreed that further discussion was required.  The TWV agreed that </w:t>
      </w:r>
      <w:r w:rsidRPr="00153BC6">
        <w:rPr>
          <w:i/>
        </w:rPr>
        <w:t>Allium</w:t>
      </w:r>
      <w:r w:rsidRPr="00153BC6">
        <w:t xml:space="preserve"> species used as vegetable crops </w:t>
      </w:r>
      <w:proofErr w:type="gramStart"/>
      <w:r w:rsidRPr="00153BC6">
        <w:t>should be individually listed</w:t>
      </w:r>
      <w:proofErr w:type="gramEnd"/>
      <w:r w:rsidRPr="00153BC6">
        <w:t xml:space="preserve"> to create a separate denomination class from other species used as ornamental plants.  </w:t>
      </w:r>
    </w:p>
    <w:p w:rsidR="00597BEA" w:rsidRPr="00153BC6" w:rsidRDefault="00597BEA" w:rsidP="00597BEA"/>
    <w:p w:rsidR="00597BEA" w:rsidRDefault="00597BEA" w:rsidP="00597BEA">
      <w:r w:rsidRPr="00153BC6">
        <w:fldChar w:fldCharType="begin"/>
      </w:r>
      <w:r w:rsidRPr="00153BC6">
        <w:instrText xml:space="preserve"> AUTONUM  </w:instrText>
      </w:r>
      <w:r w:rsidRPr="00153BC6">
        <w:fldChar w:fldCharType="end"/>
      </w:r>
      <w:r w:rsidRPr="00153BC6">
        <w:tab/>
        <w:t>The TWV agreed to invite the experts from the Czech Republic and the Netherlands to develop a new proposal to amend</w:t>
      </w:r>
      <w:r w:rsidRPr="002D1B80">
        <w:t xml:space="preserve"> the denomination classes for </w:t>
      </w:r>
      <w:r w:rsidRPr="002D1B80">
        <w:rPr>
          <w:i/>
        </w:rPr>
        <w:t>Allium</w:t>
      </w:r>
      <w:r w:rsidRPr="002D1B80">
        <w:t xml:space="preserve"> and </w:t>
      </w:r>
      <w:r w:rsidRPr="002D1B80">
        <w:rPr>
          <w:i/>
        </w:rPr>
        <w:t>Brassica</w:t>
      </w:r>
      <w:r w:rsidRPr="002D1B80">
        <w:t xml:space="preserve">, </w:t>
      </w:r>
      <w:r w:rsidRPr="002D1B80">
        <w:rPr>
          <w:snapToGrid w:val="0"/>
        </w:rPr>
        <w:t xml:space="preserve">to </w:t>
      </w:r>
      <w:proofErr w:type="gramStart"/>
      <w:r w:rsidRPr="002D1B80">
        <w:rPr>
          <w:snapToGrid w:val="0"/>
        </w:rPr>
        <w:t xml:space="preserve">be </w:t>
      </w:r>
      <w:r w:rsidRPr="002D1B80">
        <w:t>presented</w:t>
      </w:r>
      <w:proofErr w:type="gramEnd"/>
      <w:r w:rsidRPr="002D1B80">
        <w:t xml:space="preserve"> to the TWV at its fifty</w:t>
      </w:r>
      <w:r w:rsidRPr="002D1B80">
        <w:noBreakHyphen/>
        <w:t xml:space="preserve">seventh session.  </w:t>
      </w:r>
    </w:p>
    <w:p w:rsidR="00597BEA" w:rsidRDefault="00597BEA" w:rsidP="00597BEA"/>
    <w:p w:rsidR="00544581" w:rsidRDefault="00544581">
      <w:pPr>
        <w:jc w:val="left"/>
      </w:pPr>
    </w:p>
    <w:p w:rsidR="00050E16" w:rsidRPr="00C651CE" w:rsidRDefault="00050E16" w:rsidP="00050E16"/>
    <w:p w:rsidR="009B440E" w:rsidRDefault="00050E16" w:rsidP="00050E16">
      <w:pPr>
        <w:jc w:val="right"/>
      </w:pPr>
      <w:r w:rsidRPr="00C5280D">
        <w:t>[End of document]</w:t>
      </w:r>
    </w:p>
    <w:p w:rsidR="00903264" w:rsidRDefault="00903264">
      <w:pPr>
        <w:jc w:val="left"/>
      </w:pPr>
    </w:p>
    <w:p w:rsidR="00050E16" w:rsidRPr="00C5280D" w:rsidRDefault="00050E16" w:rsidP="009B440E">
      <w:pPr>
        <w:jc w:val="left"/>
      </w:pPr>
    </w:p>
    <w:sectPr w:rsidR="00050E16" w:rsidRPr="00C5280D" w:rsidSect="005E7466">
      <w:headerReference w:type="default" r:id="rId19"/>
      <w:headerReference w:type="first" r:id="rId2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497" w:rsidRDefault="00DF3497" w:rsidP="006655D3">
      <w:r>
        <w:separator/>
      </w:r>
    </w:p>
    <w:p w:rsidR="00DF3497" w:rsidRDefault="00DF3497" w:rsidP="006655D3"/>
    <w:p w:rsidR="00DF3497" w:rsidRDefault="00DF3497" w:rsidP="006655D3"/>
  </w:endnote>
  <w:endnote w:type="continuationSeparator" w:id="0">
    <w:p w:rsidR="00DF3497" w:rsidRDefault="00DF3497" w:rsidP="006655D3">
      <w:r>
        <w:separator/>
      </w:r>
    </w:p>
    <w:p w:rsidR="00DF3497" w:rsidRPr="00294751" w:rsidRDefault="00DF3497">
      <w:pPr>
        <w:pStyle w:val="Footer"/>
        <w:spacing w:after="60"/>
        <w:rPr>
          <w:sz w:val="18"/>
          <w:lang w:val="fr-FR"/>
        </w:rPr>
      </w:pPr>
      <w:r w:rsidRPr="00294751">
        <w:rPr>
          <w:sz w:val="18"/>
          <w:lang w:val="fr-FR"/>
        </w:rPr>
        <w:t>[Suite de la note de la page précédente]</w:t>
      </w:r>
    </w:p>
    <w:p w:rsidR="00DF3497" w:rsidRPr="00294751" w:rsidRDefault="00DF3497" w:rsidP="006655D3">
      <w:pPr>
        <w:rPr>
          <w:lang w:val="fr-FR"/>
        </w:rPr>
      </w:pPr>
    </w:p>
    <w:p w:rsidR="00DF3497" w:rsidRPr="00294751" w:rsidRDefault="00DF3497" w:rsidP="006655D3">
      <w:pPr>
        <w:rPr>
          <w:lang w:val="fr-FR"/>
        </w:rPr>
      </w:pPr>
    </w:p>
  </w:endnote>
  <w:endnote w:type="continuationNotice" w:id="1">
    <w:p w:rsidR="00DF3497" w:rsidRPr="00294751" w:rsidRDefault="00DF3497" w:rsidP="006655D3">
      <w:pPr>
        <w:rPr>
          <w:lang w:val="fr-FR"/>
        </w:rPr>
      </w:pPr>
      <w:r w:rsidRPr="00294751">
        <w:rPr>
          <w:lang w:val="fr-FR"/>
        </w:rPr>
        <w:t>[Suite de la note page suivante]</w:t>
      </w:r>
    </w:p>
    <w:p w:rsidR="00DF3497" w:rsidRPr="00294751" w:rsidRDefault="00DF3497" w:rsidP="006655D3">
      <w:pPr>
        <w:rPr>
          <w:lang w:val="fr-FR"/>
        </w:rPr>
      </w:pPr>
    </w:p>
    <w:p w:rsidR="00DF3497" w:rsidRPr="00294751" w:rsidRDefault="00DF3497"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497" w:rsidRDefault="00DF3497" w:rsidP="006655D3">
      <w:r>
        <w:separator/>
      </w:r>
    </w:p>
  </w:footnote>
  <w:footnote w:type="continuationSeparator" w:id="0">
    <w:p w:rsidR="00DF3497" w:rsidRDefault="00DF3497" w:rsidP="006655D3">
      <w:r>
        <w:separator/>
      </w:r>
    </w:p>
  </w:footnote>
  <w:footnote w:type="continuationNotice" w:id="1">
    <w:p w:rsidR="00DF3497" w:rsidRPr="00AB530F" w:rsidRDefault="00DF3497" w:rsidP="00AB530F">
      <w:pPr>
        <w:pStyle w:val="Footer"/>
      </w:pPr>
    </w:p>
  </w:footnote>
  <w:footnote w:id="2">
    <w:p w:rsidR="00597BEA" w:rsidRPr="00597BEA" w:rsidRDefault="00597BEA" w:rsidP="00597BEA">
      <w:pPr>
        <w:pStyle w:val="FootnoteText"/>
      </w:pPr>
      <w:r w:rsidRPr="00597BEA">
        <w:rPr>
          <w:rStyle w:val="FootnoteReference"/>
        </w:rPr>
        <w:footnoteRef/>
      </w:r>
      <w:r w:rsidRPr="00597BEA">
        <w:t xml:space="preserve"> At its fifty-sixth session, organized by electronic means, from April 18 to 22, 2022</w:t>
      </w:r>
    </w:p>
  </w:footnote>
  <w:footnote w:id="3">
    <w:p w:rsidR="00597BEA" w:rsidRPr="00597BEA" w:rsidRDefault="00597BEA" w:rsidP="00597BEA">
      <w:pPr>
        <w:pStyle w:val="FootnoteText"/>
        <w:rPr>
          <w:highlight w:val="yellow"/>
        </w:rPr>
      </w:pPr>
      <w:r w:rsidRPr="00597BEA">
        <w:rPr>
          <w:rStyle w:val="FootnoteReference"/>
        </w:rPr>
        <w:footnoteRef/>
      </w:r>
      <w:r w:rsidRPr="00597BEA">
        <w:t xml:space="preserve"> At its fifty-first session, held in Cambridge, United Kingdom, from May 23 to 27, 2022</w:t>
      </w:r>
    </w:p>
  </w:footnote>
  <w:footnote w:id="4">
    <w:p w:rsidR="00597BEA" w:rsidRPr="00597BEA" w:rsidRDefault="00597BEA">
      <w:pPr>
        <w:pStyle w:val="FootnoteText"/>
      </w:pPr>
      <w:r w:rsidRPr="005D0E81">
        <w:rPr>
          <w:rStyle w:val="FootnoteReference"/>
        </w:rPr>
        <w:footnoteRef/>
      </w:r>
      <w:r w:rsidRPr="005D0E81">
        <w:t xml:space="preserve"> At </w:t>
      </w:r>
      <w:r w:rsidRPr="005D0E81">
        <w:rPr>
          <w:rFonts w:cs="Arial"/>
        </w:rPr>
        <w:t xml:space="preserve">fifty-fourth session, </w:t>
      </w:r>
      <w:r w:rsidRPr="005D0E81">
        <w:t>hosted by Germany and organized by electronic means, from June 13 to 17, 2022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98B" w:rsidRPr="00C5280D" w:rsidRDefault="00320E00" w:rsidP="00EB048E">
    <w:pPr>
      <w:pStyle w:val="Header"/>
      <w:rPr>
        <w:rStyle w:val="PageNumber"/>
        <w:lang w:val="en-US"/>
      </w:rPr>
    </w:pPr>
    <w:r>
      <w:rPr>
        <w:rStyle w:val="PageNumber"/>
        <w:lang w:val="en-US"/>
      </w:rPr>
      <w:t>TWF/5</w:t>
    </w:r>
    <w:r w:rsidR="008360AE">
      <w:rPr>
        <w:rStyle w:val="PageNumber"/>
        <w:lang w:val="en-US"/>
      </w:rPr>
      <w:t>3</w:t>
    </w:r>
    <w:r w:rsidR="0004198B">
      <w:rPr>
        <w:rStyle w:val="PageNumber"/>
        <w:lang w:val="en-US"/>
      </w:rPr>
      <w:t>/</w:t>
    </w:r>
    <w:r w:rsidR="00597BEA">
      <w:rPr>
        <w:rStyle w:val="PageNumber"/>
        <w:lang w:val="en-US"/>
      </w:rPr>
      <w:t>13</w:t>
    </w:r>
  </w:p>
  <w:p w:rsidR="0004198B" w:rsidRPr="00C5280D" w:rsidRDefault="0004198B"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43C13">
      <w:rPr>
        <w:rStyle w:val="PageNumber"/>
        <w:noProof/>
        <w:lang w:val="en-US"/>
      </w:rPr>
      <w:t>6</w:t>
    </w:r>
    <w:r w:rsidRPr="00C5280D">
      <w:rPr>
        <w:rStyle w:val="PageNumber"/>
        <w:lang w:val="en-US"/>
      </w:rPr>
      <w:fldChar w:fldCharType="end"/>
    </w:r>
  </w:p>
  <w:p w:rsidR="0004198B" w:rsidRPr="00C5280D" w:rsidRDefault="0004198B"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98B" w:rsidRPr="0004198B" w:rsidRDefault="0004198B" w:rsidP="00041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1" w15:restartNumberingAfterBreak="0">
    <w:nsid w:val="656A54BC"/>
    <w:multiLevelType w:val="hybridMultilevel"/>
    <w:tmpl w:val="404E5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497"/>
    <w:rsid w:val="00010CF3"/>
    <w:rsid w:val="00011E27"/>
    <w:rsid w:val="000148BC"/>
    <w:rsid w:val="00024AB8"/>
    <w:rsid w:val="00030854"/>
    <w:rsid w:val="00036028"/>
    <w:rsid w:val="0004198B"/>
    <w:rsid w:val="00044642"/>
    <w:rsid w:val="000446B9"/>
    <w:rsid w:val="00047E21"/>
    <w:rsid w:val="00050E16"/>
    <w:rsid w:val="00085505"/>
    <w:rsid w:val="000C4E25"/>
    <w:rsid w:val="000C4F8D"/>
    <w:rsid w:val="000C7021"/>
    <w:rsid w:val="000D5417"/>
    <w:rsid w:val="000D6BBC"/>
    <w:rsid w:val="000D7780"/>
    <w:rsid w:val="000E636A"/>
    <w:rsid w:val="000F2F11"/>
    <w:rsid w:val="00100A5F"/>
    <w:rsid w:val="00105929"/>
    <w:rsid w:val="00110BED"/>
    <w:rsid w:val="00110C36"/>
    <w:rsid w:val="001131D5"/>
    <w:rsid w:val="00114547"/>
    <w:rsid w:val="00136457"/>
    <w:rsid w:val="00141DB8"/>
    <w:rsid w:val="0014310A"/>
    <w:rsid w:val="00155986"/>
    <w:rsid w:val="00172084"/>
    <w:rsid w:val="0017474A"/>
    <w:rsid w:val="001758C6"/>
    <w:rsid w:val="00182B99"/>
    <w:rsid w:val="001C1525"/>
    <w:rsid w:val="0021332C"/>
    <w:rsid w:val="00213982"/>
    <w:rsid w:val="0024416D"/>
    <w:rsid w:val="00271911"/>
    <w:rsid w:val="00273187"/>
    <w:rsid w:val="002800A0"/>
    <w:rsid w:val="002801B3"/>
    <w:rsid w:val="00281060"/>
    <w:rsid w:val="00284050"/>
    <w:rsid w:val="00285BD0"/>
    <w:rsid w:val="002940E8"/>
    <w:rsid w:val="00294751"/>
    <w:rsid w:val="002A6E50"/>
    <w:rsid w:val="002B4298"/>
    <w:rsid w:val="002B7A36"/>
    <w:rsid w:val="002C256A"/>
    <w:rsid w:val="002D5226"/>
    <w:rsid w:val="00305A7F"/>
    <w:rsid w:val="003152FE"/>
    <w:rsid w:val="003155FF"/>
    <w:rsid w:val="00320E00"/>
    <w:rsid w:val="00327436"/>
    <w:rsid w:val="00344BD6"/>
    <w:rsid w:val="0035528D"/>
    <w:rsid w:val="00361821"/>
    <w:rsid w:val="00361E9E"/>
    <w:rsid w:val="00371E00"/>
    <w:rsid w:val="003753EE"/>
    <w:rsid w:val="003A0835"/>
    <w:rsid w:val="003A5AAF"/>
    <w:rsid w:val="003B700A"/>
    <w:rsid w:val="003C7FBE"/>
    <w:rsid w:val="003D0B2E"/>
    <w:rsid w:val="003D227C"/>
    <w:rsid w:val="003D2B4D"/>
    <w:rsid w:val="003F37F5"/>
    <w:rsid w:val="00411EAF"/>
    <w:rsid w:val="00444A88"/>
    <w:rsid w:val="00474DA4"/>
    <w:rsid w:val="00476B4D"/>
    <w:rsid w:val="004805FA"/>
    <w:rsid w:val="004935D2"/>
    <w:rsid w:val="004B1215"/>
    <w:rsid w:val="004D047D"/>
    <w:rsid w:val="004F1E9E"/>
    <w:rsid w:val="004F305A"/>
    <w:rsid w:val="00512164"/>
    <w:rsid w:val="00520297"/>
    <w:rsid w:val="005338F9"/>
    <w:rsid w:val="0054281C"/>
    <w:rsid w:val="00544581"/>
    <w:rsid w:val="0055268D"/>
    <w:rsid w:val="00575DE2"/>
    <w:rsid w:val="00576BE4"/>
    <w:rsid w:val="005779DB"/>
    <w:rsid w:val="00585A6C"/>
    <w:rsid w:val="00597BEA"/>
    <w:rsid w:val="005A2A67"/>
    <w:rsid w:val="005A400A"/>
    <w:rsid w:val="005A6BDD"/>
    <w:rsid w:val="005B269D"/>
    <w:rsid w:val="005D0E81"/>
    <w:rsid w:val="005E7466"/>
    <w:rsid w:val="005F7B92"/>
    <w:rsid w:val="0060699F"/>
    <w:rsid w:val="00612379"/>
    <w:rsid w:val="006153B6"/>
    <w:rsid w:val="0061555F"/>
    <w:rsid w:val="006245ED"/>
    <w:rsid w:val="00636CA6"/>
    <w:rsid w:val="00641200"/>
    <w:rsid w:val="00645CA8"/>
    <w:rsid w:val="006655D3"/>
    <w:rsid w:val="00667404"/>
    <w:rsid w:val="00687EB4"/>
    <w:rsid w:val="00695C56"/>
    <w:rsid w:val="006A5CDE"/>
    <w:rsid w:val="006A644A"/>
    <w:rsid w:val="006A6F74"/>
    <w:rsid w:val="006B17D2"/>
    <w:rsid w:val="006C224E"/>
    <w:rsid w:val="006D780A"/>
    <w:rsid w:val="006F2288"/>
    <w:rsid w:val="00704ECF"/>
    <w:rsid w:val="0071271E"/>
    <w:rsid w:val="00732DEC"/>
    <w:rsid w:val="00735BD5"/>
    <w:rsid w:val="007451EC"/>
    <w:rsid w:val="00751613"/>
    <w:rsid w:val="00753EE9"/>
    <w:rsid w:val="007556F6"/>
    <w:rsid w:val="00760EEF"/>
    <w:rsid w:val="00777EE5"/>
    <w:rsid w:val="00783D48"/>
    <w:rsid w:val="00784836"/>
    <w:rsid w:val="0079023E"/>
    <w:rsid w:val="007A2854"/>
    <w:rsid w:val="007C1D92"/>
    <w:rsid w:val="007C4CB9"/>
    <w:rsid w:val="007D0B9D"/>
    <w:rsid w:val="007D19B0"/>
    <w:rsid w:val="007F498F"/>
    <w:rsid w:val="0080679D"/>
    <w:rsid w:val="008108B0"/>
    <w:rsid w:val="00811B20"/>
    <w:rsid w:val="00812609"/>
    <w:rsid w:val="008211B5"/>
    <w:rsid w:val="0082296E"/>
    <w:rsid w:val="00824099"/>
    <w:rsid w:val="008360AE"/>
    <w:rsid w:val="00846D7C"/>
    <w:rsid w:val="00867AC1"/>
    <w:rsid w:val="008751DE"/>
    <w:rsid w:val="00890DF8"/>
    <w:rsid w:val="008A0ADE"/>
    <w:rsid w:val="008A743F"/>
    <w:rsid w:val="008A7C0D"/>
    <w:rsid w:val="008C0970"/>
    <w:rsid w:val="008C3898"/>
    <w:rsid w:val="008D0BC5"/>
    <w:rsid w:val="008D2CF7"/>
    <w:rsid w:val="00900C26"/>
    <w:rsid w:val="0090197F"/>
    <w:rsid w:val="00903264"/>
    <w:rsid w:val="00906DDC"/>
    <w:rsid w:val="00934E09"/>
    <w:rsid w:val="00936253"/>
    <w:rsid w:val="00940D46"/>
    <w:rsid w:val="009413F1"/>
    <w:rsid w:val="00951234"/>
    <w:rsid w:val="00952DD4"/>
    <w:rsid w:val="009561F4"/>
    <w:rsid w:val="00965AE7"/>
    <w:rsid w:val="00970FED"/>
    <w:rsid w:val="00971E8E"/>
    <w:rsid w:val="00992D82"/>
    <w:rsid w:val="00997029"/>
    <w:rsid w:val="009A7339"/>
    <w:rsid w:val="009B440E"/>
    <w:rsid w:val="009D690D"/>
    <w:rsid w:val="009E65B6"/>
    <w:rsid w:val="009F0A51"/>
    <w:rsid w:val="009F77CF"/>
    <w:rsid w:val="00A24C10"/>
    <w:rsid w:val="00A42AC3"/>
    <w:rsid w:val="00A430CF"/>
    <w:rsid w:val="00A54309"/>
    <w:rsid w:val="00A610A9"/>
    <w:rsid w:val="00A80F2A"/>
    <w:rsid w:val="00A96C33"/>
    <w:rsid w:val="00AA5901"/>
    <w:rsid w:val="00AB2B93"/>
    <w:rsid w:val="00AB530F"/>
    <w:rsid w:val="00AB7E5B"/>
    <w:rsid w:val="00AC2883"/>
    <w:rsid w:val="00AE0EF1"/>
    <w:rsid w:val="00AE2937"/>
    <w:rsid w:val="00B07301"/>
    <w:rsid w:val="00B10B72"/>
    <w:rsid w:val="00B11F3E"/>
    <w:rsid w:val="00B224DE"/>
    <w:rsid w:val="00B324D4"/>
    <w:rsid w:val="00B46575"/>
    <w:rsid w:val="00B61777"/>
    <w:rsid w:val="00B622E6"/>
    <w:rsid w:val="00B83E82"/>
    <w:rsid w:val="00B84BBD"/>
    <w:rsid w:val="00BA43FB"/>
    <w:rsid w:val="00BC127D"/>
    <w:rsid w:val="00BC1FE6"/>
    <w:rsid w:val="00C061B6"/>
    <w:rsid w:val="00C2446C"/>
    <w:rsid w:val="00C36AE5"/>
    <w:rsid w:val="00C41F17"/>
    <w:rsid w:val="00C437A3"/>
    <w:rsid w:val="00C43C13"/>
    <w:rsid w:val="00C527FA"/>
    <w:rsid w:val="00C5280D"/>
    <w:rsid w:val="00C53EB3"/>
    <w:rsid w:val="00C5791C"/>
    <w:rsid w:val="00C66290"/>
    <w:rsid w:val="00C72B7A"/>
    <w:rsid w:val="00C973F2"/>
    <w:rsid w:val="00CA304C"/>
    <w:rsid w:val="00CA774A"/>
    <w:rsid w:val="00CB4921"/>
    <w:rsid w:val="00CC11B0"/>
    <w:rsid w:val="00CC2841"/>
    <w:rsid w:val="00CF1330"/>
    <w:rsid w:val="00CF7E36"/>
    <w:rsid w:val="00D0106A"/>
    <w:rsid w:val="00D3708D"/>
    <w:rsid w:val="00D40426"/>
    <w:rsid w:val="00D57C96"/>
    <w:rsid w:val="00D57D18"/>
    <w:rsid w:val="00D70E65"/>
    <w:rsid w:val="00D736F0"/>
    <w:rsid w:val="00D91203"/>
    <w:rsid w:val="00D95174"/>
    <w:rsid w:val="00DA4973"/>
    <w:rsid w:val="00DA6F36"/>
    <w:rsid w:val="00DB596E"/>
    <w:rsid w:val="00DB7773"/>
    <w:rsid w:val="00DC00EA"/>
    <w:rsid w:val="00DC3802"/>
    <w:rsid w:val="00DD6208"/>
    <w:rsid w:val="00DF3497"/>
    <w:rsid w:val="00DF7E99"/>
    <w:rsid w:val="00E07D87"/>
    <w:rsid w:val="00E249C8"/>
    <w:rsid w:val="00E32F7E"/>
    <w:rsid w:val="00E5267B"/>
    <w:rsid w:val="00E559F0"/>
    <w:rsid w:val="00E63C0E"/>
    <w:rsid w:val="00E72D49"/>
    <w:rsid w:val="00E7593C"/>
    <w:rsid w:val="00E7678A"/>
    <w:rsid w:val="00E935F1"/>
    <w:rsid w:val="00E94A81"/>
    <w:rsid w:val="00EA1FFB"/>
    <w:rsid w:val="00EA73B6"/>
    <w:rsid w:val="00EB048E"/>
    <w:rsid w:val="00EB4E9C"/>
    <w:rsid w:val="00EE34DF"/>
    <w:rsid w:val="00EF2F89"/>
    <w:rsid w:val="00EF7F1D"/>
    <w:rsid w:val="00F03E98"/>
    <w:rsid w:val="00F1237A"/>
    <w:rsid w:val="00F22CBD"/>
    <w:rsid w:val="00F272F1"/>
    <w:rsid w:val="00F31412"/>
    <w:rsid w:val="00F45372"/>
    <w:rsid w:val="00F560F7"/>
    <w:rsid w:val="00F6334D"/>
    <w:rsid w:val="00F63599"/>
    <w:rsid w:val="00F71781"/>
    <w:rsid w:val="00FA49AB"/>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6B23F6B"/>
  <w15:docId w15:val="{B99450E3-725D-47DC-86C0-0E3A6BFA4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7A3"/>
    <w:pPr>
      <w:jc w:val="both"/>
    </w:pPr>
    <w:rPr>
      <w:rFonts w:ascii="Arial" w:hAnsi="Arial"/>
    </w:rPr>
  </w:style>
  <w:style w:type="paragraph" w:styleId="Heading1">
    <w:name w:val="heading 1"/>
    <w:next w:val="Normal"/>
    <w:autoRedefine/>
    <w:qFormat/>
    <w:rsid w:val="005A6BDD"/>
    <w:pPr>
      <w:keepNext/>
      <w:jc w:val="both"/>
      <w:outlineLvl w:val="0"/>
    </w:pPr>
    <w:rPr>
      <w:rFonts w:ascii="Arial" w:hAnsi="Arial"/>
      <w:caps/>
    </w:rPr>
  </w:style>
  <w:style w:type="paragraph" w:styleId="Heading2">
    <w:name w:val="heading 2"/>
    <w:aliases w:val="VARIETY,variety"/>
    <w:next w:val="Normal"/>
    <w:link w:val="Heading2Char"/>
    <w:autoRedefine/>
    <w:qFormat/>
    <w:rsid w:val="00C437A3"/>
    <w:pPr>
      <w:keepNext/>
      <w:jc w:val="both"/>
      <w:outlineLvl w:val="1"/>
    </w:pPr>
    <w:rPr>
      <w:rFonts w:ascii="Arial" w:hAnsi="Arial"/>
      <w:u w:val="single"/>
    </w:rPr>
  </w:style>
  <w:style w:type="paragraph" w:styleId="Heading3">
    <w:name w:val="heading 3"/>
    <w:next w:val="Normal"/>
    <w:link w:val="Heading3Char"/>
    <w:autoRedefine/>
    <w:uiPriority w:val="9"/>
    <w:qFormat/>
    <w:rsid w:val="00C437A3"/>
    <w:pPr>
      <w:keepNext/>
      <w:jc w:val="both"/>
      <w:outlineLvl w:val="2"/>
    </w:pPr>
    <w:rPr>
      <w:rFonts w:ascii="Arial" w:hAnsi="Arial"/>
      <w:i/>
    </w:rPr>
  </w:style>
  <w:style w:type="paragraph" w:styleId="Heading4">
    <w:name w:val="heading 4"/>
    <w:next w:val="Normal"/>
    <w:autoRedefine/>
    <w:qFormat/>
    <w:rsid w:val="00C437A3"/>
    <w:pPr>
      <w:keepNext/>
      <w:ind w:left="567"/>
      <w:jc w:val="both"/>
      <w:outlineLvl w:val="3"/>
    </w:pPr>
    <w:rPr>
      <w:rFonts w:ascii="Arial" w:hAnsi="Arial"/>
      <w:u w:val="single"/>
      <w:lang w:val="fr-FR"/>
    </w:rPr>
  </w:style>
  <w:style w:type="paragraph" w:styleId="Heading5">
    <w:name w:val="heading 5"/>
    <w:next w:val="Normal"/>
    <w:autoRedefine/>
    <w:qFormat/>
    <w:rsid w:val="00C437A3"/>
    <w:pPr>
      <w:keepNext/>
      <w:ind w:left="1134" w:hanging="567"/>
      <w:jc w:val="both"/>
      <w:outlineLvl w:val="4"/>
    </w:pPr>
    <w:rPr>
      <w:rFonts w:ascii="Arial" w:hAnsi="Arial"/>
      <w:i/>
    </w:rPr>
  </w:style>
  <w:style w:type="paragraph" w:styleId="Heading9">
    <w:name w:val="heading 9"/>
    <w:basedOn w:val="Normal"/>
    <w:next w:val="Normal"/>
    <w:qFormat/>
    <w:rsid w:val="00C437A3"/>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C437A3"/>
    <w:pPr>
      <w:jc w:val="center"/>
    </w:pPr>
    <w:rPr>
      <w:rFonts w:ascii="Arial" w:hAnsi="Arial"/>
      <w:lang w:val="fr-FR"/>
    </w:rPr>
  </w:style>
  <w:style w:type="paragraph" w:styleId="Footer">
    <w:name w:val="footer"/>
    <w:aliases w:val="doc_path_name"/>
    <w:autoRedefine/>
    <w:rsid w:val="00C437A3"/>
    <w:pPr>
      <w:jc w:val="both"/>
    </w:pPr>
    <w:rPr>
      <w:rFonts w:ascii="Arial" w:hAnsi="Arial"/>
      <w:sz w:val="14"/>
    </w:rPr>
  </w:style>
  <w:style w:type="character" w:styleId="PageNumber">
    <w:name w:val="page number"/>
    <w:basedOn w:val="DefaultParagraphFont"/>
    <w:rsid w:val="00C437A3"/>
    <w:rPr>
      <w:rFonts w:ascii="Arial" w:hAnsi="Arial"/>
      <w:sz w:val="20"/>
    </w:rPr>
  </w:style>
  <w:style w:type="paragraph" w:styleId="Title">
    <w:name w:val="Title"/>
    <w:basedOn w:val="Normal"/>
    <w:qFormat/>
    <w:rsid w:val="00C437A3"/>
    <w:pPr>
      <w:spacing w:after="300"/>
      <w:jc w:val="center"/>
    </w:pPr>
    <w:rPr>
      <w:b/>
      <w:caps/>
      <w:kern w:val="28"/>
      <w:sz w:val="30"/>
    </w:rPr>
  </w:style>
  <w:style w:type="paragraph" w:customStyle="1" w:styleId="preparedby">
    <w:name w:val="preparedby"/>
    <w:basedOn w:val="Normal"/>
    <w:next w:val="Normal"/>
    <w:semiHidden/>
    <w:rsid w:val="00C437A3"/>
    <w:pPr>
      <w:spacing w:after="600"/>
      <w:jc w:val="center"/>
    </w:pPr>
    <w:rPr>
      <w:i/>
    </w:rPr>
  </w:style>
  <w:style w:type="paragraph" w:customStyle="1" w:styleId="Docoriginal">
    <w:name w:val="Doc_original"/>
    <w:basedOn w:val="Code"/>
    <w:link w:val="DocoriginalChar"/>
    <w:rsid w:val="00C437A3"/>
    <w:pPr>
      <w:spacing w:before="240" w:line="240" w:lineRule="exact"/>
      <w:ind w:left="0"/>
      <w:contextualSpacing/>
      <w:jc w:val="left"/>
    </w:pPr>
    <w:rPr>
      <w:sz w:val="18"/>
    </w:rPr>
  </w:style>
  <w:style w:type="paragraph" w:customStyle="1" w:styleId="DecisionParagraphs">
    <w:name w:val="DecisionParagraphs"/>
    <w:basedOn w:val="Normal"/>
    <w:rsid w:val="00C437A3"/>
    <w:pPr>
      <w:tabs>
        <w:tab w:val="left" w:pos="5387"/>
      </w:tabs>
      <w:ind w:left="4820"/>
    </w:pPr>
    <w:rPr>
      <w:i/>
    </w:rPr>
  </w:style>
  <w:style w:type="paragraph" w:styleId="FootnoteText">
    <w:name w:val="footnote text"/>
    <w:autoRedefine/>
    <w:rsid w:val="00C437A3"/>
    <w:pPr>
      <w:spacing w:before="60"/>
      <w:ind w:left="567" w:hanging="567"/>
      <w:jc w:val="both"/>
    </w:pPr>
    <w:rPr>
      <w:rFonts w:ascii="Arial" w:hAnsi="Arial"/>
      <w:sz w:val="16"/>
    </w:rPr>
  </w:style>
  <w:style w:type="character" w:styleId="FootnoteReference">
    <w:name w:val="footnote reference"/>
    <w:basedOn w:val="DefaultParagraphFont"/>
    <w:semiHidden/>
    <w:rsid w:val="00C437A3"/>
    <w:rPr>
      <w:vertAlign w:val="superscript"/>
    </w:rPr>
  </w:style>
  <w:style w:type="paragraph" w:styleId="Closing">
    <w:name w:val="Closing"/>
    <w:basedOn w:val="Normal"/>
    <w:rsid w:val="00C437A3"/>
    <w:pPr>
      <w:ind w:left="4536"/>
      <w:jc w:val="center"/>
    </w:pPr>
  </w:style>
  <w:style w:type="paragraph" w:styleId="Index1">
    <w:name w:val="index 1"/>
    <w:basedOn w:val="Normal"/>
    <w:next w:val="Normal"/>
    <w:semiHidden/>
    <w:rsid w:val="00C437A3"/>
    <w:pPr>
      <w:tabs>
        <w:tab w:val="right" w:leader="dot" w:pos="9071"/>
      </w:tabs>
      <w:ind w:left="284" w:hanging="284"/>
    </w:pPr>
    <w:rPr>
      <w:sz w:val="24"/>
    </w:rPr>
  </w:style>
  <w:style w:type="paragraph" w:styleId="Index2">
    <w:name w:val="index 2"/>
    <w:basedOn w:val="Normal"/>
    <w:next w:val="Normal"/>
    <w:semiHidden/>
    <w:rsid w:val="00C437A3"/>
    <w:pPr>
      <w:tabs>
        <w:tab w:val="right" w:leader="dot" w:pos="9071"/>
      </w:tabs>
      <w:ind w:left="568" w:hanging="284"/>
    </w:pPr>
    <w:rPr>
      <w:sz w:val="24"/>
    </w:rPr>
  </w:style>
  <w:style w:type="paragraph" w:styleId="Index3">
    <w:name w:val="index 3"/>
    <w:basedOn w:val="Normal"/>
    <w:next w:val="Normal"/>
    <w:semiHidden/>
    <w:rsid w:val="00C437A3"/>
    <w:pPr>
      <w:tabs>
        <w:tab w:val="right" w:leader="dot" w:pos="9071"/>
      </w:tabs>
      <w:ind w:left="851" w:hanging="284"/>
    </w:pPr>
    <w:rPr>
      <w:sz w:val="24"/>
    </w:rPr>
  </w:style>
  <w:style w:type="paragraph" w:styleId="MacroText">
    <w:name w:val="macro"/>
    <w:semiHidden/>
    <w:rsid w:val="00C437A3"/>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C437A3"/>
    <w:pPr>
      <w:ind w:left="4536"/>
      <w:jc w:val="center"/>
    </w:pPr>
  </w:style>
  <w:style w:type="character" w:customStyle="1" w:styleId="Doclang">
    <w:name w:val="Doc_lang"/>
    <w:basedOn w:val="DefaultParagraphFont"/>
    <w:rsid w:val="00C437A3"/>
    <w:rPr>
      <w:rFonts w:ascii="Arial" w:hAnsi="Arial"/>
      <w:sz w:val="20"/>
      <w:lang w:val="en-US"/>
    </w:rPr>
  </w:style>
  <w:style w:type="paragraph" w:customStyle="1" w:styleId="Session">
    <w:name w:val="Session"/>
    <w:basedOn w:val="Normal"/>
    <w:semiHidden/>
    <w:rsid w:val="00C437A3"/>
    <w:pPr>
      <w:spacing w:before="60"/>
      <w:jc w:val="center"/>
    </w:pPr>
    <w:rPr>
      <w:b/>
    </w:rPr>
  </w:style>
  <w:style w:type="paragraph" w:customStyle="1" w:styleId="Organizer">
    <w:name w:val="Organizer"/>
    <w:basedOn w:val="Normal"/>
    <w:semiHidden/>
    <w:rsid w:val="00C437A3"/>
    <w:pPr>
      <w:spacing w:after="600"/>
      <w:ind w:left="-993" w:right="-994"/>
      <w:jc w:val="center"/>
    </w:pPr>
    <w:rPr>
      <w:b/>
      <w:caps/>
      <w:kern w:val="26"/>
      <w:sz w:val="26"/>
    </w:rPr>
  </w:style>
  <w:style w:type="paragraph" w:styleId="BodyText">
    <w:name w:val="Body Text"/>
    <w:basedOn w:val="Normal"/>
    <w:rsid w:val="00C437A3"/>
  </w:style>
  <w:style w:type="paragraph" w:customStyle="1" w:styleId="Disclaimer">
    <w:name w:val="Disclaimer"/>
    <w:next w:val="Normal"/>
    <w:qFormat/>
    <w:rsid w:val="00C437A3"/>
    <w:pPr>
      <w:spacing w:after="600"/>
    </w:pPr>
    <w:rPr>
      <w:rFonts w:ascii="Arial" w:hAnsi="Arial"/>
      <w:i/>
      <w:iCs/>
      <w:color w:val="A6A6A6" w:themeColor="background1" w:themeShade="A6"/>
    </w:rPr>
  </w:style>
  <w:style w:type="paragraph" w:customStyle="1" w:styleId="upove">
    <w:name w:val="upov_e"/>
    <w:basedOn w:val="Normal"/>
    <w:rsid w:val="00C437A3"/>
    <w:pPr>
      <w:spacing w:before="120"/>
    </w:pPr>
    <w:rPr>
      <w:sz w:val="16"/>
    </w:rPr>
  </w:style>
  <w:style w:type="paragraph" w:customStyle="1" w:styleId="TitleofDoc">
    <w:name w:val="Title of Doc"/>
    <w:basedOn w:val="Normal"/>
    <w:semiHidden/>
    <w:rsid w:val="00C437A3"/>
    <w:pPr>
      <w:spacing w:before="1200"/>
      <w:jc w:val="center"/>
    </w:pPr>
    <w:rPr>
      <w:caps/>
    </w:rPr>
  </w:style>
  <w:style w:type="paragraph" w:customStyle="1" w:styleId="preparedby0">
    <w:name w:val="prepared by"/>
    <w:basedOn w:val="Normal"/>
    <w:semiHidden/>
    <w:rsid w:val="00C437A3"/>
    <w:pPr>
      <w:spacing w:before="600" w:after="600"/>
      <w:jc w:val="center"/>
    </w:pPr>
    <w:rPr>
      <w:i/>
    </w:rPr>
  </w:style>
  <w:style w:type="paragraph" w:customStyle="1" w:styleId="PlaceAndDate">
    <w:name w:val="PlaceAndDate"/>
    <w:basedOn w:val="Session"/>
    <w:semiHidden/>
    <w:rsid w:val="00C437A3"/>
  </w:style>
  <w:style w:type="paragraph" w:styleId="EndnoteText">
    <w:name w:val="endnote text"/>
    <w:basedOn w:val="Normal"/>
    <w:semiHidden/>
    <w:rsid w:val="00C437A3"/>
  </w:style>
  <w:style w:type="character" w:styleId="EndnoteReference">
    <w:name w:val="endnote reference"/>
    <w:basedOn w:val="DefaultParagraphFont"/>
    <w:semiHidden/>
    <w:rsid w:val="00C437A3"/>
    <w:rPr>
      <w:vertAlign w:val="superscript"/>
    </w:rPr>
  </w:style>
  <w:style w:type="paragraph" w:customStyle="1" w:styleId="SessionMeetingPlace">
    <w:name w:val="Session_MeetingPlace"/>
    <w:basedOn w:val="Normal"/>
    <w:semiHidden/>
    <w:rsid w:val="00C437A3"/>
    <w:pPr>
      <w:spacing w:before="480"/>
      <w:jc w:val="center"/>
    </w:pPr>
    <w:rPr>
      <w:b/>
      <w:bCs/>
      <w:kern w:val="28"/>
      <w:sz w:val="24"/>
    </w:rPr>
  </w:style>
  <w:style w:type="paragraph" w:customStyle="1" w:styleId="Original">
    <w:name w:val="Original"/>
    <w:basedOn w:val="Normal"/>
    <w:semiHidden/>
    <w:rsid w:val="00C437A3"/>
    <w:pPr>
      <w:spacing w:before="60"/>
      <w:ind w:left="1276"/>
    </w:pPr>
    <w:rPr>
      <w:b/>
      <w:sz w:val="22"/>
    </w:rPr>
  </w:style>
  <w:style w:type="paragraph" w:styleId="Date">
    <w:name w:val="Date"/>
    <w:basedOn w:val="Normal"/>
    <w:semiHidden/>
    <w:rsid w:val="00C437A3"/>
    <w:pPr>
      <w:spacing w:line="340" w:lineRule="exact"/>
      <w:ind w:left="1276"/>
    </w:pPr>
    <w:rPr>
      <w:b/>
      <w:sz w:val="22"/>
    </w:rPr>
  </w:style>
  <w:style w:type="paragraph" w:customStyle="1" w:styleId="Code">
    <w:name w:val="Code"/>
    <w:basedOn w:val="Normal"/>
    <w:link w:val="CodeChar"/>
    <w:semiHidden/>
    <w:rsid w:val="00C437A3"/>
    <w:pPr>
      <w:spacing w:line="340" w:lineRule="atLeast"/>
      <w:ind w:left="1276"/>
    </w:pPr>
    <w:rPr>
      <w:b/>
      <w:bCs/>
      <w:spacing w:val="10"/>
    </w:rPr>
  </w:style>
  <w:style w:type="paragraph" w:customStyle="1" w:styleId="Country">
    <w:name w:val="Country"/>
    <w:basedOn w:val="Normal"/>
    <w:semiHidden/>
    <w:rsid w:val="00C437A3"/>
    <w:pPr>
      <w:spacing w:before="60" w:after="480"/>
      <w:jc w:val="center"/>
    </w:pPr>
  </w:style>
  <w:style w:type="paragraph" w:customStyle="1" w:styleId="Lettrine">
    <w:name w:val="Lettrine"/>
    <w:basedOn w:val="Normal"/>
    <w:rsid w:val="00C437A3"/>
    <w:pPr>
      <w:spacing w:line="340" w:lineRule="atLeast"/>
      <w:jc w:val="right"/>
    </w:pPr>
    <w:rPr>
      <w:b/>
      <w:bCs/>
      <w:sz w:val="36"/>
    </w:rPr>
  </w:style>
  <w:style w:type="paragraph" w:customStyle="1" w:styleId="LogoUPOV">
    <w:name w:val="LogoUPOV"/>
    <w:basedOn w:val="Normal"/>
    <w:rsid w:val="00C437A3"/>
    <w:pPr>
      <w:spacing w:before="600" w:after="80"/>
      <w:jc w:val="center"/>
    </w:pPr>
    <w:rPr>
      <w:snapToGrid w:val="0"/>
    </w:rPr>
  </w:style>
  <w:style w:type="paragraph" w:customStyle="1" w:styleId="Sessiontc">
    <w:name w:val="Session_tc"/>
    <w:basedOn w:val="StyleSessionAllcaps"/>
    <w:rsid w:val="00C437A3"/>
    <w:pPr>
      <w:spacing w:before="0" w:line="280" w:lineRule="exact"/>
      <w:jc w:val="left"/>
    </w:pPr>
    <w:rPr>
      <w:caps w:val="0"/>
      <w:sz w:val="20"/>
    </w:rPr>
  </w:style>
  <w:style w:type="paragraph" w:customStyle="1" w:styleId="TitreUpov">
    <w:name w:val="TitreUpov"/>
    <w:basedOn w:val="Normal"/>
    <w:semiHidden/>
    <w:rsid w:val="00C437A3"/>
    <w:pPr>
      <w:spacing w:before="60"/>
      <w:jc w:val="center"/>
    </w:pPr>
    <w:rPr>
      <w:b/>
      <w:sz w:val="24"/>
    </w:rPr>
  </w:style>
  <w:style w:type="paragraph" w:customStyle="1" w:styleId="StyleSessionAllcaps">
    <w:name w:val="Style Session + All caps"/>
    <w:basedOn w:val="Session"/>
    <w:semiHidden/>
    <w:rsid w:val="00C437A3"/>
    <w:pPr>
      <w:spacing w:before="480"/>
    </w:pPr>
    <w:rPr>
      <w:bCs/>
      <w:caps/>
      <w:kern w:val="28"/>
      <w:sz w:val="24"/>
    </w:rPr>
  </w:style>
  <w:style w:type="paragraph" w:customStyle="1" w:styleId="plcountry">
    <w:name w:val="plcountry"/>
    <w:basedOn w:val="Normal"/>
    <w:rsid w:val="00C437A3"/>
    <w:pPr>
      <w:keepNext/>
      <w:keepLines/>
      <w:spacing w:before="180" w:after="120"/>
      <w:jc w:val="left"/>
    </w:pPr>
    <w:rPr>
      <w:caps/>
      <w:noProof/>
      <w:snapToGrid w:val="0"/>
      <w:u w:val="single"/>
    </w:rPr>
  </w:style>
  <w:style w:type="paragraph" w:customStyle="1" w:styleId="pldetails">
    <w:name w:val="pldetails"/>
    <w:basedOn w:val="Normal"/>
    <w:rsid w:val="00C437A3"/>
    <w:pPr>
      <w:keepLines/>
      <w:spacing w:before="60" w:after="60"/>
      <w:jc w:val="left"/>
    </w:pPr>
    <w:rPr>
      <w:noProof/>
      <w:snapToGrid w:val="0"/>
    </w:rPr>
  </w:style>
  <w:style w:type="paragraph" w:customStyle="1" w:styleId="plheading">
    <w:name w:val="plheading"/>
    <w:basedOn w:val="Normal"/>
    <w:rsid w:val="00C437A3"/>
    <w:pPr>
      <w:keepNext/>
      <w:spacing w:before="480" w:after="120"/>
      <w:jc w:val="center"/>
    </w:pPr>
    <w:rPr>
      <w:caps/>
      <w:snapToGrid w:val="0"/>
      <w:u w:val="single"/>
    </w:rPr>
  </w:style>
  <w:style w:type="paragraph" w:customStyle="1" w:styleId="Sessiontcplacedate">
    <w:name w:val="Session_tc_place_date"/>
    <w:basedOn w:val="SessionMeetingPlace"/>
    <w:rsid w:val="00C437A3"/>
    <w:pPr>
      <w:spacing w:before="240"/>
      <w:contextualSpacing/>
      <w:jc w:val="left"/>
    </w:pPr>
    <w:rPr>
      <w:sz w:val="20"/>
    </w:rPr>
  </w:style>
  <w:style w:type="paragraph" w:customStyle="1" w:styleId="Titleofdoc0">
    <w:name w:val="Title_of_doc"/>
    <w:basedOn w:val="TitleofDoc"/>
    <w:link w:val="TitleofdocChar"/>
    <w:rsid w:val="00C437A3"/>
    <w:pPr>
      <w:spacing w:before="600" w:after="240"/>
      <w:jc w:val="left"/>
    </w:pPr>
    <w:rPr>
      <w:b/>
    </w:rPr>
  </w:style>
  <w:style w:type="paragraph" w:customStyle="1" w:styleId="preparedby1">
    <w:name w:val="prepared_by"/>
    <w:basedOn w:val="preparedby0"/>
    <w:rsid w:val="00C437A3"/>
    <w:pPr>
      <w:spacing w:before="0" w:after="240"/>
      <w:jc w:val="left"/>
    </w:pPr>
    <w:rPr>
      <w:iCs/>
    </w:rPr>
  </w:style>
  <w:style w:type="character" w:customStyle="1" w:styleId="CodeChar">
    <w:name w:val="Code Char"/>
    <w:basedOn w:val="DefaultParagraphFont"/>
    <w:link w:val="Code"/>
    <w:semiHidden/>
    <w:rsid w:val="00C437A3"/>
    <w:rPr>
      <w:rFonts w:ascii="Arial" w:hAnsi="Arial"/>
      <w:b/>
      <w:bCs/>
      <w:spacing w:val="10"/>
    </w:rPr>
  </w:style>
  <w:style w:type="paragraph" w:customStyle="1" w:styleId="endofdoc">
    <w:name w:val="end_of_doc"/>
    <w:next w:val="Header"/>
    <w:autoRedefine/>
    <w:rsid w:val="00C437A3"/>
    <w:pPr>
      <w:spacing w:before="480"/>
      <w:ind w:left="567" w:hanging="567"/>
      <w:jc w:val="right"/>
    </w:pPr>
    <w:rPr>
      <w:rFonts w:ascii="Arial" w:hAnsi="Arial"/>
    </w:rPr>
  </w:style>
  <w:style w:type="character" w:customStyle="1" w:styleId="DocoriginalChar">
    <w:name w:val="Doc_original Char"/>
    <w:basedOn w:val="CodeChar"/>
    <w:link w:val="Docoriginal"/>
    <w:rsid w:val="00C437A3"/>
    <w:rPr>
      <w:rFonts w:ascii="Arial" w:hAnsi="Arial"/>
      <w:b/>
      <w:bCs/>
      <w:spacing w:val="10"/>
      <w:sz w:val="18"/>
    </w:rPr>
  </w:style>
  <w:style w:type="paragraph" w:styleId="TOC2">
    <w:name w:val="toc 2"/>
    <w:basedOn w:val="Normal"/>
    <w:next w:val="Normal"/>
    <w:uiPriority w:val="39"/>
    <w:qFormat/>
    <w:rsid w:val="00C437A3"/>
    <w:pPr>
      <w:tabs>
        <w:tab w:val="right" w:leader="dot" w:pos="9639"/>
      </w:tabs>
      <w:ind w:left="284" w:right="851"/>
      <w:jc w:val="left"/>
    </w:pPr>
    <w:rPr>
      <w:rFonts w:eastAsiaTheme="minorHAnsi" w:cs="Arial"/>
      <w:noProof/>
      <w:sz w:val="18"/>
      <w:szCs w:val="18"/>
    </w:rPr>
  </w:style>
  <w:style w:type="paragraph" w:styleId="TOC3">
    <w:name w:val="toc 3"/>
    <w:next w:val="Normal"/>
    <w:uiPriority w:val="39"/>
    <w:qFormat/>
    <w:rsid w:val="00C437A3"/>
    <w:pPr>
      <w:tabs>
        <w:tab w:val="right" w:leader="dot" w:pos="9639"/>
      </w:tabs>
      <w:spacing w:after="60"/>
      <w:ind w:left="567" w:right="1418"/>
      <w:contextualSpacing/>
    </w:pPr>
    <w:rPr>
      <w:rFonts w:ascii="Arial" w:hAnsi="Arial" w:cs="Arial"/>
      <w:i/>
      <w:noProof/>
      <w:sz w:val="18"/>
    </w:rPr>
  </w:style>
  <w:style w:type="character" w:styleId="Hyperlink">
    <w:name w:val="Hyperlink"/>
    <w:basedOn w:val="DefaultParagraphFont"/>
    <w:uiPriority w:val="99"/>
    <w:rsid w:val="00C437A3"/>
    <w:rPr>
      <w:rFonts w:ascii="Arial" w:hAnsi="Arial"/>
      <w:color w:val="0000FF"/>
      <w:u w:val="single"/>
    </w:rPr>
  </w:style>
  <w:style w:type="paragraph" w:styleId="TOC4">
    <w:name w:val="toc 4"/>
    <w:next w:val="Normal"/>
    <w:autoRedefine/>
    <w:rsid w:val="00C437A3"/>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C437A3"/>
    <w:pPr>
      <w:tabs>
        <w:tab w:val="right" w:leader="dot" w:pos="9639"/>
      </w:tabs>
      <w:spacing w:before="60"/>
      <w:ind w:right="1418"/>
      <w:jc w:val="left"/>
    </w:pPr>
    <w:rPr>
      <w:rFonts w:cs="Arial"/>
      <w:bCs/>
      <w:caps/>
      <w:noProof/>
      <w:sz w:val="18"/>
    </w:rPr>
  </w:style>
  <w:style w:type="paragraph" w:styleId="TOC5">
    <w:name w:val="toc 5"/>
    <w:next w:val="Normal"/>
    <w:autoRedefine/>
    <w:rsid w:val="00C437A3"/>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C437A3"/>
    <w:rPr>
      <w:rFonts w:ascii="Tahoma" w:hAnsi="Tahoma" w:cs="Tahoma"/>
      <w:sz w:val="16"/>
      <w:szCs w:val="16"/>
    </w:rPr>
  </w:style>
  <w:style w:type="character" w:customStyle="1" w:styleId="BalloonTextChar">
    <w:name w:val="Balloon Text Char"/>
    <w:basedOn w:val="DefaultParagraphFont"/>
    <w:link w:val="BalloonText"/>
    <w:rsid w:val="00C437A3"/>
    <w:rPr>
      <w:rFonts w:ascii="Tahoma" w:hAnsi="Tahoma" w:cs="Tahoma"/>
      <w:sz w:val="16"/>
      <w:szCs w:val="16"/>
    </w:rPr>
  </w:style>
  <w:style w:type="paragraph" w:customStyle="1" w:styleId="Doccode">
    <w:name w:val="Doc_code"/>
    <w:qFormat/>
    <w:rsid w:val="00C437A3"/>
    <w:rPr>
      <w:rFonts w:ascii="Arial" w:hAnsi="Arial"/>
      <w:b/>
      <w:bCs/>
      <w:spacing w:val="10"/>
      <w:sz w:val="18"/>
    </w:rPr>
  </w:style>
  <w:style w:type="character" w:customStyle="1" w:styleId="TitleofdocChar">
    <w:name w:val="Title_of_doc Char"/>
    <w:link w:val="Titleofdoc0"/>
    <w:rsid w:val="00704ECF"/>
    <w:rPr>
      <w:rFonts w:ascii="Arial" w:hAnsi="Arial"/>
      <w:b/>
      <w:caps/>
    </w:rPr>
  </w:style>
  <w:style w:type="paragraph" w:customStyle="1" w:styleId="Sessiontwp">
    <w:name w:val="Session_twp"/>
    <w:basedOn w:val="Normal"/>
    <w:next w:val="Normal"/>
    <w:qFormat/>
    <w:rsid w:val="00C437A3"/>
    <w:rPr>
      <w:b/>
    </w:rPr>
  </w:style>
  <w:style w:type="paragraph" w:customStyle="1" w:styleId="Sessiontwpplacedate">
    <w:name w:val="Session_twp_place_date"/>
    <w:basedOn w:val="Normal"/>
    <w:next w:val="Normal"/>
    <w:qFormat/>
    <w:rsid w:val="00C437A3"/>
  </w:style>
  <w:style w:type="character" w:customStyle="1" w:styleId="Heading3Char">
    <w:name w:val="Heading 3 Char"/>
    <w:basedOn w:val="DefaultParagraphFont"/>
    <w:link w:val="Heading3"/>
    <w:uiPriority w:val="9"/>
    <w:rsid w:val="00597BEA"/>
    <w:rPr>
      <w:rFonts w:ascii="Arial" w:hAnsi="Arial"/>
      <w:i/>
    </w:rPr>
  </w:style>
  <w:style w:type="character" w:customStyle="1" w:styleId="Heading2Char">
    <w:name w:val="Heading 2 Char"/>
    <w:aliases w:val="VARIETY Char,variety Char"/>
    <w:link w:val="Heading2"/>
    <w:locked/>
    <w:rsid w:val="00597BEA"/>
    <w:rPr>
      <w:rFonts w:ascii="Arial" w:hAnsi="Arial"/>
      <w:u w:val="single"/>
    </w:rPr>
  </w:style>
  <w:style w:type="paragraph" w:styleId="ListParagraph">
    <w:name w:val="List Paragraph"/>
    <w:aliases w:val="auto_list_(i),List Paragraph1"/>
    <w:basedOn w:val="Normal"/>
    <w:link w:val="ListParagraphChar"/>
    <w:uiPriority w:val="34"/>
    <w:qFormat/>
    <w:rsid w:val="00597BEA"/>
    <w:pPr>
      <w:ind w:left="720"/>
      <w:contextualSpacing/>
    </w:pPr>
  </w:style>
  <w:style w:type="character" w:customStyle="1" w:styleId="ListParagraphChar">
    <w:name w:val="List Paragraph Char"/>
    <w:aliases w:val="auto_list_(i) Char,List Paragraph1 Char"/>
    <w:basedOn w:val="DefaultParagraphFont"/>
    <w:link w:val="ListParagraph"/>
    <w:uiPriority w:val="34"/>
    <w:rsid w:val="00597BE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F\Twf53\Template\routing_slip_with_doc_twf_5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8EBA4-0A6B-4653-8C3C-781FE3035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routing_slip_with_doc_twf_53.dotm</Template>
  <TotalTime>2</TotalTime>
  <Pages>7</Pages>
  <Words>2412</Words>
  <Characters>15066</Characters>
  <Application>Microsoft Office Word</Application>
  <DocSecurity>0</DocSecurity>
  <Lines>125</Lines>
  <Paragraphs>34</Paragraphs>
  <ScaleCrop>false</ScaleCrop>
  <HeadingPairs>
    <vt:vector size="2" baseType="variant">
      <vt:variant>
        <vt:lpstr>Title</vt:lpstr>
      </vt:variant>
      <vt:variant>
        <vt:i4>1</vt:i4>
      </vt:variant>
    </vt:vector>
  </HeadingPairs>
  <TitlesOfParts>
    <vt:vector size="1" baseType="lpstr">
      <vt:lpstr>TWF/53/13</vt:lpstr>
    </vt:vector>
  </TitlesOfParts>
  <Company>UPOV</Company>
  <LinksUpToDate>false</LinksUpToDate>
  <CharactersWithSpaces>17444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TWF/53/13</dc:title>
  <dc:creator>OERTEL Romy</dc:creator>
  <cp:lastModifiedBy>OERTEL Romy</cp:lastModifiedBy>
  <cp:revision>3</cp:revision>
  <cp:lastPrinted>2022-07-01T13:45:00Z</cp:lastPrinted>
  <dcterms:created xsi:type="dcterms:W3CDTF">2022-07-01T13:45:00Z</dcterms:created>
  <dcterms:modified xsi:type="dcterms:W3CDTF">2022-07-01T13:46:00Z</dcterms:modified>
</cp:coreProperties>
</file>