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4226CC">
            <w:pPr>
              <w:pStyle w:val="Sessiontcplacedate"/>
              <w:rPr>
                <w:sz w:val="22"/>
              </w:rPr>
            </w:pPr>
            <w:r w:rsidRPr="001434F5">
              <w:t>Fifty-</w:t>
            </w:r>
            <w:r>
              <w:t>Second</w:t>
            </w:r>
            <w:r w:rsidRPr="001434F5">
              <w:t xml:space="preserve"> </w:t>
            </w:r>
            <w:r w:rsidRPr="00300C1E">
              <w:t>Session</w:t>
            </w:r>
            <w:r w:rsidRPr="00300C1E">
              <w:br/>
            </w:r>
            <w:r>
              <w:t>Zhengzhou, China</w:t>
            </w:r>
            <w:r w:rsidRPr="001434F5">
              <w:t xml:space="preserve">, July </w:t>
            </w:r>
            <w:r>
              <w:t>12</w:t>
            </w:r>
            <w:r w:rsidRPr="001434F5">
              <w:t xml:space="preserve"> to 1</w:t>
            </w:r>
            <w:r>
              <w:t>6</w:t>
            </w:r>
            <w:r w:rsidRPr="001434F5">
              <w:t>, 202</w:t>
            </w:r>
            <w:r>
              <w:t>1</w:t>
            </w:r>
          </w:p>
        </w:tc>
        <w:tc>
          <w:tcPr>
            <w:tcW w:w="3127" w:type="dxa"/>
          </w:tcPr>
          <w:p w:rsidR="00320E00" w:rsidRPr="003C7FBE" w:rsidRDefault="00320E00" w:rsidP="004226CC">
            <w:pPr>
              <w:pStyle w:val="Doccode"/>
            </w:pPr>
            <w:r>
              <w:t>TWF</w:t>
            </w:r>
            <w:r w:rsidRPr="00AC2883">
              <w:t>/</w:t>
            </w:r>
            <w:r>
              <w:t>52</w:t>
            </w:r>
            <w:r w:rsidRPr="00AC2883">
              <w:t>/</w:t>
            </w:r>
            <w:r w:rsidR="003A5C38">
              <w:t>7</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7F28FA">
            <w:pPr>
              <w:pStyle w:val="Docoriginal"/>
            </w:pPr>
            <w:r w:rsidRPr="00AC2883">
              <w:t>Date</w:t>
            </w:r>
            <w:bookmarkStart w:id="0" w:name="_GoBack"/>
            <w:bookmarkEnd w:id="0"/>
            <w:r w:rsidRPr="007F28FA">
              <w:t>:</w:t>
            </w:r>
            <w:r w:rsidRPr="007F28FA">
              <w:rPr>
                <w:b w:val="0"/>
                <w:spacing w:val="0"/>
              </w:rPr>
              <w:t xml:space="preserve">  </w:t>
            </w:r>
            <w:r w:rsidR="007028EF" w:rsidRPr="007F28FA">
              <w:rPr>
                <w:b w:val="0"/>
                <w:spacing w:val="0"/>
              </w:rPr>
              <w:t xml:space="preserve">June </w:t>
            </w:r>
            <w:r w:rsidR="007F28FA" w:rsidRPr="007F28FA">
              <w:rPr>
                <w:b w:val="0"/>
                <w:spacing w:val="0"/>
              </w:rPr>
              <w:t>11</w:t>
            </w:r>
            <w:r w:rsidRPr="007F28FA">
              <w:rPr>
                <w:b w:val="0"/>
                <w:spacing w:val="0"/>
              </w:rPr>
              <w:t>, 2021</w:t>
            </w:r>
          </w:p>
        </w:tc>
      </w:tr>
    </w:tbl>
    <w:p w:rsidR="003A5C38" w:rsidRPr="006A644A" w:rsidRDefault="003A5C38" w:rsidP="003A5C38">
      <w:pPr>
        <w:pStyle w:val="Titleofdoc0"/>
      </w:pPr>
      <w:bookmarkStart w:id="1" w:name="TitleOfDoc"/>
      <w:bookmarkEnd w:id="1"/>
      <w:r w:rsidRPr="00424888">
        <w:t>Relevant matters for DUS examination in the fruit sector</w:t>
      </w:r>
    </w:p>
    <w:p w:rsidR="007B0FF0" w:rsidRPr="006A644A" w:rsidRDefault="007B0FF0" w:rsidP="007B0FF0">
      <w:pPr>
        <w:pStyle w:val="preparedby1"/>
      </w:pPr>
      <w:r w:rsidRPr="000C4E25">
        <w:t xml:space="preserve">Document prepared by </w:t>
      </w:r>
      <w:r w:rsidR="00B971D1" w:rsidRPr="00F43AE2">
        <w:t>an expert from the European Union</w:t>
      </w:r>
    </w:p>
    <w:p w:rsidR="007B0FF0" w:rsidRPr="006A644A" w:rsidRDefault="007B0FF0" w:rsidP="007B0FF0">
      <w:pPr>
        <w:pStyle w:val="Disclaimer"/>
      </w:pPr>
      <w:r w:rsidRPr="006A644A">
        <w:t>Disclaimer:  this document does not represent UPOV policies or guidance</w:t>
      </w:r>
    </w:p>
    <w:p w:rsidR="00B971D1" w:rsidRDefault="003A5C38" w:rsidP="007B0FF0">
      <w:pPr>
        <w:jc w:val="left"/>
      </w:pPr>
      <w:r w:rsidRPr="00424888">
        <w:rPr>
          <w:snapToGrid w:val="0"/>
        </w:rPr>
        <w:t>The annex to this document contains a copy of a presentation “</w:t>
      </w:r>
      <w:r w:rsidR="00827688">
        <w:rPr>
          <w:bCs/>
          <w:snapToGrid w:val="0"/>
        </w:rPr>
        <w:t>N</w:t>
      </w:r>
      <w:r w:rsidRPr="003A5C38">
        <w:rPr>
          <w:bCs/>
          <w:snapToGrid w:val="0"/>
          <w:lang w:val="en-GB"/>
        </w:rPr>
        <w:t>umber of plants of reference variety</w:t>
      </w:r>
      <w:r w:rsidRPr="00424888">
        <w:rPr>
          <w:snapToGrid w:val="0"/>
        </w:rPr>
        <w:t xml:space="preserve">”, </w:t>
      </w:r>
      <w:proofErr w:type="gramStart"/>
      <w:r w:rsidRPr="00424888">
        <w:rPr>
          <w:snapToGrid w:val="0"/>
        </w:rPr>
        <w:t>prepared</w:t>
      </w:r>
      <w:proofErr w:type="gramEnd"/>
      <w:r w:rsidRPr="00424888">
        <w:rPr>
          <w:snapToGrid w:val="0"/>
        </w:rPr>
        <w:t xml:space="preserve"> by an expert from the European Union, to be considered by the fifty</w:t>
      </w:r>
      <w:r w:rsidRPr="00424888">
        <w:rPr>
          <w:snapToGrid w:val="0"/>
        </w:rPr>
        <w:noBreakHyphen/>
      </w:r>
      <w:r>
        <w:rPr>
          <w:snapToGrid w:val="0"/>
        </w:rPr>
        <w:t>second</w:t>
      </w:r>
      <w:r w:rsidRPr="00424888">
        <w:rPr>
          <w:snapToGrid w:val="0"/>
        </w:rPr>
        <w:t xml:space="preserve"> session of the Technical Working Party for </w:t>
      </w:r>
      <w:r>
        <w:rPr>
          <w:snapToGrid w:val="0"/>
        </w:rPr>
        <w:t>Fruit Crops</w:t>
      </w:r>
      <w:r w:rsidRPr="00424888">
        <w:rPr>
          <w:snapToGrid w:val="0"/>
        </w:rPr>
        <w:t xml:space="preserve"> (TW</w:t>
      </w:r>
      <w:r>
        <w:rPr>
          <w:snapToGrid w:val="0"/>
        </w:rPr>
        <w:t>F</w:t>
      </w:r>
      <w:r w:rsidRPr="00424888">
        <w:rPr>
          <w:snapToGrid w:val="0"/>
        </w:rPr>
        <w:t>).</w:t>
      </w:r>
    </w:p>
    <w:p w:rsidR="00B971D1" w:rsidRDefault="00B971D1" w:rsidP="007B0FF0">
      <w:pPr>
        <w:jc w:val="left"/>
      </w:pPr>
    </w:p>
    <w:p w:rsidR="00B971D1" w:rsidRDefault="00B971D1" w:rsidP="007B0FF0">
      <w:pPr>
        <w:jc w:val="left"/>
      </w:pPr>
    </w:p>
    <w:p w:rsidR="00F21348" w:rsidRDefault="00F21348" w:rsidP="007B0FF0">
      <w:pPr>
        <w:jc w:val="left"/>
      </w:pPr>
    </w:p>
    <w:p w:rsidR="007B0FF0" w:rsidRDefault="007B0FF0" w:rsidP="007B0FF0">
      <w:pPr>
        <w:jc w:val="right"/>
      </w:pPr>
      <w:r w:rsidRPr="00C5280D">
        <w:t>[</w:t>
      </w:r>
      <w:r>
        <w:t>Annex follows</w:t>
      </w:r>
      <w:r w:rsidRPr="00C5280D">
        <w:t>]</w:t>
      </w:r>
    </w:p>
    <w:p w:rsidR="007B0FF0" w:rsidRDefault="007B0FF0" w:rsidP="007B0FF0">
      <w:pPr>
        <w:jc w:val="left"/>
      </w:pPr>
    </w:p>
    <w:p w:rsidR="00324BCD" w:rsidRDefault="00324BCD" w:rsidP="007B0FF0">
      <w:pPr>
        <w:jc w:val="left"/>
        <w:sectPr w:rsidR="00324BCD" w:rsidSect="005E7466">
          <w:headerReference w:type="default" r:id="rId9"/>
          <w:headerReference w:type="first" r:id="rId10"/>
          <w:pgSz w:w="11907" w:h="16840" w:code="9"/>
          <w:pgMar w:top="510" w:right="1134" w:bottom="1134" w:left="1134" w:header="510" w:footer="680" w:gutter="0"/>
          <w:pgNumType w:start="1"/>
          <w:cols w:space="720"/>
          <w:titlePg/>
        </w:sectPr>
      </w:pPr>
    </w:p>
    <w:p w:rsidR="007B0FF0" w:rsidRDefault="007B0FF0" w:rsidP="007B0FF0"/>
    <w:p w:rsidR="007B0FF0" w:rsidRDefault="007B0FF0" w:rsidP="007B0FF0">
      <w:pPr>
        <w:rPr>
          <w:snapToGrid w:val="0"/>
        </w:rPr>
      </w:pPr>
    </w:p>
    <w:p w:rsidR="003A5C38" w:rsidRDefault="003A5C38" w:rsidP="003A5C38">
      <w:pPr>
        <w:pStyle w:val="Heading1"/>
        <w:tabs>
          <w:tab w:val="left" w:pos="720"/>
        </w:tabs>
        <w:spacing w:before="240"/>
        <w:jc w:val="center"/>
        <w:rPr>
          <w:rFonts w:ascii="Tahoma" w:hAnsi="Tahoma"/>
          <w:u w:val="single"/>
          <w:lang w:val="en-GB"/>
        </w:rPr>
      </w:pPr>
      <w:r>
        <w:rPr>
          <w:b/>
          <w:u w:val="single"/>
          <w:lang w:val="en-GB"/>
        </w:rPr>
        <w:t>Number of plants of reference variety</w:t>
      </w:r>
    </w:p>
    <w:p w:rsidR="003A5C38" w:rsidRDefault="003A5C38" w:rsidP="003A5C38">
      <w:pPr>
        <w:rPr>
          <w:lang w:val="en-GB"/>
        </w:rPr>
      </w:pPr>
    </w:p>
    <w:p w:rsidR="003A5C38" w:rsidRDefault="003A5C38" w:rsidP="003A5C38">
      <w:pPr>
        <w:rPr>
          <w:lang w:val="en-GB"/>
        </w:rPr>
      </w:pPr>
    </w:p>
    <w:p w:rsidR="003A5C38" w:rsidRDefault="003A5C38" w:rsidP="003A5C38">
      <w:pPr>
        <w:rPr>
          <w:lang w:val="en-GB"/>
        </w:rPr>
      </w:pPr>
      <w:r>
        <w:rPr>
          <w:lang w:val="en-GB"/>
        </w:rPr>
        <w:t>The UPOV document TGP/9/2 specifies the following:</w:t>
      </w:r>
    </w:p>
    <w:p w:rsidR="003A5C38" w:rsidRDefault="003A5C38" w:rsidP="003A5C38">
      <w:pPr>
        <w:rPr>
          <w:lang w:val="en-GB"/>
        </w:rPr>
      </w:pPr>
    </w:p>
    <w:p w:rsidR="003A5C38" w:rsidRDefault="003A5C38" w:rsidP="003A5C38">
      <w:pPr>
        <w:rPr>
          <w:lang w:val="en-GB"/>
        </w:rPr>
      </w:pPr>
      <w:r>
        <w:rPr>
          <w:lang w:val="en-GB"/>
        </w:rPr>
        <w:t xml:space="preserve">5.5.5 </w:t>
      </w:r>
      <w:r>
        <w:rPr>
          <w:i/>
          <w:lang w:val="en-GB"/>
        </w:rPr>
        <w:t xml:space="preserve">The required precision of records depends on the size of the difference between the candidate variety and the varieties of common knowledge. If two varieties are very </w:t>
      </w:r>
      <w:proofErr w:type="gramStart"/>
      <w:r>
        <w:rPr>
          <w:i/>
          <w:lang w:val="en-GB"/>
        </w:rPr>
        <w:t>similar</w:t>
      </w:r>
      <w:proofErr w:type="gramEnd"/>
      <w:r>
        <w:rPr>
          <w:i/>
          <w:lang w:val="en-GB"/>
        </w:rPr>
        <w:t xml:space="preserve">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w:t>
      </w:r>
      <w:proofErr w:type="gramStart"/>
      <w:r>
        <w:rPr>
          <w:i/>
          <w:lang w:val="en-GB"/>
        </w:rPr>
        <w:t>provided that</w:t>
      </w:r>
      <w:proofErr w:type="gramEnd"/>
      <w:r>
        <w:rPr>
          <w:i/>
          <w:lang w:val="en-GB"/>
        </w:rPr>
        <w:t xml:space="preserve"> uniformity does not have to be assessed for that variety, i.e. varieties in the variety collection</w:t>
      </w:r>
      <w:r>
        <w:rPr>
          <w:lang w:val="en-GB"/>
        </w:rPr>
        <w:t>.</w:t>
      </w:r>
    </w:p>
    <w:p w:rsidR="003A5C38" w:rsidRDefault="003A5C38" w:rsidP="003A5C38">
      <w:pPr>
        <w:rPr>
          <w:lang w:val="en-GB"/>
        </w:rPr>
      </w:pPr>
    </w:p>
    <w:p w:rsidR="003A5C38" w:rsidRDefault="003A5C38" w:rsidP="003A5C38">
      <w:pPr>
        <w:rPr>
          <w:lang w:val="en-GB"/>
        </w:rPr>
      </w:pPr>
      <w:r>
        <w:rPr>
          <w:lang w:val="en-GB"/>
        </w:rPr>
        <w:t xml:space="preserve">Consequently, for </w:t>
      </w:r>
      <w:proofErr w:type="gramStart"/>
      <w:r>
        <w:rPr>
          <w:lang w:val="en-GB"/>
        </w:rPr>
        <w:t>varieties which are very close to a given candidate the same number of plants of the similar variety</w:t>
      </w:r>
      <w:proofErr w:type="gramEnd"/>
      <w:r>
        <w:rPr>
          <w:lang w:val="en-GB"/>
        </w:rPr>
        <w:t xml:space="preserve"> should be used as the number of plants of the candidate variety to assure the same precision of records. However, if a reference variety is not very similar (“other cases”) and provided uniformity does not need to be assessed lower number </w:t>
      </w:r>
      <w:proofErr w:type="gramStart"/>
      <w:r>
        <w:rPr>
          <w:lang w:val="en-GB"/>
        </w:rPr>
        <w:t>can be used</w:t>
      </w:r>
      <w:proofErr w:type="gramEnd"/>
      <w:r>
        <w:rPr>
          <w:lang w:val="en-GB"/>
        </w:rPr>
        <w:t>.</w:t>
      </w:r>
    </w:p>
    <w:p w:rsidR="003A5C38" w:rsidRDefault="003A5C38" w:rsidP="003A5C38">
      <w:pPr>
        <w:rPr>
          <w:lang w:val="en-GB"/>
        </w:rPr>
      </w:pPr>
      <w:r>
        <w:rPr>
          <w:lang w:val="en-GB"/>
        </w:rPr>
        <w:t xml:space="preserve">In the </w:t>
      </w:r>
      <w:proofErr w:type="gramStart"/>
      <w:r>
        <w:rPr>
          <w:lang w:val="en-GB"/>
        </w:rPr>
        <w:t>fruit</w:t>
      </w:r>
      <w:proofErr w:type="gramEnd"/>
      <w:r>
        <w:rPr>
          <w:lang w:val="en-GB"/>
        </w:rPr>
        <w:t xml:space="preserve"> sectors at the EU level it was felt that:</w:t>
      </w:r>
    </w:p>
    <w:p w:rsidR="003A5C38" w:rsidRDefault="003A5C38" w:rsidP="003A5C38">
      <w:pPr>
        <w:pStyle w:val="ListParagraph"/>
        <w:numPr>
          <w:ilvl w:val="0"/>
          <w:numId w:val="3"/>
        </w:numPr>
        <w:spacing w:before="120"/>
        <w:rPr>
          <w:lang w:val="en-GB"/>
        </w:rPr>
      </w:pPr>
      <w:r>
        <w:rPr>
          <w:lang w:val="en-GB"/>
        </w:rPr>
        <w:t>there was no need to have the same number of plants of the reference variety as for the candidate for the distinctness assessment even though the varieties may be very similar,</w:t>
      </w:r>
    </w:p>
    <w:p w:rsidR="003A5C38" w:rsidRDefault="003A5C38" w:rsidP="003A5C38">
      <w:pPr>
        <w:pStyle w:val="ListParagraph"/>
        <w:numPr>
          <w:ilvl w:val="0"/>
          <w:numId w:val="3"/>
        </w:numPr>
        <w:spacing w:before="120"/>
        <w:rPr>
          <w:lang w:val="en-GB"/>
        </w:rPr>
      </w:pPr>
      <w:r>
        <w:rPr>
          <w:lang w:val="en-GB"/>
        </w:rPr>
        <w:t>the use of fewer plants of the reference variety does not impact the precision of the records,</w:t>
      </w:r>
    </w:p>
    <w:p w:rsidR="003A5C38" w:rsidRDefault="003A5C38" w:rsidP="003A5C38">
      <w:pPr>
        <w:pStyle w:val="ListParagraph"/>
        <w:numPr>
          <w:ilvl w:val="0"/>
          <w:numId w:val="3"/>
        </w:numPr>
        <w:spacing w:before="120"/>
        <w:rPr>
          <w:lang w:val="en-GB"/>
        </w:rPr>
      </w:pPr>
      <w:proofErr w:type="gramStart"/>
      <w:r>
        <w:rPr>
          <w:lang w:val="en-GB"/>
        </w:rPr>
        <w:t>providing</w:t>
      </w:r>
      <w:proofErr w:type="gramEnd"/>
      <w:r>
        <w:rPr>
          <w:lang w:val="en-GB"/>
        </w:rPr>
        <w:t xml:space="preserve"> for the same number of plants would cause difficulties in managing the trials and would markedly increase the size of the trials.</w:t>
      </w:r>
    </w:p>
    <w:p w:rsidR="003A5C38" w:rsidRDefault="003A5C38" w:rsidP="007028EF">
      <w:pPr>
        <w:pStyle w:val="ListParagraph"/>
        <w:spacing w:before="120"/>
        <w:rPr>
          <w:lang w:val="en-GB"/>
        </w:rPr>
      </w:pPr>
    </w:p>
    <w:p w:rsidR="003A5C38" w:rsidRDefault="003A5C38" w:rsidP="003A5C38">
      <w:pPr>
        <w:rPr>
          <w:lang w:val="en-GB"/>
        </w:rPr>
      </w:pPr>
      <w:r>
        <w:rPr>
          <w:lang w:val="en-GB"/>
        </w:rPr>
        <w:t xml:space="preserve">There was a general agreement of experts participating to the CPVO Fruit Experts’ Meeting of 2020 that the TGP/9/2 paragraph 5.5.5. </w:t>
      </w:r>
      <w:proofErr w:type="gramStart"/>
      <w:r>
        <w:rPr>
          <w:lang w:val="en-GB"/>
        </w:rPr>
        <w:t>could</w:t>
      </w:r>
      <w:proofErr w:type="gramEnd"/>
      <w:r>
        <w:rPr>
          <w:lang w:val="en-GB"/>
        </w:rPr>
        <w:t xml:space="preserve"> not be applied in its literal meaning in the fruit sector and that it may need some clarification at the UPOV level.  </w:t>
      </w:r>
    </w:p>
    <w:p w:rsidR="007B0FF0" w:rsidRPr="003A5C38" w:rsidRDefault="007B0FF0" w:rsidP="007B0FF0">
      <w:pPr>
        <w:rPr>
          <w:lang w:val="en-GB"/>
        </w:rPr>
      </w:pPr>
    </w:p>
    <w:p w:rsidR="007B0FF0" w:rsidRDefault="007B0FF0" w:rsidP="007B0FF0"/>
    <w:p w:rsidR="007B0FF0" w:rsidRDefault="007B0FF0" w:rsidP="007B0FF0"/>
    <w:p w:rsidR="007B0FF0" w:rsidRPr="00C5280D" w:rsidRDefault="007B0FF0" w:rsidP="007B0FF0">
      <w:pPr>
        <w:jc w:val="right"/>
      </w:pPr>
      <w:r w:rsidRPr="00C5280D">
        <w:t xml:space="preserve"> [End of </w:t>
      </w:r>
      <w:r>
        <w:t xml:space="preserve">Annex and of </w:t>
      </w:r>
      <w:r w:rsidRPr="00C5280D">
        <w:t>document]</w:t>
      </w:r>
    </w:p>
    <w:p w:rsidR="007B0FF0" w:rsidRDefault="007B0FF0" w:rsidP="007B0FF0"/>
    <w:p w:rsidR="007B0FF0" w:rsidRDefault="007B0FF0" w:rsidP="007B0FF0">
      <w:pPr>
        <w:jc w:val="left"/>
      </w:pPr>
    </w:p>
    <w:p w:rsidR="007B0FF0" w:rsidRPr="00C651CE" w:rsidRDefault="007B0FF0" w:rsidP="007B0FF0"/>
    <w:p w:rsidR="007B0FF0" w:rsidRPr="00C5280D" w:rsidRDefault="007B0FF0" w:rsidP="007B0FF0">
      <w:pPr>
        <w:jc w:val="left"/>
      </w:pPr>
    </w:p>
    <w:p w:rsidR="00050E16" w:rsidRPr="00C5280D" w:rsidRDefault="00050E16" w:rsidP="007B0FF0"/>
    <w:sectPr w:rsidR="00050E16" w:rsidRPr="00C5280D" w:rsidSect="005E7466">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C2" w:rsidRDefault="00CA0CC2" w:rsidP="006655D3">
      <w:r>
        <w:separator/>
      </w:r>
    </w:p>
    <w:p w:rsidR="00CA0CC2" w:rsidRDefault="00CA0CC2" w:rsidP="006655D3"/>
    <w:p w:rsidR="00CA0CC2" w:rsidRDefault="00CA0CC2" w:rsidP="006655D3"/>
  </w:endnote>
  <w:endnote w:type="continuationSeparator" w:id="0">
    <w:p w:rsidR="00CA0CC2" w:rsidRDefault="00CA0CC2" w:rsidP="006655D3">
      <w:r>
        <w:separator/>
      </w:r>
    </w:p>
    <w:p w:rsidR="00CA0CC2" w:rsidRPr="00294751" w:rsidRDefault="00CA0CC2">
      <w:pPr>
        <w:pStyle w:val="Footer"/>
        <w:spacing w:after="60"/>
        <w:rPr>
          <w:sz w:val="18"/>
          <w:lang w:val="fr-FR"/>
        </w:rPr>
      </w:pPr>
      <w:r w:rsidRPr="00294751">
        <w:rPr>
          <w:sz w:val="18"/>
          <w:lang w:val="fr-FR"/>
        </w:rPr>
        <w:t>[Suite de la note de la page précédente]</w:t>
      </w:r>
    </w:p>
    <w:p w:rsidR="00CA0CC2" w:rsidRPr="00294751" w:rsidRDefault="00CA0CC2" w:rsidP="006655D3">
      <w:pPr>
        <w:rPr>
          <w:lang w:val="fr-FR"/>
        </w:rPr>
      </w:pPr>
    </w:p>
    <w:p w:rsidR="00CA0CC2" w:rsidRPr="00294751" w:rsidRDefault="00CA0CC2" w:rsidP="006655D3">
      <w:pPr>
        <w:rPr>
          <w:lang w:val="fr-FR"/>
        </w:rPr>
      </w:pPr>
    </w:p>
  </w:endnote>
  <w:endnote w:type="continuationNotice" w:id="1">
    <w:p w:rsidR="00CA0CC2" w:rsidRPr="00294751" w:rsidRDefault="00CA0CC2" w:rsidP="006655D3">
      <w:pPr>
        <w:rPr>
          <w:lang w:val="fr-FR"/>
        </w:rPr>
      </w:pPr>
      <w:r w:rsidRPr="00294751">
        <w:rPr>
          <w:lang w:val="fr-FR"/>
        </w:rPr>
        <w:t>[Suite de la note page suivante]</w:t>
      </w:r>
    </w:p>
    <w:p w:rsidR="00CA0CC2" w:rsidRPr="00294751" w:rsidRDefault="00CA0CC2" w:rsidP="006655D3">
      <w:pPr>
        <w:rPr>
          <w:lang w:val="fr-FR"/>
        </w:rPr>
      </w:pPr>
    </w:p>
    <w:p w:rsidR="00CA0CC2" w:rsidRPr="00294751" w:rsidRDefault="00CA0CC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C2" w:rsidRDefault="00CA0CC2" w:rsidP="006655D3">
      <w:r>
        <w:separator/>
      </w:r>
    </w:p>
  </w:footnote>
  <w:footnote w:type="continuationSeparator" w:id="0">
    <w:p w:rsidR="00CA0CC2" w:rsidRDefault="00CA0CC2" w:rsidP="006655D3">
      <w:r>
        <w:separator/>
      </w:r>
    </w:p>
  </w:footnote>
  <w:footnote w:type="continuationNotice" w:id="1">
    <w:p w:rsidR="00CA0CC2" w:rsidRPr="00AB530F" w:rsidRDefault="00CA0CC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TWF/52</w:t>
    </w:r>
    <w:r w:rsidR="0004198B">
      <w:rPr>
        <w:rStyle w:val="PageNumber"/>
        <w:lang w:val="en-US"/>
      </w:rPr>
      <w:t>/</w:t>
    </w:r>
    <w:r w:rsidR="003A5C38">
      <w:rPr>
        <w:rStyle w:val="PageNumber"/>
        <w:lang w:val="en-US"/>
      </w:rPr>
      <w:t>7</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4BCD">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CD" w:rsidRPr="00324BCD" w:rsidRDefault="00324BCD" w:rsidP="0004198B">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BCD" w:rsidRDefault="00324BCD" w:rsidP="0004198B">
    <w:pPr>
      <w:pStyle w:val="Header"/>
      <w:rPr>
        <w:lang w:val="fr-CH"/>
      </w:rPr>
    </w:pPr>
    <w:r>
      <w:rPr>
        <w:lang w:val="fr-CH"/>
      </w:rPr>
      <w:t>TWF/52/7</w:t>
    </w:r>
  </w:p>
  <w:p w:rsidR="00324BCD" w:rsidRDefault="00324BCD" w:rsidP="0004198B">
    <w:pPr>
      <w:pStyle w:val="Header"/>
      <w:rPr>
        <w:lang w:val="fr-CH"/>
      </w:rPr>
    </w:pPr>
  </w:p>
  <w:p w:rsidR="00324BCD" w:rsidRDefault="00324BCD" w:rsidP="0004198B">
    <w:pPr>
      <w:pStyle w:val="Header"/>
      <w:rPr>
        <w:lang w:val="fr-CH"/>
      </w:rPr>
    </w:pPr>
    <w:r>
      <w:rPr>
        <w:lang w:val="fr-CH"/>
      </w:rPr>
      <w:t>ANNEX</w:t>
    </w:r>
  </w:p>
  <w:p w:rsidR="00324BCD" w:rsidRPr="00324BCD" w:rsidRDefault="00324BCD"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2F6E"/>
    <w:multiLevelType w:val="hybridMultilevel"/>
    <w:tmpl w:val="B5D4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5BB8"/>
    <w:multiLevelType w:val="hybridMultilevel"/>
    <w:tmpl w:val="624C8050"/>
    <w:lvl w:ilvl="0" w:tplc="1666B69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C2"/>
    <w:rsid w:val="00010CF3"/>
    <w:rsid w:val="00011E27"/>
    <w:rsid w:val="000148BC"/>
    <w:rsid w:val="00024AB8"/>
    <w:rsid w:val="00030854"/>
    <w:rsid w:val="00036028"/>
    <w:rsid w:val="0004198B"/>
    <w:rsid w:val="00044642"/>
    <w:rsid w:val="000446B9"/>
    <w:rsid w:val="00047E21"/>
    <w:rsid w:val="00050E16"/>
    <w:rsid w:val="00085505"/>
    <w:rsid w:val="000A32F0"/>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0E00"/>
    <w:rsid w:val="00324BCD"/>
    <w:rsid w:val="00327436"/>
    <w:rsid w:val="00344BD6"/>
    <w:rsid w:val="0035528D"/>
    <w:rsid w:val="00361821"/>
    <w:rsid w:val="00361E9E"/>
    <w:rsid w:val="003753EE"/>
    <w:rsid w:val="003A0835"/>
    <w:rsid w:val="003A5AAF"/>
    <w:rsid w:val="003A5C38"/>
    <w:rsid w:val="003B700A"/>
    <w:rsid w:val="003C7FBE"/>
    <w:rsid w:val="003D0B2E"/>
    <w:rsid w:val="003D227C"/>
    <w:rsid w:val="003D2B4D"/>
    <w:rsid w:val="003F37F5"/>
    <w:rsid w:val="00444A88"/>
    <w:rsid w:val="00474DA4"/>
    <w:rsid w:val="00476B4D"/>
    <w:rsid w:val="004805FA"/>
    <w:rsid w:val="004935D2"/>
    <w:rsid w:val="004B1215"/>
    <w:rsid w:val="004D047D"/>
    <w:rsid w:val="004D4F5A"/>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28EF"/>
    <w:rsid w:val="00704ECF"/>
    <w:rsid w:val="0071271E"/>
    <w:rsid w:val="00732DEC"/>
    <w:rsid w:val="00735BD5"/>
    <w:rsid w:val="007451EC"/>
    <w:rsid w:val="00751613"/>
    <w:rsid w:val="00753EE9"/>
    <w:rsid w:val="007556F6"/>
    <w:rsid w:val="00760EEF"/>
    <w:rsid w:val="00777EE5"/>
    <w:rsid w:val="00784836"/>
    <w:rsid w:val="0079023E"/>
    <w:rsid w:val="007A2854"/>
    <w:rsid w:val="007B0FF0"/>
    <w:rsid w:val="007C1D92"/>
    <w:rsid w:val="007C4CB9"/>
    <w:rsid w:val="007D0B9D"/>
    <w:rsid w:val="007D19B0"/>
    <w:rsid w:val="007F28FA"/>
    <w:rsid w:val="007F498F"/>
    <w:rsid w:val="0080679D"/>
    <w:rsid w:val="008108B0"/>
    <w:rsid w:val="00811B20"/>
    <w:rsid w:val="00812609"/>
    <w:rsid w:val="008211B5"/>
    <w:rsid w:val="0082296E"/>
    <w:rsid w:val="00824099"/>
    <w:rsid w:val="00827688"/>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412"/>
    <w:rsid w:val="00B11F3E"/>
    <w:rsid w:val="00B224DE"/>
    <w:rsid w:val="00B324D4"/>
    <w:rsid w:val="00B46575"/>
    <w:rsid w:val="00B61777"/>
    <w:rsid w:val="00B622E6"/>
    <w:rsid w:val="00B83E82"/>
    <w:rsid w:val="00B84BBD"/>
    <w:rsid w:val="00B971D1"/>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0CC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1348"/>
    <w:rsid w:val="00F22CBD"/>
    <w:rsid w:val="00F272F1"/>
    <w:rsid w:val="00F31412"/>
    <w:rsid w:val="00F45372"/>
    <w:rsid w:val="00F560F7"/>
    <w:rsid w:val="00F6334D"/>
    <w:rsid w:val="00F63599"/>
    <w:rsid w:val="00F71781"/>
    <w:rsid w:val="00F93432"/>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78BB64"/>
  <w15:docId w15:val="{84602C17-6267-45E8-B814-7FCC46AE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uiPriority w:val="9"/>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qFormat/>
    <w:rsid w:val="00F21348"/>
    <w:pPr>
      <w:ind w:left="720"/>
      <w:contextualSpacing/>
    </w:pPr>
    <w:rPr>
      <w:rFonts w:eastAsia="MS Mincho"/>
    </w:rPr>
  </w:style>
  <w:style w:type="character" w:customStyle="1" w:styleId="Heading1Char">
    <w:name w:val="Heading 1 Char"/>
    <w:basedOn w:val="DefaultParagraphFont"/>
    <w:link w:val="Heading1"/>
    <w:uiPriority w:val="9"/>
    <w:rsid w:val="003A5C38"/>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06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EDE09-F7DE-4D88-AF2C-0EF03D91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2118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TWF/52/</vt:lpstr>
    </vt:vector>
  </TitlesOfParts>
  <Company>UPOV</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TWF/52/</dc:title>
  <dc:creator>MAY Jessica</dc:creator>
  <cp:lastModifiedBy>OERTEL Romy</cp:lastModifiedBy>
  <cp:revision>2</cp:revision>
  <cp:lastPrinted>2016-11-22T15:41:00Z</cp:lastPrinted>
  <dcterms:created xsi:type="dcterms:W3CDTF">2021-06-11T14:22:00Z</dcterms:created>
  <dcterms:modified xsi:type="dcterms:W3CDTF">2021-06-11T14:22:00Z</dcterms:modified>
</cp:coreProperties>
</file>