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6359A3" w:rsidP="000A21B3">
            <w:pPr>
              <w:pStyle w:val="Sessiontcplacedate"/>
              <w:rPr>
                <w:sz w:val="22"/>
              </w:rPr>
            </w:pPr>
            <w:r w:rsidRPr="00300C1E">
              <w:t>Forty-</w:t>
            </w:r>
            <w:r>
              <w:t>Ninth</w:t>
            </w:r>
            <w:r w:rsidRPr="00300C1E">
              <w:t xml:space="preserve"> Session</w:t>
            </w:r>
            <w:r w:rsidRPr="00300C1E">
              <w:br/>
            </w:r>
            <w:r w:rsidRPr="00E1456D">
              <w:t>Santiago de Chile, Chile</w:t>
            </w:r>
            <w:r w:rsidRPr="00300C1E">
              <w:t xml:space="preserve">, </w:t>
            </w:r>
            <w:r w:rsidRPr="00E1456D">
              <w:t>November 19 to 23, 2018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0A21B3">
              <w:t>F</w:t>
            </w:r>
            <w:r w:rsidR="00EB4E9C" w:rsidRPr="00AC2883">
              <w:t>/</w:t>
            </w:r>
            <w:r w:rsidR="000A21B3">
              <w:t>4</w:t>
            </w:r>
            <w:r w:rsidR="002E6958">
              <w:t>9</w:t>
            </w:r>
            <w:r w:rsidR="00EB4E9C" w:rsidRPr="00AC2883">
              <w:t>/</w:t>
            </w:r>
            <w:r w:rsidR="00E054E1"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006C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054E1">
              <w:rPr>
                <w:b w:val="0"/>
                <w:spacing w:val="0"/>
              </w:rPr>
              <w:t xml:space="preserve">November </w:t>
            </w:r>
            <w:r w:rsidR="003006CC">
              <w:rPr>
                <w:b w:val="0"/>
                <w:spacing w:val="0"/>
              </w:rPr>
              <w:t>14</w:t>
            </w:r>
            <w:r w:rsidR="00E054E1">
              <w:rPr>
                <w:b w:val="0"/>
                <w:spacing w:val="0"/>
              </w:rPr>
              <w:t>, 2018</w:t>
            </w:r>
          </w:p>
        </w:tc>
      </w:tr>
    </w:tbl>
    <w:p w:rsidR="000D7780" w:rsidRPr="006A644A" w:rsidRDefault="00E054E1" w:rsidP="006A644A">
      <w:pPr>
        <w:pStyle w:val="Titleofdoc0"/>
      </w:pPr>
      <w:bookmarkStart w:id="0" w:name="TitleOfDoc"/>
      <w:bookmarkEnd w:id="0"/>
      <w:r w:rsidRPr="00E054E1">
        <w:t xml:space="preserve">Matters to be resolved concerning Test Guidelines </w:t>
      </w:r>
      <w:r w:rsidR="000A339F">
        <w:t xml:space="preserve">for </w:t>
      </w:r>
      <w:r>
        <w:t>Black Walnut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054E1" w:rsidRDefault="00E054E1" w:rsidP="00E054E1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14469">
        <w:t xml:space="preserve">The </w:t>
      </w:r>
      <w:r>
        <w:t xml:space="preserve">Enlarged Editorial </w:t>
      </w:r>
      <w:r w:rsidRPr="00E31DFA">
        <w:t>Committee (TC-EDC), at its meeting</w:t>
      </w:r>
      <w:r>
        <w:t>s</w:t>
      </w:r>
      <w:r w:rsidRPr="00E31DFA">
        <w:t xml:space="preserve"> held in Geneva, </w:t>
      </w:r>
      <w:r>
        <w:t>in</w:t>
      </w:r>
      <w:r w:rsidRPr="00E31DFA">
        <w:t xml:space="preserve"> March 26 </w:t>
      </w:r>
      <w:r>
        <w:t>and</w:t>
      </w:r>
      <w:r w:rsidRPr="00E31DFA">
        <w:t xml:space="preserve"> 27, 2018, </w:t>
      </w:r>
      <w:r>
        <w:t xml:space="preserve">and October 28, 2018, </w:t>
      </w:r>
      <w:r w:rsidRPr="00E31DFA">
        <w:t xml:space="preserve">considered </w:t>
      </w:r>
      <w:r w:rsidRPr="00E054E1">
        <w:t xml:space="preserve">document </w:t>
      </w:r>
      <w:hyperlink r:id="rId7" w:history="1">
        <w:r w:rsidRPr="00E054E1">
          <w:rPr>
            <w:rFonts w:cs="Arial"/>
            <w:color w:val="0066CC"/>
            <w:u w:val="single"/>
            <w:shd w:val="clear" w:color="auto" w:fill="FFFFFF"/>
          </w:rPr>
          <w:t>TG/</w:t>
        </w:r>
        <w:proofErr w:type="gramStart"/>
        <w:r w:rsidRPr="00E054E1">
          <w:rPr>
            <w:rFonts w:cs="Arial"/>
            <w:color w:val="0066CC"/>
            <w:u w:val="single"/>
            <w:shd w:val="clear" w:color="auto" w:fill="FFFFFF"/>
          </w:rPr>
          <w:t>JUGLA(</w:t>
        </w:r>
        <w:proofErr w:type="gramEnd"/>
        <w:r>
          <w:rPr>
            <w:rFonts w:cs="Arial"/>
            <w:color w:val="0066CC"/>
            <w:u w:val="single"/>
            <w:shd w:val="clear" w:color="auto" w:fill="FFFFFF"/>
          </w:rPr>
          <w:t>proj</w:t>
        </w:r>
        <w:r w:rsidRPr="00E054E1">
          <w:rPr>
            <w:rFonts w:cs="Arial"/>
            <w:color w:val="0066CC"/>
            <w:u w:val="single"/>
            <w:shd w:val="clear" w:color="auto" w:fill="FFFFFF"/>
          </w:rPr>
          <w:t>.4)</w:t>
        </w:r>
      </w:hyperlink>
      <w:r w:rsidRPr="00E31DFA">
        <w:t xml:space="preserve">  and agreed that the technical issues raised on the draft Test Guidelines for </w:t>
      </w:r>
      <w:r>
        <w:t>Black Walnut</w:t>
      </w:r>
      <w:r w:rsidRPr="00E31DFA">
        <w:t xml:space="preserve"> should be addressed by</w:t>
      </w:r>
      <w:r>
        <w:t xml:space="preserve"> the TWF (see document TC/54/31 “Report”, Annex II).</w:t>
      </w:r>
    </w:p>
    <w:p w:rsidR="00E054E1" w:rsidRDefault="00E054E1" w:rsidP="00E054E1">
      <w:pPr>
        <w:rPr>
          <w:snapToGrid w:val="0"/>
        </w:rPr>
      </w:pPr>
    </w:p>
    <w:p w:rsidR="00E054E1" w:rsidRDefault="00E054E1" w:rsidP="00E054E1">
      <w:pPr>
        <w:rPr>
          <w:snapToGrid w:val="0"/>
        </w:rPr>
      </w:pPr>
      <w:r w:rsidRPr="007D2174">
        <w:rPr>
          <w:snapToGrid w:val="0"/>
        </w:rPr>
        <w:fldChar w:fldCharType="begin"/>
      </w:r>
      <w:r w:rsidRPr="007D2174">
        <w:rPr>
          <w:snapToGrid w:val="0"/>
        </w:rPr>
        <w:instrText xml:space="preserve"> AUTONUM  </w:instrText>
      </w:r>
      <w:r w:rsidRPr="007D2174">
        <w:rPr>
          <w:snapToGrid w:val="0"/>
        </w:rPr>
        <w:fldChar w:fldCharType="end"/>
      </w:r>
      <w:r w:rsidRPr="007D2174">
        <w:rPr>
          <w:snapToGrid w:val="0"/>
        </w:rPr>
        <w:tab/>
        <w:t xml:space="preserve">The following table presents all the comments made by the TC-EDC on the draft Test Guidelines for </w:t>
      </w:r>
      <w:r>
        <w:t xml:space="preserve">Black </w:t>
      </w:r>
      <w:r w:rsidRPr="007A66E2">
        <w:t>Walnut</w:t>
      </w:r>
      <w:r w:rsidRPr="007A66E2">
        <w:rPr>
          <w:snapToGrid w:val="0"/>
        </w:rPr>
        <w:t xml:space="preserve"> </w:t>
      </w:r>
      <w:r w:rsidRPr="007A66E2">
        <w:t>(document TG/</w:t>
      </w:r>
      <w:proofErr w:type="gramStart"/>
      <w:r w:rsidRPr="007A66E2">
        <w:t>JUGLA(</w:t>
      </w:r>
      <w:proofErr w:type="gramEnd"/>
      <w:r w:rsidRPr="007A66E2">
        <w:t>proj.4)), including the</w:t>
      </w:r>
      <w:r w:rsidRPr="007A66E2">
        <w:rPr>
          <w:snapToGrid w:val="0"/>
        </w:rPr>
        <w:t xml:space="preserve"> technical issues, with the proposed responses by the Leading Expert, Ms. Victoria Colombo (Spain).</w:t>
      </w:r>
    </w:p>
    <w:p w:rsidR="00E054E1" w:rsidRDefault="00E054E1" w:rsidP="00E054E1">
      <w:pPr>
        <w:rPr>
          <w:snapToGrid w:val="0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E054E1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Cover page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- to add “</w:t>
            </w:r>
            <w:proofErr w:type="spellStart"/>
            <w:r w:rsidRPr="001D1E0C">
              <w:rPr>
                <w:rFonts w:cs="Arial"/>
                <w:i/>
              </w:rPr>
              <w:t>Juglans</w:t>
            </w:r>
            <w:proofErr w:type="spellEnd"/>
            <w:r w:rsidRPr="001D1E0C">
              <w:rPr>
                <w:rFonts w:cs="Arial"/>
              </w:rPr>
              <w:t xml:space="preserve"> ×</w:t>
            </w:r>
            <w:r w:rsidRPr="001D1E0C">
              <w:rPr>
                <w:rFonts w:cs="Arial"/>
                <w:i/>
              </w:rPr>
              <w:t>intermedia</w:t>
            </w:r>
            <w:r w:rsidRPr="001D1E0C">
              <w:rPr>
                <w:rFonts w:cs="Arial"/>
              </w:rPr>
              <w:t xml:space="preserve"> Jacques</w:t>
            </w:r>
            <w:r>
              <w:rPr>
                <w:rFonts w:cs="Arial"/>
              </w:rPr>
              <w:t>” as synonym to “</w:t>
            </w:r>
            <w:proofErr w:type="spellStart"/>
            <w:r w:rsidRPr="001D1E0C">
              <w:rPr>
                <w:rFonts w:cs="Arial"/>
                <w:i/>
              </w:rPr>
              <w:t>Juglans</w:t>
            </w:r>
            <w:proofErr w:type="spellEnd"/>
            <w:r w:rsidRPr="001D1E0C">
              <w:rPr>
                <w:rFonts w:cs="Arial"/>
                <w:i/>
              </w:rPr>
              <w:t xml:space="preserve"> </w:t>
            </w:r>
            <w:proofErr w:type="spellStart"/>
            <w:r w:rsidRPr="001D1E0C">
              <w:rPr>
                <w:rFonts w:cs="Arial"/>
                <w:i/>
              </w:rPr>
              <w:t>nigra</w:t>
            </w:r>
            <w:proofErr w:type="spellEnd"/>
            <w:r w:rsidRPr="001D1E0C">
              <w:rPr>
                <w:rFonts w:cs="Arial"/>
              </w:rPr>
              <w:t xml:space="preserve"> x </w:t>
            </w:r>
            <w:proofErr w:type="spellStart"/>
            <w:r w:rsidRPr="001D1E0C">
              <w:rPr>
                <w:rFonts w:cs="Arial"/>
                <w:i/>
              </w:rPr>
              <w:t>Juglans</w:t>
            </w:r>
            <w:proofErr w:type="spellEnd"/>
            <w:r w:rsidRPr="001D1E0C">
              <w:rPr>
                <w:rFonts w:cs="Arial"/>
                <w:i/>
              </w:rPr>
              <w:t xml:space="preserve"> </w:t>
            </w:r>
            <w:proofErr w:type="spellStart"/>
            <w:r w:rsidRPr="001D1E0C">
              <w:rPr>
                <w:rFonts w:cs="Arial"/>
                <w:i/>
              </w:rPr>
              <w:t>regia</w:t>
            </w:r>
            <w:proofErr w:type="spellEnd"/>
            <w:r>
              <w:rPr>
                <w:rFonts w:cs="Arial"/>
              </w:rPr>
              <w:t>”</w:t>
            </w:r>
          </w:p>
          <w:p w:rsidR="00E054E1" w:rsidRDefault="00E054E1" w:rsidP="008A2178">
            <w:pPr>
              <w:pStyle w:val="BodyText"/>
              <w:keepNext/>
              <w:jc w:val="left"/>
              <w:rPr>
                <w:i/>
              </w:rPr>
            </w:pPr>
            <w:r>
              <w:rPr>
                <w:rFonts w:cs="Arial"/>
              </w:rPr>
              <w:t>- to check whether “</w:t>
            </w:r>
            <w:r w:rsidRPr="001D1E0C">
              <w:rPr>
                <w:rFonts w:cs="Arial"/>
                <w:i/>
              </w:rPr>
              <w:t>J</w:t>
            </w:r>
            <w:r w:rsidRPr="001D1E0C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x</w:t>
            </w:r>
            <w:r w:rsidRPr="001D1E0C">
              <w:rPr>
                <w:rFonts w:cs="Arial"/>
              </w:rPr>
              <w:t xml:space="preserve"> </w:t>
            </w:r>
            <w:r w:rsidRPr="001D1E0C">
              <w:rPr>
                <w:rFonts w:cs="Arial"/>
                <w:i/>
              </w:rPr>
              <w:t>paradox</w:t>
            </w:r>
            <w:r>
              <w:rPr>
                <w:rFonts w:cs="Arial"/>
              </w:rPr>
              <w:t xml:space="preserve">” as hybrid </w:t>
            </w:r>
            <w:r w:rsidRPr="001D1E0C">
              <w:rPr>
                <w:rFonts w:cs="Arial"/>
              </w:rPr>
              <w:t>binomial for “</w:t>
            </w:r>
            <w:proofErr w:type="spellStart"/>
            <w:r w:rsidRPr="001D1E0C">
              <w:rPr>
                <w:i/>
              </w:rPr>
              <w:t>Juglans</w:t>
            </w:r>
            <w:proofErr w:type="spellEnd"/>
            <w:r w:rsidRPr="001D1E0C">
              <w:rPr>
                <w:i/>
              </w:rPr>
              <w:t xml:space="preserve"> </w:t>
            </w:r>
            <w:proofErr w:type="spellStart"/>
            <w:r w:rsidRPr="001D1E0C">
              <w:rPr>
                <w:i/>
              </w:rPr>
              <w:t>hindsii</w:t>
            </w:r>
            <w:proofErr w:type="spellEnd"/>
            <w:r w:rsidRPr="001D1E0C">
              <w:rPr>
                <w:i/>
              </w:rPr>
              <w:t xml:space="preserve"> </w:t>
            </w:r>
            <w:r w:rsidRPr="001D1E0C">
              <w:t>x</w:t>
            </w:r>
            <w:r w:rsidRPr="001D1E0C">
              <w:rPr>
                <w:i/>
              </w:rPr>
              <w:t xml:space="preserve"> J. </w:t>
            </w:r>
            <w:proofErr w:type="spellStart"/>
            <w:r w:rsidRPr="001D1E0C">
              <w:rPr>
                <w:i/>
              </w:rPr>
              <w:t>regia</w:t>
            </w:r>
            <w:proofErr w:type="spellEnd"/>
            <w:r w:rsidRPr="001D1E0C">
              <w:rPr>
                <w:i/>
              </w:rPr>
              <w:t>”</w:t>
            </w:r>
          </w:p>
          <w:p w:rsidR="00FF1A2E" w:rsidRDefault="00FF1A2E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A8004A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pStyle w:val="BodyText"/>
              <w:jc w:val="left"/>
              <w:rPr>
                <w:rFonts w:cs="Arial"/>
                <w:snapToGrid w:val="0"/>
              </w:rPr>
            </w:pPr>
            <w:r w:rsidRPr="00A8004A">
              <w:rPr>
                <w:rFonts w:cs="Arial"/>
                <w:snapToGrid w:val="0"/>
              </w:rPr>
              <w:t>2.3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to</w:t>
            </w:r>
            <w:proofErr w:type="gramEnd"/>
            <w:r>
              <w:rPr>
                <w:rFonts w:cs="Arial"/>
              </w:rPr>
              <w:t xml:space="preserve"> read “</w:t>
            </w:r>
            <w:r w:rsidRPr="00A8004A">
              <w:rPr>
                <w:rFonts w:cs="Arial"/>
              </w:rPr>
              <w:t>5 trees (one-year-old grafts). The rootstock to be used is the progeny Ng209xRa or any other variety specified by the authority</w:t>
            </w:r>
            <w:r>
              <w:rPr>
                <w:rFonts w:cs="Arial"/>
              </w:rPr>
              <w:t>”</w:t>
            </w:r>
          </w:p>
          <w:p w:rsidR="00FF1A2E" w:rsidRPr="00A8004A" w:rsidRDefault="00FF1A2E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Tr="008A2178">
        <w:trPr>
          <w:cantSplit/>
        </w:trPr>
        <w:tc>
          <w:tcPr>
            <w:tcW w:w="1573" w:type="dxa"/>
          </w:tcPr>
          <w:p w:rsidR="00E054E1" w:rsidRDefault="00E054E1" w:rsidP="008A2178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3.3.3</w:t>
            </w:r>
          </w:p>
        </w:tc>
        <w:tc>
          <w:tcPr>
            <w:tcW w:w="8208" w:type="dxa"/>
          </w:tcPr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to be moved to 3.1</w:t>
            </w:r>
          </w:p>
          <w:p w:rsidR="00FF1A2E" w:rsidRDefault="00FF1A2E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D30049" w:rsidTr="008A2178">
        <w:trPr>
          <w:cantSplit/>
        </w:trPr>
        <w:tc>
          <w:tcPr>
            <w:tcW w:w="1573" w:type="dxa"/>
          </w:tcPr>
          <w:p w:rsidR="00E054E1" w:rsidRPr="00D30049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4.2.3</w:t>
            </w:r>
          </w:p>
        </w:tc>
        <w:tc>
          <w:tcPr>
            <w:tcW w:w="8208" w:type="dxa"/>
          </w:tcPr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to be </w:t>
            </w:r>
            <w:proofErr w:type="spellStart"/>
            <w:r>
              <w:rPr>
                <w:rFonts w:cs="Arial"/>
                <w:lang w:val="it-IT"/>
              </w:rPr>
              <w:t>deleted</w:t>
            </w:r>
            <w:proofErr w:type="spellEnd"/>
          </w:p>
          <w:p w:rsidR="00FF1A2E" w:rsidRPr="00D30049" w:rsidRDefault="00FF1A2E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233241" w:rsidTr="008A2178">
        <w:trPr>
          <w:cantSplit/>
        </w:trPr>
        <w:tc>
          <w:tcPr>
            <w:tcW w:w="1573" w:type="dxa"/>
          </w:tcPr>
          <w:p w:rsidR="00E054E1" w:rsidRPr="00233241" w:rsidRDefault="00E054E1" w:rsidP="008A2178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Char. 4</w:t>
            </w:r>
          </w:p>
        </w:tc>
        <w:tc>
          <w:tcPr>
            <w:tcW w:w="8208" w:type="dxa"/>
          </w:tcPr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- state 1 to read “absent or rudimentary”</w:t>
            </w:r>
          </w:p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- state 2 to read “fully developed” </w:t>
            </w:r>
          </w:p>
          <w:p w:rsidR="00FF1A2E" w:rsidRPr="00233241" w:rsidRDefault="00FF1A2E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Tr="008A2178">
        <w:trPr>
          <w:cantSplit/>
        </w:trPr>
        <w:tc>
          <w:tcPr>
            <w:tcW w:w="1573" w:type="dxa"/>
          </w:tcPr>
          <w:p w:rsidR="00E054E1" w:rsidRDefault="00E054E1" w:rsidP="008A2178">
            <w:pPr>
              <w:pStyle w:val="BodyText"/>
              <w:jc w:val="left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Char. 5</w:t>
            </w:r>
          </w:p>
        </w:tc>
        <w:tc>
          <w:tcPr>
            <w:tcW w:w="8208" w:type="dxa"/>
            <w:shd w:val="clear" w:color="auto" w:fill="auto"/>
          </w:tcPr>
          <w:p w:rsidR="00E054E1" w:rsidRDefault="00E054E1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to delete example variety “</w:t>
            </w:r>
            <w:proofErr w:type="spellStart"/>
            <w:r w:rsidRPr="001D1E0C">
              <w:rPr>
                <w:rFonts w:cs="Arial"/>
              </w:rPr>
              <w:t>Eurowalnut</w:t>
            </w:r>
            <w:proofErr w:type="spellEnd"/>
            <w:r w:rsidRPr="001D1E0C">
              <w:rPr>
                <w:rFonts w:cs="Arial"/>
              </w:rPr>
              <w:t xml:space="preserve"> B03</w:t>
            </w:r>
            <w:r>
              <w:rPr>
                <w:rFonts w:cs="Arial"/>
              </w:rPr>
              <w:t>”</w:t>
            </w:r>
          </w:p>
          <w:p w:rsidR="00FF1A2E" w:rsidRDefault="00FF1A2E" w:rsidP="008A2178">
            <w:pPr>
              <w:pStyle w:val="BodyText"/>
              <w:keepNext/>
              <w:jc w:val="left"/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D30049" w:rsidTr="008A2178">
        <w:trPr>
          <w:cantSplit/>
        </w:trPr>
        <w:tc>
          <w:tcPr>
            <w:tcW w:w="1573" w:type="dxa"/>
          </w:tcPr>
          <w:p w:rsidR="00E054E1" w:rsidRPr="00D30049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Char. 11</w:t>
            </w:r>
          </w:p>
        </w:tc>
        <w:tc>
          <w:tcPr>
            <w:tcW w:w="8208" w:type="dxa"/>
          </w:tcPr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to </w:t>
            </w:r>
            <w:proofErr w:type="spellStart"/>
            <w:r>
              <w:rPr>
                <w:rFonts w:cs="Arial"/>
                <w:lang w:val="it-IT"/>
              </w:rPr>
              <w:t>read</w:t>
            </w:r>
            <w:proofErr w:type="spellEnd"/>
            <w:r>
              <w:rPr>
                <w:rFonts w:cs="Arial"/>
                <w:lang w:val="it-IT"/>
              </w:rPr>
              <w:t xml:space="preserve"> “</w:t>
            </w:r>
            <w:proofErr w:type="spellStart"/>
            <w:r>
              <w:rPr>
                <w:rFonts w:cs="Arial"/>
                <w:lang w:val="it-IT"/>
              </w:rPr>
              <w:t>Catkin</w:t>
            </w:r>
            <w:proofErr w:type="spellEnd"/>
            <w:r>
              <w:rPr>
                <w:rFonts w:cs="Arial"/>
                <w:lang w:val="it-IT"/>
              </w:rPr>
              <w:t xml:space="preserve">: </w:t>
            </w:r>
            <w:proofErr w:type="spellStart"/>
            <w:r>
              <w:rPr>
                <w:rFonts w:cs="Arial"/>
                <w:lang w:val="it-IT"/>
              </w:rPr>
              <w:t>presence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 xml:space="preserve">of </w:t>
            </w:r>
            <w:proofErr w:type="spellStart"/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>fully</w:t>
            </w:r>
            <w:proofErr w:type="spellEnd"/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 xml:space="preserve"> </w:t>
            </w:r>
            <w:proofErr w:type="spellStart"/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>developed</w:t>
            </w:r>
            <w:proofErr w:type="spellEnd"/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 xml:space="preserve"> </w:t>
            </w:r>
            <w:proofErr w:type="spellStart"/>
            <w:r w:rsidRPr="00C15DBE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>catkins</w:t>
            </w:r>
            <w:proofErr w:type="spellEnd"/>
            <w:r>
              <w:rPr>
                <w:rFonts w:cs="Arial"/>
                <w:lang w:val="it-IT"/>
              </w:rPr>
              <w:t>”</w:t>
            </w:r>
          </w:p>
          <w:p w:rsidR="00FF1A2E" w:rsidRPr="00D30049" w:rsidRDefault="00FF1A2E" w:rsidP="00FF1A2E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 w:rsidRPr="008F3DE6">
              <w:rPr>
                <w:i/>
              </w:rPr>
              <w:t xml:space="preserve">Leading Expert:  to read “Catkin: presence at </w:t>
            </w:r>
            <w:proofErr w:type="spellStart"/>
            <w:r w:rsidRPr="008F3DE6">
              <w:rPr>
                <w:i/>
              </w:rPr>
              <w:t>D</w:t>
            </w:r>
            <w:r w:rsidRPr="008F3DE6">
              <w:rPr>
                <w:i/>
                <w:vertAlign w:val="subscript"/>
              </w:rPr>
              <w:t>m</w:t>
            </w:r>
            <w:proofErr w:type="spellEnd"/>
            <w:r w:rsidRPr="008F3DE6">
              <w:rPr>
                <w:i/>
              </w:rPr>
              <w:t xml:space="preserve"> stage”</w:t>
            </w:r>
          </w:p>
        </w:tc>
      </w:tr>
      <w:tr w:rsidR="00E054E1" w:rsidRPr="00D8283C" w:rsidTr="008A2178">
        <w:trPr>
          <w:cantSplit/>
        </w:trPr>
        <w:tc>
          <w:tcPr>
            <w:tcW w:w="1573" w:type="dxa"/>
          </w:tcPr>
          <w:p w:rsidR="00E054E1" w:rsidRPr="00233241" w:rsidRDefault="00E054E1" w:rsidP="008A217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13</w:t>
            </w:r>
          </w:p>
        </w:tc>
        <w:tc>
          <w:tcPr>
            <w:tcW w:w="8208" w:type="dxa"/>
          </w:tcPr>
          <w:p w:rsidR="00E054E1" w:rsidRDefault="00E054E1" w:rsidP="008A2178">
            <w:pPr>
              <w:rPr>
                <w:rFonts w:cs="Arial"/>
              </w:rPr>
            </w:pPr>
            <w:r w:rsidRPr="0097508A">
              <w:rPr>
                <w:rFonts w:cs="Arial"/>
              </w:rPr>
              <w:t>to check wording and use same approach as in Walnut (lateral/ventral view)</w:t>
            </w:r>
          </w:p>
          <w:p w:rsidR="00E054E1" w:rsidRPr="00D8283C" w:rsidRDefault="00E054E1" w:rsidP="008A2178">
            <w:pPr>
              <w:rPr>
                <w:rFonts w:cs="Arial"/>
                <w:i/>
              </w:rPr>
            </w:pPr>
            <w:r w:rsidRPr="00D8283C">
              <w:rPr>
                <w:rFonts w:cs="Arial"/>
                <w:i/>
              </w:rPr>
              <w:t>Leading Expert:  yes, it should read “ventral view” as in the Test Guidelines for Walnut</w:t>
            </w:r>
          </w:p>
        </w:tc>
      </w:tr>
      <w:tr w:rsidR="00E054E1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Char. 15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to </w:t>
            </w:r>
            <w:proofErr w:type="spellStart"/>
            <w:r>
              <w:rPr>
                <w:rFonts w:cs="Arial"/>
                <w:lang w:val="it-IT"/>
              </w:rPr>
              <w:t>read</w:t>
            </w:r>
            <w:proofErr w:type="spellEnd"/>
            <w:r>
              <w:rPr>
                <w:rFonts w:cs="Arial"/>
                <w:lang w:val="it-IT"/>
              </w:rPr>
              <w:t xml:space="preserve"> “</w:t>
            </w:r>
            <w:proofErr w:type="spellStart"/>
            <w:r>
              <w:rPr>
                <w:rFonts w:cs="Arial"/>
                <w:lang w:val="it-IT"/>
              </w:rPr>
              <w:t>Nut</w:t>
            </w:r>
            <w:proofErr w:type="spellEnd"/>
            <w:r>
              <w:rPr>
                <w:rFonts w:cs="Arial"/>
                <w:lang w:val="it-IT"/>
              </w:rPr>
              <w:t xml:space="preserve">: </w:t>
            </w:r>
            <w:proofErr w:type="spellStart"/>
            <w:r>
              <w:rPr>
                <w:rFonts w:cs="Arial"/>
                <w:lang w:val="it-IT"/>
              </w:rPr>
              <w:t>shape</w:t>
            </w:r>
            <w:proofErr w:type="spellEnd"/>
            <w:r>
              <w:rPr>
                <w:rFonts w:cs="Arial"/>
                <w:lang w:val="it-IT"/>
              </w:rPr>
              <w:t xml:space="preserve"> of </w:t>
            </w:r>
            <w:proofErr w:type="spellStart"/>
            <w:r>
              <w:rPr>
                <w:rFonts w:cs="Arial"/>
                <w:lang w:val="it-IT"/>
              </w:rPr>
              <w:t>apex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 w:rsidRPr="00551E86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>perpendicular</w:t>
            </w:r>
            <w:proofErr w:type="spellEnd"/>
            <w:r w:rsidRPr="00551E86">
              <w:rPr>
                <w:rFonts w:cs="Arial"/>
                <w:strike/>
                <w:shd w:val="clear" w:color="auto" w:fill="D9D9D9" w:themeFill="background1" w:themeFillShade="D9"/>
                <w:lang w:val="it-IT"/>
              </w:rPr>
              <w:t xml:space="preserve"> to sature</w:t>
            </w:r>
            <w:r>
              <w:rPr>
                <w:rFonts w:cs="Arial"/>
                <w:lang w:val="it-IT"/>
              </w:rPr>
              <w:t>” (</w:t>
            </w:r>
            <w:proofErr w:type="spellStart"/>
            <w:r>
              <w:rPr>
                <w:rFonts w:cs="Arial"/>
                <w:lang w:val="it-IT"/>
              </w:rPr>
              <w:t>see</w:t>
            </w:r>
            <w:proofErr w:type="spellEnd"/>
            <w:r>
              <w:rPr>
                <w:rFonts w:cs="Arial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lang w:val="it-IT"/>
              </w:rPr>
              <w:t>char</w:t>
            </w:r>
            <w:proofErr w:type="spellEnd"/>
            <w:r>
              <w:rPr>
                <w:rFonts w:cs="Arial"/>
                <w:lang w:val="it-IT"/>
              </w:rPr>
              <w:t>. 14 and 8.2)</w:t>
            </w:r>
          </w:p>
          <w:p w:rsidR="00FF1A2E" w:rsidRDefault="00FF1A2E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A8004A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Ad. 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t</w:t>
            </w:r>
            <w:r w:rsidRPr="00A8004A">
              <w:rPr>
                <w:rFonts w:cs="Arial"/>
                <w:lang w:val="it-IT"/>
              </w:rPr>
              <w:t xml:space="preserve">o delete last </w:t>
            </w:r>
            <w:proofErr w:type="spellStart"/>
            <w:r w:rsidRPr="00A8004A">
              <w:rPr>
                <w:rFonts w:cs="Arial"/>
                <w:lang w:val="it-IT"/>
              </w:rPr>
              <w:t>sentence</w:t>
            </w:r>
            <w:proofErr w:type="spellEnd"/>
            <w:r w:rsidRPr="00A8004A">
              <w:rPr>
                <w:rFonts w:cs="Arial"/>
                <w:lang w:val="it-IT"/>
              </w:rPr>
              <w:t xml:space="preserve">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covered</w:t>
            </w:r>
            <w:proofErr w:type="spellEnd"/>
            <w:r>
              <w:rPr>
                <w:rFonts w:cs="Arial"/>
                <w:lang w:val="it-IT"/>
              </w:rPr>
              <w:t xml:space="preserve"> by </w:t>
            </w:r>
            <w:proofErr w:type="spellStart"/>
            <w:r w:rsidRPr="00A8004A">
              <w:rPr>
                <w:rFonts w:cs="Arial"/>
                <w:lang w:val="it-IT"/>
              </w:rPr>
              <w:t>growth</w:t>
            </w:r>
            <w:proofErr w:type="spellEnd"/>
            <w:r w:rsidRPr="00A8004A">
              <w:rPr>
                <w:rFonts w:cs="Arial"/>
                <w:lang w:val="it-IT"/>
              </w:rPr>
              <w:t xml:space="preserve"> stage 2</w:t>
            </w:r>
            <w:r>
              <w:rPr>
                <w:rFonts w:cs="Arial"/>
                <w:lang w:val="it-IT"/>
              </w:rPr>
              <w:t>)</w:t>
            </w:r>
          </w:p>
          <w:p w:rsidR="00FF1A2E" w:rsidRPr="00A8004A" w:rsidRDefault="00FF1A2E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Ad. 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to </w:t>
            </w:r>
            <w:proofErr w:type="spellStart"/>
            <w:r>
              <w:rPr>
                <w:rFonts w:cs="Arial"/>
                <w:lang w:val="it-IT"/>
              </w:rPr>
              <w:t>read</w:t>
            </w:r>
            <w:proofErr w:type="spellEnd"/>
            <w:r>
              <w:rPr>
                <w:rFonts w:cs="Arial"/>
                <w:lang w:val="it-IT"/>
              </w:rPr>
              <w:t xml:space="preserve"> “...</w:t>
            </w:r>
          </w:p>
          <w:p w:rsidR="00E054E1" w:rsidRDefault="00E054E1" w:rsidP="008A2178">
            <w:r>
              <w:rPr>
                <w:rFonts w:eastAsia="Arial" w:cs="Arial"/>
                <w:color w:val="000000"/>
              </w:rPr>
              <w:t>High</w:t>
            </w:r>
            <w:r>
              <w:rPr>
                <w:rFonts w:eastAsia="Arial" w:cs="Arial"/>
                <w:color w:val="000000"/>
              </w:rPr>
              <w:tab/>
            </w:r>
            <w:r>
              <w:rPr>
                <w:rFonts w:eastAsia="Arial" w:cs="Arial"/>
                <w:color w:val="000000"/>
              </w:rPr>
              <w:tab/>
              <w:t xml:space="preserve">17 &lt; number of leaflets </w:t>
            </w:r>
            <w:r>
              <w:rPr>
                <w:rFonts w:eastAsia="Arial" w:cs="Arial"/>
                <w:color w:val="000000"/>
                <w:u w:val="single"/>
              </w:rPr>
              <w:t>&lt;</w:t>
            </w:r>
            <w:r>
              <w:rPr>
                <w:rFonts w:eastAsia="Arial" w:cs="Arial"/>
                <w:color w:val="000000"/>
              </w:rPr>
              <w:t xml:space="preserve"> 21</w:t>
            </w:r>
          </w:p>
          <w:p w:rsidR="00E054E1" w:rsidRDefault="00E054E1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Very high</w:t>
            </w:r>
            <w:r>
              <w:rPr>
                <w:rFonts w:eastAsia="Arial" w:cs="Arial"/>
                <w:color w:val="000000"/>
              </w:rPr>
              <w:tab/>
            </w:r>
            <w:r>
              <w:rPr>
                <w:rFonts w:eastAsia="Arial" w:cs="Arial"/>
                <w:color w:val="000000"/>
              </w:rPr>
              <w:tab/>
              <w:t xml:space="preserve">21 </w:t>
            </w:r>
            <w:r w:rsidRPr="00807084">
              <w:rPr>
                <w:rFonts w:eastAsia="Arial" w:cs="Arial"/>
                <w:color w:val="000000"/>
              </w:rPr>
              <w:t>&gt;</w:t>
            </w:r>
            <w:r>
              <w:rPr>
                <w:rFonts w:eastAsia="Arial" w:cs="Arial"/>
                <w:color w:val="000000"/>
              </w:rPr>
              <w:t>number of leaflets”</w:t>
            </w:r>
          </w:p>
          <w:p w:rsidR="00FF1A2E" w:rsidRDefault="00FF1A2E" w:rsidP="008A2178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RPr="007451A7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D30049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Ad. 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pStyle w:val="Default"/>
              <w:rPr>
                <w:sz w:val="20"/>
                <w:szCs w:val="20"/>
              </w:rPr>
            </w:pPr>
            <w:proofErr w:type="gramStart"/>
            <w:r w:rsidRPr="007451A7">
              <w:rPr>
                <w:sz w:val="20"/>
                <w:szCs w:val="20"/>
              </w:rPr>
              <w:t>to</w:t>
            </w:r>
            <w:proofErr w:type="gramEnd"/>
            <w:r w:rsidRPr="007451A7">
              <w:rPr>
                <w:sz w:val="20"/>
                <w:szCs w:val="20"/>
              </w:rPr>
              <w:t xml:space="preserve"> read “Female flower is considered conspicuous </w:t>
            </w:r>
            <w:r w:rsidRPr="007451A7">
              <w:rPr>
                <w:snapToGrid w:val="0"/>
                <w:sz w:val="20"/>
                <w:szCs w:val="20"/>
                <w:u w:val="single"/>
                <w:shd w:val="clear" w:color="auto" w:fill="D9D9D9" w:themeFill="background1" w:themeFillShade="D9"/>
              </w:rPr>
              <w:t>if flowers are present</w:t>
            </w:r>
            <w:r w:rsidRPr="007451A7">
              <w:rPr>
                <w:sz w:val="20"/>
                <w:szCs w:val="20"/>
              </w:rPr>
              <w:t xml:space="preserve"> at stage </w:t>
            </w:r>
            <w:proofErr w:type="spellStart"/>
            <w:r w:rsidRPr="007451A7">
              <w:rPr>
                <w:sz w:val="20"/>
                <w:szCs w:val="20"/>
              </w:rPr>
              <w:t>D</w:t>
            </w:r>
            <w:r w:rsidRPr="009576B8">
              <w:rPr>
                <w:sz w:val="20"/>
                <w:szCs w:val="20"/>
                <w:vertAlign w:val="subscript"/>
              </w:rPr>
              <w:t>f</w:t>
            </w:r>
            <w:proofErr w:type="spellEnd"/>
            <w:r w:rsidRPr="007451A7">
              <w:rPr>
                <w:sz w:val="20"/>
                <w:szCs w:val="20"/>
              </w:rPr>
              <w:t xml:space="preserve"> (see 8.3).  Female flower is considered non conspicuous when the flowers </w:t>
            </w:r>
            <w:r w:rsidRPr="007451A7">
              <w:rPr>
                <w:snapToGrid w:val="0"/>
                <w:sz w:val="20"/>
                <w:szCs w:val="20"/>
                <w:u w:val="single"/>
                <w:shd w:val="clear" w:color="auto" w:fill="D9D9D9" w:themeFill="background1" w:themeFillShade="D9"/>
              </w:rPr>
              <w:t>appear only</w:t>
            </w:r>
            <w:r w:rsidRPr="007451A7">
              <w:rPr>
                <w:sz w:val="20"/>
                <w:szCs w:val="20"/>
              </w:rPr>
              <w:t xml:space="preserve"> </w:t>
            </w:r>
            <w:r w:rsidRPr="007451A7">
              <w:rPr>
                <w:strike/>
                <w:sz w:val="20"/>
                <w:szCs w:val="20"/>
                <w:shd w:val="clear" w:color="auto" w:fill="D9D9D9" w:themeFill="background1" w:themeFillShade="D9"/>
                <w:lang w:val="it-IT"/>
              </w:rPr>
              <w:t xml:space="preserve">are </w:t>
            </w:r>
            <w:proofErr w:type="spellStart"/>
            <w:r w:rsidRPr="007451A7">
              <w:rPr>
                <w:strike/>
                <w:sz w:val="20"/>
                <w:szCs w:val="20"/>
                <w:shd w:val="clear" w:color="auto" w:fill="D9D9D9" w:themeFill="background1" w:themeFillShade="D9"/>
                <w:lang w:val="it-IT"/>
              </w:rPr>
              <w:t>observed</w:t>
            </w:r>
            <w:proofErr w:type="spellEnd"/>
            <w:r w:rsidRPr="007451A7">
              <w:rPr>
                <w:sz w:val="20"/>
                <w:szCs w:val="20"/>
              </w:rPr>
              <w:t xml:space="preserve"> when the leaves are fully developed.”</w:t>
            </w:r>
          </w:p>
          <w:p w:rsidR="00FF1A2E" w:rsidRPr="007451A7" w:rsidRDefault="00FF1A2E" w:rsidP="008A2178">
            <w:pPr>
              <w:pStyle w:val="Default"/>
              <w:rPr>
                <w:sz w:val="20"/>
                <w:szCs w:val="20"/>
                <w:lang w:val="it-IT"/>
              </w:rPr>
            </w:pPr>
            <w:r w:rsidRPr="00FF1A2E">
              <w:rPr>
                <w:i/>
                <w:sz w:val="20"/>
              </w:rPr>
              <w:t>Leading Expert:  agreed</w:t>
            </w:r>
          </w:p>
        </w:tc>
      </w:tr>
      <w:tr w:rsidR="00E054E1" w:rsidRPr="00E253A7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E253A7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 w:rsidRPr="00E253A7">
              <w:rPr>
                <w:rFonts w:cs="Arial"/>
                <w:lang w:val="pt-BR"/>
              </w:rPr>
              <w:lastRenderedPageBreak/>
              <w:t>Ad. 11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FF1A2E" w:rsidRDefault="00E054E1" w:rsidP="008A2178">
            <w:pPr>
              <w:rPr>
                <w:rFonts w:eastAsia="Arial" w:cs="Arial"/>
                <w:color w:val="000000"/>
              </w:rPr>
            </w:pPr>
            <w:r w:rsidRPr="00FF1A2E">
              <w:rPr>
                <w:rFonts w:cs="Arial"/>
                <w:lang w:val="it-IT"/>
              </w:rPr>
              <w:t xml:space="preserve">to </w:t>
            </w:r>
            <w:proofErr w:type="spellStart"/>
            <w:r w:rsidRPr="00FF1A2E">
              <w:rPr>
                <w:rFonts w:cs="Arial"/>
                <w:lang w:val="it-IT"/>
              </w:rPr>
              <w:t>read</w:t>
            </w:r>
            <w:proofErr w:type="spellEnd"/>
            <w:r w:rsidRPr="00FF1A2E">
              <w:rPr>
                <w:rFonts w:cs="Arial"/>
                <w:lang w:val="it-IT"/>
              </w:rPr>
              <w:t xml:space="preserve"> “</w:t>
            </w:r>
            <w:proofErr w:type="spellStart"/>
            <w:r w:rsidRPr="00FF1A2E">
              <w:rPr>
                <w:rFonts w:cs="Arial"/>
                <w:lang w:val="it-IT"/>
              </w:rPr>
              <w:t>Observations</w:t>
            </w:r>
            <w:proofErr w:type="spellEnd"/>
            <w:r w:rsidRPr="00FF1A2E">
              <w:rPr>
                <w:rFonts w:cs="Arial"/>
                <w:lang w:val="it-IT"/>
              </w:rPr>
              <w:t xml:space="preserve"> on</w:t>
            </w:r>
            <w:r w:rsidRPr="00FF1A2E">
              <w:rPr>
                <w:rFonts w:eastAsia="Arial" w:cs="Arial"/>
                <w:color w:val="000000"/>
              </w:rPr>
              <w:t xml:space="preserve"> the presence of fully developed catkins should be made between stages B</w:t>
            </w:r>
            <w:r w:rsidRPr="00FF1A2E">
              <w:rPr>
                <w:rFonts w:eastAsia="Arial" w:cs="Arial"/>
                <w:color w:val="000000"/>
                <w:position w:val="-5"/>
                <w:sz w:val="15"/>
                <w:szCs w:val="15"/>
              </w:rPr>
              <w:t>m</w:t>
            </w:r>
            <w:r w:rsidRPr="00FF1A2E">
              <w:rPr>
                <w:rFonts w:eastAsia="Arial" w:cs="Arial"/>
                <w:color w:val="000000"/>
              </w:rPr>
              <w:t xml:space="preserve"> and D</w:t>
            </w:r>
            <w:r w:rsidRPr="00FF1A2E">
              <w:rPr>
                <w:rFonts w:eastAsia="Arial" w:cs="Arial"/>
                <w:color w:val="000000"/>
                <w:position w:val="-5"/>
                <w:sz w:val="15"/>
                <w:szCs w:val="15"/>
              </w:rPr>
              <w:t>m</w:t>
            </w:r>
            <w:r w:rsidRPr="00FF1A2E">
              <w:rPr>
                <w:rFonts w:eastAsia="Arial" w:cs="Arial"/>
                <w:color w:val="000000"/>
              </w:rPr>
              <w:t xml:space="preserve"> (see 8.3).”</w:t>
            </w:r>
          </w:p>
          <w:p w:rsidR="00E054E1" w:rsidRPr="00FF1A2E" w:rsidRDefault="00E054E1" w:rsidP="008A2178">
            <w:pPr>
              <w:rPr>
                <w:rFonts w:cs="Arial"/>
                <w:i/>
              </w:rPr>
            </w:pPr>
            <w:r w:rsidRPr="00FF1A2E">
              <w:rPr>
                <w:rFonts w:cs="Arial"/>
                <w:i/>
              </w:rPr>
              <w:t>Leading Expert:  to keep it as it is</w:t>
            </w:r>
          </w:p>
          <w:p w:rsidR="00E054E1" w:rsidRDefault="00E054E1" w:rsidP="008A2178">
            <w:pPr>
              <w:rPr>
                <w:rFonts w:cs="Arial"/>
                <w:i/>
                <w:lang w:val="it-IT"/>
              </w:rPr>
            </w:pPr>
            <w:r w:rsidRPr="00FF1A2E">
              <w:rPr>
                <w:rFonts w:cs="Arial"/>
                <w:i/>
              </w:rPr>
              <w:t>TC-EDC/Oct18:  What means fully developed, interaction between fully developed and growth stages/</w:t>
            </w:r>
            <w:r w:rsidRPr="00FF1A2E">
              <w:rPr>
                <w:rFonts w:cs="Arial"/>
                <w:lang w:val="it-IT"/>
              </w:rPr>
              <w:t xml:space="preserve"> </w:t>
            </w:r>
            <w:proofErr w:type="spellStart"/>
            <w:r w:rsidRPr="00FF1A2E">
              <w:rPr>
                <w:rFonts w:cs="Arial"/>
                <w:i/>
                <w:lang w:val="it-IT"/>
              </w:rPr>
              <w:t>phenological</w:t>
            </w:r>
            <w:proofErr w:type="spellEnd"/>
            <w:r w:rsidRPr="00FF1A2E">
              <w:rPr>
                <w:rFonts w:cs="Arial"/>
                <w:i/>
                <w:lang w:val="it-IT"/>
              </w:rPr>
              <w:t xml:space="preserve"> </w:t>
            </w:r>
            <w:proofErr w:type="spellStart"/>
            <w:r w:rsidRPr="00FF1A2E">
              <w:rPr>
                <w:rFonts w:cs="Arial"/>
                <w:i/>
                <w:lang w:val="it-IT"/>
              </w:rPr>
              <w:t>stages</w:t>
            </w:r>
            <w:proofErr w:type="spellEnd"/>
            <w:r w:rsidRPr="00FF1A2E">
              <w:rPr>
                <w:rFonts w:cs="Arial"/>
                <w:i/>
                <w:lang w:val="it-IT"/>
              </w:rPr>
              <w:t>?</w:t>
            </w:r>
          </w:p>
          <w:p w:rsidR="00FF1A2E" w:rsidRPr="00E253A7" w:rsidRDefault="00FF1A2E" w:rsidP="00FF1A2E">
            <w:pPr>
              <w:rPr>
                <w:rFonts w:cs="Arial"/>
                <w:i/>
              </w:rPr>
            </w:pPr>
            <w:r w:rsidRPr="008F3DE6">
              <w:rPr>
                <w:rFonts w:cs="Arial"/>
                <w:i/>
              </w:rPr>
              <w:t xml:space="preserve">Leading Expert:  Fully developed is when </w:t>
            </w:r>
            <w:proofErr w:type="spellStart"/>
            <w:r w:rsidRPr="008F3DE6">
              <w:rPr>
                <w:rFonts w:cs="Arial"/>
                <w:i/>
              </w:rPr>
              <w:t>polinic</w:t>
            </w:r>
            <w:proofErr w:type="spellEnd"/>
            <w:r w:rsidRPr="008F3DE6">
              <w:rPr>
                <w:rFonts w:cs="Arial"/>
                <w:i/>
              </w:rPr>
              <w:t xml:space="preserve"> sacs are full.  Sentence to </w:t>
            </w:r>
            <w:proofErr w:type="gramStart"/>
            <w:r w:rsidRPr="008F3DE6">
              <w:rPr>
                <w:rFonts w:cs="Arial"/>
                <w:i/>
              </w:rPr>
              <w:t>read</w:t>
            </w:r>
            <w:proofErr w:type="gramEnd"/>
            <w:r w:rsidRPr="008F3DE6">
              <w:rPr>
                <w:rFonts w:cs="Arial"/>
                <w:i/>
              </w:rPr>
              <w:t xml:space="preserve"> “Observations on the presence of fully developed catkins should be never before </w:t>
            </w:r>
            <w:proofErr w:type="spellStart"/>
            <w:r w:rsidRPr="008F3DE6">
              <w:rPr>
                <w:rFonts w:cs="Arial"/>
                <w:i/>
              </w:rPr>
              <w:t>Dm</w:t>
            </w:r>
            <w:proofErr w:type="spellEnd"/>
            <w:r w:rsidRPr="008F3DE6">
              <w:rPr>
                <w:rFonts w:cs="Arial"/>
                <w:i/>
              </w:rPr>
              <w:t xml:space="preserve"> (see 8.3).”</w:t>
            </w:r>
          </w:p>
        </w:tc>
      </w:tr>
      <w:tr w:rsidR="00E054E1" w:rsidDel="000C3721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BA3ECA" w:rsidRDefault="00E054E1" w:rsidP="008A2178">
            <w:pPr>
              <w:pStyle w:val="BodyText"/>
              <w:jc w:val="left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>Ad. 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8F3DE6" w:rsidRDefault="00E054E1" w:rsidP="008A2178">
            <w:pPr>
              <w:rPr>
                <w:rFonts w:cs="Arial"/>
                <w:lang w:val="it-IT"/>
              </w:rPr>
            </w:pPr>
            <w:r w:rsidRPr="008F3DE6">
              <w:rPr>
                <w:rFonts w:cs="Arial"/>
                <w:lang w:val="it-IT"/>
              </w:rPr>
              <w:t xml:space="preserve">- to </w:t>
            </w:r>
            <w:proofErr w:type="spellStart"/>
            <w:r w:rsidRPr="008F3DE6">
              <w:rPr>
                <w:rFonts w:cs="Arial"/>
                <w:lang w:val="it-IT"/>
              </w:rPr>
              <w:t>check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whether</w:t>
            </w:r>
            <w:proofErr w:type="spellEnd"/>
            <w:r w:rsidRPr="008F3DE6">
              <w:rPr>
                <w:rFonts w:cs="Arial"/>
                <w:lang w:val="it-IT"/>
              </w:rPr>
              <w:t xml:space="preserve"> to be </w:t>
            </w:r>
            <w:proofErr w:type="spellStart"/>
            <w:r w:rsidRPr="008F3DE6">
              <w:rPr>
                <w:rFonts w:cs="Arial"/>
                <w:lang w:val="it-IT"/>
              </w:rPr>
              <w:t>observed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at</w:t>
            </w:r>
            <w:proofErr w:type="spellEnd"/>
            <w:r w:rsidRPr="008F3DE6">
              <w:rPr>
                <w:rFonts w:cs="Arial"/>
                <w:lang w:val="it-IT"/>
              </w:rPr>
              <w:t xml:space="preserve"> stage C</w:t>
            </w:r>
            <w:r w:rsidRPr="008F3DE6">
              <w:rPr>
                <w:rFonts w:cs="Arial"/>
                <w:vertAlign w:val="subscript"/>
                <w:lang w:val="it-IT"/>
              </w:rPr>
              <w:t>m</w:t>
            </w:r>
            <w:r w:rsidRPr="008F3DE6">
              <w:rPr>
                <w:rFonts w:cs="Arial"/>
                <w:lang w:val="it-IT"/>
              </w:rPr>
              <w:t xml:space="preserve"> (</w:t>
            </w:r>
            <w:proofErr w:type="spellStart"/>
            <w:r w:rsidRPr="008F3DE6">
              <w:rPr>
                <w:rFonts w:cs="Arial"/>
                <w:lang w:val="it-IT"/>
              </w:rPr>
              <w:t>B</w:t>
            </w:r>
            <w:r w:rsidRPr="008F3DE6">
              <w:rPr>
                <w:rFonts w:cs="Arial"/>
                <w:vertAlign w:val="subscript"/>
                <w:lang w:val="it-IT"/>
              </w:rPr>
              <w:t>m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too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eraly</w:t>
            </w:r>
            <w:proofErr w:type="spellEnd"/>
            <w:r w:rsidRPr="008F3DE6">
              <w:rPr>
                <w:rFonts w:cs="Arial"/>
                <w:lang w:val="it-IT"/>
              </w:rPr>
              <w:t>?)</w:t>
            </w:r>
          </w:p>
          <w:p w:rsidR="00E054E1" w:rsidRPr="008F3DE6" w:rsidRDefault="00E054E1" w:rsidP="008A2178">
            <w:pPr>
              <w:rPr>
                <w:rFonts w:cs="Arial"/>
                <w:lang w:val="it-IT"/>
              </w:rPr>
            </w:pPr>
            <w:r w:rsidRPr="008F3DE6">
              <w:rPr>
                <w:rFonts w:cs="Arial"/>
                <w:lang w:val="it-IT"/>
              </w:rPr>
              <w:t xml:space="preserve">- to </w:t>
            </w:r>
            <w:proofErr w:type="spellStart"/>
            <w:r w:rsidRPr="008F3DE6">
              <w:rPr>
                <w:rFonts w:cs="Arial"/>
                <w:lang w:val="it-IT"/>
              </w:rPr>
              <w:t>check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whether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Chars</w:t>
            </w:r>
            <w:proofErr w:type="spellEnd"/>
            <w:r w:rsidRPr="008F3DE6">
              <w:rPr>
                <w:rFonts w:cs="Arial"/>
                <w:lang w:val="it-IT"/>
              </w:rPr>
              <w:t xml:space="preserve"> 11 and 12 can be </w:t>
            </w:r>
            <w:proofErr w:type="spellStart"/>
            <w:r w:rsidRPr="008F3DE6">
              <w:rPr>
                <w:rFonts w:cs="Arial"/>
                <w:lang w:val="it-IT"/>
              </w:rPr>
              <w:t>observed</w:t>
            </w:r>
            <w:proofErr w:type="spellEnd"/>
            <w:r w:rsidRPr="008F3DE6">
              <w:rPr>
                <w:rFonts w:cs="Arial"/>
                <w:lang w:val="it-IT"/>
              </w:rPr>
              <w:t xml:space="preserve"> </w:t>
            </w:r>
            <w:proofErr w:type="spellStart"/>
            <w:r w:rsidRPr="008F3DE6">
              <w:rPr>
                <w:rFonts w:cs="Arial"/>
                <w:lang w:val="it-IT"/>
              </w:rPr>
              <w:t>at</w:t>
            </w:r>
            <w:proofErr w:type="spellEnd"/>
            <w:r w:rsidRPr="008F3DE6">
              <w:rPr>
                <w:rFonts w:cs="Arial"/>
                <w:lang w:val="it-IT"/>
              </w:rPr>
              <w:t xml:space="preserve"> the </w:t>
            </w:r>
            <w:proofErr w:type="spellStart"/>
            <w:r w:rsidRPr="008F3DE6">
              <w:rPr>
                <w:rFonts w:cs="Arial"/>
                <w:lang w:val="it-IT"/>
              </w:rPr>
              <w:t>same</w:t>
            </w:r>
            <w:proofErr w:type="spellEnd"/>
            <w:r w:rsidRPr="008F3DE6">
              <w:rPr>
                <w:rFonts w:cs="Arial"/>
                <w:lang w:val="it-IT"/>
              </w:rPr>
              <w:t xml:space="preserve"> time</w:t>
            </w:r>
          </w:p>
          <w:p w:rsidR="00E054E1" w:rsidRPr="00E054E1" w:rsidDel="000C3721" w:rsidRDefault="00E054E1" w:rsidP="008A2178">
            <w:pPr>
              <w:rPr>
                <w:rFonts w:cs="Arial"/>
                <w:highlight w:val="yellow"/>
                <w:lang w:val="it-IT"/>
              </w:rPr>
            </w:pPr>
            <w:r w:rsidRPr="008F3DE6">
              <w:rPr>
                <w:rFonts w:cs="Arial"/>
                <w:i/>
              </w:rPr>
              <w:t xml:space="preserve">Leading Expert:  It is not that it has to be observed at stage </w:t>
            </w:r>
            <w:proofErr w:type="spellStart"/>
            <w:r w:rsidRPr="008F3DE6">
              <w:rPr>
                <w:rFonts w:cs="Arial"/>
                <w:i/>
              </w:rPr>
              <w:t>Bm</w:t>
            </w:r>
            <w:proofErr w:type="spellEnd"/>
            <w:r w:rsidRPr="008F3DE6">
              <w:rPr>
                <w:rFonts w:cs="Arial"/>
                <w:i/>
              </w:rPr>
              <w:t xml:space="preserve"> or </w:t>
            </w:r>
            <w:proofErr w:type="gramStart"/>
            <w:r w:rsidRPr="008F3DE6">
              <w:rPr>
                <w:rFonts w:cs="Arial"/>
                <w:i/>
              </w:rPr>
              <w:t>Cm,</w:t>
            </w:r>
            <w:proofErr w:type="gramEnd"/>
            <w:r w:rsidRPr="008F3DE6">
              <w:rPr>
                <w:rFonts w:cs="Arial"/>
                <w:i/>
              </w:rPr>
              <w:t xml:space="preserve"> it is in the interval from </w:t>
            </w:r>
            <w:proofErr w:type="spellStart"/>
            <w:r w:rsidRPr="008F3DE6">
              <w:rPr>
                <w:rFonts w:cs="Arial"/>
                <w:i/>
              </w:rPr>
              <w:t>Bm</w:t>
            </w:r>
            <w:proofErr w:type="spellEnd"/>
            <w:r w:rsidRPr="008F3DE6">
              <w:rPr>
                <w:rFonts w:cs="Arial"/>
                <w:i/>
              </w:rPr>
              <w:t xml:space="preserve"> to Cm.  Ad 11: The expert explains that catkins sometimes can be seen badly developed at </w:t>
            </w:r>
            <w:proofErr w:type="spellStart"/>
            <w:r w:rsidRPr="008F3DE6">
              <w:rPr>
                <w:rFonts w:cs="Arial"/>
                <w:i/>
              </w:rPr>
              <w:t>Bm</w:t>
            </w:r>
            <w:proofErr w:type="spellEnd"/>
            <w:r w:rsidRPr="008F3DE6">
              <w:rPr>
                <w:rFonts w:cs="Arial"/>
                <w:i/>
              </w:rPr>
              <w:t xml:space="preserve">, but some other times it is </w:t>
            </w:r>
            <w:proofErr w:type="spellStart"/>
            <w:r w:rsidRPr="008F3DE6">
              <w:rPr>
                <w:rFonts w:cs="Arial"/>
                <w:i/>
              </w:rPr>
              <w:t>neccesary</w:t>
            </w:r>
            <w:proofErr w:type="spellEnd"/>
            <w:r w:rsidRPr="008F3DE6">
              <w:rPr>
                <w:rFonts w:cs="Arial"/>
                <w:i/>
              </w:rPr>
              <w:t xml:space="preserve"> to wait until Cm or even </w:t>
            </w:r>
            <w:proofErr w:type="spellStart"/>
            <w:r w:rsidRPr="008F3DE6">
              <w:rPr>
                <w:rFonts w:cs="Arial"/>
                <w:i/>
              </w:rPr>
              <w:t>Dm</w:t>
            </w:r>
            <w:proofErr w:type="spellEnd"/>
            <w:r w:rsidRPr="008F3DE6">
              <w:rPr>
                <w:rFonts w:cs="Arial"/>
                <w:i/>
              </w:rPr>
              <w:t xml:space="preserve"> to observe them (when this happens, they usually fall very early).  So then, the proposal for Ad. 12 </w:t>
            </w:r>
            <w:proofErr w:type="gramStart"/>
            <w:r w:rsidRPr="008F3DE6">
              <w:rPr>
                <w:rFonts w:cs="Arial"/>
                <w:i/>
              </w:rPr>
              <w:t>is:</w:t>
            </w:r>
            <w:proofErr w:type="gramEnd"/>
            <w:r w:rsidRPr="008F3DE6">
              <w:rPr>
                <w:rFonts w:cs="Arial"/>
                <w:i/>
              </w:rPr>
              <w:t xml:space="preserve"> “The shape of catkins should be observed between </w:t>
            </w:r>
            <w:proofErr w:type="spellStart"/>
            <w:r w:rsidRPr="008F3DE6">
              <w:rPr>
                <w:rFonts w:cs="Arial"/>
                <w:i/>
              </w:rPr>
              <w:t>Bm</w:t>
            </w:r>
            <w:proofErr w:type="spellEnd"/>
            <w:r w:rsidRPr="008F3DE6">
              <w:rPr>
                <w:rFonts w:cs="Arial"/>
                <w:i/>
              </w:rPr>
              <w:t xml:space="preserve"> and Cm stages.”</w:t>
            </w:r>
          </w:p>
        </w:tc>
      </w:tr>
      <w:tr w:rsidR="00E054E1" w:rsidRPr="00233241" w:rsidTr="008A2178">
        <w:trPr>
          <w:cantSplit/>
        </w:trPr>
        <w:tc>
          <w:tcPr>
            <w:tcW w:w="1573" w:type="dxa"/>
          </w:tcPr>
          <w:p w:rsidR="00E054E1" w:rsidRPr="00233241" w:rsidRDefault="00E054E1" w:rsidP="008A217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13</w:t>
            </w:r>
          </w:p>
        </w:tc>
        <w:tc>
          <w:tcPr>
            <w:tcW w:w="8208" w:type="dxa"/>
          </w:tcPr>
          <w:p w:rsidR="00E054E1" w:rsidRDefault="00E054E1" w:rsidP="008A2178">
            <w:pPr>
              <w:tabs>
                <w:tab w:val="left" w:pos="842"/>
              </w:tabs>
            </w:pPr>
            <w:r>
              <w:t>relative width scale is upside down (invert “narrow” and “broad”)</w:t>
            </w:r>
          </w:p>
          <w:p w:rsidR="00FF1A2E" w:rsidRPr="00233241" w:rsidRDefault="00FF1A2E" w:rsidP="008A2178">
            <w:pPr>
              <w:tabs>
                <w:tab w:val="left" w:pos="842"/>
              </w:tabs>
              <w:rPr>
                <w:rFonts w:cs="Arial"/>
              </w:rPr>
            </w:pPr>
            <w:r>
              <w:rPr>
                <w:i/>
              </w:rPr>
              <w:t>Leading Expert:  agreed</w:t>
            </w:r>
          </w:p>
        </w:tc>
      </w:tr>
      <w:tr w:rsidR="00E054E1" w:rsidTr="008A2178">
        <w:trPr>
          <w:cantSplit/>
        </w:trPr>
        <w:tc>
          <w:tcPr>
            <w:tcW w:w="1573" w:type="dxa"/>
          </w:tcPr>
          <w:p w:rsidR="00E054E1" w:rsidRDefault="00E054E1" w:rsidP="008A217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Ad. 15 </w:t>
            </w:r>
          </w:p>
        </w:tc>
        <w:tc>
          <w:tcPr>
            <w:tcW w:w="8208" w:type="dxa"/>
          </w:tcPr>
          <w:p w:rsidR="00E054E1" w:rsidRDefault="00E054E1" w:rsidP="008A2178">
            <w:pPr>
              <w:tabs>
                <w:tab w:val="left" w:pos="842"/>
              </w:tabs>
            </w:pPr>
            <w:proofErr w:type="gramStart"/>
            <w:r>
              <w:t>to</w:t>
            </w:r>
            <w:proofErr w:type="gramEnd"/>
            <w:r>
              <w:t xml:space="preserve"> add “</w:t>
            </w:r>
            <w:r w:rsidRPr="009F301A">
              <w:t>Observation should be made facing the suture.</w:t>
            </w:r>
            <w:r>
              <w:t>”</w:t>
            </w:r>
          </w:p>
          <w:p w:rsidR="00FF1A2E" w:rsidRDefault="00FF1A2E" w:rsidP="008A2178">
            <w:pPr>
              <w:tabs>
                <w:tab w:val="left" w:pos="842"/>
              </w:tabs>
            </w:pPr>
            <w:r>
              <w:rPr>
                <w:i/>
              </w:rPr>
              <w:t>Leading Expert:  agreed</w:t>
            </w:r>
          </w:p>
        </w:tc>
      </w:tr>
      <w:tr w:rsidR="00E054E1" w:rsidRPr="00A8004A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rPr>
                <w:rFonts w:cs="Arial"/>
              </w:rPr>
            </w:pPr>
            <w:r w:rsidRPr="00A8004A">
              <w:rPr>
                <w:rFonts w:cs="Arial"/>
              </w:rPr>
              <w:t>Ad</w:t>
            </w:r>
            <w:r>
              <w:rPr>
                <w:rFonts w:cs="Arial"/>
              </w:rPr>
              <w:t>s</w:t>
            </w:r>
            <w:r w:rsidRPr="00A8004A">
              <w:rPr>
                <w:rFonts w:cs="Arial"/>
              </w:rPr>
              <w:t>. 16</w:t>
            </w:r>
            <w:r>
              <w:rPr>
                <w:rFonts w:cs="Arial"/>
              </w:rPr>
              <w:t>, 17, 18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tabs>
                <w:tab w:val="left" w:pos="842"/>
              </w:tabs>
            </w:pPr>
            <w:r>
              <w:t>to read “</w:t>
            </w:r>
            <w:r w:rsidRPr="00A8004A">
              <w:t>Time of … is reached when …</w:t>
            </w:r>
            <w:r>
              <w:t>”</w:t>
            </w:r>
          </w:p>
          <w:p w:rsidR="00FF1A2E" w:rsidRPr="00A8004A" w:rsidRDefault="00FF1A2E" w:rsidP="008A2178">
            <w:pPr>
              <w:tabs>
                <w:tab w:val="left" w:pos="842"/>
              </w:tabs>
            </w:pPr>
            <w:r>
              <w:rPr>
                <w:i/>
              </w:rPr>
              <w:t>Leading Expert:  agreed</w:t>
            </w:r>
          </w:p>
        </w:tc>
      </w:tr>
      <w:tr w:rsidR="00E054E1" w:rsidRPr="00A8004A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rPr>
                <w:rFonts w:cs="Arial"/>
              </w:rPr>
            </w:pPr>
            <w:r w:rsidRPr="00A8004A">
              <w:rPr>
                <w:rFonts w:cs="Arial"/>
              </w:rPr>
              <w:t>Ad. 19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tabs>
                <w:tab w:val="left" w:pos="842"/>
              </w:tabs>
            </w:pPr>
            <w:r>
              <w:t>to be deleted</w:t>
            </w:r>
          </w:p>
          <w:p w:rsidR="00FF1A2E" w:rsidRPr="00A8004A" w:rsidRDefault="00FF1A2E" w:rsidP="008A2178">
            <w:pPr>
              <w:tabs>
                <w:tab w:val="left" w:pos="842"/>
              </w:tabs>
            </w:pPr>
            <w:r>
              <w:rPr>
                <w:i/>
              </w:rPr>
              <w:t>Leading Expert:  agreed</w:t>
            </w:r>
          </w:p>
        </w:tc>
      </w:tr>
      <w:tr w:rsidR="00E054E1" w:rsidRPr="00A8004A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rPr>
                <w:rFonts w:cs="Arial"/>
              </w:rPr>
            </w:pPr>
            <w:r w:rsidRPr="00A8004A">
              <w:rPr>
                <w:rFonts w:cs="Arial"/>
              </w:rPr>
              <w:t>Ad. 20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Default="00E054E1" w:rsidP="008A2178">
            <w:pPr>
              <w:tabs>
                <w:tab w:val="left" w:pos="842"/>
              </w:tabs>
            </w:pPr>
            <w:r>
              <w:t>to read “</w:t>
            </w:r>
            <w:r w:rsidRPr="00A8004A">
              <w:t>Time of … is reached when …</w:t>
            </w:r>
            <w:r>
              <w:t>”</w:t>
            </w:r>
          </w:p>
          <w:p w:rsidR="00FF1A2E" w:rsidRPr="00A8004A" w:rsidRDefault="00FF1A2E" w:rsidP="008A2178">
            <w:pPr>
              <w:tabs>
                <w:tab w:val="left" w:pos="842"/>
              </w:tabs>
            </w:pPr>
            <w:r>
              <w:rPr>
                <w:i/>
              </w:rPr>
              <w:t>Leading Expert:  agreed</w:t>
            </w:r>
          </w:p>
        </w:tc>
      </w:tr>
      <w:tr w:rsidR="00E054E1" w:rsidRPr="00D8283C" w:rsidTr="008A2178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A8004A" w:rsidRDefault="00E054E1" w:rsidP="008A2178">
            <w:pPr>
              <w:rPr>
                <w:rFonts w:cs="Arial"/>
              </w:rPr>
            </w:pPr>
            <w:r w:rsidRPr="00A8004A">
              <w:rPr>
                <w:rFonts w:cs="Arial"/>
              </w:rPr>
              <w:t>8.3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4E1" w:rsidRPr="00FF1A2E" w:rsidRDefault="00E054E1" w:rsidP="008A2178">
            <w:pPr>
              <w:rPr>
                <w:rFonts w:cs="Arial"/>
              </w:rPr>
            </w:pPr>
            <w:proofErr w:type="gramStart"/>
            <w:r w:rsidRPr="00FF1A2E">
              <w:rPr>
                <w:rFonts w:cs="Arial"/>
              </w:rPr>
              <w:t>clarification</w:t>
            </w:r>
            <w:proofErr w:type="gramEnd"/>
            <w:r w:rsidRPr="00FF1A2E">
              <w:rPr>
                <w:rFonts w:cs="Arial"/>
              </w:rPr>
              <w:t xml:space="preserve"> needed on growth stages (age of trees for observation, does not correspond to growth stages) (to check whether they are needed, information covered in 3.1.3?)</w:t>
            </w:r>
          </w:p>
          <w:p w:rsidR="00E054E1" w:rsidRPr="00FF1A2E" w:rsidRDefault="00E054E1" w:rsidP="008A2178">
            <w:pPr>
              <w:rPr>
                <w:rFonts w:cs="Arial"/>
                <w:i/>
              </w:rPr>
            </w:pPr>
            <w:r w:rsidRPr="00FF1A2E">
              <w:rPr>
                <w:rFonts w:cs="Arial"/>
                <w:i/>
              </w:rPr>
              <w:t>Leading Expert:  Point 3.1.3 only refers to the fruit and the expert considers that it is necessary to indicate when to begin to look at a characteristic to be representative. The age of flowering is very variable between varieties so, the expert consider it is good to indicate it.</w:t>
            </w:r>
          </w:p>
          <w:p w:rsidR="00E054E1" w:rsidRPr="00FF1A2E" w:rsidRDefault="00E054E1" w:rsidP="008A2178">
            <w:pPr>
              <w:rPr>
                <w:rFonts w:cs="Arial"/>
                <w:i/>
              </w:rPr>
            </w:pPr>
            <w:proofErr w:type="gramStart"/>
            <w:r w:rsidRPr="00FF1A2E">
              <w:rPr>
                <w:rFonts w:cs="Arial"/>
                <w:i/>
              </w:rPr>
              <w:t>But</w:t>
            </w:r>
            <w:proofErr w:type="gramEnd"/>
            <w:r w:rsidRPr="00FF1A2E">
              <w:rPr>
                <w:rFonts w:cs="Arial"/>
                <w:i/>
              </w:rPr>
              <w:t xml:space="preserve"> as it is difficult to homogenize the intervals, if needed, Point 8.3 could be removed.</w:t>
            </w:r>
          </w:p>
          <w:p w:rsidR="00E054E1" w:rsidRPr="00FF1A2E" w:rsidRDefault="00E054E1" w:rsidP="008A2178">
            <w:pPr>
              <w:rPr>
                <w:rFonts w:cs="Arial"/>
                <w:i/>
              </w:rPr>
            </w:pPr>
            <w:r w:rsidRPr="00FF1A2E">
              <w:rPr>
                <w:rFonts w:cs="Arial"/>
                <w:i/>
              </w:rPr>
              <w:t>In the English version of the guidelines should say only “</w:t>
            </w:r>
            <w:proofErr w:type="spellStart"/>
            <w:r w:rsidRPr="00FF1A2E">
              <w:rPr>
                <w:rFonts w:cs="Arial"/>
                <w:i/>
              </w:rPr>
              <w:t>Phenological</w:t>
            </w:r>
            <w:proofErr w:type="spellEnd"/>
            <w:r w:rsidRPr="00FF1A2E">
              <w:rPr>
                <w:rFonts w:cs="Arial"/>
                <w:i/>
              </w:rPr>
              <w:t xml:space="preserve"> stages”. </w:t>
            </w:r>
          </w:p>
          <w:p w:rsidR="00E054E1" w:rsidRPr="00FF1A2E" w:rsidRDefault="00E054E1" w:rsidP="008A2178">
            <w:pPr>
              <w:rPr>
                <w:rFonts w:cs="Arial"/>
                <w:i/>
              </w:rPr>
            </w:pPr>
            <w:r w:rsidRPr="00FF1A2E">
              <w:rPr>
                <w:rFonts w:cs="Arial"/>
                <w:i/>
              </w:rPr>
              <w:t>Point 8.3.3.in the English “and” should be said “or”.</w:t>
            </w:r>
          </w:p>
          <w:p w:rsidR="00E054E1" w:rsidRDefault="00E054E1" w:rsidP="008A2178">
            <w:pPr>
              <w:rPr>
                <w:rFonts w:cs="Arial"/>
                <w:i/>
              </w:rPr>
            </w:pPr>
            <w:r w:rsidRPr="00FF1A2E">
              <w:rPr>
                <w:rFonts w:cs="Arial"/>
                <w:i/>
              </w:rPr>
              <w:t>TC-EDC/Oct18:  to check whether growth stages (1), (2), (3) to be moved to Chapter 8.1 (no growth stages, time of observation) and to clarify when observations are made</w:t>
            </w:r>
          </w:p>
          <w:p w:rsidR="00FF1A2E" w:rsidRPr="008F3DE6" w:rsidRDefault="00FF1A2E" w:rsidP="00FF1A2E">
            <w:pPr>
              <w:rPr>
                <w:rFonts w:cs="Arial"/>
                <w:i/>
              </w:rPr>
            </w:pPr>
            <w:bookmarkStart w:id="2" w:name="_GoBack"/>
            <w:bookmarkEnd w:id="2"/>
            <w:r w:rsidRPr="008F3DE6">
              <w:rPr>
                <w:rFonts w:cs="Arial"/>
                <w:i/>
              </w:rPr>
              <w:t xml:space="preserve">Leading Expert:  </w:t>
            </w:r>
          </w:p>
          <w:p w:rsidR="00FF1A2E" w:rsidRPr="008F3DE6" w:rsidRDefault="00FF1A2E" w:rsidP="00FF1A2E">
            <w:pPr>
              <w:rPr>
                <w:rFonts w:cs="Arial"/>
                <w:i/>
              </w:rPr>
            </w:pPr>
            <w:r w:rsidRPr="008F3DE6">
              <w:rPr>
                <w:rFonts w:cs="Arial"/>
                <w:i/>
              </w:rPr>
              <w:t xml:space="preserve">- </w:t>
            </w:r>
            <w:proofErr w:type="gramStart"/>
            <w:r w:rsidRPr="008F3DE6">
              <w:rPr>
                <w:rFonts w:cs="Arial"/>
                <w:i/>
              </w:rPr>
              <w:t>to</w:t>
            </w:r>
            <w:proofErr w:type="gramEnd"/>
            <w:r w:rsidRPr="008F3DE6">
              <w:rPr>
                <w:rFonts w:cs="Arial"/>
                <w:i/>
              </w:rPr>
              <w:t xml:space="preserve"> include in point 8.1 (c) “always in full flowering of the second year, both masculine and </w:t>
            </w:r>
            <w:proofErr w:type="spellStart"/>
            <w:r w:rsidRPr="008F3DE6">
              <w:rPr>
                <w:rFonts w:cs="Arial"/>
                <w:i/>
              </w:rPr>
              <w:t>feminin</w:t>
            </w:r>
            <w:proofErr w:type="spellEnd"/>
            <w:r w:rsidRPr="008F3DE6">
              <w:rPr>
                <w:rFonts w:cs="Arial"/>
                <w:i/>
              </w:rPr>
              <w:t xml:space="preserve">”, this way it could be reduced to 1 and 2. </w:t>
            </w:r>
          </w:p>
          <w:p w:rsidR="00FF1A2E" w:rsidRPr="00D8283C" w:rsidRDefault="00FF1A2E" w:rsidP="00FF1A2E">
            <w:pPr>
              <w:rPr>
                <w:rFonts w:cs="Arial"/>
                <w:i/>
              </w:rPr>
            </w:pPr>
            <w:r w:rsidRPr="008F3DE6">
              <w:rPr>
                <w:rFonts w:cs="Arial"/>
                <w:i/>
              </w:rPr>
              <w:t xml:space="preserve">- 8.1 (d) should also include that the minimum number of fruits to be </w:t>
            </w:r>
            <w:proofErr w:type="spellStart"/>
            <w:r w:rsidRPr="008F3DE6">
              <w:rPr>
                <w:rFonts w:cs="Arial"/>
                <w:i/>
              </w:rPr>
              <w:t>onserved</w:t>
            </w:r>
            <w:proofErr w:type="spellEnd"/>
            <w:r w:rsidRPr="008F3DE6">
              <w:rPr>
                <w:rFonts w:cs="Arial"/>
                <w:i/>
              </w:rPr>
              <w:t xml:space="preserve"> is 25 per tree, per year.</w:t>
            </w:r>
            <w:r w:rsidRPr="00FF1A2E">
              <w:rPr>
                <w:rFonts w:cs="Arial"/>
                <w:i/>
              </w:rPr>
              <w:t xml:space="preserve">  </w:t>
            </w:r>
          </w:p>
        </w:tc>
      </w:tr>
    </w:tbl>
    <w:p w:rsidR="00E054E1" w:rsidRDefault="00E054E1" w:rsidP="00E054E1">
      <w:pPr>
        <w:rPr>
          <w:snapToGrid w:val="0"/>
        </w:rPr>
      </w:pPr>
    </w:p>
    <w:p w:rsidR="00050E16" w:rsidRPr="00C5280D" w:rsidRDefault="00050E16" w:rsidP="00050E16">
      <w:pPr>
        <w:rPr>
          <w:snapToGrid w:val="0"/>
        </w:rPr>
      </w:pPr>
    </w:p>
    <w:p w:rsidR="00050E16" w:rsidRPr="004B1215" w:rsidRDefault="00050E16" w:rsidP="004B1215"/>
    <w:p w:rsidR="009B440E" w:rsidRDefault="00050E16" w:rsidP="00050E16">
      <w:pPr>
        <w:jc w:val="right"/>
      </w:pPr>
      <w:r w:rsidRPr="00C5280D">
        <w:t>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2FE" w:rsidRDefault="00D732FE" w:rsidP="006655D3">
      <w:r>
        <w:separator/>
      </w:r>
    </w:p>
    <w:p w:rsidR="00D732FE" w:rsidRDefault="00D732FE" w:rsidP="006655D3"/>
    <w:p w:rsidR="00D732FE" w:rsidRDefault="00D732FE" w:rsidP="006655D3"/>
  </w:endnote>
  <w:endnote w:type="continuationSeparator" w:id="0">
    <w:p w:rsidR="00D732FE" w:rsidRDefault="00D732FE" w:rsidP="006655D3">
      <w:r>
        <w:separator/>
      </w:r>
    </w:p>
    <w:p w:rsidR="00D732FE" w:rsidRPr="00294751" w:rsidRDefault="00D732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732FE" w:rsidRPr="00294751" w:rsidRDefault="00D732FE" w:rsidP="006655D3">
      <w:pPr>
        <w:rPr>
          <w:lang w:val="fr-FR"/>
        </w:rPr>
      </w:pPr>
    </w:p>
    <w:p w:rsidR="00D732FE" w:rsidRPr="00294751" w:rsidRDefault="00D732FE" w:rsidP="006655D3">
      <w:pPr>
        <w:rPr>
          <w:lang w:val="fr-FR"/>
        </w:rPr>
      </w:pPr>
    </w:p>
  </w:endnote>
  <w:endnote w:type="continuationNotice" w:id="1">
    <w:p w:rsidR="00D732FE" w:rsidRPr="00294751" w:rsidRDefault="00D732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732FE" w:rsidRPr="00294751" w:rsidRDefault="00D732FE" w:rsidP="006655D3">
      <w:pPr>
        <w:rPr>
          <w:lang w:val="fr-FR"/>
        </w:rPr>
      </w:pPr>
    </w:p>
    <w:p w:rsidR="00D732FE" w:rsidRPr="00294751" w:rsidRDefault="00D732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2FE" w:rsidRDefault="00D732FE" w:rsidP="006655D3">
      <w:r>
        <w:separator/>
      </w:r>
    </w:p>
  </w:footnote>
  <w:footnote w:type="continuationSeparator" w:id="0">
    <w:p w:rsidR="00D732FE" w:rsidRDefault="00D732FE" w:rsidP="006655D3">
      <w:r>
        <w:separator/>
      </w:r>
    </w:p>
  </w:footnote>
  <w:footnote w:type="continuationNotice" w:id="1">
    <w:p w:rsidR="00D732FE" w:rsidRPr="00AB530F" w:rsidRDefault="00D732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0A21B3">
      <w:rPr>
        <w:rStyle w:val="PageNumber"/>
        <w:lang w:val="en-US"/>
      </w:rPr>
      <w:t>4</w:t>
    </w:r>
    <w:r w:rsidR="002E6958">
      <w:rPr>
        <w:rStyle w:val="PageNumber"/>
        <w:lang w:val="en-US"/>
      </w:rPr>
      <w:t>9</w:t>
    </w:r>
    <w:r w:rsidR="00667404">
      <w:rPr>
        <w:rStyle w:val="PageNumber"/>
        <w:lang w:val="en-US"/>
      </w:rPr>
      <w:t>/</w:t>
    </w:r>
    <w:r w:rsidR="007A66E2">
      <w:rPr>
        <w:rStyle w:val="PageNumber"/>
        <w:lang w:val="en-US"/>
      </w:rPr>
      <w:t>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F3DE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2F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A339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6958"/>
    <w:rsid w:val="003006CC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59A3"/>
    <w:rsid w:val="00636CA6"/>
    <w:rsid w:val="00641200"/>
    <w:rsid w:val="006455EC"/>
    <w:rsid w:val="006655D3"/>
    <w:rsid w:val="00667404"/>
    <w:rsid w:val="006706C6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66E2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8F3DE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D690D"/>
    <w:rsid w:val="009E65B6"/>
    <w:rsid w:val="00A05EB7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32FE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54E1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1A2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984D4D3-1C02-4F98-9C4F-DF8E0B2B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05EB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A05EB7"/>
    <w:rPr>
      <w:rFonts w:ascii="Arial" w:hAnsi="Arial"/>
      <w:u w:val="single"/>
    </w:rPr>
  </w:style>
  <w:style w:type="character" w:customStyle="1" w:styleId="BodyTextChar">
    <w:name w:val="Body Text Char"/>
    <w:basedOn w:val="DefaultParagraphFont"/>
    <w:link w:val="BodyText"/>
    <w:rsid w:val="00E054E1"/>
    <w:rPr>
      <w:rFonts w:ascii="Arial" w:hAnsi="Arial"/>
    </w:rPr>
  </w:style>
  <w:style w:type="paragraph" w:customStyle="1" w:styleId="Default">
    <w:name w:val="Default"/>
    <w:rsid w:val="00E054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upov.int/meetings/en/doc_details.jsp?meeting_id=48107&amp;doc_id=4172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9_2018\templates\twf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twf_49.dotx</Template>
  <TotalTime>19</TotalTime>
  <Pages>2</Pages>
  <Words>855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Romy Oertel</cp:lastModifiedBy>
  <cp:revision>7</cp:revision>
  <cp:lastPrinted>2016-11-22T16:03:00Z</cp:lastPrinted>
  <dcterms:created xsi:type="dcterms:W3CDTF">2018-11-02T10:26:00Z</dcterms:created>
  <dcterms:modified xsi:type="dcterms:W3CDTF">2018-11-16T08:38:00Z</dcterms:modified>
</cp:coreProperties>
</file>