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B21927" w:rsidRPr="00300C1E">
              <w:t>Fruit Crops</w:t>
            </w:r>
          </w:p>
          <w:p w:rsidR="002846C3" w:rsidRDefault="002846C3" w:rsidP="002846C3">
            <w:pPr>
              <w:pStyle w:val="Sessiontcplacedate"/>
            </w:pPr>
            <w:r>
              <w:t>Forty-Ninth Session</w:t>
            </w:r>
          </w:p>
          <w:p w:rsidR="00EB4E9C" w:rsidRPr="00DC3802" w:rsidRDefault="002846C3" w:rsidP="002846C3">
            <w:pPr>
              <w:pStyle w:val="Sessiontcplacedate"/>
              <w:rPr>
                <w:sz w:val="22"/>
              </w:rPr>
            </w:pPr>
            <w:r>
              <w:t>Santiago de Chile, Chile, November 19 to 23, 2018</w:t>
            </w:r>
          </w:p>
        </w:tc>
        <w:tc>
          <w:tcPr>
            <w:tcW w:w="3127" w:type="dxa"/>
          </w:tcPr>
          <w:p w:rsidR="00DA4499" w:rsidRPr="003C7FBE" w:rsidRDefault="00B21927" w:rsidP="003C7FBE">
            <w:pPr>
              <w:pStyle w:val="Doccode"/>
            </w:pPr>
            <w:r>
              <w:t>TWF</w:t>
            </w:r>
            <w:r w:rsidRPr="00AC2883">
              <w:t>/</w:t>
            </w:r>
            <w:r>
              <w:t>4</w:t>
            </w:r>
            <w:r w:rsidR="002846C3">
              <w:t>9</w:t>
            </w:r>
            <w:r w:rsidR="00EB4E9C" w:rsidRPr="00AC2883">
              <w:t>/</w:t>
            </w:r>
            <w:r w:rsidR="00100671">
              <w:t>11</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B0B14">
            <w:pPr>
              <w:pStyle w:val="Docoriginal"/>
            </w:pPr>
            <w:r w:rsidRPr="00AC2883">
              <w:t>Date:</w:t>
            </w:r>
            <w:r w:rsidRPr="000E636A">
              <w:rPr>
                <w:b w:val="0"/>
                <w:spacing w:val="0"/>
              </w:rPr>
              <w:t xml:space="preserve">  </w:t>
            </w:r>
            <w:bookmarkStart w:id="0" w:name="_GoBack"/>
            <w:bookmarkEnd w:id="0"/>
            <w:r w:rsidR="002846C3" w:rsidRPr="005B0B14">
              <w:rPr>
                <w:b w:val="0"/>
                <w:spacing w:val="0"/>
              </w:rPr>
              <w:t>November 1</w:t>
            </w:r>
            <w:r w:rsidR="005B0B14" w:rsidRPr="005B0B14">
              <w:rPr>
                <w:b w:val="0"/>
                <w:spacing w:val="0"/>
              </w:rPr>
              <w:t>4</w:t>
            </w:r>
            <w:r w:rsidR="002846C3" w:rsidRPr="005B0B14">
              <w:rPr>
                <w:b w:val="0"/>
                <w:spacing w:val="0"/>
              </w:rPr>
              <w:t>, 2018</w:t>
            </w:r>
          </w:p>
        </w:tc>
      </w:tr>
    </w:tbl>
    <w:p w:rsidR="000D7780" w:rsidRPr="006A644A" w:rsidRDefault="00FC4EEE" w:rsidP="006A644A">
      <w:pPr>
        <w:pStyle w:val="Titleofdoc0"/>
      </w:pPr>
      <w:bookmarkStart w:id="1" w:name="TitleOfDoc"/>
      <w:bookmarkEnd w:id="1"/>
      <w:r w:rsidRPr="00FC4EEE">
        <w:rPr>
          <w:rFonts w:cs="Arial"/>
        </w:rPr>
        <w:t>Matters relevant in DUS examination for the fruit sector</w:t>
      </w:r>
    </w:p>
    <w:p w:rsidR="006A644A" w:rsidRPr="006A644A" w:rsidRDefault="00AE0EF1" w:rsidP="006A644A">
      <w:pPr>
        <w:pStyle w:val="preparedby1"/>
        <w:jc w:val="left"/>
      </w:pPr>
      <w:bookmarkStart w:id="2" w:name="Prepared"/>
      <w:bookmarkEnd w:id="2"/>
      <w:r w:rsidRPr="000C4E25">
        <w:t xml:space="preserve">Document </w:t>
      </w:r>
      <w:r w:rsidR="0061555F" w:rsidRPr="000C4E25">
        <w:t xml:space="preserve">prepared </w:t>
      </w:r>
      <w:r w:rsidR="004A629E" w:rsidRPr="000C4E25">
        <w:t xml:space="preserve">by </w:t>
      </w:r>
      <w:r w:rsidR="004A629E">
        <w:t>the European Union</w:t>
      </w:r>
    </w:p>
    <w:p w:rsidR="00050E16" w:rsidRPr="006A644A" w:rsidRDefault="00050E16" w:rsidP="006A644A">
      <w:pPr>
        <w:pStyle w:val="Disclaimer"/>
      </w:pPr>
      <w:r w:rsidRPr="006A644A">
        <w:t>Disclaimer:  this document does not represent UPOV policies or guidance</w:t>
      </w:r>
    </w:p>
    <w:p w:rsidR="004A629E" w:rsidRPr="00590476" w:rsidRDefault="004A629E" w:rsidP="004A629E">
      <w:pPr>
        <w:pStyle w:val="Heading1"/>
        <w:rPr>
          <w:rFonts w:cs="Arial"/>
        </w:rPr>
      </w:pPr>
      <w:r>
        <w:rPr>
          <w:rFonts w:cs="Arial"/>
        </w:rPr>
        <w:t>BACKGROUND</w:t>
      </w:r>
    </w:p>
    <w:p w:rsidR="004A629E" w:rsidRDefault="004A629E" w:rsidP="006425EE">
      <w:pPr>
        <w:rPr>
          <w:snapToGrid w:val="0"/>
        </w:rPr>
      </w:pPr>
    </w:p>
    <w:p w:rsidR="006425EE" w:rsidRDefault="006425EE" w:rsidP="006425EE">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506DD4">
        <w:rPr>
          <w:rFonts w:cs="Arial"/>
          <w:snapToGrid w:val="0"/>
        </w:rPr>
        <w:t xml:space="preserve">The </w:t>
      </w:r>
      <w:r w:rsidRPr="00506DD4">
        <w:rPr>
          <w:rFonts w:cs="Arial"/>
        </w:rPr>
        <w:t xml:space="preserve">Technical Working Party for </w:t>
      </w:r>
      <w:r>
        <w:rPr>
          <w:rFonts w:cs="Arial"/>
        </w:rPr>
        <w:t>Fruit Crops</w:t>
      </w:r>
      <w:r w:rsidRPr="00506DD4">
        <w:rPr>
          <w:rFonts w:cs="Arial"/>
        </w:rPr>
        <w:t xml:space="preserve"> (TW</w:t>
      </w:r>
      <w:r>
        <w:rPr>
          <w:rFonts w:cs="Arial"/>
        </w:rPr>
        <w:t>F</w:t>
      </w:r>
      <w:r w:rsidRPr="00506DD4">
        <w:rPr>
          <w:rFonts w:cs="Arial"/>
        </w:rPr>
        <w:t xml:space="preserve">), </w:t>
      </w:r>
      <w:r w:rsidR="00D17043">
        <w:rPr>
          <w:rFonts w:cs="Arial"/>
        </w:rPr>
        <w:t>at its forty-eighth session, held in</w:t>
      </w:r>
      <w:r w:rsidR="00D17043" w:rsidRPr="00280B3C">
        <w:rPr>
          <w:rFonts w:cs="Arial"/>
        </w:rPr>
        <w:t xml:space="preserve"> </w:t>
      </w:r>
      <w:r w:rsidR="00D17043" w:rsidRPr="000A6A84">
        <w:t>Kelowna, British Columbia, Canada</w:t>
      </w:r>
      <w:r w:rsidR="00D17043" w:rsidRPr="000A6A84">
        <w:rPr>
          <w:rFonts w:cs="Arial"/>
        </w:rPr>
        <w:t xml:space="preserve">, from </w:t>
      </w:r>
      <w:r w:rsidR="00D17043" w:rsidRPr="000A6A84">
        <w:t>September</w:t>
      </w:r>
      <w:r w:rsidR="00D17043">
        <w:t xml:space="preserve"> </w:t>
      </w:r>
      <w:r w:rsidR="00D17043" w:rsidRPr="000A6A84">
        <w:t>18 to 22, 2017</w:t>
      </w:r>
      <w:r w:rsidR="00D17043">
        <w:t xml:space="preserve"> </w:t>
      </w:r>
      <w:r w:rsidRPr="00506DD4">
        <w:rPr>
          <w:rFonts w:cs="Arial"/>
        </w:rPr>
        <w:t>agreed t</w:t>
      </w:r>
      <w:r>
        <w:rPr>
          <w:rFonts w:cs="Arial"/>
        </w:rPr>
        <w:t>o discuss the item “</w:t>
      </w:r>
      <w:r w:rsidR="00100671" w:rsidRPr="00100671">
        <w:rPr>
          <w:rFonts w:cs="Arial"/>
          <w:color w:val="000000"/>
        </w:rPr>
        <w:t>Matters relevant in DUS examination for the fruit sector</w:t>
      </w:r>
      <w:r w:rsidRPr="00100671">
        <w:rPr>
          <w:rFonts w:cs="Arial"/>
          <w:color w:val="000000"/>
        </w:rPr>
        <w:t>”</w:t>
      </w:r>
      <w:r>
        <w:rPr>
          <w:rFonts w:cs="Arial"/>
        </w:rPr>
        <w:t xml:space="preserve"> at its next session (</w:t>
      </w:r>
      <w:r w:rsidR="00D17043">
        <w:rPr>
          <w:rFonts w:cs="Arial"/>
          <w:lang w:eastAsia="ja-JP"/>
        </w:rPr>
        <w:t>see document TWF/48/13 “report”, paragraph 162</w:t>
      </w:r>
      <w:r>
        <w:rPr>
          <w:rFonts w:cs="Arial"/>
        </w:rPr>
        <w:t>).</w:t>
      </w:r>
    </w:p>
    <w:p w:rsidR="00280B3C" w:rsidRDefault="00280B3C" w:rsidP="006425EE">
      <w:pPr>
        <w:rPr>
          <w:rFonts w:cs="Arial"/>
        </w:rPr>
      </w:pPr>
    </w:p>
    <w:p w:rsidR="004A629E" w:rsidRDefault="004A629E" w:rsidP="004A629E">
      <w:pPr>
        <w:rPr>
          <w:rFonts w:cs="Arial"/>
        </w:rPr>
      </w:pPr>
      <w:r>
        <w:rPr>
          <w:rFonts w:cs="Arial"/>
          <w:szCs w:val="18"/>
        </w:rPr>
        <w:t>PROJECT</w:t>
      </w:r>
    </w:p>
    <w:p w:rsidR="004A629E" w:rsidRDefault="004A629E" w:rsidP="004A629E">
      <w:pPr>
        <w:rPr>
          <w:snapToGrid w:val="0"/>
        </w:rPr>
      </w:pPr>
    </w:p>
    <w:p w:rsidR="004A629E" w:rsidRDefault="006425EE"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A629E" w:rsidRPr="004A629E">
        <w:rPr>
          <w:snapToGrid w:val="0"/>
        </w:rPr>
        <w:t xml:space="preserve">The </w:t>
      </w:r>
      <w:r w:rsidR="00553D03">
        <w:rPr>
          <w:snapToGrid w:val="0"/>
        </w:rPr>
        <w:t xml:space="preserve">Community Plant Variety Office </w:t>
      </w:r>
      <w:r w:rsidR="002F4DD4">
        <w:rPr>
          <w:snapToGrid w:val="0"/>
        </w:rPr>
        <w:t xml:space="preserve">of the European Union </w:t>
      </w:r>
      <w:r w:rsidR="00553D03">
        <w:rPr>
          <w:snapToGrid w:val="0"/>
        </w:rPr>
        <w:t>(</w:t>
      </w:r>
      <w:r w:rsidR="004A629E" w:rsidRPr="004A629E">
        <w:rPr>
          <w:snapToGrid w:val="0"/>
        </w:rPr>
        <w:t>CPVO</w:t>
      </w:r>
      <w:r w:rsidR="00553D03">
        <w:rPr>
          <w:snapToGrid w:val="0"/>
        </w:rPr>
        <w:t>)</w:t>
      </w:r>
      <w:r w:rsidR="004A629E" w:rsidRPr="004A629E">
        <w:rPr>
          <w:snapToGrid w:val="0"/>
        </w:rPr>
        <w:t xml:space="preserve"> is currently financing a project to harmonize the DUS testing of apple varieties in exchanging identical samples of fruits, observing them and confronting the observations. Possible differences could lead to discussions on a refinement of the wording of the characteristic, the method of observation or the methodology for the transformation of observations to notes. The result of these discussions will be used in the forthcoming discussions on the UPOV apple </w:t>
      </w:r>
      <w:r w:rsidR="00553D03">
        <w:rPr>
          <w:snapToGrid w:val="0"/>
        </w:rPr>
        <w:t>Test G</w:t>
      </w:r>
      <w:r w:rsidR="004A629E" w:rsidRPr="004A629E">
        <w:rPr>
          <w:snapToGrid w:val="0"/>
        </w:rPr>
        <w:t>uideline</w:t>
      </w:r>
      <w:r w:rsidR="00553D03">
        <w:rPr>
          <w:snapToGrid w:val="0"/>
        </w:rPr>
        <w:t>s</w:t>
      </w:r>
      <w:r w:rsidR="004A629E" w:rsidRPr="004A629E">
        <w:rPr>
          <w:snapToGrid w:val="0"/>
        </w:rPr>
        <w:t>.</w:t>
      </w:r>
    </w:p>
    <w:p w:rsidR="00553D03" w:rsidRDefault="00553D03" w:rsidP="004A629E">
      <w:pPr>
        <w:rPr>
          <w:snapToGrid w:val="0"/>
        </w:rPr>
      </w:pPr>
    </w:p>
    <w:p w:rsidR="005F33D9" w:rsidRDefault="005F33D9" w:rsidP="005F33D9">
      <w:pPr>
        <w:pStyle w:val="Heading2"/>
        <w:rPr>
          <w:snapToGrid w:val="0"/>
        </w:rPr>
      </w:pPr>
      <w:r>
        <w:rPr>
          <w:snapToGrid w:val="0"/>
        </w:rPr>
        <w:t xml:space="preserve">Objective </w:t>
      </w:r>
    </w:p>
    <w:p w:rsidR="005F33D9" w:rsidRPr="005F33D9" w:rsidRDefault="005F33D9" w:rsidP="005F33D9"/>
    <w:p w:rsidR="004A629E" w:rsidRPr="004A629E" w:rsidRDefault="00553D03"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A629E" w:rsidRPr="004A629E">
        <w:rPr>
          <w:snapToGrid w:val="0"/>
        </w:rPr>
        <w:t xml:space="preserve">The objective of this project is to organize an exchange between the 5 CPVO entrusted examination offices for apples, which could prepare a few identical samples of fruits (objective: 3 varieties per examination office) and dispatch them to the other examination offices. Examination offices receiving the fruits will make the observations according to their usual procedures and results could be confronted. The exercise would bring to light differences that may exist: </w:t>
      </w:r>
    </w:p>
    <w:p w:rsidR="004A629E" w:rsidRPr="00553D03" w:rsidRDefault="004A629E" w:rsidP="00553D03">
      <w:pPr>
        <w:pStyle w:val="ListParagraph"/>
        <w:numPr>
          <w:ilvl w:val="0"/>
          <w:numId w:val="6"/>
        </w:numPr>
        <w:rPr>
          <w:snapToGrid w:val="0"/>
        </w:rPr>
      </w:pPr>
      <w:r w:rsidRPr="00553D03">
        <w:rPr>
          <w:snapToGrid w:val="0"/>
        </w:rPr>
        <w:t>In the interpretation of the characteristic</w:t>
      </w:r>
    </w:p>
    <w:p w:rsidR="004A629E" w:rsidRPr="00553D03" w:rsidRDefault="004A629E" w:rsidP="00553D03">
      <w:pPr>
        <w:pStyle w:val="ListParagraph"/>
        <w:numPr>
          <w:ilvl w:val="0"/>
          <w:numId w:val="6"/>
        </w:numPr>
        <w:rPr>
          <w:snapToGrid w:val="0"/>
        </w:rPr>
      </w:pPr>
      <w:r w:rsidRPr="00553D03">
        <w:rPr>
          <w:snapToGrid w:val="0"/>
        </w:rPr>
        <w:t>In the method of observation</w:t>
      </w:r>
    </w:p>
    <w:p w:rsidR="004A629E" w:rsidRPr="00553D03" w:rsidRDefault="004A629E" w:rsidP="00553D03">
      <w:pPr>
        <w:pStyle w:val="ListParagraph"/>
        <w:numPr>
          <w:ilvl w:val="0"/>
          <w:numId w:val="6"/>
        </w:numPr>
        <w:rPr>
          <w:snapToGrid w:val="0"/>
        </w:rPr>
      </w:pPr>
      <w:r w:rsidRPr="00553D03">
        <w:rPr>
          <w:snapToGrid w:val="0"/>
        </w:rPr>
        <w:t>In the methodology of transformation of observations to notes</w:t>
      </w:r>
    </w:p>
    <w:p w:rsidR="00553D03" w:rsidRDefault="00553D03" w:rsidP="004A629E">
      <w:pPr>
        <w:rPr>
          <w:snapToGrid w:val="0"/>
        </w:rPr>
      </w:pPr>
    </w:p>
    <w:p w:rsidR="005F33D9" w:rsidRDefault="005F33D9" w:rsidP="005F33D9">
      <w:pPr>
        <w:pStyle w:val="Heading2"/>
        <w:rPr>
          <w:snapToGrid w:val="0"/>
        </w:rPr>
      </w:pPr>
      <w:r>
        <w:rPr>
          <w:snapToGrid w:val="0"/>
        </w:rPr>
        <w:t>Work done</w:t>
      </w:r>
    </w:p>
    <w:p w:rsidR="005F33D9" w:rsidRDefault="005F33D9" w:rsidP="004A629E">
      <w:pPr>
        <w:rPr>
          <w:snapToGrid w:val="0"/>
        </w:rPr>
      </w:pPr>
    </w:p>
    <w:p w:rsidR="004A629E" w:rsidRPr="004A629E" w:rsidRDefault="00553D03"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A629E" w:rsidRPr="004A629E">
        <w:rPr>
          <w:snapToGrid w:val="0"/>
        </w:rPr>
        <w:t>The Work done</w:t>
      </w:r>
      <w:r>
        <w:rPr>
          <w:snapToGrid w:val="0"/>
        </w:rPr>
        <w:t>:</w:t>
      </w:r>
    </w:p>
    <w:p w:rsidR="004A629E" w:rsidRPr="00553D03" w:rsidRDefault="004A629E" w:rsidP="00553D03">
      <w:pPr>
        <w:pStyle w:val="ListParagraph"/>
        <w:numPr>
          <w:ilvl w:val="0"/>
          <w:numId w:val="7"/>
        </w:numPr>
        <w:rPr>
          <w:snapToGrid w:val="0"/>
        </w:rPr>
      </w:pPr>
      <w:r w:rsidRPr="00553D03">
        <w:rPr>
          <w:snapToGrid w:val="0"/>
        </w:rPr>
        <w:t>Dispatching examination offices observed and described the fruits before sending them in January 2018</w:t>
      </w:r>
    </w:p>
    <w:p w:rsidR="004A629E" w:rsidRPr="00553D03" w:rsidRDefault="004A629E" w:rsidP="00553D03">
      <w:pPr>
        <w:pStyle w:val="ListParagraph"/>
        <w:numPr>
          <w:ilvl w:val="0"/>
          <w:numId w:val="7"/>
        </w:numPr>
        <w:rPr>
          <w:snapToGrid w:val="0"/>
        </w:rPr>
      </w:pPr>
      <w:r w:rsidRPr="00553D03">
        <w:rPr>
          <w:snapToGrid w:val="0"/>
        </w:rPr>
        <w:t>As soon as they were in receipt of the fruits, examination offices made the observations</w:t>
      </w:r>
    </w:p>
    <w:p w:rsidR="004A629E" w:rsidRPr="00553D03" w:rsidRDefault="004A629E" w:rsidP="00553D03">
      <w:pPr>
        <w:pStyle w:val="ListParagraph"/>
        <w:numPr>
          <w:ilvl w:val="0"/>
          <w:numId w:val="7"/>
        </w:numPr>
        <w:rPr>
          <w:snapToGrid w:val="0"/>
        </w:rPr>
      </w:pPr>
      <w:r w:rsidRPr="00553D03">
        <w:rPr>
          <w:snapToGrid w:val="0"/>
        </w:rPr>
        <w:t>Characteristics 24 to 54 of the CPVO protocol / UPOV guideline were be observed</w:t>
      </w:r>
    </w:p>
    <w:p w:rsidR="004A629E" w:rsidRPr="00553D03" w:rsidRDefault="00553D03" w:rsidP="00553D03">
      <w:pPr>
        <w:pStyle w:val="ListParagraph"/>
        <w:numPr>
          <w:ilvl w:val="0"/>
          <w:numId w:val="7"/>
        </w:numPr>
        <w:rPr>
          <w:snapToGrid w:val="0"/>
        </w:rPr>
      </w:pPr>
      <w:r w:rsidRPr="00553D03">
        <w:rPr>
          <w:snapToGrid w:val="0"/>
        </w:rPr>
        <w:t>O</w:t>
      </w:r>
      <w:r w:rsidR="004A629E" w:rsidRPr="00553D03">
        <w:rPr>
          <w:snapToGrid w:val="0"/>
        </w:rPr>
        <w:t>bservations were communicated to the CPVO</w:t>
      </w:r>
    </w:p>
    <w:p w:rsidR="004A629E" w:rsidRPr="00553D03" w:rsidRDefault="004A629E" w:rsidP="00553D03">
      <w:pPr>
        <w:pStyle w:val="ListParagraph"/>
        <w:numPr>
          <w:ilvl w:val="0"/>
          <w:numId w:val="7"/>
        </w:numPr>
        <w:rPr>
          <w:snapToGrid w:val="0"/>
        </w:rPr>
      </w:pPr>
      <w:r w:rsidRPr="00553D03">
        <w:rPr>
          <w:snapToGrid w:val="0"/>
        </w:rPr>
        <w:t>The CPVO compiled the results and sent them out in July 2018</w:t>
      </w:r>
    </w:p>
    <w:p w:rsidR="00553D03" w:rsidRDefault="00553D03" w:rsidP="004A629E">
      <w:pPr>
        <w:rPr>
          <w:snapToGrid w:val="0"/>
        </w:rPr>
      </w:pPr>
    </w:p>
    <w:p w:rsidR="005F33D9" w:rsidRDefault="005F33D9" w:rsidP="005F33D9">
      <w:pPr>
        <w:pStyle w:val="Heading2"/>
        <w:rPr>
          <w:snapToGrid w:val="0"/>
        </w:rPr>
      </w:pPr>
      <w:r>
        <w:rPr>
          <w:snapToGrid w:val="0"/>
        </w:rPr>
        <w:t>Results</w:t>
      </w:r>
    </w:p>
    <w:p w:rsidR="005F33D9" w:rsidRDefault="005F33D9" w:rsidP="004A629E">
      <w:pPr>
        <w:rPr>
          <w:snapToGrid w:val="0"/>
        </w:rPr>
      </w:pPr>
    </w:p>
    <w:p w:rsidR="004A629E" w:rsidRDefault="00553D03"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5F33D9">
        <w:rPr>
          <w:snapToGrid w:val="0"/>
        </w:rPr>
        <w:t>The CPVO produced an</w:t>
      </w:r>
      <w:r w:rsidR="004A629E" w:rsidRPr="004A629E">
        <w:rPr>
          <w:snapToGrid w:val="0"/>
        </w:rPr>
        <w:t xml:space="preserve"> excel file, with one sheet per variety including the description made by the respective examination offices (</w:t>
      </w:r>
      <w:r w:rsidR="005F33D9" w:rsidRPr="00EC0CFD">
        <w:rPr>
          <w:rFonts w:cs="Arial"/>
          <w:lang w:eastAsia="ja-JP"/>
        </w:rPr>
        <w:t xml:space="preserve">see table in </w:t>
      </w:r>
      <w:r w:rsidR="005F33D9">
        <w:rPr>
          <w:rFonts w:cs="Arial"/>
          <w:lang w:eastAsia="ja-JP"/>
        </w:rPr>
        <w:t xml:space="preserve">the </w:t>
      </w:r>
      <w:r w:rsidR="005F33D9" w:rsidRPr="00EC0CFD">
        <w:rPr>
          <w:rFonts w:cs="Arial"/>
          <w:lang w:eastAsia="ja-JP"/>
        </w:rPr>
        <w:t>Annex</w:t>
      </w:r>
      <w:r w:rsidR="005F33D9">
        <w:rPr>
          <w:rFonts w:cs="Arial"/>
          <w:lang w:eastAsia="ja-JP"/>
        </w:rPr>
        <w:t xml:space="preserve"> of this document</w:t>
      </w:r>
      <w:r w:rsidR="004A629E" w:rsidRPr="004A629E">
        <w:rPr>
          <w:snapToGrid w:val="0"/>
        </w:rPr>
        <w:t>). In each of these sheets, a column ‘spread’ was added calculating for each characteristic the maximum difference between notes attributed for QN characteristics. In case there are 3 notes difference or more, the cell appears in pink. It remains grey when there are 2 notes difference or less. Lines related to PQ characteristics are</w:t>
      </w:r>
      <w:r w:rsidR="005F33D9">
        <w:rPr>
          <w:snapToGrid w:val="0"/>
        </w:rPr>
        <w:t xml:space="preserve"> in yellow. </w:t>
      </w:r>
      <w:r w:rsidR="004A629E" w:rsidRPr="004A629E">
        <w:rPr>
          <w:snapToGrid w:val="0"/>
        </w:rPr>
        <w:t xml:space="preserve">A sheet ‘Overview’ was created, compiling for each variety and each QN characteristic the maximum spread there may be between </w:t>
      </w:r>
      <w:r w:rsidR="004A629E" w:rsidRPr="004A629E">
        <w:rPr>
          <w:snapToGrid w:val="0"/>
        </w:rPr>
        <w:lastRenderedPageBreak/>
        <w:t>notes. The sum of these differences gives an indication on how differently a stage of expression is attributed between examination offices for each characteristic. In other words, characteristics with a lot of pink cells are reported quite differently, those with white cells are reported in a similar way.</w:t>
      </w:r>
    </w:p>
    <w:p w:rsidR="005F33D9" w:rsidRPr="004A629E" w:rsidRDefault="005F33D9" w:rsidP="004A629E">
      <w:pPr>
        <w:rPr>
          <w:snapToGrid w:val="0"/>
        </w:rPr>
      </w:pPr>
    </w:p>
    <w:p w:rsidR="004A629E" w:rsidRPr="004A629E" w:rsidRDefault="005F33D9"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A629E" w:rsidRPr="004A629E">
        <w:rPr>
          <w:snapToGrid w:val="0"/>
        </w:rPr>
        <w:t xml:space="preserve">For example, the reporting of characteristics ‘Fruit: area of russet on cheeks’ and ‘Fruit: area of russet around eye basin’ look very harmonized. To the opposite, the reporting of stage of expressions of characteristics ‘Fruit: ratio height/diameter’, ‘Fruit: width of stripes’ or ‘Fruit: size of eye’ seems to be very variable. </w:t>
      </w:r>
    </w:p>
    <w:p w:rsidR="004A629E" w:rsidRPr="004A629E" w:rsidRDefault="004A629E" w:rsidP="004A629E">
      <w:pPr>
        <w:rPr>
          <w:snapToGrid w:val="0"/>
        </w:rPr>
      </w:pPr>
      <w:r w:rsidRPr="004A629E">
        <w:rPr>
          <w:snapToGrid w:val="0"/>
        </w:rPr>
        <w:t>The following table gives a full overview of the situation for QN characteristics:</w:t>
      </w:r>
    </w:p>
    <w:tbl>
      <w:tblPr>
        <w:tblW w:w="5988" w:type="dxa"/>
        <w:tblInd w:w="80" w:type="dxa"/>
        <w:tblCellMar>
          <w:left w:w="70" w:type="dxa"/>
          <w:right w:w="70" w:type="dxa"/>
        </w:tblCellMar>
        <w:tblLook w:val="04A0" w:firstRow="1" w:lastRow="0" w:firstColumn="1" w:lastColumn="0" w:noHBand="0" w:noVBand="1"/>
      </w:tblPr>
      <w:tblGrid>
        <w:gridCol w:w="385"/>
        <w:gridCol w:w="4120"/>
        <w:gridCol w:w="552"/>
        <w:gridCol w:w="960"/>
      </w:tblGrid>
      <w:tr w:rsidR="00553D03" w:rsidTr="00553D03">
        <w:trPr>
          <w:trHeight w:val="810"/>
        </w:trPr>
        <w:tc>
          <w:tcPr>
            <w:tcW w:w="369" w:type="dxa"/>
            <w:tcBorders>
              <w:top w:val="single" w:sz="8" w:space="0" w:color="auto"/>
              <w:left w:val="single" w:sz="8" w:space="0" w:color="auto"/>
              <w:bottom w:val="single" w:sz="8" w:space="0" w:color="auto"/>
              <w:right w:val="single" w:sz="4" w:space="0" w:color="auto"/>
            </w:tcBorders>
            <w:noWrap/>
            <w:vAlign w:val="bottom"/>
            <w:hideMark/>
          </w:tcPr>
          <w:p w:rsidR="00553D03" w:rsidRDefault="00553D03">
            <w:pPr>
              <w:jc w:val="center"/>
              <w:rPr>
                <w:rFonts w:ascii="Tahoma" w:hAnsi="Tahoma" w:cs="Tahoma"/>
                <w:b/>
                <w:bCs/>
                <w:color w:val="000000"/>
                <w:szCs w:val="18"/>
                <w:lang w:val="fr-FR" w:eastAsia="fr-FR"/>
              </w:rPr>
            </w:pPr>
            <w:r>
              <w:rPr>
                <w:rFonts w:cs="Tahoma"/>
                <w:b/>
                <w:bCs/>
                <w:color w:val="000000"/>
                <w:szCs w:val="18"/>
                <w:lang w:val="fr-FR" w:eastAsia="fr-FR"/>
              </w:rPr>
              <w:t>nb</w:t>
            </w:r>
          </w:p>
        </w:tc>
        <w:tc>
          <w:tcPr>
            <w:tcW w:w="4120" w:type="dxa"/>
            <w:tcBorders>
              <w:top w:val="single" w:sz="8" w:space="0" w:color="auto"/>
              <w:left w:val="nil"/>
              <w:bottom w:val="single" w:sz="8" w:space="0" w:color="auto"/>
              <w:right w:val="single" w:sz="4" w:space="0" w:color="auto"/>
            </w:tcBorders>
            <w:noWrap/>
            <w:vAlign w:val="bottom"/>
            <w:hideMark/>
          </w:tcPr>
          <w:p w:rsidR="00553D03" w:rsidRDefault="00553D03">
            <w:pPr>
              <w:jc w:val="center"/>
              <w:rPr>
                <w:rFonts w:cs="Tahoma"/>
                <w:b/>
                <w:bCs/>
                <w:color w:val="000000"/>
                <w:szCs w:val="18"/>
                <w:lang w:val="fr-FR" w:eastAsia="fr-FR"/>
              </w:rPr>
            </w:pPr>
            <w:r>
              <w:rPr>
                <w:rFonts w:cs="Tahoma"/>
                <w:b/>
                <w:bCs/>
                <w:color w:val="000000"/>
                <w:szCs w:val="18"/>
                <w:lang w:val="fr-FR" w:eastAsia="fr-FR"/>
              </w:rPr>
              <w:t>Characteristic</w:t>
            </w:r>
          </w:p>
        </w:tc>
        <w:tc>
          <w:tcPr>
            <w:tcW w:w="539" w:type="dxa"/>
            <w:tcBorders>
              <w:top w:val="single" w:sz="8" w:space="0" w:color="auto"/>
              <w:left w:val="nil"/>
              <w:bottom w:val="single" w:sz="8" w:space="0" w:color="auto"/>
              <w:right w:val="single" w:sz="8" w:space="0" w:color="auto"/>
            </w:tcBorders>
            <w:noWrap/>
            <w:vAlign w:val="bottom"/>
            <w:hideMark/>
          </w:tcPr>
          <w:p w:rsidR="00553D03" w:rsidRDefault="00553D03">
            <w:pPr>
              <w:jc w:val="center"/>
              <w:rPr>
                <w:rFonts w:cs="Tahoma"/>
                <w:b/>
                <w:bCs/>
                <w:color w:val="000000"/>
                <w:szCs w:val="18"/>
                <w:lang w:val="fr-FR" w:eastAsia="fr-FR"/>
              </w:rPr>
            </w:pPr>
            <w:r>
              <w:rPr>
                <w:rFonts w:cs="Tahoma"/>
                <w:b/>
                <w:bCs/>
                <w:color w:val="000000"/>
                <w:szCs w:val="18"/>
                <w:lang w:val="fr-FR" w:eastAsia="fr-FR"/>
              </w:rPr>
              <w:t>type</w:t>
            </w:r>
          </w:p>
        </w:tc>
        <w:tc>
          <w:tcPr>
            <w:tcW w:w="960" w:type="dxa"/>
            <w:tcBorders>
              <w:top w:val="nil"/>
              <w:left w:val="single" w:sz="4" w:space="0" w:color="auto"/>
              <w:bottom w:val="nil"/>
              <w:right w:val="nil"/>
            </w:tcBorders>
            <w:textDirection w:val="btLr"/>
            <w:vAlign w:val="center"/>
            <w:hideMark/>
          </w:tcPr>
          <w:p w:rsidR="00553D03" w:rsidRDefault="00553D03">
            <w:pPr>
              <w:jc w:val="center"/>
              <w:rPr>
                <w:rFonts w:cs="Tahoma"/>
                <w:b/>
                <w:bCs/>
                <w:color w:val="000000"/>
                <w:szCs w:val="18"/>
                <w:lang w:val="fr-FR" w:eastAsia="fr-FR"/>
              </w:rPr>
            </w:pPr>
            <w:r>
              <w:rPr>
                <w:rFonts w:cs="Tahoma"/>
                <w:b/>
                <w:bCs/>
                <w:color w:val="000000"/>
                <w:szCs w:val="18"/>
                <w:lang w:val="fr-FR" w:eastAsia="fr-FR"/>
              </w:rPr>
              <w:t>Sum</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cs="Tahoma"/>
                <w:color w:val="000000"/>
                <w:szCs w:val="18"/>
                <w:lang w:val="fr-FR" w:eastAsia="fr-FR"/>
              </w:rPr>
            </w:pPr>
            <w:r>
              <w:rPr>
                <w:rFonts w:cs="Tahoma"/>
                <w:color w:val="000000"/>
                <w:szCs w:val="18"/>
                <w:lang w:val="fr-FR" w:eastAsia="fr-FR"/>
              </w:rPr>
              <w:t>24</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area of russet around eye basin</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2</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25</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area of russet on cheeks</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3</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26</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bloom of skin</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11</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27</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greasiness of skin</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14</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28</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crowning at calyx end</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15</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29</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area of russet around stalk attachment</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16</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30</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ribbing</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17</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31</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aperture of locules (in transverse section)</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20</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32</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size</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23</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33</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thickness of stalk</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23</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34</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diameter</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25</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35</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relative area of over colour</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27</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36</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firmness of flesh</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29</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37</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depth of stalk cavity</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30</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38</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intensity of over colour</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32</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39</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height</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33</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40</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width of stalk cavity</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33</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41</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depth of eye basin</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34</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42</w:t>
            </w:r>
          </w:p>
        </w:tc>
        <w:tc>
          <w:tcPr>
            <w:tcW w:w="4120" w:type="dxa"/>
            <w:tcBorders>
              <w:top w:val="nil"/>
              <w:left w:val="nil"/>
              <w:bottom w:val="single" w:sz="4" w:space="0" w:color="auto"/>
              <w:right w:val="single" w:sz="4" w:space="0" w:color="auto"/>
            </w:tcBorders>
            <w:noWrap/>
            <w:vAlign w:val="bottom"/>
            <w:hideMark/>
          </w:tcPr>
          <w:p w:rsidR="00553D03" w:rsidRPr="00553D03" w:rsidRDefault="00553D03">
            <w:pPr>
              <w:rPr>
                <w:rFonts w:cs="Tahoma"/>
                <w:color w:val="000000"/>
                <w:szCs w:val="18"/>
                <w:lang w:eastAsia="fr-FR"/>
              </w:rPr>
            </w:pPr>
            <w:r w:rsidRPr="00553D03">
              <w:rPr>
                <w:rFonts w:cs="Tahoma"/>
                <w:color w:val="000000"/>
                <w:szCs w:val="18"/>
                <w:lang w:eastAsia="fr-FR"/>
              </w:rPr>
              <w:t>Fruit: width of eye basin</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34</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43</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length of stalk</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38</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44</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length of sepal</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41</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45</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number of lenticels</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41</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46</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size of eye</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42</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47</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size of lenticels</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43</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48</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Fruit: width of stripes</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46</w:t>
            </w:r>
          </w:p>
        </w:tc>
      </w:tr>
      <w:tr w:rsidR="00553D03" w:rsidTr="00553D03">
        <w:trPr>
          <w:trHeight w:val="300"/>
        </w:trPr>
        <w:tc>
          <w:tcPr>
            <w:tcW w:w="369" w:type="dxa"/>
            <w:tcBorders>
              <w:top w:val="nil"/>
              <w:left w:val="single" w:sz="8" w:space="0" w:color="auto"/>
              <w:bottom w:val="single" w:sz="4" w:space="0" w:color="auto"/>
              <w:right w:val="single" w:sz="4" w:space="0" w:color="auto"/>
            </w:tcBorders>
            <w:noWrap/>
            <w:vAlign w:val="bottom"/>
            <w:hideMark/>
          </w:tcPr>
          <w:p w:rsidR="00553D03" w:rsidRDefault="00553D03">
            <w:pPr>
              <w:jc w:val="right"/>
              <w:rPr>
                <w:rFonts w:ascii="Tahoma" w:hAnsi="Tahoma" w:cs="Tahoma"/>
                <w:color w:val="000000"/>
                <w:sz w:val="18"/>
                <w:szCs w:val="18"/>
                <w:lang w:val="fr-FR" w:eastAsia="fr-FR"/>
              </w:rPr>
            </w:pPr>
            <w:r>
              <w:rPr>
                <w:rFonts w:cs="Tahoma"/>
                <w:color w:val="000000"/>
                <w:szCs w:val="18"/>
                <w:lang w:val="fr-FR" w:eastAsia="fr-FR"/>
              </w:rPr>
              <w:t>49</w:t>
            </w:r>
          </w:p>
        </w:tc>
        <w:tc>
          <w:tcPr>
            <w:tcW w:w="4120" w:type="dxa"/>
            <w:tcBorders>
              <w:top w:val="nil"/>
              <w:left w:val="nil"/>
              <w:bottom w:val="single" w:sz="4" w:space="0" w:color="auto"/>
              <w:right w:val="single" w:sz="4" w:space="0" w:color="auto"/>
            </w:tcBorders>
            <w:noWrap/>
            <w:vAlign w:val="bottom"/>
            <w:hideMark/>
          </w:tcPr>
          <w:p w:rsidR="00553D03" w:rsidRDefault="00553D03">
            <w:pPr>
              <w:rPr>
                <w:rFonts w:cs="Tahoma"/>
                <w:color w:val="000000"/>
                <w:szCs w:val="18"/>
                <w:lang w:val="fr-FR" w:eastAsia="fr-FR"/>
              </w:rPr>
            </w:pPr>
            <w:r>
              <w:rPr>
                <w:rFonts w:cs="Tahoma"/>
                <w:color w:val="000000"/>
                <w:szCs w:val="18"/>
                <w:lang w:val="fr-FR" w:eastAsia="fr-FR"/>
              </w:rPr>
              <w:t xml:space="preserve">Fruit: ratio height/diameter </w:t>
            </w:r>
          </w:p>
        </w:tc>
        <w:tc>
          <w:tcPr>
            <w:tcW w:w="539" w:type="dxa"/>
            <w:tcBorders>
              <w:top w:val="nil"/>
              <w:left w:val="nil"/>
              <w:bottom w:val="single" w:sz="4" w:space="0" w:color="auto"/>
              <w:right w:val="single" w:sz="8" w:space="0" w:color="auto"/>
            </w:tcBorders>
            <w:noWrap/>
            <w:vAlign w:val="bottom"/>
            <w:hideMark/>
          </w:tcPr>
          <w:p w:rsidR="00553D03" w:rsidRDefault="00553D03">
            <w:pPr>
              <w:jc w:val="center"/>
              <w:rPr>
                <w:rFonts w:cs="Tahoma"/>
                <w:color w:val="000000"/>
                <w:szCs w:val="18"/>
                <w:lang w:val="fr-FR" w:eastAsia="fr-FR"/>
              </w:rPr>
            </w:pPr>
            <w:r>
              <w:rPr>
                <w:rFonts w:cs="Tahoma"/>
                <w:color w:val="000000"/>
                <w:szCs w:val="18"/>
                <w:lang w:val="fr-FR" w:eastAsia="fr-FR"/>
              </w:rPr>
              <w:t>QN</w:t>
            </w:r>
          </w:p>
        </w:tc>
        <w:tc>
          <w:tcPr>
            <w:tcW w:w="960" w:type="dxa"/>
            <w:noWrap/>
            <w:vAlign w:val="bottom"/>
            <w:hideMark/>
          </w:tcPr>
          <w:p w:rsidR="00553D03" w:rsidRDefault="00553D03">
            <w:pPr>
              <w:jc w:val="center"/>
              <w:rPr>
                <w:rFonts w:ascii="Calibri" w:hAnsi="Calibri"/>
                <w:b/>
                <w:bCs/>
                <w:color w:val="000000"/>
                <w:sz w:val="22"/>
                <w:szCs w:val="22"/>
                <w:lang w:val="fr-FR" w:eastAsia="fr-FR"/>
              </w:rPr>
            </w:pPr>
            <w:r>
              <w:rPr>
                <w:rFonts w:ascii="Calibri" w:hAnsi="Calibri" w:cs="Calibri"/>
                <w:b/>
                <w:bCs/>
                <w:color w:val="000000"/>
                <w:sz w:val="22"/>
                <w:szCs w:val="22"/>
                <w:lang w:val="fr-FR" w:eastAsia="fr-FR"/>
              </w:rPr>
              <w:t>47</w:t>
            </w:r>
          </w:p>
        </w:tc>
      </w:tr>
    </w:tbl>
    <w:p w:rsidR="004A629E" w:rsidRPr="004A629E" w:rsidRDefault="004A629E" w:rsidP="004A629E">
      <w:pPr>
        <w:rPr>
          <w:snapToGrid w:val="0"/>
        </w:rPr>
      </w:pPr>
    </w:p>
    <w:p w:rsidR="004A629E" w:rsidRDefault="004A629E" w:rsidP="005F33D9">
      <w:pPr>
        <w:pStyle w:val="Heading2"/>
        <w:rPr>
          <w:snapToGrid w:val="0"/>
        </w:rPr>
      </w:pPr>
      <w:r w:rsidRPr="004A629E">
        <w:rPr>
          <w:snapToGrid w:val="0"/>
        </w:rPr>
        <w:t>Discussion</w:t>
      </w:r>
    </w:p>
    <w:p w:rsidR="005F33D9" w:rsidRPr="005F33D9" w:rsidRDefault="005F33D9" w:rsidP="005F33D9"/>
    <w:p w:rsidR="004A629E" w:rsidRPr="004A629E" w:rsidRDefault="005F33D9"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A629E" w:rsidRPr="004A629E">
        <w:rPr>
          <w:snapToGrid w:val="0"/>
        </w:rPr>
        <w:t>Reasons for different reporting may be:</w:t>
      </w:r>
    </w:p>
    <w:p w:rsidR="004A629E" w:rsidRPr="005F33D9" w:rsidRDefault="004A629E" w:rsidP="005F33D9">
      <w:pPr>
        <w:pStyle w:val="ListParagraph"/>
        <w:numPr>
          <w:ilvl w:val="0"/>
          <w:numId w:val="8"/>
        </w:numPr>
        <w:rPr>
          <w:snapToGrid w:val="0"/>
        </w:rPr>
      </w:pPr>
      <w:r w:rsidRPr="005F33D9">
        <w:rPr>
          <w:snapToGrid w:val="0"/>
        </w:rPr>
        <w:t>Different interpretations of the characteristic</w:t>
      </w:r>
    </w:p>
    <w:p w:rsidR="004A629E" w:rsidRPr="005F33D9" w:rsidRDefault="004A629E" w:rsidP="005F33D9">
      <w:pPr>
        <w:pStyle w:val="ListParagraph"/>
        <w:numPr>
          <w:ilvl w:val="0"/>
          <w:numId w:val="8"/>
        </w:numPr>
        <w:rPr>
          <w:snapToGrid w:val="0"/>
        </w:rPr>
      </w:pPr>
      <w:r w:rsidRPr="005F33D9">
        <w:rPr>
          <w:snapToGrid w:val="0"/>
        </w:rPr>
        <w:t>The same observation for a given characteristic but a different methodology to transform the observations to notes</w:t>
      </w:r>
    </w:p>
    <w:p w:rsidR="004A629E" w:rsidRPr="005F33D9" w:rsidRDefault="004A629E" w:rsidP="005F33D9">
      <w:pPr>
        <w:pStyle w:val="ListParagraph"/>
        <w:numPr>
          <w:ilvl w:val="0"/>
          <w:numId w:val="8"/>
        </w:numPr>
        <w:rPr>
          <w:snapToGrid w:val="0"/>
        </w:rPr>
      </w:pPr>
      <w:r w:rsidRPr="005F33D9">
        <w:rPr>
          <w:snapToGrid w:val="0"/>
        </w:rPr>
        <w:t>Other reasons?</w:t>
      </w:r>
    </w:p>
    <w:p w:rsidR="004A629E" w:rsidRPr="004A629E" w:rsidRDefault="004A629E" w:rsidP="004A629E">
      <w:pPr>
        <w:rPr>
          <w:snapToGrid w:val="0"/>
        </w:rPr>
      </w:pPr>
    </w:p>
    <w:p w:rsidR="004A629E" w:rsidRDefault="004A629E" w:rsidP="005F33D9">
      <w:pPr>
        <w:pStyle w:val="Heading2"/>
        <w:rPr>
          <w:snapToGrid w:val="0"/>
        </w:rPr>
      </w:pPr>
      <w:r w:rsidRPr="004A629E">
        <w:rPr>
          <w:snapToGrid w:val="0"/>
        </w:rPr>
        <w:t>Preliminary comments</w:t>
      </w:r>
    </w:p>
    <w:p w:rsidR="005F33D9" w:rsidRPr="005F33D9" w:rsidRDefault="005F33D9" w:rsidP="005F33D9"/>
    <w:p w:rsidR="004A629E" w:rsidRPr="004A629E" w:rsidRDefault="005F33D9"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A629E" w:rsidRPr="004A629E">
        <w:rPr>
          <w:snapToGrid w:val="0"/>
        </w:rPr>
        <w:t>EU Experts remarked that an apparent lack of harmonization depends on the scale: for a characteristic with 3 stages of expression, the range of variation in the notes attributed by examination offices will be more limited.</w:t>
      </w:r>
    </w:p>
    <w:p w:rsidR="004A629E" w:rsidRDefault="004A629E" w:rsidP="004A629E">
      <w:pPr>
        <w:rPr>
          <w:snapToGrid w:val="0"/>
        </w:rPr>
      </w:pPr>
      <w:r w:rsidRPr="004A629E">
        <w:rPr>
          <w:snapToGrid w:val="0"/>
        </w:rPr>
        <w:lastRenderedPageBreak/>
        <w:t>EU Experts noted that for QN characteristics, examination offices have all their own procedures to attribute notes based on their reference varieties and the range of variation of their collection. Some experts explained that they preferably use the reference varieties from the protocol but not necessarily.</w:t>
      </w:r>
    </w:p>
    <w:p w:rsidR="005F33D9" w:rsidRPr="004A629E" w:rsidRDefault="005F33D9" w:rsidP="004A629E">
      <w:pPr>
        <w:rPr>
          <w:snapToGrid w:val="0"/>
        </w:rPr>
      </w:pPr>
    </w:p>
    <w:p w:rsidR="004A629E" w:rsidRPr="004A629E" w:rsidRDefault="005F33D9"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A629E" w:rsidRPr="004A629E">
        <w:rPr>
          <w:snapToGrid w:val="0"/>
        </w:rPr>
        <w:t>Experts also noted that the influence of the environment on the expression of varieties is not linear. Some varieties show less variation in the expression of their characteristics over years than others. Ideally, reference varieties should vary to the same extend as the overall collection in order to minimize variations in variety descriptions: this requires that examination offices have already observed reference varieties over time. Another possibility is also to use more than one reference variety in order to mitigate the effect of the environment.</w:t>
      </w:r>
    </w:p>
    <w:p w:rsidR="005F33D9" w:rsidRDefault="005F33D9" w:rsidP="004A629E">
      <w:pPr>
        <w:rPr>
          <w:snapToGrid w:val="0"/>
        </w:rPr>
      </w:pPr>
    </w:p>
    <w:p w:rsidR="004A629E" w:rsidRPr="004A629E" w:rsidRDefault="005F33D9"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A629E" w:rsidRPr="004A629E">
        <w:rPr>
          <w:snapToGrid w:val="0"/>
        </w:rPr>
        <w:t xml:space="preserve">Some experts prefer measurement to visual assessment, this should be foreseen in the future </w:t>
      </w:r>
      <w:r>
        <w:rPr>
          <w:snapToGrid w:val="0"/>
        </w:rPr>
        <w:t>Test Guidelines</w:t>
      </w:r>
      <w:r w:rsidR="004A629E" w:rsidRPr="004A629E">
        <w:rPr>
          <w:snapToGrid w:val="0"/>
        </w:rPr>
        <w:t xml:space="preserve"> as an alternative method of observation of characteristics.</w:t>
      </w:r>
    </w:p>
    <w:p w:rsidR="005F33D9" w:rsidRDefault="005F33D9" w:rsidP="004A629E">
      <w:pPr>
        <w:rPr>
          <w:snapToGrid w:val="0"/>
        </w:rPr>
      </w:pPr>
    </w:p>
    <w:p w:rsidR="006425EE" w:rsidRDefault="005F33D9" w:rsidP="004A629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4A629E" w:rsidRPr="004A629E">
        <w:rPr>
          <w:snapToGrid w:val="0"/>
        </w:rPr>
        <w:t>The lack of harmonization in the observation of a characteristic like the ‘Fruit: ratio height/diameter’ was puzzling and experts suggested that raw data are collected in order to investigate more on differences.</w:t>
      </w:r>
    </w:p>
    <w:p w:rsidR="004A6350" w:rsidRDefault="004A6350" w:rsidP="00DB0574">
      <w:pPr>
        <w:autoSpaceDE w:val="0"/>
        <w:autoSpaceDN w:val="0"/>
        <w:adjustRightInd w:val="0"/>
        <w:jc w:val="left"/>
        <w:rPr>
          <w:rFonts w:cs="Arial"/>
          <w:lang w:eastAsia="ja-JP"/>
        </w:rPr>
      </w:pPr>
    </w:p>
    <w:p w:rsidR="000442E7" w:rsidRDefault="005F33D9" w:rsidP="005F33D9">
      <w:pPr>
        <w:pStyle w:val="Heading2"/>
        <w:rPr>
          <w:lang w:eastAsia="ja-JP"/>
        </w:rPr>
      </w:pPr>
      <w:r>
        <w:rPr>
          <w:lang w:eastAsia="ja-JP"/>
        </w:rPr>
        <w:t>Way Forward</w:t>
      </w:r>
    </w:p>
    <w:p w:rsidR="005F33D9" w:rsidRDefault="005F33D9" w:rsidP="000442E7">
      <w:pPr>
        <w:autoSpaceDE w:val="0"/>
        <w:autoSpaceDN w:val="0"/>
        <w:adjustRightInd w:val="0"/>
        <w:rPr>
          <w:rFonts w:cs="Arial"/>
          <w:lang w:eastAsia="ja-JP"/>
        </w:rPr>
      </w:pPr>
    </w:p>
    <w:p w:rsidR="005F33D9" w:rsidRDefault="005F33D9" w:rsidP="000442E7">
      <w:pPr>
        <w:autoSpaceDE w:val="0"/>
        <w:autoSpaceDN w:val="0"/>
        <w:adjustRightInd w:val="0"/>
        <w:rPr>
          <w:rFonts w:cs="Arial"/>
          <w:lang w:eastAsia="ja-JP"/>
        </w:rPr>
      </w:pPr>
      <w:r>
        <w:rPr>
          <w:snapToGrid w:val="0"/>
        </w:rPr>
        <w:fldChar w:fldCharType="begin"/>
      </w:r>
      <w:r>
        <w:rPr>
          <w:snapToGrid w:val="0"/>
        </w:rPr>
        <w:instrText xml:space="preserve"> AUTONUM  </w:instrText>
      </w:r>
      <w:r>
        <w:rPr>
          <w:snapToGrid w:val="0"/>
        </w:rPr>
        <w:fldChar w:fldCharType="end"/>
      </w:r>
      <w:r>
        <w:rPr>
          <w:snapToGrid w:val="0"/>
        </w:rPr>
        <w:t xml:space="preserve"> </w:t>
      </w:r>
      <w:r>
        <w:rPr>
          <w:snapToGrid w:val="0"/>
        </w:rPr>
        <w:tab/>
      </w:r>
      <w:r>
        <w:rPr>
          <w:rFonts w:cs="Arial"/>
          <w:lang w:eastAsia="ja-JP"/>
        </w:rPr>
        <w:t>The TWF is invited</w:t>
      </w:r>
      <w:r w:rsidRPr="00EC0CFD">
        <w:rPr>
          <w:rFonts w:cs="Arial"/>
          <w:lang w:eastAsia="ja-JP"/>
        </w:rPr>
        <w:t xml:space="preserve"> to comment on these results </w:t>
      </w:r>
      <w:r>
        <w:rPr>
          <w:rFonts w:cs="Arial"/>
          <w:lang w:eastAsia="ja-JP"/>
        </w:rPr>
        <w:t xml:space="preserve">and to </w:t>
      </w:r>
      <w:r w:rsidRPr="00EC0CFD">
        <w:rPr>
          <w:rFonts w:cs="Arial"/>
          <w:lang w:eastAsia="ja-JP"/>
        </w:rPr>
        <w:t>propose a follow</w:t>
      </w:r>
      <w:r>
        <w:rPr>
          <w:rFonts w:cs="Arial"/>
          <w:lang w:eastAsia="ja-JP"/>
        </w:rPr>
        <w:t>-</w:t>
      </w:r>
      <w:r w:rsidRPr="00EC0CFD">
        <w:rPr>
          <w:rFonts w:cs="Arial"/>
          <w:lang w:eastAsia="ja-JP"/>
        </w:rPr>
        <w:t>up.</w:t>
      </w:r>
      <w:r>
        <w:rPr>
          <w:snapToGrid w:val="0"/>
        </w:rPr>
        <w:tab/>
      </w:r>
    </w:p>
    <w:p w:rsidR="000442E7" w:rsidRDefault="000442E7" w:rsidP="000442E7">
      <w:pPr>
        <w:autoSpaceDE w:val="0"/>
        <w:autoSpaceDN w:val="0"/>
        <w:adjustRightInd w:val="0"/>
        <w:rPr>
          <w:rFonts w:cs="Arial"/>
          <w:lang w:eastAsia="ja-JP"/>
        </w:rPr>
      </w:pPr>
    </w:p>
    <w:p w:rsidR="008E4A71" w:rsidRDefault="008E4A71" w:rsidP="000442E7">
      <w:pPr>
        <w:autoSpaceDE w:val="0"/>
        <w:autoSpaceDN w:val="0"/>
        <w:adjustRightInd w:val="0"/>
        <w:rPr>
          <w:rFonts w:cs="Arial"/>
          <w:lang w:eastAsia="ja-JP"/>
        </w:rPr>
      </w:pPr>
    </w:p>
    <w:p w:rsidR="000442E7" w:rsidRDefault="000442E7" w:rsidP="000442E7">
      <w:pPr>
        <w:autoSpaceDE w:val="0"/>
        <w:autoSpaceDN w:val="0"/>
        <w:adjustRightInd w:val="0"/>
        <w:rPr>
          <w:rFonts w:cs="Arial"/>
          <w:lang w:eastAsia="ja-JP"/>
        </w:rPr>
      </w:pPr>
    </w:p>
    <w:p w:rsidR="005F33D9" w:rsidRDefault="005F33D9" w:rsidP="005F33D9">
      <w:pPr>
        <w:autoSpaceDE w:val="0"/>
        <w:autoSpaceDN w:val="0"/>
        <w:adjustRightInd w:val="0"/>
        <w:jc w:val="right"/>
        <w:rPr>
          <w:rFonts w:cs="Arial"/>
          <w:lang w:eastAsia="ja-JP"/>
        </w:rPr>
      </w:pPr>
      <w:r>
        <w:rPr>
          <w:rFonts w:cs="Arial" w:hint="eastAsia"/>
          <w:lang w:eastAsia="ja-JP"/>
        </w:rPr>
        <w:t>[Annex follow</w:t>
      </w:r>
      <w:r>
        <w:rPr>
          <w:rFonts w:cs="Arial"/>
          <w:lang w:eastAsia="ja-JP"/>
        </w:rPr>
        <w:t>s</w:t>
      </w:r>
      <w:r>
        <w:rPr>
          <w:rFonts w:cs="Arial" w:hint="eastAsia"/>
          <w:lang w:eastAsia="ja-JP"/>
        </w:rPr>
        <w:t>]</w:t>
      </w:r>
    </w:p>
    <w:p w:rsidR="005F33D9" w:rsidRDefault="005F33D9" w:rsidP="00DE486A">
      <w:pPr>
        <w:sectPr w:rsidR="005F33D9" w:rsidSect="00465A30">
          <w:headerReference w:type="default" r:id="rId9"/>
          <w:pgSz w:w="11907" w:h="16840" w:code="9"/>
          <w:pgMar w:top="510" w:right="1134" w:bottom="1134" w:left="1134" w:header="510" w:footer="680" w:gutter="0"/>
          <w:pgNumType w:start="1"/>
          <w:cols w:space="720"/>
          <w:titlePg/>
          <w:docGrid w:linePitch="272"/>
        </w:sectPr>
      </w:pPr>
    </w:p>
    <w:p w:rsidR="005F33D9" w:rsidRDefault="005F33D9">
      <w:pPr>
        <w:jc w:val="left"/>
      </w:pPr>
    </w:p>
    <w:p w:rsidR="00083922" w:rsidRDefault="00083922" w:rsidP="00083922">
      <w:pPr>
        <w:jc w:val="center"/>
      </w:pPr>
    </w:p>
    <w:p w:rsidR="005F33D9" w:rsidRDefault="005F33D9" w:rsidP="00083922">
      <w:pPr>
        <w:jc w:val="right"/>
      </w:pPr>
    </w:p>
    <w:p w:rsidR="005F33D9" w:rsidRPr="00D302CA" w:rsidRDefault="005F33D9" w:rsidP="005F33D9">
      <w:pPr>
        <w:jc w:val="center"/>
        <w:rPr>
          <w:rFonts w:cs="Arial"/>
          <w:i/>
        </w:rPr>
      </w:pPr>
      <w:r w:rsidRPr="00D302CA">
        <w:rPr>
          <w:rFonts w:cs="Arial"/>
          <w:i/>
        </w:rPr>
        <w:t xml:space="preserve">Please see the </w:t>
      </w:r>
      <w:r>
        <w:rPr>
          <w:rFonts w:cs="Arial"/>
          <w:i/>
        </w:rPr>
        <w:t>xls</w:t>
      </w:r>
      <w:r w:rsidRPr="00D302CA">
        <w:rPr>
          <w:rFonts w:cs="Arial"/>
          <w:i/>
        </w:rPr>
        <w:t xml:space="preserve"> version</w:t>
      </w:r>
    </w:p>
    <w:p w:rsidR="005F33D9" w:rsidRDefault="005F33D9" w:rsidP="00083922">
      <w:pPr>
        <w:jc w:val="right"/>
      </w:pPr>
    </w:p>
    <w:p w:rsidR="005F33D9" w:rsidRDefault="005F33D9" w:rsidP="00083922">
      <w:pPr>
        <w:jc w:val="right"/>
      </w:pPr>
    </w:p>
    <w:p w:rsidR="005F33D9" w:rsidRDefault="005F33D9" w:rsidP="00083922">
      <w:pPr>
        <w:jc w:val="right"/>
      </w:pPr>
    </w:p>
    <w:p w:rsidR="00DE486A" w:rsidRPr="00DE486A" w:rsidRDefault="00FE1DC1" w:rsidP="00083922">
      <w:pPr>
        <w:jc w:val="right"/>
      </w:pPr>
      <w:r>
        <w:t>[End</w:t>
      </w:r>
      <w:r w:rsidR="00083922">
        <w:t xml:space="preserve"> of </w:t>
      </w:r>
      <w:r w:rsidR="00DE486A">
        <w:t>document]</w:t>
      </w:r>
    </w:p>
    <w:sectPr w:rsidR="00DE486A" w:rsidRPr="00DE486A" w:rsidSect="005F33D9">
      <w:headerReference w:type="default" r:id="rId10"/>
      <w:pgSz w:w="11907" w:h="16840" w:code="9"/>
      <w:pgMar w:top="510" w:right="1134" w:bottom="1134" w:left="1134" w:header="510"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03" w:rsidRDefault="00553D03" w:rsidP="006655D3">
      <w:r>
        <w:separator/>
      </w:r>
    </w:p>
    <w:p w:rsidR="00553D03" w:rsidRDefault="00553D03" w:rsidP="006655D3"/>
    <w:p w:rsidR="00553D03" w:rsidRDefault="00553D03" w:rsidP="006655D3"/>
  </w:endnote>
  <w:endnote w:type="continuationSeparator" w:id="0">
    <w:p w:rsidR="00553D03" w:rsidRDefault="00553D03" w:rsidP="006655D3">
      <w:r>
        <w:separator/>
      </w:r>
    </w:p>
    <w:p w:rsidR="00553D03" w:rsidRPr="00294751" w:rsidRDefault="00553D03">
      <w:pPr>
        <w:pStyle w:val="Footer"/>
        <w:spacing w:after="60"/>
        <w:rPr>
          <w:sz w:val="18"/>
          <w:lang w:val="fr-FR"/>
        </w:rPr>
      </w:pPr>
      <w:r w:rsidRPr="00294751">
        <w:rPr>
          <w:sz w:val="18"/>
          <w:lang w:val="fr-FR"/>
        </w:rPr>
        <w:t>[Suite de la note de la page précédente]</w:t>
      </w:r>
    </w:p>
    <w:p w:rsidR="00553D03" w:rsidRPr="00294751" w:rsidRDefault="00553D03" w:rsidP="006655D3">
      <w:pPr>
        <w:rPr>
          <w:lang w:val="fr-FR"/>
        </w:rPr>
      </w:pPr>
    </w:p>
    <w:p w:rsidR="00553D03" w:rsidRPr="00294751" w:rsidRDefault="00553D03" w:rsidP="006655D3">
      <w:pPr>
        <w:rPr>
          <w:lang w:val="fr-FR"/>
        </w:rPr>
      </w:pPr>
    </w:p>
  </w:endnote>
  <w:endnote w:type="continuationNotice" w:id="1">
    <w:p w:rsidR="00553D03" w:rsidRPr="00294751" w:rsidRDefault="00553D03" w:rsidP="006655D3">
      <w:pPr>
        <w:rPr>
          <w:lang w:val="fr-FR"/>
        </w:rPr>
      </w:pPr>
      <w:r w:rsidRPr="00294751">
        <w:rPr>
          <w:lang w:val="fr-FR"/>
        </w:rPr>
        <w:t>[Suite de la note page suivante]</w:t>
      </w:r>
    </w:p>
    <w:p w:rsidR="00553D03" w:rsidRPr="00294751" w:rsidRDefault="00553D03" w:rsidP="006655D3">
      <w:pPr>
        <w:rPr>
          <w:lang w:val="fr-FR"/>
        </w:rPr>
      </w:pPr>
    </w:p>
    <w:p w:rsidR="00553D03" w:rsidRPr="00294751" w:rsidRDefault="00553D0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03" w:rsidRDefault="00553D03" w:rsidP="006655D3">
      <w:r>
        <w:separator/>
      </w:r>
    </w:p>
  </w:footnote>
  <w:footnote w:type="continuationSeparator" w:id="0">
    <w:p w:rsidR="00553D03" w:rsidRDefault="00553D03" w:rsidP="006655D3">
      <w:r>
        <w:separator/>
      </w:r>
    </w:p>
  </w:footnote>
  <w:footnote w:type="continuationNotice" w:id="1">
    <w:p w:rsidR="00553D03" w:rsidRPr="00AB530F" w:rsidRDefault="00553D0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30" w:rsidRPr="00C5280D" w:rsidRDefault="00465A30" w:rsidP="00465A30">
    <w:pPr>
      <w:pStyle w:val="Header"/>
      <w:rPr>
        <w:rStyle w:val="PageNumber"/>
        <w:lang w:val="en-US"/>
      </w:rPr>
    </w:pPr>
    <w:r>
      <w:rPr>
        <w:rStyle w:val="PageNumber"/>
        <w:lang w:val="en-US"/>
      </w:rPr>
      <w:t>TWF/49/11</w:t>
    </w:r>
  </w:p>
  <w:p w:rsidR="00553D03" w:rsidRDefault="00465A30" w:rsidP="00465A30">
    <w:pPr>
      <w:jc w:val="center"/>
    </w:pP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A0054">
      <w:rPr>
        <w:rStyle w:val="PageNumber"/>
        <w:noProof/>
      </w:rPr>
      <w:t>3</w:t>
    </w:r>
    <w:r w:rsidRPr="00C5280D">
      <w:rPr>
        <w:rStyle w:val="PageNumber"/>
      </w:rPr>
      <w:fldChar w:fldCharType="end"/>
    </w:r>
  </w:p>
  <w:p w:rsidR="005F33D9" w:rsidRPr="00C5280D" w:rsidRDefault="005F33D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A30" w:rsidRPr="00C5280D" w:rsidRDefault="00465A30" w:rsidP="00465A30">
    <w:pPr>
      <w:pStyle w:val="Header"/>
      <w:rPr>
        <w:rStyle w:val="PageNumber"/>
        <w:lang w:val="en-US"/>
      </w:rPr>
    </w:pPr>
    <w:r>
      <w:rPr>
        <w:rStyle w:val="PageNumber"/>
        <w:lang w:val="en-US"/>
      </w:rPr>
      <w:t>TWF/49/11</w:t>
    </w:r>
  </w:p>
  <w:p w:rsidR="00465A30" w:rsidRDefault="00465A30" w:rsidP="00465A30">
    <w:pPr>
      <w:jc w:val="center"/>
    </w:pPr>
  </w:p>
  <w:p w:rsidR="00465A30" w:rsidRPr="00C5280D" w:rsidRDefault="00465A30" w:rsidP="00465A30">
    <w:pPr>
      <w:jc w:val="center"/>
    </w:pPr>
    <w: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15:restartNumberingAfterBreak="0">
    <w:nsid w:val="3CFA04D4"/>
    <w:multiLevelType w:val="hybridMultilevel"/>
    <w:tmpl w:val="B8B0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15:restartNumberingAfterBreak="0">
    <w:nsid w:val="58864A5F"/>
    <w:multiLevelType w:val="hybridMultilevel"/>
    <w:tmpl w:val="D3E6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41D0D"/>
    <w:multiLevelType w:val="hybridMultilevel"/>
    <w:tmpl w:val="7C84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263"/>
    <w:rsid w:val="0000373B"/>
    <w:rsid w:val="00010CF3"/>
    <w:rsid w:val="00011E27"/>
    <w:rsid w:val="000148BC"/>
    <w:rsid w:val="000234DC"/>
    <w:rsid w:val="00024AB8"/>
    <w:rsid w:val="00030854"/>
    <w:rsid w:val="00034023"/>
    <w:rsid w:val="00036028"/>
    <w:rsid w:val="000442E7"/>
    <w:rsid w:val="00044642"/>
    <w:rsid w:val="000446B9"/>
    <w:rsid w:val="00047E21"/>
    <w:rsid w:val="00050E16"/>
    <w:rsid w:val="00083922"/>
    <w:rsid w:val="00085505"/>
    <w:rsid w:val="000A3275"/>
    <w:rsid w:val="000C4E25"/>
    <w:rsid w:val="000C7021"/>
    <w:rsid w:val="000C7EA8"/>
    <w:rsid w:val="000D6BBC"/>
    <w:rsid w:val="000D7780"/>
    <w:rsid w:val="000E636A"/>
    <w:rsid w:val="000F2F11"/>
    <w:rsid w:val="00100671"/>
    <w:rsid w:val="00101625"/>
    <w:rsid w:val="00105929"/>
    <w:rsid w:val="00106263"/>
    <w:rsid w:val="00110C36"/>
    <w:rsid w:val="001131D5"/>
    <w:rsid w:val="001132F2"/>
    <w:rsid w:val="001310A6"/>
    <w:rsid w:val="00141DB8"/>
    <w:rsid w:val="00172084"/>
    <w:rsid w:val="0017474A"/>
    <w:rsid w:val="001758C6"/>
    <w:rsid w:val="00182B99"/>
    <w:rsid w:val="001932FF"/>
    <w:rsid w:val="001D6303"/>
    <w:rsid w:val="001E0CFB"/>
    <w:rsid w:val="0020361A"/>
    <w:rsid w:val="00211733"/>
    <w:rsid w:val="0021332C"/>
    <w:rsid w:val="00213982"/>
    <w:rsid w:val="00232310"/>
    <w:rsid w:val="0024416D"/>
    <w:rsid w:val="00254278"/>
    <w:rsid w:val="00255922"/>
    <w:rsid w:val="002575E8"/>
    <w:rsid w:val="00271911"/>
    <w:rsid w:val="002800A0"/>
    <w:rsid w:val="002801B3"/>
    <w:rsid w:val="00280B3C"/>
    <w:rsid w:val="00281060"/>
    <w:rsid w:val="002846C3"/>
    <w:rsid w:val="002940E8"/>
    <w:rsid w:val="00294751"/>
    <w:rsid w:val="002A6E50"/>
    <w:rsid w:val="002B232A"/>
    <w:rsid w:val="002B4298"/>
    <w:rsid w:val="002C256A"/>
    <w:rsid w:val="002D6C8D"/>
    <w:rsid w:val="002F4DD4"/>
    <w:rsid w:val="00305A7F"/>
    <w:rsid w:val="00311D87"/>
    <w:rsid w:val="003152FE"/>
    <w:rsid w:val="00327436"/>
    <w:rsid w:val="00335389"/>
    <w:rsid w:val="00344BD6"/>
    <w:rsid w:val="00346626"/>
    <w:rsid w:val="0035528D"/>
    <w:rsid w:val="00361821"/>
    <w:rsid w:val="00361E9E"/>
    <w:rsid w:val="003C7FBE"/>
    <w:rsid w:val="003D227C"/>
    <w:rsid w:val="003D2B4D"/>
    <w:rsid w:val="00405AD5"/>
    <w:rsid w:val="00411750"/>
    <w:rsid w:val="00421189"/>
    <w:rsid w:val="0042669C"/>
    <w:rsid w:val="00441414"/>
    <w:rsid w:val="00444A88"/>
    <w:rsid w:val="004532FB"/>
    <w:rsid w:val="004610F9"/>
    <w:rsid w:val="00465A30"/>
    <w:rsid w:val="0046613D"/>
    <w:rsid w:val="00474CD9"/>
    <w:rsid w:val="00474DA4"/>
    <w:rsid w:val="00476B4D"/>
    <w:rsid w:val="004805FA"/>
    <w:rsid w:val="004935D2"/>
    <w:rsid w:val="0049744F"/>
    <w:rsid w:val="004A629E"/>
    <w:rsid w:val="004A6350"/>
    <w:rsid w:val="004B1215"/>
    <w:rsid w:val="004B2EEA"/>
    <w:rsid w:val="004C323F"/>
    <w:rsid w:val="004D047D"/>
    <w:rsid w:val="004D23CD"/>
    <w:rsid w:val="004F1E9E"/>
    <w:rsid w:val="004F305A"/>
    <w:rsid w:val="00511398"/>
    <w:rsid w:val="00512164"/>
    <w:rsid w:val="00514685"/>
    <w:rsid w:val="00520297"/>
    <w:rsid w:val="0053359D"/>
    <w:rsid w:val="005338F9"/>
    <w:rsid w:val="0054281C"/>
    <w:rsid w:val="00544581"/>
    <w:rsid w:val="0055268D"/>
    <w:rsid w:val="00553D03"/>
    <w:rsid w:val="005707DB"/>
    <w:rsid w:val="00574F28"/>
    <w:rsid w:val="0057529C"/>
    <w:rsid w:val="00575709"/>
    <w:rsid w:val="00576BE4"/>
    <w:rsid w:val="0059529E"/>
    <w:rsid w:val="005A0054"/>
    <w:rsid w:val="005A400A"/>
    <w:rsid w:val="005B0B14"/>
    <w:rsid w:val="005D2AAF"/>
    <w:rsid w:val="005F33D9"/>
    <w:rsid w:val="005F7B92"/>
    <w:rsid w:val="00612379"/>
    <w:rsid w:val="006153B6"/>
    <w:rsid w:val="0061555F"/>
    <w:rsid w:val="00621302"/>
    <w:rsid w:val="00636CA6"/>
    <w:rsid w:val="00641200"/>
    <w:rsid w:val="006425EE"/>
    <w:rsid w:val="006655D3"/>
    <w:rsid w:val="00667404"/>
    <w:rsid w:val="006720CE"/>
    <w:rsid w:val="006763B1"/>
    <w:rsid w:val="00687EB4"/>
    <w:rsid w:val="00695C56"/>
    <w:rsid w:val="006A5CDE"/>
    <w:rsid w:val="006A644A"/>
    <w:rsid w:val="006B17D2"/>
    <w:rsid w:val="006B7C75"/>
    <w:rsid w:val="006C1725"/>
    <w:rsid w:val="006C224E"/>
    <w:rsid w:val="006D780A"/>
    <w:rsid w:val="006F53F9"/>
    <w:rsid w:val="0071271E"/>
    <w:rsid w:val="00732A6C"/>
    <w:rsid w:val="00732DEC"/>
    <w:rsid w:val="00735BD5"/>
    <w:rsid w:val="00750AB5"/>
    <w:rsid w:val="00751613"/>
    <w:rsid w:val="007556F6"/>
    <w:rsid w:val="00760EEF"/>
    <w:rsid w:val="00775D1C"/>
    <w:rsid w:val="00777EE5"/>
    <w:rsid w:val="00784836"/>
    <w:rsid w:val="0079023E"/>
    <w:rsid w:val="00792AD8"/>
    <w:rsid w:val="0079555C"/>
    <w:rsid w:val="007A2854"/>
    <w:rsid w:val="007A3CE7"/>
    <w:rsid w:val="007C1D92"/>
    <w:rsid w:val="007C4CB9"/>
    <w:rsid w:val="007D0B9D"/>
    <w:rsid w:val="007D19B0"/>
    <w:rsid w:val="007E5AC4"/>
    <w:rsid w:val="007F498F"/>
    <w:rsid w:val="00805E12"/>
    <w:rsid w:val="0080679D"/>
    <w:rsid w:val="008108B0"/>
    <w:rsid w:val="00811B20"/>
    <w:rsid w:val="008211B5"/>
    <w:rsid w:val="0082296E"/>
    <w:rsid w:val="00824099"/>
    <w:rsid w:val="00846D7C"/>
    <w:rsid w:val="00850917"/>
    <w:rsid w:val="00860A1D"/>
    <w:rsid w:val="00867AC1"/>
    <w:rsid w:val="00870B32"/>
    <w:rsid w:val="00890DF8"/>
    <w:rsid w:val="00894175"/>
    <w:rsid w:val="008A743F"/>
    <w:rsid w:val="008C0970"/>
    <w:rsid w:val="008C0BD5"/>
    <w:rsid w:val="008D0BC5"/>
    <w:rsid w:val="008D2CF7"/>
    <w:rsid w:val="008D7EAC"/>
    <w:rsid w:val="008E3297"/>
    <w:rsid w:val="008E4A71"/>
    <w:rsid w:val="00900C26"/>
    <w:rsid w:val="0090197F"/>
    <w:rsid w:val="00906DDC"/>
    <w:rsid w:val="00923701"/>
    <w:rsid w:val="00934E09"/>
    <w:rsid w:val="0093506D"/>
    <w:rsid w:val="00936253"/>
    <w:rsid w:val="00940D46"/>
    <w:rsid w:val="00952DD4"/>
    <w:rsid w:val="00961363"/>
    <w:rsid w:val="00965AE7"/>
    <w:rsid w:val="00970FED"/>
    <w:rsid w:val="00992D82"/>
    <w:rsid w:val="00993F57"/>
    <w:rsid w:val="00997029"/>
    <w:rsid w:val="009A0430"/>
    <w:rsid w:val="009A7339"/>
    <w:rsid w:val="009B440E"/>
    <w:rsid w:val="009D690D"/>
    <w:rsid w:val="009E65B6"/>
    <w:rsid w:val="009F2C5F"/>
    <w:rsid w:val="00A24C10"/>
    <w:rsid w:val="00A35771"/>
    <w:rsid w:val="00A42AC3"/>
    <w:rsid w:val="00A430CF"/>
    <w:rsid w:val="00A43BC2"/>
    <w:rsid w:val="00A54309"/>
    <w:rsid w:val="00AB2B93"/>
    <w:rsid w:val="00AB530F"/>
    <w:rsid w:val="00AB7E5B"/>
    <w:rsid w:val="00AC2883"/>
    <w:rsid w:val="00AE0EF1"/>
    <w:rsid w:val="00AE2937"/>
    <w:rsid w:val="00B049C3"/>
    <w:rsid w:val="00B07301"/>
    <w:rsid w:val="00B11F3E"/>
    <w:rsid w:val="00B21927"/>
    <w:rsid w:val="00B224DE"/>
    <w:rsid w:val="00B2632F"/>
    <w:rsid w:val="00B324D4"/>
    <w:rsid w:val="00B35AD3"/>
    <w:rsid w:val="00B35C09"/>
    <w:rsid w:val="00B46575"/>
    <w:rsid w:val="00B527AD"/>
    <w:rsid w:val="00B61777"/>
    <w:rsid w:val="00B84BBD"/>
    <w:rsid w:val="00BA43FB"/>
    <w:rsid w:val="00BA5995"/>
    <w:rsid w:val="00BC127D"/>
    <w:rsid w:val="00BC1FE6"/>
    <w:rsid w:val="00C05461"/>
    <w:rsid w:val="00C061B6"/>
    <w:rsid w:val="00C2446C"/>
    <w:rsid w:val="00C26A6A"/>
    <w:rsid w:val="00C36AE5"/>
    <w:rsid w:val="00C41F17"/>
    <w:rsid w:val="00C527FA"/>
    <w:rsid w:val="00C5280D"/>
    <w:rsid w:val="00C53EB3"/>
    <w:rsid w:val="00C5791C"/>
    <w:rsid w:val="00C60AD9"/>
    <w:rsid w:val="00C66290"/>
    <w:rsid w:val="00C675D6"/>
    <w:rsid w:val="00C72B7A"/>
    <w:rsid w:val="00C973F2"/>
    <w:rsid w:val="00C97CFF"/>
    <w:rsid w:val="00CA304C"/>
    <w:rsid w:val="00CA774A"/>
    <w:rsid w:val="00CC11B0"/>
    <w:rsid w:val="00CC2841"/>
    <w:rsid w:val="00CF1330"/>
    <w:rsid w:val="00CF7E36"/>
    <w:rsid w:val="00D0635A"/>
    <w:rsid w:val="00D17043"/>
    <w:rsid w:val="00D3708D"/>
    <w:rsid w:val="00D40426"/>
    <w:rsid w:val="00D57C96"/>
    <w:rsid w:val="00D57D18"/>
    <w:rsid w:val="00D800AA"/>
    <w:rsid w:val="00D900EB"/>
    <w:rsid w:val="00D91203"/>
    <w:rsid w:val="00D95174"/>
    <w:rsid w:val="00DA1712"/>
    <w:rsid w:val="00DA4499"/>
    <w:rsid w:val="00DA4973"/>
    <w:rsid w:val="00DA6F36"/>
    <w:rsid w:val="00DB0574"/>
    <w:rsid w:val="00DB596E"/>
    <w:rsid w:val="00DB7773"/>
    <w:rsid w:val="00DC00EA"/>
    <w:rsid w:val="00DC3802"/>
    <w:rsid w:val="00DC6941"/>
    <w:rsid w:val="00DD6435"/>
    <w:rsid w:val="00DE486A"/>
    <w:rsid w:val="00DE58DD"/>
    <w:rsid w:val="00DF0F96"/>
    <w:rsid w:val="00DF15BC"/>
    <w:rsid w:val="00DF65F4"/>
    <w:rsid w:val="00E07D87"/>
    <w:rsid w:val="00E175F8"/>
    <w:rsid w:val="00E32F7E"/>
    <w:rsid w:val="00E5267B"/>
    <w:rsid w:val="00E54C43"/>
    <w:rsid w:val="00E6162E"/>
    <w:rsid w:val="00E70039"/>
    <w:rsid w:val="00E72492"/>
    <w:rsid w:val="00E72D49"/>
    <w:rsid w:val="00E7593C"/>
    <w:rsid w:val="00E7678A"/>
    <w:rsid w:val="00E871D6"/>
    <w:rsid w:val="00E935F1"/>
    <w:rsid w:val="00E94A81"/>
    <w:rsid w:val="00EA1FFB"/>
    <w:rsid w:val="00EA2A66"/>
    <w:rsid w:val="00EB048E"/>
    <w:rsid w:val="00EB1ECF"/>
    <w:rsid w:val="00EB4E9C"/>
    <w:rsid w:val="00EC481C"/>
    <w:rsid w:val="00ED31D8"/>
    <w:rsid w:val="00EE1AFA"/>
    <w:rsid w:val="00EE34DF"/>
    <w:rsid w:val="00EF2F89"/>
    <w:rsid w:val="00F03E98"/>
    <w:rsid w:val="00F1237A"/>
    <w:rsid w:val="00F22CBD"/>
    <w:rsid w:val="00F26EA8"/>
    <w:rsid w:val="00F272F1"/>
    <w:rsid w:val="00F27D3B"/>
    <w:rsid w:val="00F45372"/>
    <w:rsid w:val="00F560F7"/>
    <w:rsid w:val="00F6334D"/>
    <w:rsid w:val="00F87CF6"/>
    <w:rsid w:val="00FA49AB"/>
    <w:rsid w:val="00FC4EEE"/>
    <w:rsid w:val="00FD5D00"/>
    <w:rsid w:val="00FE1DC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4FA96CE"/>
  <w15:docId w15:val="{58EC5113-EB82-4B9D-9473-E6B363CB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rsid w:val="00511398"/>
    <w:rPr>
      <w:rFonts w:ascii="Arial" w:hAnsi="Arial"/>
      <w:lang w:val="fr-FR"/>
    </w:rPr>
  </w:style>
  <w:style w:type="paragraph" w:customStyle="1" w:styleId="Style1">
    <w:name w:val="Style1"/>
    <w:basedOn w:val="Normal"/>
    <w:rsid w:val="007A3CE7"/>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43771">
      <w:bodyDiv w:val="1"/>
      <w:marLeft w:val="0"/>
      <w:marRight w:val="0"/>
      <w:marTop w:val="0"/>
      <w:marBottom w:val="0"/>
      <w:divBdr>
        <w:top w:val="none" w:sz="0" w:space="0" w:color="auto"/>
        <w:left w:val="none" w:sz="0" w:space="0" w:color="auto"/>
        <w:bottom w:val="none" w:sz="0" w:space="0" w:color="auto"/>
        <w:right w:val="none" w:sz="0" w:space="0" w:color="auto"/>
      </w:divBdr>
    </w:div>
    <w:div w:id="1445148166">
      <w:bodyDiv w:val="1"/>
      <w:marLeft w:val="0"/>
      <w:marRight w:val="0"/>
      <w:marTop w:val="0"/>
      <w:marBottom w:val="0"/>
      <w:divBdr>
        <w:top w:val="none" w:sz="0" w:space="0" w:color="auto"/>
        <w:left w:val="none" w:sz="0" w:space="0" w:color="auto"/>
        <w:bottom w:val="none" w:sz="0" w:space="0" w:color="auto"/>
        <w:right w:val="none" w:sz="0" w:space="0" w:color="auto"/>
      </w:divBdr>
    </w:div>
    <w:div w:id="2099056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AC3CD-D665-4DBD-B3FA-5207A7DAD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5655</Characters>
  <Application>Microsoft Office Word</Application>
  <DocSecurity>0</DocSecurity>
  <Lines>209</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TWF/48/10</vt:lpstr>
      <vt:lpstr>TWV/51</vt:lpstr>
    </vt:vector>
  </TitlesOfParts>
  <Company>UPOV</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TWF/48</dc:title>
  <dc:creator>RIVOIRE Philippe Benjamin</dc:creator>
  <cp:lastModifiedBy>MAY Jessica</cp:lastModifiedBy>
  <cp:revision>11</cp:revision>
  <cp:lastPrinted>2018-11-13T13:22:00Z</cp:lastPrinted>
  <dcterms:created xsi:type="dcterms:W3CDTF">2018-11-13T13:30:00Z</dcterms:created>
  <dcterms:modified xsi:type="dcterms:W3CDTF">2018-11-15T15:28:00Z</dcterms:modified>
</cp:coreProperties>
</file>