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507C0F" w:rsidP="006655D3">
            <w:pPr>
              <w:pStyle w:val="LogoUPOV"/>
            </w:pPr>
            <w:r>
              <w:rPr>
                <w:noProof/>
                <w:lang w:val="es-ES_tradnl" w:eastAsia="es-ES_tradnl"/>
              </w:rPr>
              <w:drawing>
                <wp:inline distT="0" distB="0" distL="0" distR="0" wp14:anchorId="194A3DCC" wp14:editId="5031770D">
                  <wp:extent cx="962025" cy="453390"/>
                  <wp:effectExtent l="0" t="0" r="9525"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53390"/>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8843A4">
              <w:t>F</w:t>
            </w:r>
            <w:r>
              <w:t>/</w:t>
            </w:r>
            <w:r w:rsidR="008B63C5">
              <w:t>4</w:t>
            </w:r>
            <w:r w:rsidR="00FD3F07">
              <w:t>7</w:t>
            </w:r>
            <w:r w:rsidR="008B63C5">
              <w:t>/</w:t>
            </w:r>
            <w:r w:rsidR="004C0C16">
              <w:t>23</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0" w:name="Original"/>
            <w:bookmarkEnd w:id="0"/>
            <w:r w:rsidR="00876C58">
              <w:rPr>
                <w:rStyle w:val="StyleDocoriginalNotBold1"/>
                <w:spacing w:val="0"/>
              </w:rPr>
              <w:t xml:space="preserve"> </w:t>
            </w:r>
            <w:r w:rsidR="0024416D" w:rsidRPr="00B46575">
              <w:rPr>
                <w:b w:val="0"/>
                <w:spacing w:val="0"/>
              </w:rPr>
              <w:t>English</w:t>
            </w:r>
          </w:p>
          <w:p w:rsidR="000D7780" w:rsidRPr="00C5280D" w:rsidRDefault="000D7780" w:rsidP="00F51706">
            <w:pPr>
              <w:pStyle w:val="Docoriginal"/>
            </w:pPr>
            <w:r w:rsidRPr="00B46575">
              <w:rPr>
                <w:spacing w:val="0"/>
              </w:rPr>
              <w:t>DATE:</w:t>
            </w:r>
            <w:r w:rsidRPr="00B46575">
              <w:rPr>
                <w:rStyle w:val="StyleDocoriginalNotBold1"/>
                <w:spacing w:val="0"/>
              </w:rPr>
              <w:t xml:space="preserve"> </w:t>
            </w:r>
            <w:bookmarkStart w:id="1" w:name="Date"/>
            <w:bookmarkEnd w:id="1"/>
            <w:r w:rsidR="00876C58">
              <w:rPr>
                <w:rStyle w:val="StyleDocoriginalNotBold1"/>
                <w:spacing w:val="0"/>
              </w:rPr>
              <w:t xml:space="preserve"> </w:t>
            </w:r>
            <w:r w:rsidR="00E42C2C" w:rsidRPr="00F51706">
              <w:rPr>
                <w:rStyle w:val="StyleDocoriginalNotBold1"/>
                <w:spacing w:val="0"/>
              </w:rPr>
              <w:t xml:space="preserve">November </w:t>
            </w:r>
            <w:r w:rsidR="00F51706" w:rsidRPr="00F51706">
              <w:rPr>
                <w:rStyle w:val="StyleDocoriginalNotBold1"/>
                <w:spacing w:val="0"/>
              </w:rPr>
              <w:t>8</w:t>
            </w:r>
            <w:r w:rsidR="00FD3F07" w:rsidRPr="00F51706">
              <w:rPr>
                <w:rStyle w:val="StyleDocoriginalNotBold1"/>
                <w:spacing w:val="0"/>
              </w:rPr>
              <w:t>, 2016</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8843A4" w:rsidRPr="00C5280D" w:rsidRDefault="008843A4" w:rsidP="008843A4">
      <w:pPr>
        <w:pStyle w:val="Sessiontc"/>
      </w:pPr>
      <w:r w:rsidRPr="00C5280D">
        <w:t xml:space="preserve">Technical </w:t>
      </w:r>
      <w:r>
        <w:t>working party for fruit cropS</w:t>
      </w:r>
    </w:p>
    <w:p w:rsidR="00FD3F07" w:rsidRPr="00C5280D" w:rsidRDefault="00FD3F07" w:rsidP="00FD3F07">
      <w:pPr>
        <w:pStyle w:val="Sessiontcplacedate"/>
        <w:spacing w:line="480" w:lineRule="auto"/>
      </w:pPr>
      <w:bookmarkStart w:id="2" w:name="TitleOfDoc"/>
      <w:bookmarkEnd w:id="2"/>
      <w:r w:rsidRPr="00C5280D">
        <w:t>Forty-</w:t>
      </w:r>
      <w:r>
        <w:t xml:space="preserve">Seventh </w:t>
      </w:r>
      <w:r w:rsidRPr="00C5280D">
        <w:t>Session</w:t>
      </w:r>
      <w:r w:rsidRPr="00C5280D">
        <w:br/>
      </w:r>
      <w:r>
        <w:rPr>
          <w:rFonts w:cs="Arial"/>
        </w:rPr>
        <w:t>Angers</w:t>
      </w:r>
      <w:r w:rsidRPr="005923C6">
        <w:rPr>
          <w:rFonts w:cs="Arial"/>
        </w:rPr>
        <w:t xml:space="preserve">, </w:t>
      </w:r>
      <w:r>
        <w:rPr>
          <w:rFonts w:cs="Arial"/>
        </w:rPr>
        <w:t>France</w:t>
      </w:r>
      <w:r w:rsidRPr="00C5280D">
        <w:t>,</w:t>
      </w:r>
      <w:r>
        <w:t xml:space="preserve"> November 14 to 18, 2016</w:t>
      </w:r>
    </w:p>
    <w:p w:rsidR="00C3281C" w:rsidRDefault="00C3281C" w:rsidP="00A92E04">
      <w:pPr>
        <w:pStyle w:val="Titleofdoc0"/>
        <w:spacing w:before="0"/>
      </w:pPr>
    </w:p>
    <w:p w:rsidR="00C3281C" w:rsidRDefault="00C3281C" w:rsidP="00A92E04">
      <w:pPr>
        <w:pStyle w:val="Titleofdoc0"/>
        <w:spacing w:before="0"/>
      </w:pPr>
    </w:p>
    <w:p w:rsidR="000D7780" w:rsidRPr="00C5280D" w:rsidRDefault="003E4429" w:rsidP="00A92E04">
      <w:pPr>
        <w:pStyle w:val="Titleofdoc0"/>
        <w:spacing w:before="0"/>
      </w:pPr>
      <w:r w:rsidRPr="003E4429">
        <w:rPr>
          <w:rFonts w:cs="Arial"/>
        </w:rPr>
        <w:t xml:space="preserve">Calibration book for harmonized variety description in apple </w:t>
      </w:r>
    </w:p>
    <w:p w:rsidR="000D7780" w:rsidRPr="00C5280D" w:rsidRDefault="00AE0EF1" w:rsidP="006655D3">
      <w:pPr>
        <w:pStyle w:val="preparedby1"/>
      </w:pPr>
      <w:bookmarkStart w:id="3" w:name="Prepared"/>
      <w:bookmarkEnd w:id="3"/>
      <w:r w:rsidRPr="00AF7C7F">
        <w:t>Document</w:t>
      </w:r>
      <w:r w:rsidRPr="00C5280D">
        <w:t xml:space="preserve"> </w:t>
      </w:r>
      <w:r w:rsidR="0061555F" w:rsidRPr="00C5280D">
        <w:t xml:space="preserve">prepared by </w:t>
      </w:r>
      <w:r w:rsidR="003E4429" w:rsidRPr="003E4429">
        <w:t>the European Union</w:t>
      </w:r>
    </w:p>
    <w:p w:rsidR="00C912B4" w:rsidRPr="00590476" w:rsidRDefault="00C912B4" w:rsidP="00C912B4">
      <w:pPr>
        <w:pStyle w:val="Heading1"/>
        <w:rPr>
          <w:rFonts w:cs="Arial"/>
        </w:rPr>
      </w:pPr>
      <w:r>
        <w:rPr>
          <w:rFonts w:cs="Arial"/>
        </w:rPr>
        <w:t>BACKGROUND</w:t>
      </w:r>
    </w:p>
    <w:p w:rsidR="00B86D4C" w:rsidRPr="00590476" w:rsidRDefault="00B86D4C" w:rsidP="00B86D4C">
      <w:pPr>
        <w:pStyle w:val="Style1"/>
        <w:tabs>
          <w:tab w:val="clear" w:pos="907"/>
          <w:tab w:val="clear" w:pos="1077"/>
          <w:tab w:val="left" w:pos="630"/>
        </w:tabs>
        <w:rPr>
          <w:rFonts w:ascii="Arial" w:hAnsi="Arial" w:cs="Arial"/>
          <w:color w:val="000000"/>
          <w:sz w:val="18"/>
          <w:szCs w:val="18"/>
        </w:rPr>
      </w:pPr>
    </w:p>
    <w:p w:rsidR="003E4429" w:rsidRPr="003E4429" w:rsidRDefault="00C815DB" w:rsidP="003E4429">
      <w:pPr>
        <w:rPr>
          <w:rFonts w:cs="Arial"/>
          <w:szCs w:val="18"/>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Pr>
          <w:rFonts w:cs="Arial"/>
          <w:color w:val="000000"/>
        </w:rPr>
        <w:t>The Technical Working Party for Fruit crops (TWF), at its forty-</w:t>
      </w:r>
      <w:r w:rsidR="00C912B4">
        <w:rPr>
          <w:rFonts w:cs="Arial"/>
          <w:color w:val="000000"/>
        </w:rPr>
        <w:t>sixth</w:t>
      </w:r>
      <w:r>
        <w:rPr>
          <w:rFonts w:cs="Arial"/>
          <w:color w:val="000000"/>
        </w:rPr>
        <w:t xml:space="preserve"> session</w:t>
      </w:r>
      <w:r w:rsidRPr="00590476">
        <w:rPr>
          <w:rFonts w:cs="Arial"/>
          <w:szCs w:val="18"/>
        </w:rPr>
        <w:t xml:space="preserve"> </w:t>
      </w:r>
      <w:r w:rsidR="00B86D4C" w:rsidRPr="00590476">
        <w:rPr>
          <w:rFonts w:cs="Arial"/>
          <w:szCs w:val="18"/>
        </w:rPr>
        <w:t>in 201</w:t>
      </w:r>
      <w:r w:rsidR="00C912B4">
        <w:rPr>
          <w:rFonts w:cs="Arial"/>
          <w:szCs w:val="18"/>
        </w:rPr>
        <w:t xml:space="preserve">5, held </w:t>
      </w:r>
      <w:r w:rsidR="00C912B4" w:rsidRPr="00C912B4">
        <w:rPr>
          <w:rFonts w:cs="Arial"/>
          <w:szCs w:val="18"/>
        </w:rPr>
        <w:t>in Mpumalanga, South Africa, from August</w:t>
      </w:r>
      <w:r w:rsidR="003E4429">
        <w:rPr>
          <w:rFonts w:cs="Arial"/>
          <w:szCs w:val="18"/>
        </w:rPr>
        <w:t xml:space="preserve"> </w:t>
      </w:r>
      <w:r w:rsidR="00C912B4" w:rsidRPr="00C912B4">
        <w:rPr>
          <w:rFonts w:cs="Arial"/>
          <w:szCs w:val="18"/>
        </w:rPr>
        <w:t xml:space="preserve">24 to 28, </w:t>
      </w:r>
      <w:r w:rsidR="001B4C92" w:rsidRPr="00C912B4">
        <w:rPr>
          <w:rFonts w:cs="Arial"/>
          <w:szCs w:val="18"/>
        </w:rPr>
        <w:t>2015</w:t>
      </w:r>
      <w:r w:rsidR="001B4C92">
        <w:rPr>
          <w:rFonts w:cs="Arial"/>
          <w:szCs w:val="18"/>
        </w:rPr>
        <w:t>,</w:t>
      </w:r>
      <w:r w:rsidRPr="00C815DB">
        <w:rPr>
          <w:rFonts w:cs="Arial"/>
          <w:szCs w:val="18"/>
        </w:rPr>
        <w:t xml:space="preserve"> </w:t>
      </w:r>
      <w:r w:rsidRPr="00590476">
        <w:rPr>
          <w:rFonts w:cs="Arial"/>
          <w:szCs w:val="18"/>
        </w:rPr>
        <w:t>agreed</w:t>
      </w:r>
      <w:r w:rsidR="00C912B4">
        <w:rPr>
          <w:rFonts w:cs="Arial"/>
          <w:szCs w:val="18"/>
        </w:rPr>
        <w:t xml:space="preserve"> </w:t>
      </w:r>
      <w:r w:rsidR="003E4429" w:rsidRPr="003E4429">
        <w:rPr>
          <w:rFonts w:cs="Arial"/>
          <w:szCs w:val="18"/>
        </w:rPr>
        <w:t xml:space="preserve">that it would be useful to develop guidance on minimizing variation between authorities and agreed to study the possible development of a calibration book for the harmonization of variety descriptions. </w:t>
      </w:r>
    </w:p>
    <w:p w:rsidR="003E4429" w:rsidRPr="003E4429" w:rsidRDefault="003E4429" w:rsidP="003E4429">
      <w:pPr>
        <w:rPr>
          <w:rFonts w:cs="Arial"/>
          <w:szCs w:val="18"/>
        </w:rPr>
      </w:pPr>
    </w:p>
    <w:p w:rsidR="003E4429" w:rsidRPr="003E4429" w:rsidRDefault="003E4429" w:rsidP="003E4429">
      <w:pPr>
        <w:rPr>
          <w:rFonts w:cs="Arial"/>
          <w:szCs w:val="18"/>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Pr="003E4429">
        <w:rPr>
          <w:rFonts w:cs="Arial"/>
          <w:szCs w:val="18"/>
        </w:rPr>
        <w:t xml:space="preserve">The TWF agreed that Mr. Jean Maison (European Union) would coordinate the project and would search varieties that had been described by different UPOV members using the current version of the Test Guidelines for Apple.  </w:t>
      </w:r>
    </w:p>
    <w:p w:rsidR="003E4429" w:rsidRPr="003E4429" w:rsidRDefault="003E4429" w:rsidP="003E4429">
      <w:pPr>
        <w:rPr>
          <w:rFonts w:cs="Arial"/>
          <w:szCs w:val="18"/>
        </w:rPr>
      </w:pPr>
    </w:p>
    <w:p w:rsidR="001C543D" w:rsidRDefault="003E4429" w:rsidP="003E4429">
      <w:pPr>
        <w:rPr>
          <w:rFonts w:cs="Arial"/>
          <w:szCs w:val="18"/>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Pr="003E4429">
        <w:rPr>
          <w:rFonts w:cs="Arial"/>
          <w:szCs w:val="18"/>
        </w:rPr>
        <w:t xml:space="preserve">The TWF agreed that the different descriptions for the same varieties should be compared and the causes of variation identified (environment and/or observer).  The TWF agreed that participants to the development of the calibration book for harmonized variety descriptions in apple could meet by electronic means and provide information on developments </w:t>
      </w:r>
      <w:r>
        <w:rPr>
          <w:rFonts w:cs="Arial"/>
          <w:szCs w:val="18"/>
        </w:rPr>
        <w:t>to the TWF, at its next session</w:t>
      </w:r>
      <w:r w:rsidR="00C912B4">
        <w:rPr>
          <w:rFonts w:cs="Arial"/>
          <w:szCs w:val="18"/>
        </w:rPr>
        <w:t xml:space="preserve"> (</w:t>
      </w:r>
      <w:r w:rsidR="00C912B4" w:rsidRPr="00C912B4">
        <w:rPr>
          <w:rFonts w:cs="Arial"/>
          <w:szCs w:val="18"/>
        </w:rPr>
        <w:t>see document TW</w:t>
      </w:r>
      <w:r w:rsidR="00C912B4">
        <w:rPr>
          <w:rFonts w:cs="Arial"/>
          <w:szCs w:val="18"/>
        </w:rPr>
        <w:t>F</w:t>
      </w:r>
      <w:r w:rsidR="00C912B4" w:rsidRPr="00C912B4">
        <w:rPr>
          <w:rFonts w:cs="Arial"/>
          <w:szCs w:val="18"/>
        </w:rPr>
        <w:t>/4</w:t>
      </w:r>
      <w:r w:rsidR="00C912B4">
        <w:rPr>
          <w:rFonts w:cs="Arial"/>
          <w:szCs w:val="18"/>
        </w:rPr>
        <w:t>6</w:t>
      </w:r>
      <w:r w:rsidR="00C912B4" w:rsidRPr="00C912B4">
        <w:rPr>
          <w:rFonts w:cs="Arial"/>
          <w:szCs w:val="18"/>
        </w:rPr>
        <w:t>/</w:t>
      </w:r>
      <w:r w:rsidR="00C912B4">
        <w:rPr>
          <w:rFonts w:cs="Arial"/>
          <w:szCs w:val="18"/>
        </w:rPr>
        <w:t>29</w:t>
      </w:r>
      <w:r w:rsidR="00C912B4" w:rsidRPr="00C912B4">
        <w:rPr>
          <w:rFonts w:cs="Arial"/>
          <w:szCs w:val="18"/>
        </w:rPr>
        <w:t xml:space="preserve"> Rev.</w:t>
      </w:r>
      <w:r w:rsidR="00C912B4">
        <w:rPr>
          <w:rFonts w:cs="Arial"/>
          <w:szCs w:val="18"/>
        </w:rPr>
        <w:t xml:space="preserve"> “Revised Report”, paragraph</w:t>
      </w:r>
      <w:r>
        <w:rPr>
          <w:rFonts w:cs="Arial"/>
          <w:szCs w:val="18"/>
        </w:rPr>
        <w:t>s 91 to 93</w:t>
      </w:r>
      <w:r w:rsidR="00C912B4">
        <w:rPr>
          <w:rFonts w:cs="Arial"/>
          <w:szCs w:val="18"/>
        </w:rPr>
        <w:t>).</w:t>
      </w:r>
    </w:p>
    <w:p w:rsidR="00977F1F" w:rsidRDefault="00977F1F" w:rsidP="00977F1F">
      <w:pPr>
        <w:rPr>
          <w:rFonts w:cs="Arial"/>
          <w:szCs w:val="18"/>
        </w:rPr>
      </w:pPr>
    </w:p>
    <w:p w:rsidR="00C912B4" w:rsidRDefault="00FA7459" w:rsidP="00977F1F">
      <w:pPr>
        <w:rPr>
          <w:rFonts w:cs="Arial"/>
          <w:szCs w:val="18"/>
        </w:rPr>
      </w:pPr>
      <w:r>
        <w:rPr>
          <w:rFonts w:cs="Arial"/>
          <w:szCs w:val="18"/>
        </w:rPr>
        <w:t>PRO</w:t>
      </w:r>
      <w:r w:rsidR="00AC6151">
        <w:rPr>
          <w:rFonts w:cs="Arial"/>
          <w:szCs w:val="18"/>
        </w:rPr>
        <w:t>JECT</w:t>
      </w:r>
    </w:p>
    <w:p w:rsidR="00FA7459" w:rsidRDefault="00FA7459" w:rsidP="00977F1F">
      <w:pPr>
        <w:rPr>
          <w:rFonts w:cs="Arial"/>
          <w:szCs w:val="18"/>
        </w:rPr>
      </w:pPr>
    </w:p>
    <w:p w:rsidR="00AC6151" w:rsidRDefault="00FA7459" w:rsidP="00AC6151">
      <w:pPr>
        <w:rPr>
          <w:rFonts w:cs="Arial"/>
          <w:color w:val="000000"/>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00AC6151" w:rsidRPr="00AC6151">
        <w:rPr>
          <w:rFonts w:cs="Arial"/>
          <w:color w:val="000000"/>
        </w:rPr>
        <w:t>A first objective of this project was to identify apple varieties that have been described by several examination offices according to the latest version of the UPOV guideline for apples.</w:t>
      </w:r>
      <w:r w:rsidR="00AC6151">
        <w:rPr>
          <w:rFonts w:cs="Arial"/>
          <w:color w:val="000000"/>
        </w:rPr>
        <w:t xml:space="preserve"> </w:t>
      </w:r>
      <w:r w:rsidR="00AC6151" w:rsidRPr="00AC6151">
        <w:rPr>
          <w:rFonts w:cs="Arial"/>
          <w:color w:val="000000"/>
        </w:rPr>
        <w:t xml:space="preserve">The Community Plant Variety Office of the European Union (CPVO) first requested its 6 examination offices accredited for the DUS testing of apple fruit varieties in the EU to provide such a list. The limit identified for this exercise was that the same variety may be recorded under different names in various National lists. The CPVO came back to contributors with an aggregated list, asking whether there would not be varieties recorded in a different name in various countries, this was indeed the case. </w:t>
      </w:r>
    </w:p>
    <w:p w:rsidR="00AC6151" w:rsidRPr="00AC6151" w:rsidRDefault="00AC6151" w:rsidP="00AC6151">
      <w:pPr>
        <w:rPr>
          <w:rFonts w:cs="Arial"/>
          <w:color w:val="000000"/>
        </w:rPr>
      </w:pPr>
    </w:p>
    <w:p w:rsidR="00AC6151" w:rsidRDefault="00AC6151" w:rsidP="00AC6151">
      <w:pPr>
        <w:rPr>
          <w:rFonts w:cs="Arial"/>
          <w:color w:val="000000"/>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Pr="00AC6151">
        <w:rPr>
          <w:rFonts w:cs="Arial"/>
          <w:color w:val="000000"/>
        </w:rPr>
        <w:t>The purpose was then to identify a group of varieties for which participants could submit descriptions in order to compare them and study the differences. Natural candidates for this exercise would be the most frequently mentioned varieties in the above mentioned list. Nevertheless, it was considered that old varieties like ‘Golden Delicious’ may not be most appropriate for the exercise knowing the number of existing mutations of this variety. One cannot be sure that all examination offices have made their description on comparable material of the variety.</w:t>
      </w:r>
    </w:p>
    <w:p w:rsidR="00AC6151" w:rsidRPr="00AC6151" w:rsidRDefault="00AC6151" w:rsidP="00AC6151">
      <w:pPr>
        <w:rPr>
          <w:rFonts w:cs="Arial"/>
          <w:color w:val="000000"/>
        </w:rPr>
      </w:pPr>
    </w:p>
    <w:p w:rsidR="00AC6151" w:rsidRDefault="00AC6151" w:rsidP="00AC6151">
      <w:pPr>
        <w:rPr>
          <w:rFonts w:cs="Arial"/>
          <w:color w:val="000000"/>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Pr="00AC6151">
        <w:rPr>
          <w:rFonts w:cs="Arial"/>
          <w:color w:val="000000"/>
        </w:rPr>
        <w:t xml:space="preserve">Another point raised by the CPVO was that it may not be necessary to exchange and analyze the description of too many varieties. Still, it is important that each examination Office has a minimum number of descriptions shared with another examination office. </w:t>
      </w:r>
    </w:p>
    <w:p w:rsidR="00AC6151" w:rsidRDefault="00AC6151" w:rsidP="00AC6151">
      <w:pPr>
        <w:rPr>
          <w:rFonts w:cs="Arial"/>
          <w:color w:val="000000"/>
        </w:rPr>
      </w:pPr>
      <w:r w:rsidRPr="00EC0D4D">
        <w:rPr>
          <w:rFonts w:cs="Arial"/>
          <w:color w:val="000000"/>
        </w:rPr>
        <w:lastRenderedPageBreak/>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Pr="00AC6151">
        <w:rPr>
          <w:rFonts w:cs="Arial"/>
          <w:color w:val="000000"/>
        </w:rPr>
        <w:t>On the basis of the list of varieties identified as being described by several countries in the EU, the situation of these varieties in non EU countries was considered with the help of data made available in the PLUTO/Variety Finder databases. The Office made an extract from the Variety Finder containing apple varieties registered in non EU countries with an application date as from 2006 and a registration date as from 2010. Those varieties have most likely been described according to the latest version of the guideline. This does not exclude that others may have been (re)described as well according to the latest version of the guidelines.</w:t>
      </w:r>
    </w:p>
    <w:p w:rsidR="00AC6151" w:rsidRPr="00AC6151" w:rsidRDefault="00AC6151" w:rsidP="00AC6151">
      <w:pPr>
        <w:rPr>
          <w:rFonts w:cs="Arial"/>
          <w:color w:val="000000"/>
        </w:rPr>
      </w:pPr>
    </w:p>
    <w:p w:rsidR="00AC6151" w:rsidRPr="00AC6151" w:rsidRDefault="00AC6151" w:rsidP="00AC6151">
      <w:pPr>
        <w:rPr>
          <w:rFonts w:cs="Arial"/>
          <w:color w:val="000000"/>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Pr="00AC6151">
        <w:rPr>
          <w:rFonts w:cs="Arial"/>
          <w:color w:val="000000"/>
        </w:rPr>
        <w:t>EU fruit experts commented that for some varieties, they could provide descriptions with only one year of observation or descriptions not emanating from official procedures. They recommended choosing relatively recent common varieties, avoiding that variation that may have arisen in maintenance breeding.</w:t>
      </w:r>
    </w:p>
    <w:p w:rsidR="00AC6151" w:rsidRDefault="00AC6151" w:rsidP="00AC6151">
      <w:pPr>
        <w:rPr>
          <w:rFonts w:cs="Arial"/>
          <w:color w:val="000000"/>
        </w:rPr>
      </w:pPr>
    </w:p>
    <w:p w:rsidR="00AC6151" w:rsidRPr="00AC6151" w:rsidRDefault="00AC6151" w:rsidP="00AC6151">
      <w:pPr>
        <w:rPr>
          <w:rFonts w:cs="Arial"/>
          <w:color w:val="000000"/>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Pr="00AC6151">
        <w:rPr>
          <w:rFonts w:cs="Arial"/>
          <w:color w:val="000000"/>
        </w:rPr>
        <w:t>From the table mentioned above, the Office proposed to select varieties for which descriptions could be exchanged among the following list:</w:t>
      </w:r>
    </w:p>
    <w:tbl>
      <w:tblPr>
        <w:tblW w:w="8800" w:type="dxa"/>
        <w:jc w:val="center"/>
        <w:tblInd w:w="93" w:type="dxa"/>
        <w:tblLook w:val="04A0" w:firstRow="1" w:lastRow="0" w:firstColumn="1" w:lastColumn="0" w:noHBand="0" w:noVBand="1"/>
      </w:tblPr>
      <w:tblGrid>
        <w:gridCol w:w="1600"/>
        <w:gridCol w:w="590"/>
        <w:gridCol w:w="627"/>
        <w:gridCol w:w="573"/>
        <w:gridCol w:w="583"/>
        <w:gridCol w:w="667"/>
        <w:gridCol w:w="560"/>
        <w:gridCol w:w="651"/>
        <w:gridCol w:w="475"/>
        <w:gridCol w:w="608"/>
        <w:gridCol w:w="638"/>
        <w:gridCol w:w="628"/>
        <w:gridCol w:w="600"/>
      </w:tblGrid>
      <w:tr w:rsidR="00AC6151" w:rsidRPr="00AC6151" w:rsidTr="00206B1F">
        <w:trPr>
          <w:trHeight w:val="450"/>
          <w:jc w:val="center"/>
        </w:trPr>
        <w:tc>
          <w:tcPr>
            <w:tcW w:w="1600" w:type="dxa"/>
            <w:tcBorders>
              <w:top w:val="nil"/>
              <w:left w:val="nil"/>
              <w:bottom w:val="nil"/>
              <w:right w:val="nil"/>
            </w:tcBorders>
            <w:shd w:val="clear" w:color="auto" w:fill="auto"/>
            <w:noWrap/>
            <w:vAlign w:val="bottom"/>
            <w:hideMark/>
          </w:tcPr>
          <w:p w:rsidR="00AC6151" w:rsidRPr="00AC6151" w:rsidRDefault="00AC6151" w:rsidP="00AC6151">
            <w:pPr>
              <w:rPr>
                <w:rFonts w:cs="Arial"/>
                <w:color w:val="000000"/>
              </w:rPr>
            </w:pPr>
          </w:p>
        </w:tc>
        <w:tc>
          <w:tcPr>
            <w:tcW w:w="3600" w:type="dxa"/>
            <w:gridSpan w:val="6"/>
            <w:tcBorders>
              <w:top w:val="single" w:sz="8" w:space="0" w:color="auto"/>
              <w:left w:val="single" w:sz="8" w:space="0" w:color="auto"/>
              <w:bottom w:val="nil"/>
              <w:right w:val="single" w:sz="8" w:space="0" w:color="000000"/>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EU countries</w:t>
            </w:r>
          </w:p>
        </w:tc>
        <w:tc>
          <w:tcPr>
            <w:tcW w:w="300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Non EU countries, only those regularly attending TWF</w:t>
            </w:r>
          </w:p>
        </w:tc>
        <w:tc>
          <w:tcPr>
            <w:tcW w:w="600" w:type="dxa"/>
            <w:tcBorders>
              <w:top w:val="nil"/>
              <w:left w:val="nil"/>
              <w:bottom w:val="nil"/>
              <w:right w:val="nil"/>
            </w:tcBorders>
            <w:shd w:val="clear" w:color="auto" w:fill="auto"/>
            <w:noWrap/>
            <w:vAlign w:val="bottom"/>
            <w:hideMark/>
          </w:tcPr>
          <w:p w:rsidR="00AC6151" w:rsidRPr="00AC6151" w:rsidRDefault="00AC6151" w:rsidP="00AC6151">
            <w:pPr>
              <w:rPr>
                <w:rFonts w:cs="Arial"/>
                <w:color w:val="000000"/>
              </w:rPr>
            </w:pPr>
          </w:p>
        </w:tc>
      </w:tr>
      <w:tr w:rsidR="00AC6151" w:rsidRPr="00AC6151" w:rsidTr="00206B1F">
        <w:trPr>
          <w:trHeight w:val="315"/>
          <w:jc w:val="center"/>
        </w:trPr>
        <w:tc>
          <w:tcPr>
            <w:tcW w:w="1600" w:type="dxa"/>
            <w:tcBorders>
              <w:top w:val="nil"/>
              <w:left w:val="nil"/>
              <w:bottom w:val="nil"/>
              <w:right w:val="nil"/>
            </w:tcBorders>
            <w:shd w:val="clear" w:color="auto" w:fill="auto"/>
            <w:noWrap/>
            <w:vAlign w:val="bottom"/>
            <w:hideMark/>
          </w:tcPr>
          <w:p w:rsidR="00AC6151" w:rsidRPr="00AC6151" w:rsidRDefault="00AC6151" w:rsidP="00AC6151">
            <w:pPr>
              <w:rPr>
                <w:rFonts w:cs="Arial"/>
                <w:color w:val="000000"/>
              </w:rPr>
            </w:pPr>
          </w:p>
        </w:tc>
        <w:tc>
          <w:tcPr>
            <w:tcW w:w="590" w:type="dxa"/>
            <w:tcBorders>
              <w:top w:val="nil"/>
              <w:left w:val="single" w:sz="8" w:space="0" w:color="auto"/>
              <w:bottom w:val="nil"/>
              <w:right w:val="nil"/>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CZ</w:t>
            </w:r>
          </w:p>
        </w:tc>
        <w:tc>
          <w:tcPr>
            <w:tcW w:w="627" w:type="dxa"/>
            <w:tcBorders>
              <w:top w:val="nil"/>
              <w:left w:val="nil"/>
              <w:bottom w:val="nil"/>
              <w:right w:val="nil"/>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DE</w:t>
            </w:r>
          </w:p>
        </w:tc>
        <w:tc>
          <w:tcPr>
            <w:tcW w:w="573" w:type="dxa"/>
            <w:tcBorders>
              <w:top w:val="nil"/>
              <w:left w:val="nil"/>
              <w:bottom w:val="nil"/>
              <w:right w:val="nil"/>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ES</w:t>
            </w:r>
          </w:p>
        </w:tc>
        <w:tc>
          <w:tcPr>
            <w:tcW w:w="583" w:type="dxa"/>
            <w:tcBorders>
              <w:top w:val="nil"/>
              <w:left w:val="nil"/>
              <w:bottom w:val="nil"/>
              <w:right w:val="nil"/>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FR</w:t>
            </w:r>
          </w:p>
        </w:tc>
        <w:tc>
          <w:tcPr>
            <w:tcW w:w="667" w:type="dxa"/>
            <w:tcBorders>
              <w:top w:val="nil"/>
              <w:left w:val="nil"/>
              <w:bottom w:val="nil"/>
              <w:right w:val="nil"/>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HU</w:t>
            </w:r>
          </w:p>
        </w:tc>
        <w:tc>
          <w:tcPr>
            <w:tcW w:w="560" w:type="dxa"/>
            <w:tcBorders>
              <w:top w:val="nil"/>
              <w:left w:val="nil"/>
              <w:bottom w:val="nil"/>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PL</w:t>
            </w:r>
          </w:p>
        </w:tc>
        <w:tc>
          <w:tcPr>
            <w:tcW w:w="651" w:type="dxa"/>
            <w:tcBorders>
              <w:top w:val="nil"/>
              <w:left w:val="nil"/>
              <w:bottom w:val="nil"/>
              <w:right w:val="nil"/>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AU</w:t>
            </w:r>
          </w:p>
        </w:tc>
        <w:tc>
          <w:tcPr>
            <w:tcW w:w="475" w:type="dxa"/>
            <w:tcBorders>
              <w:top w:val="nil"/>
              <w:left w:val="nil"/>
              <w:bottom w:val="nil"/>
              <w:right w:val="nil"/>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IL</w:t>
            </w:r>
          </w:p>
        </w:tc>
        <w:tc>
          <w:tcPr>
            <w:tcW w:w="608" w:type="dxa"/>
            <w:tcBorders>
              <w:top w:val="nil"/>
              <w:left w:val="nil"/>
              <w:bottom w:val="nil"/>
              <w:right w:val="nil"/>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ZA</w:t>
            </w:r>
          </w:p>
        </w:tc>
        <w:tc>
          <w:tcPr>
            <w:tcW w:w="638" w:type="dxa"/>
            <w:tcBorders>
              <w:top w:val="nil"/>
              <w:left w:val="nil"/>
              <w:bottom w:val="nil"/>
              <w:right w:val="nil"/>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NZ</w:t>
            </w:r>
          </w:p>
        </w:tc>
        <w:tc>
          <w:tcPr>
            <w:tcW w:w="628" w:type="dxa"/>
            <w:tcBorders>
              <w:top w:val="nil"/>
              <w:left w:val="nil"/>
              <w:bottom w:val="nil"/>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CA</w:t>
            </w:r>
          </w:p>
        </w:tc>
        <w:tc>
          <w:tcPr>
            <w:tcW w:w="600" w:type="dxa"/>
            <w:tcBorders>
              <w:top w:val="nil"/>
              <w:left w:val="nil"/>
              <w:bottom w:val="nil"/>
              <w:right w:val="nil"/>
            </w:tcBorders>
            <w:shd w:val="clear" w:color="auto" w:fill="auto"/>
            <w:noWrap/>
            <w:vAlign w:val="bottom"/>
            <w:hideMark/>
          </w:tcPr>
          <w:p w:rsidR="00AC6151" w:rsidRPr="00AC6151" w:rsidRDefault="00AC6151" w:rsidP="00AC6151">
            <w:pPr>
              <w:rPr>
                <w:rFonts w:cs="Arial"/>
                <w:color w:val="000000"/>
              </w:rPr>
            </w:pPr>
          </w:p>
        </w:tc>
      </w:tr>
      <w:tr w:rsidR="00AC6151" w:rsidRPr="00AC6151" w:rsidTr="00206B1F">
        <w:trPr>
          <w:trHeight w:val="300"/>
          <w:jc w:val="center"/>
        </w:trPr>
        <w:tc>
          <w:tcPr>
            <w:tcW w:w="1600" w:type="dxa"/>
            <w:tcBorders>
              <w:top w:val="single" w:sz="8" w:space="0" w:color="auto"/>
              <w:left w:val="single" w:sz="8" w:space="0" w:color="auto"/>
              <w:bottom w:val="single" w:sz="4" w:space="0" w:color="auto"/>
              <w:right w:val="nil"/>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w:t>
            </w:r>
            <w:proofErr w:type="spellStart"/>
            <w:r w:rsidRPr="00AC6151">
              <w:rPr>
                <w:rFonts w:cs="Arial"/>
                <w:color w:val="000000"/>
                <w:highlight w:val="green"/>
              </w:rPr>
              <w:t>Rafzubin</w:t>
            </w:r>
            <w:proofErr w:type="spellEnd"/>
            <w:r w:rsidRPr="00AC6151">
              <w:rPr>
                <w:rFonts w:cs="Arial"/>
                <w:color w:val="000000"/>
                <w:highlight w:val="green"/>
              </w:rPr>
              <w:t>’</w:t>
            </w:r>
          </w:p>
        </w:tc>
        <w:tc>
          <w:tcPr>
            <w:tcW w:w="59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27" w:type="dxa"/>
            <w:tcBorders>
              <w:top w:val="single" w:sz="8" w:space="0" w:color="auto"/>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573" w:type="dxa"/>
            <w:tcBorders>
              <w:top w:val="single" w:sz="8" w:space="0" w:color="auto"/>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583" w:type="dxa"/>
            <w:tcBorders>
              <w:top w:val="single" w:sz="8" w:space="0" w:color="auto"/>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67" w:type="dxa"/>
            <w:tcBorders>
              <w:top w:val="single" w:sz="8" w:space="0" w:color="auto"/>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560" w:type="dxa"/>
            <w:tcBorders>
              <w:top w:val="single" w:sz="8" w:space="0" w:color="auto"/>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51" w:type="dxa"/>
            <w:tcBorders>
              <w:top w:val="single" w:sz="8" w:space="0" w:color="auto"/>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475" w:type="dxa"/>
            <w:tcBorders>
              <w:top w:val="single" w:sz="8" w:space="0" w:color="auto"/>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08" w:type="dxa"/>
            <w:tcBorders>
              <w:top w:val="single" w:sz="8" w:space="0" w:color="auto"/>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38" w:type="dxa"/>
            <w:tcBorders>
              <w:top w:val="single" w:sz="8" w:space="0" w:color="auto"/>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28" w:type="dxa"/>
            <w:tcBorders>
              <w:top w:val="single" w:sz="8" w:space="0" w:color="auto"/>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600" w:type="dxa"/>
            <w:tcBorders>
              <w:top w:val="single" w:sz="8" w:space="0" w:color="auto"/>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9</w:t>
            </w:r>
          </w:p>
        </w:tc>
      </w:tr>
      <w:tr w:rsidR="00AC6151" w:rsidRPr="00AC6151" w:rsidTr="00206B1F">
        <w:trPr>
          <w:trHeight w:val="300"/>
          <w:jc w:val="center"/>
        </w:trPr>
        <w:tc>
          <w:tcPr>
            <w:tcW w:w="1600" w:type="dxa"/>
            <w:tcBorders>
              <w:top w:val="nil"/>
              <w:left w:val="single" w:sz="8" w:space="0" w:color="auto"/>
              <w:bottom w:val="single" w:sz="4" w:space="0" w:color="auto"/>
              <w:right w:val="nil"/>
            </w:tcBorders>
            <w:shd w:val="clear" w:color="auto" w:fill="auto"/>
            <w:noWrap/>
            <w:vAlign w:val="bottom"/>
            <w:hideMark/>
          </w:tcPr>
          <w:p w:rsidR="00AC6151" w:rsidRPr="00AC6151" w:rsidRDefault="00AC6151" w:rsidP="00AC6151">
            <w:pPr>
              <w:rPr>
                <w:rFonts w:cs="Arial"/>
                <w:color w:val="000000"/>
                <w:highlight w:val="yellow"/>
              </w:rPr>
            </w:pPr>
            <w:r w:rsidRPr="00AC6151">
              <w:rPr>
                <w:rFonts w:cs="Arial"/>
                <w:color w:val="000000"/>
                <w:highlight w:val="yellow"/>
              </w:rPr>
              <w:t>‘Excel’</w:t>
            </w:r>
          </w:p>
        </w:tc>
        <w:tc>
          <w:tcPr>
            <w:tcW w:w="590" w:type="dxa"/>
            <w:tcBorders>
              <w:top w:val="nil"/>
              <w:left w:val="single" w:sz="8" w:space="0" w:color="auto"/>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27"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573"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583"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667"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560"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51"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475"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608"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638"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628"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00"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5</w:t>
            </w:r>
          </w:p>
        </w:tc>
      </w:tr>
      <w:tr w:rsidR="00AC6151" w:rsidRPr="00AC6151" w:rsidTr="00206B1F">
        <w:trPr>
          <w:trHeight w:val="300"/>
          <w:jc w:val="center"/>
        </w:trPr>
        <w:tc>
          <w:tcPr>
            <w:tcW w:w="1600" w:type="dxa"/>
            <w:tcBorders>
              <w:top w:val="nil"/>
              <w:left w:val="single" w:sz="8" w:space="0" w:color="auto"/>
              <w:bottom w:val="single" w:sz="4" w:space="0" w:color="auto"/>
              <w:right w:val="nil"/>
            </w:tcBorders>
            <w:shd w:val="clear" w:color="auto" w:fill="auto"/>
            <w:noWrap/>
            <w:vAlign w:val="bottom"/>
            <w:hideMark/>
          </w:tcPr>
          <w:p w:rsidR="00AC6151" w:rsidRPr="00AC6151" w:rsidRDefault="00AC6151" w:rsidP="00AC6151">
            <w:pPr>
              <w:rPr>
                <w:rFonts w:cs="Arial"/>
                <w:color w:val="000000"/>
                <w:highlight w:val="yellow"/>
              </w:rPr>
            </w:pPr>
            <w:r w:rsidRPr="00AC6151">
              <w:rPr>
                <w:rFonts w:cs="Arial"/>
                <w:color w:val="000000"/>
                <w:highlight w:val="yellow"/>
              </w:rPr>
              <w:t>‘</w:t>
            </w:r>
            <w:proofErr w:type="spellStart"/>
            <w:r w:rsidRPr="00AC6151">
              <w:rPr>
                <w:rFonts w:cs="Arial"/>
                <w:color w:val="000000"/>
                <w:highlight w:val="yellow"/>
              </w:rPr>
              <w:t>Jonagored</w:t>
            </w:r>
            <w:proofErr w:type="spellEnd"/>
          </w:p>
        </w:tc>
        <w:tc>
          <w:tcPr>
            <w:tcW w:w="590" w:type="dxa"/>
            <w:tcBorders>
              <w:top w:val="nil"/>
              <w:left w:val="single" w:sz="8" w:space="0" w:color="auto"/>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27"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573"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583"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667"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560"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51"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475"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08"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38"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28"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00"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9</w:t>
            </w:r>
          </w:p>
        </w:tc>
      </w:tr>
      <w:tr w:rsidR="00AC6151" w:rsidRPr="00AC6151" w:rsidTr="00206B1F">
        <w:trPr>
          <w:trHeight w:val="300"/>
          <w:jc w:val="center"/>
        </w:trPr>
        <w:tc>
          <w:tcPr>
            <w:tcW w:w="1600" w:type="dxa"/>
            <w:tcBorders>
              <w:top w:val="nil"/>
              <w:left w:val="single" w:sz="8" w:space="0" w:color="auto"/>
              <w:bottom w:val="single" w:sz="4" w:space="0" w:color="auto"/>
              <w:right w:val="nil"/>
            </w:tcBorders>
            <w:shd w:val="clear" w:color="auto" w:fill="auto"/>
            <w:noWrap/>
            <w:vAlign w:val="bottom"/>
            <w:hideMark/>
          </w:tcPr>
          <w:p w:rsidR="00AC6151" w:rsidRPr="00AC6151" w:rsidRDefault="00AC6151" w:rsidP="00AC6151">
            <w:pPr>
              <w:rPr>
                <w:rFonts w:cs="Arial"/>
                <w:color w:val="000000"/>
                <w:highlight w:val="yellow"/>
              </w:rPr>
            </w:pPr>
            <w:r w:rsidRPr="00AC6151">
              <w:rPr>
                <w:rFonts w:cs="Arial"/>
                <w:color w:val="000000"/>
                <w:highlight w:val="yellow"/>
              </w:rPr>
              <w:t>‘</w:t>
            </w:r>
            <w:proofErr w:type="spellStart"/>
            <w:r w:rsidRPr="00AC6151">
              <w:rPr>
                <w:rFonts w:cs="Arial"/>
                <w:color w:val="000000"/>
                <w:highlight w:val="yellow"/>
              </w:rPr>
              <w:t>Jonagored</w:t>
            </w:r>
            <w:proofErr w:type="spellEnd"/>
            <w:r w:rsidRPr="00AC6151">
              <w:rPr>
                <w:rFonts w:cs="Arial"/>
                <w:color w:val="000000"/>
                <w:highlight w:val="yellow"/>
              </w:rPr>
              <w:t xml:space="preserve"> Supra’</w:t>
            </w:r>
          </w:p>
        </w:tc>
        <w:tc>
          <w:tcPr>
            <w:tcW w:w="590" w:type="dxa"/>
            <w:tcBorders>
              <w:top w:val="nil"/>
              <w:left w:val="single" w:sz="8" w:space="0" w:color="auto"/>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27"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573"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583"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667"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560"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51"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475"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608"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638"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628"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00"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5</w:t>
            </w:r>
          </w:p>
        </w:tc>
      </w:tr>
      <w:tr w:rsidR="00AC6151" w:rsidRPr="00AC6151" w:rsidTr="00206B1F">
        <w:trPr>
          <w:trHeight w:val="300"/>
          <w:jc w:val="center"/>
        </w:trPr>
        <w:tc>
          <w:tcPr>
            <w:tcW w:w="1600" w:type="dxa"/>
            <w:tcBorders>
              <w:top w:val="nil"/>
              <w:left w:val="single" w:sz="8" w:space="0" w:color="auto"/>
              <w:bottom w:val="single" w:sz="4" w:space="0" w:color="auto"/>
              <w:right w:val="nil"/>
            </w:tcBorders>
            <w:shd w:val="clear" w:color="auto" w:fill="auto"/>
            <w:noWrap/>
            <w:vAlign w:val="bottom"/>
            <w:hideMark/>
          </w:tcPr>
          <w:p w:rsidR="00AC6151" w:rsidRPr="00AC6151" w:rsidRDefault="00AC6151" w:rsidP="00AC6151">
            <w:pPr>
              <w:rPr>
                <w:rFonts w:cs="Arial"/>
                <w:color w:val="000000"/>
              </w:rPr>
            </w:pPr>
            <w:r w:rsidRPr="00AC6151">
              <w:rPr>
                <w:rFonts w:cs="Arial"/>
                <w:color w:val="000000"/>
                <w:highlight w:val="green"/>
              </w:rPr>
              <w:t>‘Cripps Pink’</w:t>
            </w:r>
          </w:p>
        </w:tc>
        <w:tc>
          <w:tcPr>
            <w:tcW w:w="590" w:type="dxa"/>
            <w:tcBorders>
              <w:top w:val="nil"/>
              <w:left w:val="single" w:sz="8" w:space="0" w:color="auto"/>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27"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573"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583"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667"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560"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51"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475"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608"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38"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28"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600"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5</w:t>
            </w:r>
          </w:p>
        </w:tc>
      </w:tr>
      <w:tr w:rsidR="00AC6151" w:rsidRPr="00AC6151" w:rsidTr="00206B1F">
        <w:trPr>
          <w:trHeight w:val="300"/>
          <w:jc w:val="center"/>
        </w:trPr>
        <w:tc>
          <w:tcPr>
            <w:tcW w:w="1600" w:type="dxa"/>
            <w:tcBorders>
              <w:top w:val="nil"/>
              <w:left w:val="single" w:sz="8" w:space="0" w:color="auto"/>
              <w:bottom w:val="single" w:sz="4" w:space="0" w:color="auto"/>
              <w:right w:val="nil"/>
            </w:tcBorders>
            <w:shd w:val="clear" w:color="auto" w:fill="auto"/>
            <w:noWrap/>
            <w:vAlign w:val="bottom"/>
            <w:hideMark/>
          </w:tcPr>
          <w:p w:rsidR="00AC6151" w:rsidRPr="00AC6151" w:rsidRDefault="00AC6151" w:rsidP="00AC6151">
            <w:pPr>
              <w:rPr>
                <w:rFonts w:cs="Arial"/>
                <w:color w:val="000000"/>
              </w:rPr>
            </w:pPr>
            <w:r w:rsidRPr="00AC6151">
              <w:rPr>
                <w:rFonts w:cs="Arial"/>
                <w:color w:val="000000"/>
                <w:highlight w:val="green"/>
              </w:rPr>
              <w:t xml:space="preserve">‘Red </w:t>
            </w:r>
            <w:proofErr w:type="spellStart"/>
            <w:r w:rsidRPr="00AC6151">
              <w:rPr>
                <w:rFonts w:cs="Arial"/>
                <w:color w:val="000000"/>
                <w:highlight w:val="green"/>
              </w:rPr>
              <w:t>Jonaprince</w:t>
            </w:r>
            <w:proofErr w:type="spellEnd"/>
            <w:r w:rsidRPr="00AC6151">
              <w:rPr>
                <w:rFonts w:cs="Arial"/>
                <w:color w:val="000000"/>
                <w:highlight w:val="green"/>
              </w:rPr>
              <w:t>'</w:t>
            </w:r>
            <w:r w:rsidRPr="00AC6151">
              <w:rPr>
                <w:rFonts w:cs="Arial"/>
                <w:color w:val="000000"/>
              </w:rPr>
              <w:t> </w:t>
            </w:r>
          </w:p>
        </w:tc>
        <w:tc>
          <w:tcPr>
            <w:tcW w:w="590" w:type="dxa"/>
            <w:tcBorders>
              <w:top w:val="nil"/>
              <w:left w:val="single" w:sz="8" w:space="0" w:color="auto"/>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27"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573"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583"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667"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560"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51"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475"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 </w:t>
            </w:r>
          </w:p>
        </w:tc>
        <w:tc>
          <w:tcPr>
            <w:tcW w:w="608"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38"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28"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00"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7</w:t>
            </w:r>
          </w:p>
        </w:tc>
      </w:tr>
      <w:tr w:rsidR="00AC6151" w:rsidRPr="00AC6151" w:rsidTr="00206B1F">
        <w:trPr>
          <w:trHeight w:val="300"/>
          <w:jc w:val="center"/>
        </w:trPr>
        <w:tc>
          <w:tcPr>
            <w:tcW w:w="1600" w:type="dxa"/>
            <w:tcBorders>
              <w:top w:val="nil"/>
              <w:left w:val="single" w:sz="8" w:space="0" w:color="auto"/>
              <w:bottom w:val="single" w:sz="4" w:space="0" w:color="auto"/>
              <w:right w:val="nil"/>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w:t>
            </w:r>
            <w:proofErr w:type="spellStart"/>
            <w:r w:rsidRPr="00AC6151">
              <w:rPr>
                <w:rFonts w:cs="Arial"/>
                <w:color w:val="000000"/>
              </w:rPr>
              <w:t>Idared</w:t>
            </w:r>
            <w:proofErr w:type="spellEnd"/>
            <w:r w:rsidRPr="00AC6151">
              <w:rPr>
                <w:rFonts w:cs="Arial"/>
                <w:color w:val="000000"/>
              </w:rPr>
              <w:t>' </w:t>
            </w:r>
          </w:p>
        </w:tc>
        <w:tc>
          <w:tcPr>
            <w:tcW w:w="590" w:type="dxa"/>
            <w:tcBorders>
              <w:top w:val="nil"/>
              <w:left w:val="single" w:sz="8" w:space="0" w:color="auto"/>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27"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573"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583"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67"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560"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51"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475"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38"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28" w:type="dxa"/>
            <w:tcBorders>
              <w:top w:val="nil"/>
              <w:left w:val="nil"/>
              <w:bottom w:val="single" w:sz="4" w:space="0" w:color="auto"/>
              <w:right w:val="single" w:sz="8"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00"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5</w:t>
            </w:r>
          </w:p>
        </w:tc>
      </w:tr>
      <w:tr w:rsidR="00AC6151" w:rsidRPr="00AC6151" w:rsidTr="00206B1F">
        <w:trPr>
          <w:trHeight w:val="300"/>
          <w:jc w:val="center"/>
        </w:trPr>
        <w:tc>
          <w:tcPr>
            <w:tcW w:w="1600" w:type="dxa"/>
            <w:tcBorders>
              <w:top w:val="nil"/>
              <w:left w:val="single" w:sz="8" w:space="0" w:color="auto"/>
              <w:bottom w:val="single" w:sz="4" w:space="0" w:color="auto"/>
              <w:right w:val="nil"/>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w:t>
            </w:r>
            <w:proofErr w:type="spellStart"/>
            <w:r w:rsidRPr="00AC6151">
              <w:rPr>
                <w:rFonts w:cs="Arial"/>
                <w:color w:val="000000"/>
              </w:rPr>
              <w:t>Piros</w:t>
            </w:r>
            <w:proofErr w:type="spellEnd"/>
            <w:r w:rsidRPr="00AC6151">
              <w:rPr>
                <w:rFonts w:cs="Arial"/>
                <w:color w:val="000000"/>
              </w:rPr>
              <w:t>' </w:t>
            </w:r>
          </w:p>
        </w:tc>
        <w:tc>
          <w:tcPr>
            <w:tcW w:w="590" w:type="dxa"/>
            <w:tcBorders>
              <w:top w:val="nil"/>
              <w:left w:val="single" w:sz="8" w:space="0" w:color="auto"/>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27"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573"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583"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67"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560"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51"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475"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38"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28" w:type="dxa"/>
            <w:tcBorders>
              <w:top w:val="nil"/>
              <w:left w:val="nil"/>
              <w:bottom w:val="single" w:sz="4" w:space="0" w:color="auto"/>
              <w:right w:val="single" w:sz="8"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00"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4</w:t>
            </w:r>
          </w:p>
        </w:tc>
      </w:tr>
      <w:tr w:rsidR="00AC6151" w:rsidRPr="00AC6151" w:rsidTr="00206B1F">
        <w:trPr>
          <w:trHeight w:val="300"/>
          <w:jc w:val="center"/>
        </w:trPr>
        <w:tc>
          <w:tcPr>
            <w:tcW w:w="1600" w:type="dxa"/>
            <w:tcBorders>
              <w:top w:val="nil"/>
              <w:left w:val="single" w:sz="8" w:space="0" w:color="auto"/>
              <w:bottom w:val="single" w:sz="4" w:space="0" w:color="auto"/>
              <w:right w:val="nil"/>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w:t>
            </w:r>
            <w:proofErr w:type="spellStart"/>
            <w:r w:rsidRPr="00AC6151">
              <w:rPr>
                <w:rFonts w:cs="Arial"/>
                <w:color w:val="000000"/>
                <w:highlight w:val="yellow"/>
              </w:rPr>
              <w:t>Rubinstar</w:t>
            </w:r>
            <w:proofErr w:type="spellEnd"/>
            <w:r w:rsidRPr="00AC6151">
              <w:rPr>
                <w:rFonts w:cs="Arial"/>
                <w:color w:val="000000"/>
                <w:highlight w:val="yellow"/>
              </w:rPr>
              <w:t>'</w:t>
            </w:r>
            <w:r w:rsidRPr="00AC6151">
              <w:rPr>
                <w:rFonts w:cs="Arial"/>
                <w:color w:val="000000"/>
              </w:rPr>
              <w:t> </w:t>
            </w:r>
          </w:p>
        </w:tc>
        <w:tc>
          <w:tcPr>
            <w:tcW w:w="590" w:type="dxa"/>
            <w:tcBorders>
              <w:top w:val="nil"/>
              <w:left w:val="single" w:sz="8" w:space="0" w:color="auto"/>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27"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573"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583"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67"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560"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51"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475"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38"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28" w:type="dxa"/>
            <w:tcBorders>
              <w:top w:val="nil"/>
              <w:left w:val="nil"/>
              <w:bottom w:val="single" w:sz="4" w:space="0" w:color="auto"/>
              <w:right w:val="single" w:sz="8"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00"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4</w:t>
            </w:r>
          </w:p>
        </w:tc>
      </w:tr>
      <w:tr w:rsidR="00AC6151" w:rsidRPr="00AC6151" w:rsidTr="00206B1F">
        <w:trPr>
          <w:trHeight w:val="300"/>
          <w:jc w:val="center"/>
        </w:trPr>
        <w:tc>
          <w:tcPr>
            <w:tcW w:w="1600" w:type="dxa"/>
            <w:tcBorders>
              <w:top w:val="nil"/>
              <w:left w:val="single" w:sz="8" w:space="0" w:color="auto"/>
              <w:bottom w:val="single" w:sz="4" w:space="0" w:color="auto"/>
              <w:right w:val="nil"/>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‘Pilot' </w:t>
            </w:r>
          </w:p>
        </w:tc>
        <w:tc>
          <w:tcPr>
            <w:tcW w:w="590" w:type="dxa"/>
            <w:tcBorders>
              <w:top w:val="nil"/>
              <w:left w:val="single" w:sz="8" w:space="0" w:color="auto"/>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27"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573"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583"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67"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560" w:type="dxa"/>
            <w:tcBorders>
              <w:top w:val="nil"/>
              <w:left w:val="nil"/>
              <w:bottom w:val="single" w:sz="4" w:space="0" w:color="auto"/>
              <w:right w:val="single" w:sz="8"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51"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475"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38"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28" w:type="dxa"/>
            <w:tcBorders>
              <w:top w:val="nil"/>
              <w:left w:val="nil"/>
              <w:bottom w:val="single" w:sz="4" w:space="0" w:color="auto"/>
              <w:right w:val="single" w:sz="8"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00"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4</w:t>
            </w:r>
          </w:p>
        </w:tc>
      </w:tr>
      <w:tr w:rsidR="00AC6151" w:rsidRPr="00AC6151" w:rsidTr="00206B1F">
        <w:trPr>
          <w:trHeight w:val="300"/>
          <w:jc w:val="center"/>
        </w:trPr>
        <w:tc>
          <w:tcPr>
            <w:tcW w:w="1600" w:type="dxa"/>
            <w:tcBorders>
              <w:top w:val="nil"/>
              <w:left w:val="single" w:sz="8" w:space="0" w:color="auto"/>
              <w:bottom w:val="single" w:sz="4" w:space="0" w:color="auto"/>
              <w:right w:val="nil"/>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‘Florina' </w:t>
            </w:r>
          </w:p>
        </w:tc>
        <w:tc>
          <w:tcPr>
            <w:tcW w:w="590" w:type="dxa"/>
            <w:tcBorders>
              <w:top w:val="nil"/>
              <w:left w:val="single" w:sz="8" w:space="0" w:color="auto"/>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27"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573"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583"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67"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560"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51"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475"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38"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28" w:type="dxa"/>
            <w:tcBorders>
              <w:top w:val="nil"/>
              <w:left w:val="nil"/>
              <w:bottom w:val="single" w:sz="4" w:space="0" w:color="auto"/>
              <w:right w:val="single" w:sz="8"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00"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4</w:t>
            </w:r>
          </w:p>
        </w:tc>
      </w:tr>
      <w:tr w:rsidR="00AC6151" w:rsidRPr="00AC6151" w:rsidTr="00206B1F">
        <w:trPr>
          <w:trHeight w:val="300"/>
          <w:jc w:val="center"/>
        </w:trPr>
        <w:tc>
          <w:tcPr>
            <w:tcW w:w="1600" w:type="dxa"/>
            <w:tcBorders>
              <w:top w:val="nil"/>
              <w:left w:val="single" w:sz="8" w:space="0" w:color="auto"/>
              <w:bottom w:val="single" w:sz="4" w:space="0" w:color="auto"/>
              <w:right w:val="nil"/>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w:t>
            </w:r>
            <w:proofErr w:type="spellStart"/>
            <w:r w:rsidRPr="00AC6151">
              <w:rPr>
                <w:rFonts w:cs="Arial"/>
                <w:color w:val="000000"/>
              </w:rPr>
              <w:t>Braeburn</w:t>
            </w:r>
            <w:proofErr w:type="spellEnd"/>
            <w:r w:rsidRPr="00AC6151">
              <w:rPr>
                <w:rFonts w:cs="Arial"/>
                <w:color w:val="000000"/>
              </w:rPr>
              <w:t>' </w:t>
            </w:r>
          </w:p>
        </w:tc>
        <w:tc>
          <w:tcPr>
            <w:tcW w:w="590" w:type="dxa"/>
            <w:tcBorders>
              <w:top w:val="nil"/>
              <w:left w:val="single" w:sz="8" w:space="0" w:color="auto"/>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27"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573"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583"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67"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560"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51"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475"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08" w:type="dxa"/>
            <w:tcBorders>
              <w:top w:val="nil"/>
              <w:left w:val="nil"/>
              <w:bottom w:val="single" w:sz="4"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38" w:type="dxa"/>
            <w:tcBorders>
              <w:top w:val="nil"/>
              <w:left w:val="nil"/>
              <w:bottom w:val="single" w:sz="4"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28" w:type="dxa"/>
            <w:tcBorders>
              <w:top w:val="nil"/>
              <w:left w:val="nil"/>
              <w:bottom w:val="single" w:sz="4" w:space="0" w:color="auto"/>
              <w:right w:val="single" w:sz="8"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00" w:type="dxa"/>
            <w:tcBorders>
              <w:top w:val="nil"/>
              <w:left w:val="nil"/>
              <w:bottom w:val="single" w:sz="4"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5</w:t>
            </w:r>
          </w:p>
        </w:tc>
      </w:tr>
      <w:tr w:rsidR="00AC6151" w:rsidRPr="00AC6151" w:rsidTr="00206B1F">
        <w:trPr>
          <w:trHeight w:val="315"/>
          <w:jc w:val="center"/>
        </w:trPr>
        <w:tc>
          <w:tcPr>
            <w:tcW w:w="1600" w:type="dxa"/>
            <w:tcBorders>
              <w:top w:val="nil"/>
              <w:left w:val="single" w:sz="8" w:space="0" w:color="auto"/>
              <w:bottom w:val="single" w:sz="8" w:space="0" w:color="auto"/>
              <w:right w:val="nil"/>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w:t>
            </w:r>
            <w:proofErr w:type="spellStart"/>
            <w:r w:rsidRPr="00AC6151">
              <w:rPr>
                <w:rFonts w:cs="Arial"/>
                <w:color w:val="000000"/>
              </w:rPr>
              <w:t>Jonagold</w:t>
            </w:r>
            <w:proofErr w:type="spellEnd"/>
            <w:r w:rsidRPr="00AC6151">
              <w:rPr>
                <w:rFonts w:cs="Arial"/>
                <w:color w:val="000000"/>
              </w:rPr>
              <w:t>' </w:t>
            </w:r>
          </w:p>
        </w:tc>
        <w:tc>
          <w:tcPr>
            <w:tcW w:w="590" w:type="dxa"/>
            <w:tcBorders>
              <w:top w:val="nil"/>
              <w:left w:val="single" w:sz="8" w:space="0" w:color="auto"/>
              <w:bottom w:val="single" w:sz="8"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27" w:type="dxa"/>
            <w:tcBorders>
              <w:top w:val="nil"/>
              <w:left w:val="nil"/>
              <w:bottom w:val="single" w:sz="8"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573" w:type="dxa"/>
            <w:tcBorders>
              <w:top w:val="nil"/>
              <w:left w:val="nil"/>
              <w:bottom w:val="single" w:sz="8"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583" w:type="dxa"/>
            <w:tcBorders>
              <w:top w:val="nil"/>
              <w:left w:val="nil"/>
              <w:bottom w:val="single" w:sz="8"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67" w:type="dxa"/>
            <w:tcBorders>
              <w:top w:val="nil"/>
              <w:left w:val="nil"/>
              <w:bottom w:val="single" w:sz="8"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560" w:type="dxa"/>
            <w:tcBorders>
              <w:top w:val="nil"/>
              <w:left w:val="nil"/>
              <w:bottom w:val="single" w:sz="8"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51" w:type="dxa"/>
            <w:tcBorders>
              <w:top w:val="nil"/>
              <w:left w:val="nil"/>
              <w:bottom w:val="single" w:sz="8"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475" w:type="dxa"/>
            <w:tcBorders>
              <w:top w:val="nil"/>
              <w:left w:val="nil"/>
              <w:bottom w:val="single" w:sz="8"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08" w:type="dxa"/>
            <w:tcBorders>
              <w:top w:val="nil"/>
              <w:left w:val="nil"/>
              <w:bottom w:val="single" w:sz="8"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w:t>
            </w:r>
          </w:p>
        </w:tc>
        <w:tc>
          <w:tcPr>
            <w:tcW w:w="638" w:type="dxa"/>
            <w:tcBorders>
              <w:top w:val="nil"/>
              <w:left w:val="nil"/>
              <w:bottom w:val="single" w:sz="8" w:space="0" w:color="auto"/>
              <w:right w:val="single" w:sz="4"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28" w:type="dxa"/>
            <w:tcBorders>
              <w:top w:val="nil"/>
              <w:left w:val="nil"/>
              <w:bottom w:val="single" w:sz="8" w:space="0" w:color="auto"/>
              <w:right w:val="single" w:sz="8" w:space="0" w:color="auto"/>
            </w:tcBorders>
            <w:shd w:val="clear" w:color="auto" w:fill="auto"/>
            <w:noWrap/>
            <w:vAlign w:val="bottom"/>
            <w:hideMark/>
          </w:tcPr>
          <w:p w:rsidR="00AC6151" w:rsidRPr="00AC6151" w:rsidRDefault="00AC6151" w:rsidP="00AC6151">
            <w:pPr>
              <w:rPr>
                <w:rFonts w:cs="Arial"/>
                <w:color w:val="000000"/>
              </w:rPr>
            </w:pPr>
            <w:r w:rsidRPr="00AC6151">
              <w:rPr>
                <w:rFonts w:cs="Arial"/>
                <w:color w:val="000000"/>
              </w:rPr>
              <w:t> </w:t>
            </w:r>
          </w:p>
        </w:tc>
        <w:tc>
          <w:tcPr>
            <w:tcW w:w="600" w:type="dxa"/>
            <w:tcBorders>
              <w:top w:val="nil"/>
              <w:left w:val="nil"/>
              <w:bottom w:val="single" w:sz="8"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5</w:t>
            </w:r>
          </w:p>
        </w:tc>
      </w:tr>
      <w:tr w:rsidR="00AC6151" w:rsidRPr="00AC6151" w:rsidTr="00206B1F">
        <w:trPr>
          <w:trHeight w:val="315"/>
          <w:jc w:val="center"/>
        </w:trPr>
        <w:tc>
          <w:tcPr>
            <w:tcW w:w="1600" w:type="dxa"/>
            <w:tcBorders>
              <w:top w:val="nil"/>
              <w:left w:val="nil"/>
              <w:bottom w:val="nil"/>
              <w:right w:val="nil"/>
            </w:tcBorders>
            <w:shd w:val="clear" w:color="auto" w:fill="auto"/>
            <w:noWrap/>
            <w:vAlign w:val="bottom"/>
            <w:hideMark/>
          </w:tcPr>
          <w:p w:rsidR="00AC6151" w:rsidRPr="00AC6151" w:rsidRDefault="00AC6151" w:rsidP="00AC6151">
            <w:pPr>
              <w:rPr>
                <w:rFonts w:cs="Arial"/>
                <w:color w:val="000000"/>
              </w:rPr>
            </w:pPr>
          </w:p>
        </w:tc>
        <w:tc>
          <w:tcPr>
            <w:tcW w:w="590" w:type="dxa"/>
            <w:tcBorders>
              <w:top w:val="nil"/>
              <w:left w:val="single" w:sz="8" w:space="0" w:color="auto"/>
              <w:bottom w:val="single" w:sz="8"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11</w:t>
            </w:r>
          </w:p>
        </w:tc>
        <w:tc>
          <w:tcPr>
            <w:tcW w:w="627" w:type="dxa"/>
            <w:tcBorders>
              <w:top w:val="nil"/>
              <w:left w:val="nil"/>
              <w:bottom w:val="single" w:sz="8"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13</w:t>
            </w:r>
          </w:p>
        </w:tc>
        <w:tc>
          <w:tcPr>
            <w:tcW w:w="573" w:type="dxa"/>
            <w:tcBorders>
              <w:top w:val="nil"/>
              <w:left w:val="nil"/>
              <w:bottom w:val="single" w:sz="8"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0</w:t>
            </w:r>
          </w:p>
        </w:tc>
        <w:tc>
          <w:tcPr>
            <w:tcW w:w="583" w:type="dxa"/>
            <w:tcBorders>
              <w:top w:val="nil"/>
              <w:left w:val="nil"/>
              <w:bottom w:val="single" w:sz="8"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5</w:t>
            </w:r>
          </w:p>
        </w:tc>
        <w:tc>
          <w:tcPr>
            <w:tcW w:w="667" w:type="dxa"/>
            <w:tcBorders>
              <w:top w:val="nil"/>
              <w:left w:val="nil"/>
              <w:bottom w:val="single" w:sz="8"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11</w:t>
            </w:r>
          </w:p>
        </w:tc>
        <w:tc>
          <w:tcPr>
            <w:tcW w:w="560" w:type="dxa"/>
            <w:tcBorders>
              <w:top w:val="nil"/>
              <w:left w:val="nil"/>
              <w:bottom w:val="single" w:sz="8"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12</w:t>
            </w:r>
          </w:p>
        </w:tc>
        <w:tc>
          <w:tcPr>
            <w:tcW w:w="651" w:type="dxa"/>
            <w:tcBorders>
              <w:top w:val="nil"/>
              <w:left w:val="nil"/>
              <w:bottom w:val="single" w:sz="8"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3</w:t>
            </w:r>
          </w:p>
        </w:tc>
        <w:tc>
          <w:tcPr>
            <w:tcW w:w="475" w:type="dxa"/>
            <w:tcBorders>
              <w:top w:val="nil"/>
              <w:left w:val="nil"/>
              <w:bottom w:val="single" w:sz="8"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2</w:t>
            </w:r>
          </w:p>
        </w:tc>
        <w:tc>
          <w:tcPr>
            <w:tcW w:w="608" w:type="dxa"/>
            <w:tcBorders>
              <w:top w:val="nil"/>
              <w:left w:val="nil"/>
              <w:bottom w:val="single" w:sz="8"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6</w:t>
            </w:r>
          </w:p>
        </w:tc>
        <w:tc>
          <w:tcPr>
            <w:tcW w:w="638" w:type="dxa"/>
            <w:tcBorders>
              <w:top w:val="nil"/>
              <w:left w:val="nil"/>
              <w:bottom w:val="single" w:sz="8" w:space="0" w:color="auto"/>
              <w:right w:val="single" w:sz="4"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4</w:t>
            </w:r>
          </w:p>
        </w:tc>
        <w:tc>
          <w:tcPr>
            <w:tcW w:w="628" w:type="dxa"/>
            <w:tcBorders>
              <w:top w:val="nil"/>
              <w:left w:val="nil"/>
              <w:bottom w:val="single" w:sz="8"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4</w:t>
            </w:r>
          </w:p>
        </w:tc>
        <w:tc>
          <w:tcPr>
            <w:tcW w:w="600" w:type="dxa"/>
            <w:tcBorders>
              <w:top w:val="nil"/>
              <w:left w:val="nil"/>
              <w:bottom w:val="single" w:sz="8" w:space="0" w:color="auto"/>
              <w:right w:val="single" w:sz="8" w:space="0" w:color="auto"/>
            </w:tcBorders>
            <w:shd w:val="clear" w:color="auto" w:fill="auto"/>
            <w:noWrap/>
            <w:vAlign w:val="center"/>
            <w:hideMark/>
          </w:tcPr>
          <w:p w:rsidR="00AC6151" w:rsidRPr="00AC6151" w:rsidRDefault="00AC6151" w:rsidP="00AC6151">
            <w:pPr>
              <w:rPr>
                <w:rFonts w:cs="Arial"/>
                <w:color w:val="000000"/>
              </w:rPr>
            </w:pPr>
            <w:r w:rsidRPr="00AC6151">
              <w:rPr>
                <w:rFonts w:cs="Arial"/>
                <w:color w:val="000000"/>
              </w:rPr>
              <w:t>71</w:t>
            </w:r>
          </w:p>
        </w:tc>
      </w:tr>
    </w:tbl>
    <w:p w:rsidR="00AC6151" w:rsidRDefault="00AC6151" w:rsidP="00AC6151">
      <w:pPr>
        <w:rPr>
          <w:rFonts w:cs="Arial"/>
          <w:color w:val="000000"/>
        </w:rPr>
      </w:pPr>
    </w:p>
    <w:p w:rsidR="00AC6151" w:rsidRDefault="00AC6151" w:rsidP="00AC6151">
      <w:pPr>
        <w:rPr>
          <w:rFonts w:cs="Arial"/>
          <w:color w:val="000000"/>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Pr="00AC6151">
        <w:rPr>
          <w:rFonts w:cs="Arial"/>
          <w:color w:val="000000"/>
        </w:rPr>
        <w:t>For the reasons mentioned above, the varieties ‘</w:t>
      </w:r>
      <w:proofErr w:type="spellStart"/>
      <w:r w:rsidRPr="00AC6151">
        <w:rPr>
          <w:rFonts w:cs="Arial"/>
          <w:color w:val="000000"/>
        </w:rPr>
        <w:t>Rafzubin</w:t>
      </w:r>
      <w:proofErr w:type="spellEnd"/>
      <w:r w:rsidRPr="00AC6151">
        <w:rPr>
          <w:rFonts w:cs="Arial"/>
          <w:color w:val="000000"/>
        </w:rPr>
        <w:t xml:space="preserve">’, ‘Cripps Pink’ and ‘Red </w:t>
      </w:r>
      <w:proofErr w:type="spellStart"/>
      <w:r w:rsidRPr="00AC6151">
        <w:rPr>
          <w:rFonts w:cs="Arial"/>
          <w:color w:val="000000"/>
        </w:rPr>
        <w:t>Jonaprince</w:t>
      </w:r>
      <w:proofErr w:type="spellEnd"/>
      <w:r w:rsidRPr="00AC6151">
        <w:rPr>
          <w:rFonts w:cs="Arial"/>
          <w:color w:val="000000"/>
        </w:rPr>
        <w:t>’ have been identified for being part of the exercise. A mailing was sent to experts of the TWF in the summer 2016, asking to send the descriptions they may have for of these 3 varieties.</w:t>
      </w:r>
    </w:p>
    <w:p w:rsidR="00AC6151" w:rsidRPr="00AC6151" w:rsidRDefault="00AC6151" w:rsidP="00AC6151">
      <w:pPr>
        <w:rPr>
          <w:rFonts w:cs="Arial"/>
          <w:color w:val="000000"/>
        </w:rPr>
      </w:pPr>
    </w:p>
    <w:p w:rsidR="00AC6151" w:rsidRDefault="00AC6151" w:rsidP="00AC6151">
      <w:pPr>
        <w:rPr>
          <w:rFonts w:cs="Arial"/>
          <w:color w:val="000000"/>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Pr="00AC6151">
        <w:rPr>
          <w:rFonts w:cs="Arial"/>
          <w:color w:val="000000"/>
        </w:rPr>
        <w:t xml:space="preserve">The Office received descriptions from AU, CA, CZ, DE, ES, HU, NZ, PL, ZA, resulting in 17 combinations country/description and produced an excel file (see </w:t>
      </w:r>
      <w:r w:rsidR="00206B1F">
        <w:rPr>
          <w:rFonts w:cs="Arial"/>
          <w:color w:val="000000"/>
        </w:rPr>
        <w:t>Annex of this document</w:t>
      </w:r>
      <w:r w:rsidRPr="00AC6151">
        <w:rPr>
          <w:rFonts w:cs="Arial"/>
          <w:color w:val="000000"/>
        </w:rPr>
        <w:t>) with one sheet per variety, displaying for each characteristic the notes attributing by countries which send their description. An additional sheet has been added, showing the spread of notes among various countries for each characteristic of the respective variety descriptions. The analysis below is based on the type of characteristic.</w:t>
      </w:r>
    </w:p>
    <w:p w:rsidR="00AC6151" w:rsidRPr="00AC6151" w:rsidRDefault="00AC6151" w:rsidP="00AC6151">
      <w:pPr>
        <w:rPr>
          <w:rFonts w:cs="Arial"/>
          <w:color w:val="000000"/>
        </w:rPr>
      </w:pPr>
    </w:p>
    <w:p w:rsidR="00AC6151" w:rsidRDefault="00AC6151" w:rsidP="00AC6151">
      <w:pPr>
        <w:rPr>
          <w:rFonts w:cs="Arial"/>
          <w:color w:val="000000"/>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00206B1F">
        <w:rPr>
          <w:rFonts w:cs="Arial"/>
          <w:color w:val="000000"/>
        </w:rPr>
        <w:t>The apple fruit Test G</w:t>
      </w:r>
      <w:r w:rsidRPr="00AC6151">
        <w:rPr>
          <w:rFonts w:cs="Arial"/>
          <w:color w:val="000000"/>
        </w:rPr>
        <w:t>uideline</w:t>
      </w:r>
      <w:r w:rsidR="00206B1F">
        <w:rPr>
          <w:rFonts w:cs="Arial"/>
          <w:color w:val="000000"/>
        </w:rPr>
        <w:t>s</w:t>
      </w:r>
      <w:r w:rsidRPr="00AC6151">
        <w:rPr>
          <w:rFonts w:cs="Arial"/>
          <w:color w:val="000000"/>
        </w:rPr>
        <w:t xml:space="preserve"> contains a single qualitative characteristic. Descriptions provided reveal a consistent observation for this characteristic for all varieties. It can be concluded that this characteristic is clearly understood by all DUS examiners.</w:t>
      </w:r>
    </w:p>
    <w:p w:rsidR="00AC6151" w:rsidRPr="00AC6151" w:rsidRDefault="00AC6151" w:rsidP="00AC6151">
      <w:pPr>
        <w:rPr>
          <w:rFonts w:cs="Arial"/>
          <w:color w:val="000000"/>
        </w:rPr>
      </w:pPr>
    </w:p>
    <w:p w:rsidR="00FA7459" w:rsidRDefault="00AC6151" w:rsidP="00AC6151">
      <w:pPr>
        <w:rPr>
          <w:rFonts w:cs="Arial"/>
          <w:szCs w:val="18"/>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Pr="00AC6151">
        <w:rPr>
          <w:rFonts w:cs="Arial"/>
          <w:color w:val="000000"/>
        </w:rPr>
        <w:t xml:space="preserve">The apple fruit </w:t>
      </w:r>
      <w:r w:rsidR="00206B1F">
        <w:rPr>
          <w:rFonts w:cs="Arial"/>
          <w:color w:val="000000"/>
        </w:rPr>
        <w:t>Test G</w:t>
      </w:r>
      <w:r w:rsidR="00206B1F" w:rsidRPr="00AC6151">
        <w:rPr>
          <w:rFonts w:cs="Arial"/>
          <w:color w:val="000000"/>
        </w:rPr>
        <w:t>uideline</w:t>
      </w:r>
      <w:r w:rsidR="00206B1F">
        <w:rPr>
          <w:rFonts w:cs="Arial"/>
          <w:color w:val="000000"/>
        </w:rPr>
        <w:t>s</w:t>
      </w:r>
      <w:r w:rsidRPr="00AC6151">
        <w:rPr>
          <w:rFonts w:cs="Arial"/>
          <w:color w:val="000000"/>
        </w:rPr>
        <w:t xml:space="preserve"> contains 8 pseudo qualitative characteristics. The exercise reveals that the same note for all PQ characteristics is more the exception that the rule: all 5 countries providing their description have attributed the same note for the characteristic ‘fruit: </w:t>
      </w:r>
      <w:proofErr w:type="spellStart"/>
      <w:r w:rsidRPr="00AC6151">
        <w:rPr>
          <w:rFonts w:cs="Arial"/>
          <w:color w:val="000000"/>
        </w:rPr>
        <w:t>colour</w:t>
      </w:r>
      <w:proofErr w:type="spellEnd"/>
      <w:r w:rsidRPr="00AC6151">
        <w:rPr>
          <w:rFonts w:cs="Arial"/>
          <w:color w:val="000000"/>
        </w:rPr>
        <w:t xml:space="preserve"> of flesh’ for the variety ‘Red </w:t>
      </w:r>
      <w:proofErr w:type="spellStart"/>
      <w:r w:rsidRPr="00AC6151">
        <w:rPr>
          <w:rFonts w:cs="Arial"/>
          <w:color w:val="000000"/>
        </w:rPr>
        <w:t>Jonaprince</w:t>
      </w:r>
      <w:proofErr w:type="spellEnd"/>
      <w:r w:rsidRPr="00AC6151">
        <w:rPr>
          <w:rFonts w:cs="Arial"/>
          <w:color w:val="000000"/>
        </w:rPr>
        <w:t xml:space="preserve">’. It is necessary to </w:t>
      </w:r>
      <w:r w:rsidR="00206B1F" w:rsidRPr="00AC6151">
        <w:rPr>
          <w:rFonts w:cs="Arial"/>
          <w:color w:val="000000"/>
        </w:rPr>
        <w:t>analyze</w:t>
      </w:r>
      <w:r w:rsidRPr="00AC6151">
        <w:rPr>
          <w:rFonts w:cs="Arial"/>
          <w:color w:val="000000"/>
        </w:rPr>
        <w:t xml:space="preserve"> the situation characteristic by characteristic.</w:t>
      </w:r>
    </w:p>
    <w:p w:rsidR="003E4429" w:rsidRDefault="003E4429" w:rsidP="00977F1F">
      <w:pPr>
        <w:rPr>
          <w:rFonts w:cs="Arial"/>
          <w:szCs w:val="18"/>
        </w:rPr>
      </w:pPr>
    </w:p>
    <w:p w:rsidR="00AC6151" w:rsidRDefault="00AC6151" w:rsidP="00977F1F">
      <w:pPr>
        <w:rPr>
          <w:rFonts w:cs="Arial"/>
          <w:szCs w:val="18"/>
        </w:rPr>
      </w:pPr>
      <w:r>
        <w:rPr>
          <w:noProof/>
          <w:lang w:val="es-ES_tradnl" w:eastAsia="es-ES_tradnl"/>
        </w:rPr>
        <w:lastRenderedPageBreak/>
        <w:drawing>
          <wp:inline distT="0" distB="0" distL="0" distR="0" wp14:anchorId="2870638B" wp14:editId="0A737D74">
            <wp:extent cx="5943600" cy="2427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427605"/>
                    </a:xfrm>
                    <a:prstGeom prst="rect">
                      <a:avLst/>
                    </a:prstGeom>
                  </pic:spPr>
                </pic:pic>
              </a:graphicData>
            </a:graphic>
          </wp:inline>
        </w:drawing>
      </w:r>
    </w:p>
    <w:p w:rsidR="00AC6151" w:rsidRDefault="00AC6151" w:rsidP="00977F1F">
      <w:pPr>
        <w:rPr>
          <w:rFonts w:cs="Arial"/>
          <w:szCs w:val="18"/>
        </w:rPr>
      </w:pPr>
      <w:r>
        <w:rPr>
          <w:noProof/>
          <w:lang w:val="es-ES_tradnl" w:eastAsia="es-ES_tradnl"/>
        </w:rPr>
        <w:drawing>
          <wp:inline distT="0" distB="0" distL="0" distR="0" wp14:anchorId="21FC9B15" wp14:editId="5AD9896C">
            <wp:extent cx="5943600" cy="22834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283460"/>
                    </a:xfrm>
                    <a:prstGeom prst="rect">
                      <a:avLst/>
                    </a:prstGeom>
                  </pic:spPr>
                </pic:pic>
              </a:graphicData>
            </a:graphic>
          </wp:inline>
        </w:drawing>
      </w:r>
    </w:p>
    <w:p w:rsidR="00AC6151" w:rsidRDefault="00AC6151" w:rsidP="00977F1F">
      <w:pPr>
        <w:rPr>
          <w:rFonts w:cs="Arial"/>
          <w:szCs w:val="18"/>
        </w:rPr>
      </w:pPr>
      <w:r>
        <w:rPr>
          <w:noProof/>
          <w:lang w:val="es-ES_tradnl" w:eastAsia="es-ES_tradnl"/>
        </w:rPr>
        <w:drawing>
          <wp:inline distT="0" distB="0" distL="0" distR="0" wp14:anchorId="4C1CC9D8" wp14:editId="4B8F08C1">
            <wp:extent cx="5943600" cy="29838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983865"/>
                    </a:xfrm>
                    <a:prstGeom prst="rect">
                      <a:avLst/>
                    </a:prstGeom>
                  </pic:spPr>
                </pic:pic>
              </a:graphicData>
            </a:graphic>
          </wp:inline>
        </w:drawing>
      </w:r>
    </w:p>
    <w:p w:rsidR="00AC6151" w:rsidRDefault="00AC6151" w:rsidP="00977F1F">
      <w:pPr>
        <w:rPr>
          <w:rFonts w:cs="Arial"/>
          <w:szCs w:val="18"/>
        </w:rPr>
      </w:pPr>
      <w:r>
        <w:rPr>
          <w:noProof/>
          <w:lang w:val="es-ES_tradnl" w:eastAsia="es-ES_tradnl"/>
        </w:rPr>
        <w:lastRenderedPageBreak/>
        <w:drawing>
          <wp:inline distT="0" distB="0" distL="0" distR="0" wp14:anchorId="2FAB5E91" wp14:editId="293CD26D">
            <wp:extent cx="5943600" cy="31095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109595"/>
                    </a:xfrm>
                    <a:prstGeom prst="rect">
                      <a:avLst/>
                    </a:prstGeom>
                  </pic:spPr>
                </pic:pic>
              </a:graphicData>
            </a:graphic>
          </wp:inline>
        </w:drawing>
      </w:r>
    </w:p>
    <w:p w:rsidR="00AC6151" w:rsidRDefault="00AC6151" w:rsidP="00977F1F">
      <w:pPr>
        <w:rPr>
          <w:rFonts w:cs="Arial"/>
          <w:szCs w:val="18"/>
        </w:rPr>
      </w:pPr>
      <w:r>
        <w:rPr>
          <w:noProof/>
          <w:lang w:val="es-ES_tradnl" w:eastAsia="es-ES_tradnl"/>
        </w:rPr>
        <w:drawing>
          <wp:inline distT="0" distB="0" distL="0" distR="0" wp14:anchorId="396E2947" wp14:editId="2A29F9E0">
            <wp:extent cx="5943600" cy="27755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775585"/>
                    </a:xfrm>
                    <a:prstGeom prst="rect">
                      <a:avLst/>
                    </a:prstGeom>
                  </pic:spPr>
                </pic:pic>
              </a:graphicData>
            </a:graphic>
          </wp:inline>
        </w:drawing>
      </w:r>
    </w:p>
    <w:p w:rsidR="00AC6151" w:rsidRDefault="00AC6151" w:rsidP="00977F1F">
      <w:pPr>
        <w:rPr>
          <w:rFonts w:cs="Arial"/>
          <w:szCs w:val="18"/>
        </w:rPr>
      </w:pPr>
      <w:r>
        <w:rPr>
          <w:noProof/>
          <w:lang w:val="es-ES_tradnl" w:eastAsia="es-ES_tradnl"/>
        </w:rPr>
        <w:drawing>
          <wp:inline distT="0" distB="0" distL="0" distR="0" wp14:anchorId="053775D2" wp14:editId="5E07E6ED">
            <wp:extent cx="5943600" cy="26727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672715"/>
                    </a:xfrm>
                    <a:prstGeom prst="rect">
                      <a:avLst/>
                    </a:prstGeom>
                  </pic:spPr>
                </pic:pic>
              </a:graphicData>
            </a:graphic>
          </wp:inline>
        </w:drawing>
      </w:r>
    </w:p>
    <w:p w:rsidR="00AC6151" w:rsidRDefault="00AC6151" w:rsidP="00977F1F">
      <w:pPr>
        <w:rPr>
          <w:rFonts w:cs="Arial"/>
          <w:szCs w:val="18"/>
        </w:rPr>
      </w:pPr>
      <w:r>
        <w:rPr>
          <w:noProof/>
          <w:lang w:val="es-ES_tradnl" w:eastAsia="es-ES_tradnl"/>
        </w:rPr>
        <w:lastRenderedPageBreak/>
        <w:drawing>
          <wp:inline distT="0" distB="0" distL="0" distR="0" wp14:anchorId="557C9BF8" wp14:editId="2D59F23F">
            <wp:extent cx="5943600" cy="436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4368800"/>
                    </a:xfrm>
                    <a:prstGeom prst="rect">
                      <a:avLst/>
                    </a:prstGeom>
                  </pic:spPr>
                </pic:pic>
              </a:graphicData>
            </a:graphic>
          </wp:inline>
        </w:drawing>
      </w:r>
    </w:p>
    <w:p w:rsidR="00AC6151" w:rsidRDefault="00AC6151" w:rsidP="00977F1F">
      <w:pPr>
        <w:rPr>
          <w:rFonts w:cs="Arial"/>
          <w:szCs w:val="18"/>
        </w:rPr>
      </w:pPr>
      <w:r>
        <w:rPr>
          <w:noProof/>
          <w:lang w:val="es-ES_tradnl" w:eastAsia="es-ES_tradnl"/>
        </w:rPr>
        <w:drawing>
          <wp:inline distT="0" distB="0" distL="0" distR="0" wp14:anchorId="28342E25" wp14:editId="14A12B9B">
            <wp:extent cx="5936822" cy="2381534"/>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b="14878"/>
                    <a:stretch/>
                  </pic:blipFill>
                  <pic:spPr bwMode="auto">
                    <a:xfrm>
                      <a:off x="0" y="0"/>
                      <a:ext cx="5943600" cy="2384253"/>
                    </a:xfrm>
                    <a:prstGeom prst="rect">
                      <a:avLst/>
                    </a:prstGeom>
                    <a:ln>
                      <a:noFill/>
                    </a:ln>
                    <a:extLst>
                      <a:ext uri="{53640926-AAD7-44D8-BBD7-CCE9431645EC}">
                        <a14:shadowObscured xmlns:a14="http://schemas.microsoft.com/office/drawing/2010/main"/>
                      </a:ext>
                    </a:extLst>
                  </pic:spPr>
                </pic:pic>
              </a:graphicData>
            </a:graphic>
          </wp:inline>
        </w:drawing>
      </w:r>
    </w:p>
    <w:p w:rsidR="00206B1F" w:rsidRPr="00206B1F" w:rsidRDefault="00206B1F" w:rsidP="00977F1F">
      <w:pPr>
        <w:rPr>
          <w:rFonts w:cs="Arial"/>
          <w:sz w:val="8"/>
          <w:szCs w:val="18"/>
        </w:rPr>
      </w:pPr>
    </w:p>
    <w:p w:rsidR="00AC6151" w:rsidRPr="00AC6151" w:rsidRDefault="00AC6151" w:rsidP="00AC6151">
      <w:pPr>
        <w:rPr>
          <w:rFonts w:cs="Arial"/>
          <w:szCs w:val="18"/>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Pr="00AC6151">
        <w:rPr>
          <w:rFonts w:cs="Arial"/>
          <w:szCs w:val="18"/>
        </w:rPr>
        <w:t xml:space="preserve">It seems that some characteristic show a more harmonized attribution of notes than others. Various factors may explain this variation: </w:t>
      </w:r>
    </w:p>
    <w:p w:rsidR="00AC6151" w:rsidRPr="00AC6151" w:rsidRDefault="00AC6151" w:rsidP="00AC6151">
      <w:pPr>
        <w:ind w:left="567"/>
        <w:rPr>
          <w:rFonts w:cs="Arial"/>
          <w:szCs w:val="18"/>
        </w:rPr>
      </w:pPr>
      <w:r w:rsidRPr="00AC6151">
        <w:rPr>
          <w:rFonts w:cs="Arial"/>
          <w:szCs w:val="18"/>
        </w:rPr>
        <w:t>•</w:t>
      </w:r>
      <w:r w:rsidRPr="00AC6151">
        <w:rPr>
          <w:rFonts w:cs="Arial"/>
          <w:szCs w:val="18"/>
        </w:rPr>
        <w:tab/>
        <w:t>The influence of the environment</w:t>
      </w:r>
    </w:p>
    <w:p w:rsidR="00AC6151" w:rsidRPr="00AC6151" w:rsidRDefault="00AC6151" w:rsidP="00AC6151">
      <w:pPr>
        <w:ind w:left="567"/>
        <w:rPr>
          <w:rFonts w:cs="Arial"/>
          <w:szCs w:val="18"/>
        </w:rPr>
      </w:pPr>
      <w:r w:rsidRPr="00AC6151">
        <w:rPr>
          <w:rFonts w:cs="Arial"/>
          <w:szCs w:val="18"/>
        </w:rPr>
        <w:t>•</w:t>
      </w:r>
      <w:r w:rsidRPr="00AC6151">
        <w:rPr>
          <w:rFonts w:cs="Arial"/>
          <w:szCs w:val="18"/>
        </w:rPr>
        <w:tab/>
        <w:t>Various interpretations of the characteristic by examiners</w:t>
      </w:r>
    </w:p>
    <w:p w:rsidR="00AC6151" w:rsidRDefault="00AC6151" w:rsidP="00AC6151">
      <w:pPr>
        <w:ind w:left="567"/>
        <w:rPr>
          <w:rFonts w:cs="Arial"/>
          <w:szCs w:val="18"/>
        </w:rPr>
      </w:pPr>
      <w:r w:rsidRPr="00AC6151">
        <w:rPr>
          <w:rFonts w:cs="Arial"/>
          <w:szCs w:val="18"/>
        </w:rPr>
        <w:t>•</w:t>
      </w:r>
      <w:r w:rsidRPr="00AC6151">
        <w:rPr>
          <w:rFonts w:cs="Arial"/>
          <w:szCs w:val="18"/>
        </w:rPr>
        <w:tab/>
      </w:r>
      <w:r w:rsidR="00206B1F" w:rsidRPr="00AC6151">
        <w:rPr>
          <w:rFonts w:cs="Arial"/>
          <w:szCs w:val="18"/>
        </w:rPr>
        <w:t>Some</w:t>
      </w:r>
      <w:r w:rsidRPr="00AC6151">
        <w:rPr>
          <w:rFonts w:cs="Arial"/>
          <w:szCs w:val="18"/>
        </w:rPr>
        <w:t xml:space="preserve"> characteristics or stages of expression may not be best appropriate for the guideline.</w:t>
      </w:r>
    </w:p>
    <w:p w:rsidR="00AC6151" w:rsidRPr="00AC6151" w:rsidRDefault="00AC6151" w:rsidP="00AC6151">
      <w:pPr>
        <w:ind w:left="567"/>
        <w:rPr>
          <w:rFonts w:cs="Arial"/>
          <w:szCs w:val="18"/>
        </w:rPr>
      </w:pPr>
    </w:p>
    <w:p w:rsidR="00AC6151" w:rsidRPr="00AC6151" w:rsidRDefault="00AC6151" w:rsidP="00AC6151">
      <w:pPr>
        <w:rPr>
          <w:rFonts w:cs="Arial"/>
          <w:szCs w:val="18"/>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Pr="00AC6151">
        <w:rPr>
          <w:rFonts w:cs="Arial"/>
          <w:szCs w:val="18"/>
        </w:rPr>
        <w:t xml:space="preserve">The apple fruit </w:t>
      </w:r>
      <w:r w:rsidR="00206B1F">
        <w:rPr>
          <w:rFonts w:cs="Arial"/>
          <w:color w:val="000000"/>
        </w:rPr>
        <w:t>Test G</w:t>
      </w:r>
      <w:r w:rsidR="00206B1F" w:rsidRPr="00AC6151">
        <w:rPr>
          <w:rFonts w:cs="Arial"/>
          <w:color w:val="000000"/>
        </w:rPr>
        <w:t>uideline</w:t>
      </w:r>
      <w:r w:rsidR="00206B1F">
        <w:rPr>
          <w:rFonts w:cs="Arial"/>
          <w:color w:val="000000"/>
        </w:rPr>
        <w:t>s</w:t>
      </w:r>
      <w:r w:rsidRPr="00AC6151">
        <w:rPr>
          <w:rFonts w:cs="Arial"/>
          <w:szCs w:val="18"/>
        </w:rPr>
        <w:t xml:space="preserve"> contains 48 quantitative characteristic. The sheet ‘overall spread’ </w:t>
      </w:r>
      <w:r>
        <w:rPr>
          <w:rFonts w:cs="Arial"/>
          <w:szCs w:val="18"/>
        </w:rPr>
        <w:t xml:space="preserve">(see Annex of this document) </w:t>
      </w:r>
      <w:r w:rsidRPr="00AC6151">
        <w:rPr>
          <w:rFonts w:cs="Arial"/>
          <w:szCs w:val="18"/>
        </w:rPr>
        <w:t xml:space="preserve">reveals that the variation between notes attributed varies depending on the characteristics and the varieties. However, for some characteristics the variation between notes is particularly low and particularly large for others. This could be due to </w:t>
      </w:r>
    </w:p>
    <w:p w:rsidR="00AC6151" w:rsidRPr="00AC6151" w:rsidRDefault="00AC6151" w:rsidP="00AC6151">
      <w:pPr>
        <w:ind w:left="567"/>
        <w:rPr>
          <w:rFonts w:cs="Arial"/>
          <w:szCs w:val="18"/>
        </w:rPr>
      </w:pPr>
      <w:r w:rsidRPr="00AC6151">
        <w:rPr>
          <w:rFonts w:cs="Arial"/>
          <w:szCs w:val="18"/>
        </w:rPr>
        <w:t>•</w:t>
      </w:r>
      <w:r w:rsidRPr="00AC6151">
        <w:rPr>
          <w:rFonts w:cs="Arial"/>
          <w:szCs w:val="18"/>
        </w:rPr>
        <w:tab/>
        <w:t>The influence of the environment</w:t>
      </w:r>
    </w:p>
    <w:p w:rsidR="00AC6151" w:rsidRDefault="00AC6151" w:rsidP="00AC6151">
      <w:pPr>
        <w:ind w:left="567"/>
        <w:rPr>
          <w:rFonts w:cs="Arial"/>
          <w:szCs w:val="18"/>
        </w:rPr>
      </w:pPr>
      <w:r w:rsidRPr="00AC6151">
        <w:rPr>
          <w:rFonts w:cs="Arial"/>
          <w:szCs w:val="18"/>
        </w:rPr>
        <w:t>•</w:t>
      </w:r>
      <w:r w:rsidRPr="00AC6151">
        <w:rPr>
          <w:rFonts w:cs="Arial"/>
          <w:szCs w:val="18"/>
        </w:rPr>
        <w:tab/>
        <w:t>The way notes are attributed for quantitative characteristics</w:t>
      </w:r>
    </w:p>
    <w:p w:rsidR="00AC6151" w:rsidRPr="00AC6151" w:rsidRDefault="00AC6151" w:rsidP="00AC6151">
      <w:pPr>
        <w:ind w:left="567"/>
        <w:rPr>
          <w:rFonts w:cs="Arial"/>
          <w:szCs w:val="18"/>
        </w:rPr>
      </w:pPr>
    </w:p>
    <w:p w:rsidR="00AC6151" w:rsidRDefault="00AC6151" w:rsidP="00AC6151">
      <w:pPr>
        <w:rPr>
          <w:rFonts w:cs="Arial"/>
          <w:szCs w:val="18"/>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Pr="00AC6151">
        <w:rPr>
          <w:rFonts w:cs="Arial"/>
          <w:szCs w:val="18"/>
        </w:rPr>
        <w:t>Experts are requested to comment on these results and propose a follow up during the 2016 TWF.</w:t>
      </w:r>
    </w:p>
    <w:p w:rsidR="00AC6151" w:rsidRPr="00206B1F" w:rsidRDefault="00AC6151" w:rsidP="00AC6151">
      <w:pPr>
        <w:rPr>
          <w:rFonts w:cs="Arial"/>
          <w:sz w:val="8"/>
          <w:szCs w:val="18"/>
        </w:rPr>
      </w:pPr>
    </w:p>
    <w:p w:rsidR="003E4429" w:rsidRDefault="00FA7459" w:rsidP="00206B1F">
      <w:pPr>
        <w:pStyle w:val="endofdoc"/>
        <w:rPr>
          <w:rFonts w:cs="Arial"/>
          <w:szCs w:val="18"/>
        </w:rPr>
      </w:pPr>
      <w:r>
        <w:rPr>
          <w:snapToGrid w:val="0"/>
        </w:rPr>
        <w:t xml:space="preserve">[Annex </w:t>
      </w:r>
      <w:bookmarkStart w:id="4" w:name="_GoBack"/>
      <w:bookmarkEnd w:id="4"/>
      <w:r>
        <w:rPr>
          <w:snapToGrid w:val="0"/>
        </w:rPr>
        <w:t>follows]</w:t>
      </w:r>
    </w:p>
    <w:p w:rsidR="00EB5CD2" w:rsidRDefault="00EB5CD2" w:rsidP="00977F1F">
      <w:pPr>
        <w:rPr>
          <w:rFonts w:cs="Arial"/>
          <w:szCs w:val="18"/>
        </w:rPr>
        <w:sectPr w:rsidR="00EB5CD2" w:rsidSect="00507C0F">
          <w:headerReference w:type="default" r:id="rId18"/>
          <w:pgSz w:w="11907" w:h="16840" w:code="9"/>
          <w:pgMar w:top="510" w:right="1134" w:bottom="1134" w:left="1134" w:header="510" w:footer="680" w:gutter="0"/>
          <w:pgNumType w:start="1"/>
          <w:cols w:space="720"/>
          <w:titlePg/>
        </w:sectPr>
      </w:pPr>
    </w:p>
    <w:p w:rsidR="003E4429" w:rsidRDefault="003E4429" w:rsidP="00977F1F">
      <w:pPr>
        <w:rPr>
          <w:rFonts w:cs="Arial"/>
          <w:szCs w:val="18"/>
        </w:rPr>
      </w:pPr>
    </w:p>
    <w:p w:rsidR="003E4429" w:rsidRDefault="00EB5CD2" w:rsidP="00EB5CD2">
      <w:pPr>
        <w:jc w:val="center"/>
        <w:rPr>
          <w:rFonts w:cs="Arial"/>
          <w:szCs w:val="18"/>
        </w:rPr>
      </w:pPr>
      <w:r w:rsidRPr="00EB5CD2">
        <w:rPr>
          <w:noProof/>
          <w:lang w:val="es-ES_tradnl" w:eastAsia="es-ES_tradnl"/>
        </w:rPr>
        <w:drawing>
          <wp:inline distT="0" distB="0" distL="0" distR="0" wp14:anchorId="57FFCADC" wp14:editId="0B163ACF">
            <wp:extent cx="5971369" cy="890516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1975" cy="8906068"/>
                    </a:xfrm>
                    <a:prstGeom prst="rect">
                      <a:avLst/>
                    </a:prstGeom>
                    <a:noFill/>
                    <a:ln>
                      <a:noFill/>
                    </a:ln>
                  </pic:spPr>
                </pic:pic>
              </a:graphicData>
            </a:graphic>
          </wp:inline>
        </w:drawing>
      </w:r>
    </w:p>
    <w:p w:rsidR="00EB5CD2" w:rsidRDefault="00EB5CD2" w:rsidP="000752F8">
      <w:pPr>
        <w:pStyle w:val="endofdoc"/>
        <w:rPr>
          <w:snapToGrid w:val="0"/>
        </w:rPr>
      </w:pPr>
    </w:p>
    <w:p w:rsidR="00DF474C" w:rsidRDefault="00DF474C" w:rsidP="000752F8">
      <w:pPr>
        <w:pStyle w:val="endofdoc"/>
        <w:rPr>
          <w:snapToGrid w:val="0"/>
        </w:rPr>
      </w:pPr>
      <w:r>
        <w:rPr>
          <w:snapToGrid w:val="0"/>
        </w:rPr>
        <w:t>[End of document]</w:t>
      </w:r>
    </w:p>
    <w:sectPr w:rsidR="00DF474C" w:rsidSect="00507C0F">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F71" w:rsidRDefault="00526F71" w:rsidP="006655D3">
      <w:r>
        <w:separator/>
      </w:r>
    </w:p>
    <w:p w:rsidR="00526F71" w:rsidRDefault="00526F71" w:rsidP="006655D3"/>
    <w:p w:rsidR="00526F71" w:rsidRDefault="00526F71" w:rsidP="006655D3"/>
  </w:endnote>
  <w:endnote w:type="continuationSeparator" w:id="0">
    <w:p w:rsidR="00526F71" w:rsidRDefault="00526F71" w:rsidP="006655D3">
      <w:r>
        <w:separator/>
      </w:r>
    </w:p>
    <w:p w:rsidR="00526F71" w:rsidRPr="004B60AC" w:rsidRDefault="00526F71">
      <w:pPr>
        <w:pStyle w:val="Footer"/>
        <w:spacing w:after="60"/>
        <w:rPr>
          <w:sz w:val="18"/>
          <w:lang w:val="fr-CH"/>
        </w:rPr>
      </w:pPr>
      <w:r w:rsidRPr="004B60AC">
        <w:rPr>
          <w:sz w:val="18"/>
          <w:lang w:val="fr-CH"/>
        </w:rPr>
        <w:t>[Suite de la note de la page précédente]</w:t>
      </w:r>
    </w:p>
    <w:p w:rsidR="00526F71" w:rsidRPr="004B60AC" w:rsidRDefault="00526F71" w:rsidP="006655D3">
      <w:pPr>
        <w:rPr>
          <w:lang w:val="fr-CH"/>
        </w:rPr>
      </w:pPr>
    </w:p>
    <w:p w:rsidR="00526F71" w:rsidRPr="004B60AC" w:rsidRDefault="00526F71" w:rsidP="006655D3">
      <w:pPr>
        <w:rPr>
          <w:lang w:val="fr-CH"/>
        </w:rPr>
      </w:pPr>
    </w:p>
  </w:endnote>
  <w:endnote w:type="continuationNotice" w:id="1">
    <w:p w:rsidR="00526F71" w:rsidRPr="008B3377" w:rsidRDefault="00526F71" w:rsidP="006655D3">
      <w:pPr>
        <w:rPr>
          <w:lang w:val="fr-CH"/>
        </w:rPr>
      </w:pPr>
      <w:r w:rsidRPr="008B3377">
        <w:rPr>
          <w:lang w:val="fr-CH"/>
        </w:rPr>
        <w:t>[Suite de la note page suivante]</w:t>
      </w:r>
    </w:p>
    <w:p w:rsidR="00526F71" w:rsidRPr="008B3377" w:rsidRDefault="00526F71" w:rsidP="006655D3">
      <w:pPr>
        <w:rPr>
          <w:lang w:val="fr-CH"/>
        </w:rPr>
      </w:pPr>
    </w:p>
    <w:p w:rsidR="00526F71" w:rsidRPr="008B3377" w:rsidRDefault="00526F7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F71" w:rsidRDefault="00526F71" w:rsidP="006655D3">
      <w:r>
        <w:separator/>
      </w:r>
    </w:p>
  </w:footnote>
  <w:footnote w:type="continuationSeparator" w:id="0">
    <w:p w:rsidR="00526F71" w:rsidRDefault="00526F71" w:rsidP="006655D3">
      <w:r>
        <w:separator/>
      </w:r>
    </w:p>
  </w:footnote>
  <w:footnote w:type="continuationNotice" w:id="1">
    <w:p w:rsidR="00526F71" w:rsidRPr="00AB530F" w:rsidRDefault="00526F7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F71" w:rsidRDefault="00E42C2C">
    <w:pPr>
      <w:pStyle w:val="Header"/>
    </w:pPr>
    <w:r>
      <w:t>TWF/47/</w:t>
    </w:r>
    <w:r w:rsidR="003E4429">
      <w:t>23</w:t>
    </w:r>
  </w:p>
  <w:p w:rsidR="00526F71" w:rsidRDefault="00526F71">
    <w:pPr>
      <w:pStyle w:val="Header"/>
    </w:pPr>
    <w:proofErr w:type="gramStart"/>
    <w:r>
      <w:rPr>
        <w:snapToGrid w:val="0"/>
      </w:rPr>
      <w:t>page</w:t>
    </w:r>
    <w:proofErr w:type="gramEnd"/>
    <w:r>
      <w:rPr>
        <w:snapToGrid w:val="0"/>
      </w:rPr>
      <w:t xml:space="preserve"> </w:t>
    </w:r>
    <w:r>
      <w:rPr>
        <w:snapToGrid w:val="0"/>
      </w:rPr>
      <w:fldChar w:fldCharType="begin"/>
    </w:r>
    <w:r>
      <w:rPr>
        <w:snapToGrid w:val="0"/>
      </w:rPr>
      <w:instrText xml:space="preserve"> PAGE </w:instrText>
    </w:r>
    <w:r>
      <w:rPr>
        <w:snapToGrid w:val="0"/>
      </w:rPr>
      <w:fldChar w:fldCharType="separate"/>
    </w:r>
    <w:r w:rsidR="00F51706">
      <w:rPr>
        <w:noProof/>
        <w:snapToGrid w:val="0"/>
      </w:rPr>
      <w:t>5</w:t>
    </w:r>
    <w:r>
      <w:rPr>
        <w:snapToGrid w:val="0"/>
      </w:rPr>
      <w:fldChar w:fldCharType="end"/>
    </w:r>
    <w:r>
      <w:rPr>
        <w:snapToGrid w:val="0"/>
      </w:rPr>
      <w:t xml:space="preserve"> </w:t>
    </w:r>
  </w:p>
  <w:p w:rsidR="00526F71" w:rsidRDefault="00526F71">
    <w:pPr>
      <w:pStyle w:val="Header"/>
    </w:pPr>
  </w:p>
  <w:p w:rsidR="004621A4" w:rsidRDefault="004621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CD2" w:rsidRDefault="00EB5CD2" w:rsidP="00EB5CD2">
    <w:pPr>
      <w:pStyle w:val="Header"/>
    </w:pPr>
    <w:r>
      <w:t>TWF/47/23</w:t>
    </w:r>
  </w:p>
  <w:p w:rsidR="00EB5CD2" w:rsidRDefault="00EB5CD2">
    <w:pPr>
      <w:pStyle w:val="Header"/>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408381C"/>
    <w:multiLevelType w:val="hybridMultilevel"/>
    <w:tmpl w:val="E1844254"/>
    <w:lvl w:ilvl="0" w:tplc="E89C3D3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0F47281"/>
    <w:multiLevelType w:val="hybridMultilevel"/>
    <w:tmpl w:val="038A149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22944D62"/>
    <w:multiLevelType w:val="hybridMultilevel"/>
    <w:tmpl w:val="CB0C0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CE47C9"/>
    <w:multiLevelType w:val="hybridMultilevel"/>
    <w:tmpl w:val="233402B6"/>
    <w:lvl w:ilvl="0" w:tplc="371EFC48">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3104F1"/>
    <w:multiLevelType w:val="hybridMultilevel"/>
    <w:tmpl w:val="9DAA3494"/>
    <w:lvl w:ilvl="0" w:tplc="178E0748">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BBC5290"/>
    <w:multiLevelType w:val="hybridMultilevel"/>
    <w:tmpl w:val="6672B706"/>
    <w:lvl w:ilvl="0" w:tplc="C17C2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EC0636"/>
    <w:multiLevelType w:val="hybridMultilevel"/>
    <w:tmpl w:val="33BE8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5F35BB"/>
    <w:multiLevelType w:val="hybridMultilevel"/>
    <w:tmpl w:val="1EE206A8"/>
    <w:lvl w:ilvl="0" w:tplc="725C9E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5"/>
  </w:num>
  <w:num w:numId="14">
    <w:abstractNumId w:val="10"/>
  </w:num>
  <w:num w:numId="15">
    <w:abstractNumId w:val="16"/>
  </w:num>
  <w:num w:numId="16">
    <w:abstractNumId w:val="13"/>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18"/>
    <w:rsid w:val="00010CF3"/>
    <w:rsid w:val="00011E27"/>
    <w:rsid w:val="000148BC"/>
    <w:rsid w:val="0001741D"/>
    <w:rsid w:val="00024AB8"/>
    <w:rsid w:val="00030854"/>
    <w:rsid w:val="00036028"/>
    <w:rsid w:val="000374FC"/>
    <w:rsid w:val="00044642"/>
    <w:rsid w:val="000446B9"/>
    <w:rsid w:val="00047E21"/>
    <w:rsid w:val="0007220C"/>
    <w:rsid w:val="000752F8"/>
    <w:rsid w:val="00085505"/>
    <w:rsid w:val="00093638"/>
    <w:rsid w:val="000C7021"/>
    <w:rsid w:val="000D6BBC"/>
    <w:rsid w:val="000D7780"/>
    <w:rsid w:val="00105929"/>
    <w:rsid w:val="001131D5"/>
    <w:rsid w:val="001322D2"/>
    <w:rsid w:val="00141DB8"/>
    <w:rsid w:val="00145D87"/>
    <w:rsid w:val="0017474A"/>
    <w:rsid w:val="001758C6"/>
    <w:rsid w:val="00182B99"/>
    <w:rsid w:val="0018780B"/>
    <w:rsid w:val="001B4C92"/>
    <w:rsid w:val="001C543D"/>
    <w:rsid w:val="00206B1F"/>
    <w:rsid w:val="002112C7"/>
    <w:rsid w:val="0021332C"/>
    <w:rsid w:val="00213982"/>
    <w:rsid w:val="002305D1"/>
    <w:rsid w:val="0024416D"/>
    <w:rsid w:val="002708B8"/>
    <w:rsid w:val="002800A0"/>
    <w:rsid w:val="002801B3"/>
    <w:rsid w:val="00281060"/>
    <w:rsid w:val="002940E8"/>
    <w:rsid w:val="002978E4"/>
    <w:rsid w:val="002A6E50"/>
    <w:rsid w:val="002C256A"/>
    <w:rsid w:val="002D17C0"/>
    <w:rsid w:val="00305A7F"/>
    <w:rsid w:val="003152FE"/>
    <w:rsid w:val="00325CCF"/>
    <w:rsid w:val="00327436"/>
    <w:rsid w:val="00344BD6"/>
    <w:rsid w:val="0035528D"/>
    <w:rsid w:val="00361821"/>
    <w:rsid w:val="00371D50"/>
    <w:rsid w:val="003A1E50"/>
    <w:rsid w:val="003B3894"/>
    <w:rsid w:val="003D227C"/>
    <w:rsid w:val="003D2B4D"/>
    <w:rsid w:val="003E4429"/>
    <w:rsid w:val="00410C18"/>
    <w:rsid w:val="00444A88"/>
    <w:rsid w:val="004621A4"/>
    <w:rsid w:val="00474DA4"/>
    <w:rsid w:val="00476B4D"/>
    <w:rsid w:val="004805FA"/>
    <w:rsid w:val="004B60AC"/>
    <w:rsid w:val="004C0C16"/>
    <w:rsid w:val="004D047D"/>
    <w:rsid w:val="004F305A"/>
    <w:rsid w:val="00507C0F"/>
    <w:rsid w:val="00512164"/>
    <w:rsid w:val="00513132"/>
    <w:rsid w:val="00520297"/>
    <w:rsid w:val="00526F71"/>
    <w:rsid w:val="005338F9"/>
    <w:rsid w:val="0054281C"/>
    <w:rsid w:val="00551C24"/>
    <w:rsid w:val="0055268D"/>
    <w:rsid w:val="00576BE4"/>
    <w:rsid w:val="0057736E"/>
    <w:rsid w:val="00590476"/>
    <w:rsid w:val="005A400A"/>
    <w:rsid w:val="005D1676"/>
    <w:rsid w:val="0060168F"/>
    <w:rsid w:val="00612379"/>
    <w:rsid w:val="0061555F"/>
    <w:rsid w:val="00641200"/>
    <w:rsid w:val="0064149E"/>
    <w:rsid w:val="006655D3"/>
    <w:rsid w:val="00667404"/>
    <w:rsid w:val="00681435"/>
    <w:rsid w:val="00685222"/>
    <w:rsid w:val="00687EB4"/>
    <w:rsid w:val="006B17D2"/>
    <w:rsid w:val="006C224E"/>
    <w:rsid w:val="006C6175"/>
    <w:rsid w:val="006D780A"/>
    <w:rsid w:val="006E1436"/>
    <w:rsid w:val="00732DEC"/>
    <w:rsid w:val="00735BD5"/>
    <w:rsid w:val="007373F3"/>
    <w:rsid w:val="007556F6"/>
    <w:rsid w:val="00760EEF"/>
    <w:rsid w:val="00777EE5"/>
    <w:rsid w:val="00780E4A"/>
    <w:rsid w:val="00784836"/>
    <w:rsid w:val="0079023E"/>
    <w:rsid w:val="0079120B"/>
    <w:rsid w:val="007A2854"/>
    <w:rsid w:val="007C4E1B"/>
    <w:rsid w:val="007D0B9D"/>
    <w:rsid w:val="007D19B0"/>
    <w:rsid w:val="007F2F82"/>
    <w:rsid w:val="007F498F"/>
    <w:rsid w:val="0080679D"/>
    <w:rsid w:val="008108B0"/>
    <w:rsid w:val="00811B20"/>
    <w:rsid w:val="00814EAE"/>
    <w:rsid w:val="0082296E"/>
    <w:rsid w:val="00824099"/>
    <w:rsid w:val="00832298"/>
    <w:rsid w:val="00867AC1"/>
    <w:rsid w:val="008712BC"/>
    <w:rsid w:val="00876C58"/>
    <w:rsid w:val="00876D28"/>
    <w:rsid w:val="008843A4"/>
    <w:rsid w:val="008A4D6C"/>
    <w:rsid w:val="008A743F"/>
    <w:rsid w:val="008B3377"/>
    <w:rsid w:val="008B63C5"/>
    <w:rsid w:val="008C0970"/>
    <w:rsid w:val="008C2DA2"/>
    <w:rsid w:val="008D276A"/>
    <w:rsid w:val="008D2CF7"/>
    <w:rsid w:val="008F7805"/>
    <w:rsid w:val="00900C26"/>
    <w:rsid w:val="0090197F"/>
    <w:rsid w:val="00903656"/>
    <w:rsid w:val="00906DDC"/>
    <w:rsid w:val="00934E09"/>
    <w:rsid w:val="00936253"/>
    <w:rsid w:val="00952DD4"/>
    <w:rsid w:val="00970FED"/>
    <w:rsid w:val="00977F1F"/>
    <w:rsid w:val="00997029"/>
    <w:rsid w:val="009C0A7F"/>
    <w:rsid w:val="009D690D"/>
    <w:rsid w:val="009E196F"/>
    <w:rsid w:val="009E65B6"/>
    <w:rsid w:val="00A24C10"/>
    <w:rsid w:val="00A322CC"/>
    <w:rsid w:val="00A42AC3"/>
    <w:rsid w:val="00A430CF"/>
    <w:rsid w:val="00A53029"/>
    <w:rsid w:val="00A54309"/>
    <w:rsid w:val="00A92E04"/>
    <w:rsid w:val="00AB2B93"/>
    <w:rsid w:val="00AB530F"/>
    <w:rsid w:val="00AB7E5B"/>
    <w:rsid w:val="00AC6151"/>
    <w:rsid w:val="00AD10C8"/>
    <w:rsid w:val="00AE0EF1"/>
    <w:rsid w:val="00AE2937"/>
    <w:rsid w:val="00AF7C7F"/>
    <w:rsid w:val="00B07301"/>
    <w:rsid w:val="00B224DE"/>
    <w:rsid w:val="00B33455"/>
    <w:rsid w:val="00B46575"/>
    <w:rsid w:val="00B71144"/>
    <w:rsid w:val="00B84BBD"/>
    <w:rsid w:val="00B86D4C"/>
    <w:rsid w:val="00BA43FB"/>
    <w:rsid w:val="00BB0967"/>
    <w:rsid w:val="00BC127D"/>
    <w:rsid w:val="00BC1FE6"/>
    <w:rsid w:val="00C061B6"/>
    <w:rsid w:val="00C2446C"/>
    <w:rsid w:val="00C3281C"/>
    <w:rsid w:val="00C36AE5"/>
    <w:rsid w:val="00C40956"/>
    <w:rsid w:val="00C41F17"/>
    <w:rsid w:val="00C5280D"/>
    <w:rsid w:val="00C5791C"/>
    <w:rsid w:val="00C66290"/>
    <w:rsid w:val="00C72B7A"/>
    <w:rsid w:val="00C815DB"/>
    <w:rsid w:val="00C85A68"/>
    <w:rsid w:val="00C912B4"/>
    <w:rsid w:val="00C973F2"/>
    <w:rsid w:val="00CA304C"/>
    <w:rsid w:val="00CA774A"/>
    <w:rsid w:val="00CC11B0"/>
    <w:rsid w:val="00CC2FD6"/>
    <w:rsid w:val="00CF7E36"/>
    <w:rsid w:val="00D05AE3"/>
    <w:rsid w:val="00D3708D"/>
    <w:rsid w:val="00D40426"/>
    <w:rsid w:val="00D57C96"/>
    <w:rsid w:val="00D834CA"/>
    <w:rsid w:val="00D91203"/>
    <w:rsid w:val="00D95174"/>
    <w:rsid w:val="00DA6317"/>
    <w:rsid w:val="00DA6F36"/>
    <w:rsid w:val="00DB596E"/>
    <w:rsid w:val="00DB7773"/>
    <w:rsid w:val="00DC00EA"/>
    <w:rsid w:val="00DF474C"/>
    <w:rsid w:val="00E01596"/>
    <w:rsid w:val="00E32F7E"/>
    <w:rsid w:val="00E42C2C"/>
    <w:rsid w:val="00E72D49"/>
    <w:rsid w:val="00E7593C"/>
    <w:rsid w:val="00E7678A"/>
    <w:rsid w:val="00E935F1"/>
    <w:rsid w:val="00E94A81"/>
    <w:rsid w:val="00EA1FFB"/>
    <w:rsid w:val="00EB048E"/>
    <w:rsid w:val="00EB5CD2"/>
    <w:rsid w:val="00EC0D4D"/>
    <w:rsid w:val="00ED6529"/>
    <w:rsid w:val="00EE34DF"/>
    <w:rsid w:val="00EF2F89"/>
    <w:rsid w:val="00F1237A"/>
    <w:rsid w:val="00F22CBD"/>
    <w:rsid w:val="00F45372"/>
    <w:rsid w:val="00F51706"/>
    <w:rsid w:val="00F53293"/>
    <w:rsid w:val="00F560F7"/>
    <w:rsid w:val="00F6334D"/>
    <w:rsid w:val="00F81C46"/>
    <w:rsid w:val="00FA49AB"/>
    <w:rsid w:val="00FA7459"/>
    <w:rsid w:val="00FD3F07"/>
    <w:rsid w:val="00FD54E2"/>
    <w:rsid w:val="00FE39C7"/>
    <w:rsid w:val="00FF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2708B8"/>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0752F8"/>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odyText2">
    <w:name w:val="Body Text 2"/>
    <w:basedOn w:val="Normal"/>
    <w:link w:val="BodyText2Char"/>
    <w:rsid w:val="00410C18"/>
    <w:pPr>
      <w:tabs>
        <w:tab w:val="left" w:pos="-720"/>
      </w:tabs>
      <w:suppressAutoHyphens/>
      <w:overflowPunct w:val="0"/>
      <w:autoSpaceDE w:val="0"/>
      <w:autoSpaceDN w:val="0"/>
      <w:adjustRightInd w:val="0"/>
      <w:ind w:left="284"/>
      <w:textAlignment w:val="baseline"/>
    </w:pPr>
    <w:rPr>
      <w:rFonts w:ascii="TmsRmn 12pt" w:hAnsi="TmsRmn 12pt"/>
      <w:spacing w:val="-3"/>
      <w:sz w:val="24"/>
      <w:lang w:val="en-GB" w:eastAsia="en-GB"/>
    </w:rPr>
  </w:style>
  <w:style w:type="character" w:customStyle="1" w:styleId="BodyText2Char">
    <w:name w:val="Body Text 2 Char"/>
    <w:basedOn w:val="DefaultParagraphFont"/>
    <w:link w:val="BodyText2"/>
    <w:rsid w:val="00410C18"/>
    <w:rPr>
      <w:rFonts w:ascii="TmsRmn 12pt" w:hAnsi="TmsRmn 12pt"/>
      <w:spacing w:val="-3"/>
      <w:sz w:val="24"/>
      <w:lang w:val="en-GB" w:eastAsia="en-GB"/>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A4D6C"/>
    <w:rPr>
      <w:rFonts w:ascii="Tahoma" w:hAnsi="Tahoma" w:cs="Tahoma"/>
      <w:sz w:val="16"/>
      <w:szCs w:val="16"/>
    </w:rPr>
  </w:style>
  <w:style w:type="character" w:customStyle="1" w:styleId="BalloonTextChar">
    <w:name w:val="Balloon Text Char"/>
    <w:basedOn w:val="DefaultParagraphFont"/>
    <w:link w:val="BalloonText"/>
    <w:rsid w:val="008A4D6C"/>
    <w:rPr>
      <w:rFonts w:ascii="Tahoma" w:hAnsi="Tahoma" w:cs="Tahoma"/>
      <w:sz w:val="16"/>
      <w:szCs w:val="16"/>
    </w:rPr>
  </w:style>
  <w:style w:type="paragraph" w:customStyle="1" w:styleId="Style1">
    <w:name w:val="Style1"/>
    <w:basedOn w:val="Normal"/>
    <w:rsid w:val="002112C7"/>
    <w:pPr>
      <w:tabs>
        <w:tab w:val="decimal" w:pos="907"/>
        <w:tab w:val="left" w:pos="1077"/>
      </w:tabs>
    </w:pPr>
    <w:rPr>
      <w:rFonts w:ascii="Times New Roman" w:hAnsi="Times New Roman"/>
      <w:sz w:val="24"/>
      <w:szCs w:val="24"/>
      <w:lang w:eastAsia="ja-JP"/>
    </w:rPr>
  </w:style>
  <w:style w:type="paragraph" w:styleId="ListParagraph">
    <w:name w:val="List Paragraph"/>
    <w:basedOn w:val="Normal"/>
    <w:uiPriority w:val="34"/>
    <w:qFormat/>
    <w:rsid w:val="00A322CC"/>
    <w:pPr>
      <w:ind w:left="720"/>
      <w:contextualSpacing/>
    </w:pPr>
  </w:style>
  <w:style w:type="character" w:customStyle="1" w:styleId="HeaderChar">
    <w:name w:val="Header Char"/>
    <w:basedOn w:val="DefaultParagraphFont"/>
    <w:link w:val="Header"/>
    <w:uiPriority w:val="99"/>
    <w:rsid w:val="00ED6529"/>
    <w:rPr>
      <w:rFonts w:ascii="Arial" w:hAnsi="Arial"/>
    </w:rPr>
  </w:style>
  <w:style w:type="table" w:styleId="TableGrid">
    <w:name w:val="Table Grid"/>
    <w:basedOn w:val="TableNormal"/>
    <w:uiPriority w:val="59"/>
    <w:rsid w:val="00977F1F"/>
    <w:rPr>
      <w:rFonts w:asciiTheme="minorHAnsi" w:eastAsiaTheme="minorHAnsi" w:hAnsiTheme="minorHAnsi" w:cstheme="minorBid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C6151"/>
    <w:rPr>
      <w:sz w:val="16"/>
      <w:szCs w:val="16"/>
    </w:rPr>
  </w:style>
  <w:style w:type="paragraph" w:styleId="CommentText">
    <w:name w:val="annotation text"/>
    <w:basedOn w:val="Normal"/>
    <w:link w:val="CommentTextChar"/>
    <w:rsid w:val="00AC6151"/>
    <w:pPr>
      <w:spacing w:after="120"/>
      <w:jc w:val="left"/>
    </w:pPr>
    <w:rPr>
      <w:rFonts w:ascii="Tahoma" w:eastAsia="Cambria" w:hAnsi="Tahoma"/>
    </w:rPr>
  </w:style>
  <w:style w:type="character" w:customStyle="1" w:styleId="CommentTextChar">
    <w:name w:val="Comment Text Char"/>
    <w:basedOn w:val="DefaultParagraphFont"/>
    <w:link w:val="CommentText"/>
    <w:rsid w:val="00AC6151"/>
    <w:rPr>
      <w:rFonts w:ascii="Tahoma" w:eastAsia="Cambri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2708B8"/>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0752F8"/>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odyText2">
    <w:name w:val="Body Text 2"/>
    <w:basedOn w:val="Normal"/>
    <w:link w:val="BodyText2Char"/>
    <w:rsid w:val="00410C18"/>
    <w:pPr>
      <w:tabs>
        <w:tab w:val="left" w:pos="-720"/>
      </w:tabs>
      <w:suppressAutoHyphens/>
      <w:overflowPunct w:val="0"/>
      <w:autoSpaceDE w:val="0"/>
      <w:autoSpaceDN w:val="0"/>
      <w:adjustRightInd w:val="0"/>
      <w:ind w:left="284"/>
      <w:textAlignment w:val="baseline"/>
    </w:pPr>
    <w:rPr>
      <w:rFonts w:ascii="TmsRmn 12pt" w:hAnsi="TmsRmn 12pt"/>
      <w:spacing w:val="-3"/>
      <w:sz w:val="24"/>
      <w:lang w:val="en-GB" w:eastAsia="en-GB"/>
    </w:rPr>
  </w:style>
  <w:style w:type="character" w:customStyle="1" w:styleId="BodyText2Char">
    <w:name w:val="Body Text 2 Char"/>
    <w:basedOn w:val="DefaultParagraphFont"/>
    <w:link w:val="BodyText2"/>
    <w:rsid w:val="00410C18"/>
    <w:rPr>
      <w:rFonts w:ascii="TmsRmn 12pt" w:hAnsi="TmsRmn 12pt"/>
      <w:spacing w:val="-3"/>
      <w:sz w:val="24"/>
      <w:lang w:val="en-GB" w:eastAsia="en-GB"/>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A4D6C"/>
    <w:rPr>
      <w:rFonts w:ascii="Tahoma" w:hAnsi="Tahoma" w:cs="Tahoma"/>
      <w:sz w:val="16"/>
      <w:szCs w:val="16"/>
    </w:rPr>
  </w:style>
  <w:style w:type="character" w:customStyle="1" w:styleId="BalloonTextChar">
    <w:name w:val="Balloon Text Char"/>
    <w:basedOn w:val="DefaultParagraphFont"/>
    <w:link w:val="BalloonText"/>
    <w:rsid w:val="008A4D6C"/>
    <w:rPr>
      <w:rFonts w:ascii="Tahoma" w:hAnsi="Tahoma" w:cs="Tahoma"/>
      <w:sz w:val="16"/>
      <w:szCs w:val="16"/>
    </w:rPr>
  </w:style>
  <w:style w:type="paragraph" w:customStyle="1" w:styleId="Style1">
    <w:name w:val="Style1"/>
    <w:basedOn w:val="Normal"/>
    <w:rsid w:val="002112C7"/>
    <w:pPr>
      <w:tabs>
        <w:tab w:val="decimal" w:pos="907"/>
        <w:tab w:val="left" w:pos="1077"/>
      </w:tabs>
    </w:pPr>
    <w:rPr>
      <w:rFonts w:ascii="Times New Roman" w:hAnsi="Times New Roman"/>
      <w:sz w:val="24"/>
      <w:szCs w:val="24"/>
      <w:lang w:eastAsia="ja-JP"/>
    </w:rPr>
  </w:style>
  <w:style w:type="paragraph" w:styleId="ListParagraph">
    <w:name w:val="List Paragraph"/>
    <w:basedOn w:val="Normal"/>
    <w:uiPriority w:val="34"/>
    <w:qFormat/>
    <w:rsid w:val="00A322CC"/>
    <w:pPr>
      <w:ind w:left="720"/>
      <w:contextualSpacing/>
    </w:pPr>
  </w:style>
  <w:style w:type="character" w:customStyle="1" w:styleId="HeaderChar">
    <w:name w:val="Header Char"/>
    <w:basedOn w:val="DefaultParagraphFont"/>
    <w:link w:val="Header"/>
    <w:uiPriority w:val="99"/>
    <w:rsid w:val="00ED6529"/>
    <w:rPr>
      <w:rFonts w:ascii="Arial" w:hAnsi="Arial"/>
    </w:rPr>
  </w:style>
  <w:style w:type="table" w:styleId="TableGrid">
    <w:name w:val="Table Grid"/>
    <w:basedOn w:val="TableNormal"/>
    <w:uiPriority w:val="59"/>
    <w:rsid w:val="00977F1F"/>
    <w:rPr>
      <w:rFonts w:asciiTheme="minorHAnsi" w:eastAsiaTheme="minorHAnsi" w:hAnsiTheme="minorHAnsi" w:cstheme="minorBid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C6151"/>
    <w:rPr>
      <w:sz w:val="16"/>
      <w:szCs w:val="16"/>
    </w:rPr>
  </w:style>
  <w:style w:type="paragraph" w:styleId="CommentText">
    <w:name w:val="annotation text"/>
    <w:basedOn w:val="Normal"/>
    <w:link w:val="CommentTextChar"/>
    <w:rsid w:val="00AC6151"/>
    <w:pPr>
      <w:spacing w:after="120"/>
      <w:jc w:val="left"/>
    </w:pPr>
    <w:rPr>
      <w:rFonts w:ascii="Tahoma" w:eastAsia="Cambria" w:hAnsi="Tahoma"/>
    </w:rPr>
  </w:style>
  <w:style w:type="character" w:customStyle="1" w:styleId="CommentTextChar">
    <w:name w:val="Comment Text Char"/>
    <w:basedOn w:val="DefaultParagraphFont"/>
    <w:link w:val="CommentText"/>
    <w:rsid w:val="00AC6151"/>
    <w:rPr>
      <w:rFonts w:ascii="Tahoma" w:eastAsia="Cambri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239650">
      <w:bodyDiv w:val="1"/>
      <w:marLeft w:val="0"/>
      <w:marRight w:val="0"/>
      <w:marTop w:val="0"/>
      <w:marBottom w:val="0"/>
      <w:divBdr>
        <w:top w:val="none" w:sz="0" w:space="0" w:color="auto"/>
        <w:left w:val="none" w:sz="0" w:space="0" w:color="auto"/>
        <w:bottom w:val="none" w:sz="0" w:space="0" w:color="auto"/>
        <w:right w:val="none" w:sz="0" w:space="0" w:color="auto"/>
      </w:divBdr>
    </w:div>
    <w:div w:id="1205562331">
      <w:bodyDiv w:val="1"/>
      <w:marLeft w:val="0"/>
      <w:marRight w:val="0"/>
      <w:marTop w:val="0"/>
      <w:marBottom w:val="0"/>
      <w:divBdr>
        <w:top w:val="none" w:sz="0" w:space="0" w:color="auto"/>
        <w:left w:val="none" w:sz="0" w:space="0" w:color="auto"/>
        <w:bottom w:val="none" w:sz="0" w:space="0" w:color="auto"/>
        <w:right w:val="none" w:sz="0" w:space="0" w:color="auto"/>
      </w:divBdr>
    </w:div>
    <w:div w:id="1740245761">
      <w:bodyDiv w:val="1"/>
      <w:marLeft w:val="0"/>
      <w:marRight w:val="0"/>
      <w:marTop w:val="0"/>
      <w:marBottom w:val="0"/>
      <w:divBdr>
        <w:top w:val="none" w:sz="0" w:space="0" w:color="auto"/>
        <w:left w:val="none" w:sz="0" w:space="0" w:color="auto"/>
        <w:bottom w:val="none" w:sz="0" w:space="0" w:color="auto"/>
        <w:right w:val="none" w:sz="0" w:space="0" w:color="auto"/>
      </w:divBdr>
    </w:div>
    <w:div w:id="1994680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6\Template\two_4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83834-7221-443B-A8B3-2D2D8F97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two_46</Template>
  <TotalTime>252</TotalTime>
  <Pages>6</Pages>
  <Words>1130</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MAY Jessica</cp:lastModifiedBy>
  <cp:revision>7</cp:revision>
  <cp:lastPrinted>2016-11-07T08:57:00Z</cp:lastPrinted>
  <dcterms:created xsi:type="dcterms:W3CDTF">2016-11-04T10:46:00Z</dcterms:created>
  <dcterms:modified xsi:type="dcterms:W3CDTF">2016-11-08T09:34:00Z</dcterms:modified>
</cp:coreProperties>
</file>