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A6912" w:rsidRPr="00C5280D" w:rsidTr="00341DDD">
        <w:trPr>
          <w:trHeight w:val="1760"/>
        </w:trPr>
        <w:tc>
          <w:tcPr>
            <w:tcW w:w="4243" w:type="dxa"/>
          </w:tcPr>
          <w:p w:rsidR="00BA6912" w:rsidRPr="00C5280D" w:rsidRDefault="00BA6912" w:rsidP="00341DDD"/>
        </w:tc>
        <w:tc>
          <w:tcPr>
            <w:tcW w:w="1646" w:type="dxa"/>
            <w:vAlign w:val="center"/>
          </w:tcPr>
          <w:p w:rsidR="00BA6912" w:rsidRPr="00C5280D" w:rsidRDefault="00BA6912" w:rsidP="00341DDD">
            <w:pPr>
              <w:pStyle w:val="LogoUPOV"/>
            </w:pPr>
            <w:r>
              <w:rPr>
                <w:noProof/>
              </w:rPr>
              <w:drawing>
                <wp:inline distT="0" distB="0" distL="0" distR="0" wp14:anchorId="0E283147" wp14:editId="36F72C70">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BA6912" w:rsidRPr="00C5280D" w:rsidRDefault="00BA6912" w:rsidP="00341DDD">
            <w:pPr>
              <w:pStyle w:val="Lettrine"/>
            </w:pPr>
            <w:r w:rsidRPr="00C5280D">
              <w:t>E</w:t>
            </w:r>
          </w:p>
          <w:p w:rsidR="00BA6912" w:rsidRPr="00C5280D" w:rsidRDefault="00BA6912" w:rsidP="00341DDD">
            <w:pPr>
              <w:pStyle w:val="Docoriginal"/>
            </w:pPr>
            <w:r>
              <w:t>TWF/46/6</w:t>
            </w:r>
          </w:p>
          <w:p w:rsidR="00BA6912" w:rsidRPr="00B46575" w:rsidRDefault="00BA6912" w:rsidP="00341DDD">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BA6912" w:rsidRPr="00C5280D" w:rsidRDefault="00BA6912" w:rsidP="00C22369">
            <w:pPr>
              <w:pStyle w:val="Docoriginal"/>
            </w:pPr>
            <w:r w:rsidRPr="00B46575">
              <w:rPr>
                <w:spacing w:val="0"/>
              </w:rPr>
              <w:t>DATE:</w:t>
            </w:r>
            <w:r w:rsidRPr="00B46575">
              <w:rPr>
                <w:rStyle w:val="StyleDocoriginalNotBold1"/>
                <w:spacing w:val="0"/>
              </w:rPr>
              <w:t xml:space="preserve"> </w:t>
            </w:r>
            <w:r w:rsidR="00C22369">
              <w:rPr>
                <w:rStyle w:val="StyleDocoriginalNotBold1"/>
                <w:spacing w:val="0"/>
              </w:rPr>
              <w:t>July 22, 2015</w:t>
            </w:r>
          </w:p>
        </w:tc>
      </w:tr>
      <w:tr w:rsidR="00BA6912" w:rsidRPr="00C5280D" w:rsidTr="00341DDD">
        <w:tc>
          <w:tcPr>
            <w:tcW w:w="10131" w:type="dxa"/>
            <w:gridSpan w:val="3"/>
          </w:tcPr>
          <w:p w:rsidR="00BA6912" w:rsidRPr="00C5280D" w:rsidRDefault="00BA6912" w:rsidP="00341DDD">
            <w:pPr>
              <w:pStyle w:val="upove"/>
              <w:rPr>
                <w:sz w:val="28"/>
              </w:rPr>
            </w:pPr>
            <w:r w:rsidRPr="00C5280D">
              <w:rPr>
                <w:snapToGrid w:val="0"/>
              </w:rPr>
              <w:t xml:space="preserve">INTERNATIONAL UNION FOR THE PROTECTION OF NEW VARIETIES OF PLANTS </w:t>
            </w:r>
          </w:p>
        </w:tc>
      </w:tr>
      <w:tr w:rsidR="00BA6912" w:rsidRPr="00C5280D" w:rsidTr="00341DDD">
        <w:tc>
          <w:tcPr>
            <w:tcW w:w="10131" w:type="dxa"/>
            <w:gridSpan w:val="3"/>
          </w:tcPr>
          <w:p w:rsidR="00BA6912" w:rsidRPr="00C5280D" w:rsidRDefault="00BA6912" w:rsidP="00341DDD">
            <w:pPr>
              <w:pStyle w:val="Country"/>
            </w:pPr>
            <w:r w:rsidRPr="00C5280D">
              <w:t>Geneva</w:t>
            </w:r>
          </w:p>
        </w:tc>
      </w:tr>
    </w:tbl>
    <w:p w:rsidR="00BA6912" w:rsidRPr="00C5280D" w:rsidRDefault="00BA6912" w:rsidP="00BA6912">
      <w:pPr>
        <w:pStyle w:val="Sessiontc"/>
      </w:pPr>
      <w:r w:rsidRPr="00C5280D">
        <w:t xml:space="preserve">Technical </w:t>
      </w:r>
      <w:r>
        <w:t>working party for fruit cropS</w:t>
      </w:r>
    </w:p>
    <w:p w:rsidR="00BA6912" w:rsidRPr="00C5280D" w:rsidRDefault="00BA6912" w:rsidP="00BA6912">
      <w:pPr>
        <w:pStyle w:val="Sessiontcplacedate"/>
      </w:pPr>
      <w:r w:rsidRPr="00C5280D">
        <w:t>Forty-</w:t>
      </w:r>
      <w:r>
        <w:t xml:space="preserve">Sixth </w:t>
      </w:r>
      <w:r w:rsidRPr="00C5280D">
        <w:t>Session</w:t>
      </w:r>
      <w:bookmarkStart w:id="0" w:name="_GoBack"/>
      <w:bookmarkEnd w:id="0"/>
      <w:r w:rsidRPr="00C5280D">
        <w:br/>
      </w:r>
      <w:r w:rsidRPr="005923C6">
        <w:rPr>
          <w:rFonts w:cs="Arial"/>
        </w:rPr>
        <w:t>Mpumalanga, South Africa</w:t>
      </w:r>
      <w:r w:rsidRPr="00C5280D">
        <w:t>,</w:t>
      </w:r>
      <w:r>
        <w:t xml:space="preserve"> August 24 to 28, 2015</w:t>
      </w:r>
    </w:p>
    <w:p w:rsidR="000B7667" w:rsidRPr="00C5280D" w:rsidRDefault="000B7667" w:rsidP="000B7667">
      <w:pPr>
        <w:pStyle w:val="Titleofdoc0"/>
      </w:pPr>
      <w:r w:rsidRPr="00074801">
        <w:t>Variety description databases</w:t>
      </w:r>
      <w:r w:rsidRPr="002322FD">
        <w:t xml:space="preserve"> </w:t>
      </w:r>
    </w:p>
    <w:p w:rsidR="000B7667" w:rsidRPr="00C5280D" w:rsidRDefault="000B7667" w:rsidP="000B7667">
      <w:pPr>
        <w:pStyle w:val="preparedby1"/>
      </w:pPr>
      <w:bookmarkStart w:id="1" w:name="Prepared"/>
      <w:bookmarkEnd w:id="1"/>
      <w:r w:rsidRPr="00544BE7">
        <w:t>Document pre</w:t>
      </w:r>
      <w:r w:rsidRPr="00C5280D">
        <w:t>pared by the Office of the Union</w:t>
      </w:r>
      <w:r>
        <w:br/>
      </w:r>
      <w:r>
        <w:br/>
      </w:r>
      <w:r w:rsidRPr="00813956">
        <w:rPr>
          <w:color w:val="A6A6A6"/>
        </w:rPr>
        <w:t>Disclaimer:  this document does not represent UPOV policies or guidance</w:t>
      </w:r>
    </w:p>
    <w:p w:rsidR="00502C30" w:rsidRDefault="00502C30" w:rsidP="00EF74EB">
      <w:pPr>
        <w:rPr>
          <w:rFonts w:cs="Arial"/>
        </w:rPr>
      </w:pPr>
      <w:r>
        <w:rPr>
          <w:rFonts w:cs="Arial"/>
        </w:rPr>
        <w:t>EXECUTIVE SUMMARY</w:t>
      </w:r>
    </w:p>
    <w:p w:rsidR="00502C30" w:rsidRDefault="00502C30" w:rsidP="00EF74EB">
      <w:pPr>
        <w:rPr>
          <w:rFonts w:cs="Arial"/>
        </w:rPr>
      </w:pPr>
    </w:p>
    <w:p w:rsidR="00EF74EB" w:rsidRPr="000B7667" w:rsidRDefault="000B7667" w:rsidP="00EF74EB">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 xml:space="preserve">The purpose of this document is to report on developments since the fiftieth session of the Technical Committee (TC), concerning </w:t>
      </w:r>
      <w:r w:rsidRPr="009F09D0">
        <w:rPr>
          <w:rFonts w:cs="Arial"/>
          <w:snapToGrid w:val="0"/>
          <w:szCs w:val="24"/>
        </w:rPr>
        <w:t>variety description databases.</w:t>
      </w:r>
      <w:r w:rsidR="009F09D0" w:rsidRPr="009F09D0">
        <w:rPr>
          <w:rFonts w:cs="Arial"/>
          <w:snapToGrid w:val="0"/>
          <w:szCs w:val="24"/>
        </w:rPr>
        <w:t xml:space="preserve"> </w:t>
      </w:r>
    </w:p>
    <w:p w:rsidR="000B7667" w:rsidRDefault="000B7667" w:rsidP="000B7667">
      <w:pPr>
        <w:rPr>
          <w:rFonts w:cs="Arial"/>
        </w:rPr>
      </w:pPr>
    </w:p>
    <w:p w:rsidR="00502C30" w:rsidRPr="00502C30" w:rsidRDefault="00502C30" w:rsidP="00502C30">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B23407">
        <w:rPr>
          <w:rFonts w:cs="Arial"/>
        </w:rPr>
        <w:t xml:space="preserve">The </w:t>
      </w:r>
      <w:r w:rsidR="00BA6912">
        <w:rPr>
          <w:rFonts w:cs="Arial"/>
        </w:rPr>
        <w:t>TWF</w:t>
      </w:r>
      <w:r w:rsidRPr="00502C30">
        <w:rPr>
          <w:rFonts w:cs="Arial"/>
        </w:rPr>
        <w:t xml:space="preserve"> is invited to note that:</w:t>
      </w:r>
    </w:p>
    <w:p w:rsidR="00502C30" w:rsidRPr="00502C30" w:rsidRDefault="00502C30" w:rsidP="00502C30">
      <w:pPr>
        <w:rPr>
          <w:rFonts w:cs="Arial"/>
        </w:rPr>
      </w:pPr>
    </w:p>
    <w:p w:rsidR="00502C30" w:rsidRPr="00502C30" w:rsidRDefault="00502C30" w:rsidP="00502C30">
      <w:pPr>
        <w:rPr>
          <w:rFonts w:cs="Arial"/>
        </w:rPr>
      </w:pPr>
      <w:r w:rsidRPr="00502C30">
        <w:rPr>
          <w:rFonts w:cs="Arial"/>
        </w:rPr>
        <w:tab/>
        <w:t>(a)</w:t>
      </w:r>
      <w:r w:rsidRPr="00502C30">
        <w:rPr>
          <w:rFonts w:cs="Arial"/>
        </w:rPr>
        <w:tab/>
        <w:t xml:space="preserve"> the TWC has invited an expert from China to present the analysis of variance for the interaction “variety x location” (environment) of the QN characteristics considered in the study using the statistical module of the new software “DUSTC” developed by China for presentation at its thirty-third session;</w:t>
      </w:r>
    </w:p>
    <w:p w:rsidR="00502C30" w:rsidRPr="00502C30" w:rsidRDefault="00502C30" w:rsidP="00502C30">
      <w:pPr>
        <w:rPr>
          <w:rFonts w:cs="Arial"/>
        </w:rPr>
      </w:pPr>
    </w:p>
    <w:p w:rsidR="00502C30" w:rsidRDefault="00502C30" w:rsidP="00502C30">
      <w:pPr>
        <w:rPr>
          <w:rFonts w:cs="Arial"/>
        </w:rPr>
      </w:pPr>
      <w:r w:rsidRPr="00502C30">
        <w:rPr>
          <w:rFonts w:cs="Arial"/>
        </w:rPr>
        <w:tab/>
        <w:t>(b)</w:t>
      </w:r>
      <w:r w:rsidRPr="00502C30">
        <w:rPr>
          <w:rFonts w:cs="Arial"/>
        </w:rPr>
        <w:tab/>
      </w:r>
      <w:proofErr w:type="gramStart"/>
      <w:r w:rsidRPr="00502C30">
        <w:rPr>
          <w:rFonts w:cs="Arial"/>
        </w:rPr>
        <w:t>the</w:t>
      </w:r>
      <w:proofErr w:type="gramEnd"/>
      <w:r w:rsidRPr="00502C30">
        <w:rPr>
          <w:rFonts w:cs="Arial"/>
        </w:rPr>
        <w:t xml:space="preserve"> TC agreed to include a discussion item on facilitating the development of databases at its fifty-second session.  </w:t>
      </w:r>
    </w:p>
    <w:p w:rsidR="00502C30" w:rsidRDefault="00502C30" w:rsidP="000B7667">
      <w:pPr>
        <w:rPr>
          <w:rFonts w:cs="Arial"/>
        </w:rPr>
      </w:pPr>
    </w:p>
    <w:p w:rsidR="00502C30" w:rsidRDefault="00502C30" w:rsidP="00502C30">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502C30" w:rsidRDefault="00502C30" w:rsidP="00502C30">
      <w:pPr>
        <w:rPr>
          <w:rFonts w:cs="Arial"/>
        </w:rPr>
      </w:pPr>
    </w:p>
    <w:p w:rsidR="00502C30" w:rsidRDefault="00502C30" w:rsidP="00502C30">
      <w:pPr>
        <w:pStyle w:val="TOC1"/>
        <w:rPr>
          <w:rFonts w:asciiTheme="minorHAnsi" w:eastAsiaTheme="minorEastAsia" w:hAnsiTheme="minorHAnsi" w:cstheme="minorBidi"/>
          <w:caps w:val="0"/>
          <w:sz w:val="22"/>
          <w:szCs w:val="22"/>
        </w:rPr>
      </w:pPr>
      <w:r w:rsidRPr="000D5A9E">
        <w:rPr>
          <w:rFonts w:ascii="Calibri" w:hAnsi="Calibri"/>
          <w:b/>
          <w:bCs/>
        </w:rPr>
        <w:fldChar w:fldCharType="begin"/>
      </w:r>
      <w:r w:rsidRPr="000D5A9E">
        <w:instrText xml:space="preserve"> TOC \o "1-3" \h \z \u </w:instrText>
      </w:r>
      <w:r w:rsidRPr="000D5A9E">
        <w:rPr>
          <w:rFonts w:ascii="Calibri" w:hAnsi="Calibri"/>
          <w:b/>
          <w:bCs/>
        </w:rPr>
        <w:fldChar w:fldCharType="separate"/>
      </w:r>
      <w:hyperlink w:anchor="_Toc419207578" w:history="1">
        <w:r w:rsidRPr="00B7452E">
          <w:rPr>
            <w:rStyle w:val="Hyperlink"/>
          </w:rPr>
          <w:t>Background</w:t>
        </w:r>
        <w:r>
          <w:rPr>
            <w:webHidden/>
          </w:rPr>
          <w:tab/>
        </w:r>
        <w:r>
          <w:rPr>
            <w:webHidden/>
          </w:rPr>
          <w:fldChar w:fldCharType="begin"/>
        </w:r>
        <w:r>
          <w:rPr>
            <w:webHidden/>
          </w:rPr>
          <w:instrText xml:space="preserve"> PAGEREF _Toc419207578 \h </w:instrText>
        </w:r>
        <w:r>
          <w:rPr>
            <w:webHidden/>
          </w:rPr>
        </w:r>
        <w:r>
          <w:rPr>
            <w:webHidden/>
          </w:rPr>
          <w:fldChar w:fldCharType="separate"/>
        </w:r>
        <w:r w:rsidR="00C22369">
          <w:rPr>
            <w:webHidden/>
          </w:rPr>
          <w:t>1</w:t>
        </w:r>
        <w:r>
          <w:rPr>
            <w:webHidden/>
          </w:rPr>
          <w:fldChar w:fldCharType="end"/>
        </w:r>
      </w:hyperlink>
    </w:p>
    <w:p w:rsidR="00502C30" w:rsidRDefault="00C22369" w:rsidP="00502C30">
      <w:pPr>
        <w:pStyle w:val="TOC1"/>
        <w:rPr>
          <w:rStyle w:val="Hyperlink"/>
        </w:rPr>
      </w:pPr>
      <w:hyperlink w:anchor="_Toc419207579" w:history="1">
        <w:r w:rsidR="00502C30" w:rsidRPr="00B7452E">
          <w:rPr>
            <w:rStyle w:val="Hyperlink"/>
            <w:snapToGrid w:val="0"/>
          </w:rPr>
          <w:t>Developments in 2015</w:t>
        </w:r>
        <w:r w:rsidR="00502C30">
          <w:rPr>
            <w:webHidden/>
          </w:rPr>
          <w:tab/>
        </w:r>
        <w:r w:rsidR="00502C30">
          <w:rPr>
            <w:webHidden/>
          </w:rPr>
          <w:fldChar w:fldCharType="begin"/>
        </w:r>
        <w:r w:rsidR="00502C30">
          <w:rPr>
            <w:webHidden/>
          </w:rPr>
          <w:instrText xml:space="preserve"> PAGEREF _Toc419207579 \h </w:instrText>
        </w:r>
        <w:r w:rsidR="00502C30">
          <w:rPr>
            <w:webHidden/>
          </w:rPr>
        </w:r>
        <w:r w:rsidR="00502C30">
          <w:rPr>
            <w:webHidden/>
          </w:rPr>
          <w:fldChar w:fldCharType="separate"/>
        </w:r>
        <w:r>
          <w:rPr>
            <w:webHidden/>
          </w:rPr>
          <w:t>2</w:t>
        </w:r>
        <w:r w:rsidR="00502C30">
          <w:rPr>
            <w:webHidden/>
          </w:rPr>
          <w:fldChar w:fldCharType="end"/>
        </w:r>
      </w:hyperlink>
    </w:p>
    <w:p w:rsidR="00502C30" w:rsidRPr="00502C30" w:rsidRDefault="00502C30" w:rsidP="00502C30">
      <w:pPr>
        <w:rPr>
          <w:rFonts w:eastAsiaTheme="minorEastAsia"/>
          <w:noProof/>
        </w:rPr>
      </w:pPr>
    </w:p>
    <w:p w:rsidR="000B7667" w:rsidRPr="004F1C91" w:rsidRDefault="00502C30" w:rsidP="00502C30">
      <w:pPr>
        <w:rPr>
          <w:rFonts w:cs="Arial"/>
          <w:color w:val="000000"/>
        </w:rPr>
      </w:pPr>
      <w:r w:rsidRPr="000D5A9E">
        <w:rPr>
          <w:rFonts w:cs="Arial"/>
        </w:rPr>
        <w:fldChar w:fldCharType="end"/>
      </w:r>
      <w:r w:rsidR="000B7667" w:rsidRPr="004F1C91">
        <w:rPr>
          <w:rFonts w:cs="Arial"/>
          <w:color w:val="000000"/>
        </w:rPr>
        <w:fldChar w:fldCharType="begin"/>
      </w:r>
      <w:r w:rsidR="000B7667" w:rsidRPr="004F1C91">
        <w:rPr>
          <w:rFonts w:cs="Arial"/>
          <w:color w:val="000000"/>
        </w:rPr>
        <w:instrText xml:space="preserve"> AUTONUM  </w:instrText>
      </w:r>
      <w:r w:rsidR="000B7667" w:rsidRPr="004F1C91">
        <w:rPr>
          <w:rFonts w:cs="Arial"/>
          <w:color w:val="000000"/>
        </w:rPr>
        <w:fldChar w:fldCharType="end"/>
      </w:r>
      <w:r w:rsidR="000B7667" w:rsidRPr="004F1C91">
        <w:rPr>
          <w:rFonts w:cs="Arial"/>
          <w:color w:val="000000"/>
        </w:rPr>
        <w:tab/>
        <w:t>The following abbreviations are used in this document:</w:t>
      </w:r>
    </w:p>
    <w:p w:rsidR="000B7667" w:rsidRPr="004F1C91" w:rsidRDefault="000B7667" w:rsidP="000B7667">
      <w:pPr>
        <w:rPr>
          <w:rFonts w:cs="Arial"/>
          <w:color w:val="000000"/>
        </w:rPr>
      </w:pPr>
    </w:p>
    <w:p w:rsidR="000B7667" w:rsidRPr="004F1C91" w:rsidRDefault="000B7667" w:rsidP="000B7667">
      <w:pPr>
        <w:rPr>
          <w:rFonts w:cs="Arial"/>
        </w:rPr>
      </w:pPr>
      <w:r w:rsidRPr="004F1C91">
        <w:rPr>
          <w:rFonts w:cs="Arial"/>
        </w:rPr>
        <w:tab/>
        <w:t>TC:</w:t>
      </w:r>
      <w:r w:rsidRPr="004F1C91">
        <w:rPr>
          <w:rFonts w:cs="Arial"/>
        </w:rPr>
        <w:tab/>
      </w:r>
      <w:r w:rsidRPr="004F1C91">
        <w:rPr>
          <w:rFonts w:cs="Arial"/>
        </w:rPr>
        <w:tab/>
        <w:t>Technical Committee</w:t>
      </w:r>
    </w:p>
    <w:p w:rsidR="000B7667" w:rsidRPr="004F1C91" w:rsidRDefault="000B7667" w:rsidP="000B7667">
      <w:pPr>
        <w:rPr>
          <w:rFonts w:eastAsia="PMingLiU" w:cs="Arial"/>
        </w:rPr>
      </w:pPr>
      <w:r w:rsidRPr="004F1C91">
        <w:rPr>
          <w:rFonts w:eastAsia="PMingLiU" w:cs="Arial"/>
        </w:rPr>
        <w:tab/>
        <w:t>TC-EDC:</w:t>
      </w:r>
      <w:r w:rsidRPr="004F1C91">
        <w:rPr>
          <w:rFonts w:eastAsia="PMingLiU" w:cs="Arial"/>
        </w:rPr>
        <w:tab/>
        <w:t>Enlarged Editorial Committee</w:t>
      </w:r>
    </w:p>
    <w:p w:rsidR="000B7667" w:rsidRPr="004F1C91" w:rsidRDefault="000B7667" w:rsidP="000B7667">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0B7667" w:rsidRPr="004F1C91" w:rsidRDefault="000B7667" w:rsidP="000B7667">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0B7667" w:rsidRPr="004F1C91" w:rsidRDefault="000B7667" w:rsidP="000B7667">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Pr>
          <w:rFonts w:eastAsia="PMingLiU" w:cs="Arial"/>
        </w:rPr>
        <w:tab/>
      </w:r>
    </w:p>
    <w:p w:rsidR="000B7667" w:rsidRPr="004F1C91" w:rsidRDefault="000B7667" w:rsidP="000B7667">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0B7667" w:rsidRPr="004F1C91" w:rsidRDefault="000B7667" w:rsidP="000B7667">
      <w:pPr>
        <w:rPr>
          <w:rFonts w:eastAsia="PMingLiU" w:cs="Arial"/>
        </w:rPr>
      </w:pPr>
      <w:r w:rsidRPr="004F1C91">
        <w:rPr>
          <w:rFonts w:eastAsia="PMingLiU" w:cs="Arial"/>
        </w:rPr>
        <w:tab/>
        <w:t>TWPs:</w:t>
      </w:r>
      <w:r w:rsidRPr="004F1C91">
        <w:rPr>
          <w:rFonts w:eastAsia="PMingLiU" w:cs="Arial"/>
        </w:rPr>
        <w:tab/>
        <w:t>Technical Working Parties</w:t>
      </w:r>
    </w:p>
    <w:p w:rsidR="000B7667" w:rsidRPr="004F1C91" w:rsidRDefault="000B7667" w:rsidP="000B7667">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0B7667" w:rsidRDefault="000B7667" w:rsidP="000B7667">
      <w:pPr>
        <w:rPr>
          <w:snapToGrid w:val="0"/>
        </w:rPr>
      </w:pPr>
    </w:p>
    <w:p w:rsidR="000B7667" w:rsidRPr="00A13473" w:rsidRDefault="000B7667" w:rsidP="009F09D0">
      <w:pPr>
        <w:ind w:left="851" w:hanging="851"/>
      </w:pPr>
    </w:p>
    <w:p w:rsidR="000B7667" w:rsidRPr="006D54BA" w:rsidRDefault="000B7667" w:rsidP="004A7C9D">
      <w:pPr>
        <w:pStyle w:val="Heading1"/>
      </w:pPr>
      <w:bookmarkStart w:id="2" w:name="_Toc419207578"/>
      <w:r w:rsidRPr="006D54BA">
        <w:t>Background</w:t>
      </w:r>
      <w:bookmarkEnd w:id="2"/>
    </w:p>
    <w:p w:rsidR="000B7667" w:rsidRPr="006D54BA" w:rsidRDefault="000B7667" w:rsidP="00502C30"/>
    <w:p w:rsidR="000B7667" w:rsidRPr="006D54BA" w:rsidRDefault="000B7667" w:rsidP="00502C30">
      <w:r w:rsidRPr="006D54BA">
        <w:fldChar w:fldCharType="begin"/>
      </w:r>
      <w:r w:rsidRPr="006D54BA">
        <w:instrText xml:space="preserve"> AUTONUM  </w:instrText>
      </w:r>
      <w:r w:rsidRPr="006D54BA">
        <w:fldChar w:fldCharType="end"/>
      </w:r>
      <w:r w:rsidRPr="006D54BA">
        <w:tab/>
        <w:t>At its forty-fifth session, held in Geneva from March 30 to April 1, 2009, t</w:t>
      </w:r>
      <w:r w:rsidRPr="006D54BA">
        <w:rPr>
          <w:snapToGrid w:val="0"/>
          <w:szCs w:val="24"/>
        </w:rPr>
        <w:t xml:space="preserve">he Technical Committee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w:t>
      </w:r>
      <w:r w:rsidRPr="006D54BA">
        <w:rPr>
          <w:snapToGrid w:val="0"/>
          <w:szCs w:val="24"/>
        </w:rPr>
        <w:lastRenderedPageBreak/>
        <w:t xml:space="preserve">variety collections, particularly on a regional basis.  The TC agreed that it could be beneficial to offer the possibility for members of the Union to report on that work in a coherent way to the TC, the Technical Working Parties (TWPs) and the Working Group on Biochemical and Molecular Techniques and DNA Profiling in Particular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color w:val="000000"/>
        </w:rPr>
        <w:t xml:space="preserve">see document </w:t>
      </w:r>
      <w:r w:rsidRPr="006D54BA">
        <w:rPr>
          <w:snapToGrid w:val="0"/>
          <w:color w:val="000000"/>
        </w:rPr>
        <w:t>TC/45/16 “Report”, paragraph 173)</w:t>
      </w:r>
      <w:r w:rsidRPr="006D54BA">
        <w:t>.</w:t>
      </w:r>
    </w:p>
    <w:p w:rsidR="000B7667" w:rsidRDefault="000B7667" w:rsidP="000B7667">
      <w:pPr>
        <w:rPr>
          <w:rFonts w:cs="Arial"/>
        </w:rPr>
      </w:pPr>
    </w:p>
    <w:p w:rsidR="000B7667" w:rsidRDefault="000B7667" w:rsidP="000B7667">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Developments prior to 201</w:t>
      </w:r>
      <w:r w:rsidR="008771B7">
        <w:rPr>
          <w:rFonts w:cs="Arial"/>
          <w:color w:val="000000"/>
        </w:rPr>
        <w:t>5</w:t>
      </w:r>
      <w:r>
        <w:rPr>
          <w:rFonts w:cs="Arial"/>
          <w:color w:val="000000"/>
        </w:rPr>
        <w:t xml:space="preserve"> are presented in </w:t>
      </w:r>
      <w:r>
        <w:t>document</w:t>
      </w:r>
      <w:r w:rsidR="008771B7">
        <w:t xml:space="preserve"> TC/51/9 </w:t>
      </w:r>
      <w:r>
        <w:t>“Variety description databases”</w:t>
      </w:r>
      <w:r w:rsidRPr="004717F7">
        <w:rPr>
          <w:rFonts w:cs="Arial"/>
        </w:rPr>
        <w:t>.</w:t>
      </w:r>
    </w:p>
    <w:p w:rsidR="000B7667" w:rsidRDefault="000B7667" w:rsidP="00E27FC6"/>
    <w:p w:rsidR="00416772" w:rsidRDefault="00416772" w:rsidP="00416772">
      <w:pPr>
        <w:pStyle w:val="Heading1"/>
        <w:rPr>
          <w:snapToGrid w:val="0"/>
        </w:rPr>
      </w:pPr>
      <w:bookmarkStart w:id="3" w:name="_Toc412203166"/>
      <w:bookmarkStart w:id="4" w:name="_Toc419207579"/>
      <w:r>
        <w:rPr>
          <w:snapToGrid w:val="0"/>
        </w:rPr>
        <w:t>Developments in 201</w:t>
      </w:r>
      <w:bookmarkEnd w:id="3"/>
      <w:r w:rsidR="008771B7">
        <w:rPr>
          <w:snapToGrid w:val="0"/>
        </w:rPr>
        <w:t>5</w:t>
      </w:r>
      <w:bookmarkEnd w:id="4"/>
    </w:p>
    <w:p w:rsidR="00416772" w:rsidRDefault="00416772" w:rsidP="00416772"/>
    <w:p w:rsidR="000B7667" w:rsidRDefault="000B7667" w:rsidP="000B7667">
      <w:pPr>
        <w:rPr>
          <w:snapToGrid w:val="0"/>
        </w:rPr>
      </w:pPr>
      <w:r>
        <w:fldChar w:fldCharType="begin"/>
      </w:r>
      <w:r>
        <w:instrText xml:space="preserve"> AUTONUM  </w:instrText>
      </w:r>
      <w:r>
        <w:fldChar w:fldCharType="end"/>
      </w:r>
      <w:r>
        <w:tab/>
        <w:t xml:space="preserve">The TC at its </w:t>
      </w:r>
      <w:r w:rsidR="00641AA4">
        <w:t>fifty-first</w:t>
      </w:r>
      <w:r>
        <w:t xml:space="preserve"> session, held in Geneva from </w:t>
      </w:r>
      <w:r w:rsidR="00641AA4">
        <w:t>March 23 to 25</w:t>
      </w:r>
      <w:r>
        <w:t>, 201</w:t>
      </w:r>
      <w:r w:rsidR="00641AA4">
        <w:t>5,</w:t>
      </w:r>
      <w:r>
        <w:t xml:space="preserve"> considered document</w:t>
      </w:r>
      <w:r w:rsidR="00641AA4">
        <w:t> </w:t>
      </w:r>
      <w:r>
        <w:t>TC/5</w:t>
      </w:r>
      <w:r w:rsidR="00641AA4">
        <w:t>1</w:t>
      </w:r>
      <w:r>
        <w:t>/</w:t>
      </w:r>
      <w:r w:rsidR="00641AA4">
        <w:t>9</w:t>
      </w:r>
      <w:r>
        <w:t xml:space="preserve"> “Variety description databases” and noted </w:t>
      </w:r>
      <w:r w:rsidRPr="0008344F">
        <w:t xml:space="preserve">the developments on </w:t>
      </w:r>
      <w:r w:rsidRPr="0008344F">
        <w:rPr>
          <w:snapToGrid w:val="0"/>
        </w:rPr>
        <w:t>variety description databases</w:t>
      </w:r>
      <w:r w:rsidR="009750D6">
        <w:rPr>
          <w:snapToGrid w:val="0"/>
        </w:rPr>
        <w:t xml:space="preserve"> and, in particular, that</w:t>
      </w:r>
      <w:r>
        <w:rPr>
          <w:snapToGrid w:val="0"/>
        </w:rPr>
        <w:t xml:space="preserve"> (see document TC/5</w:t>
      </w:r>
      <w:r w:rsidR="009750D6">
        <w:rPr>
          <w:snapToGrid w:val="0"/>
        </w:rPr>
        <w:t>1</w:t>
      </w:r>
      <w:r>
        <w:rPr>
          <w:snapToGrid w:val="0"/>
        </w:rPr>
        <w:t>/3</w:t>
      </w:r>
      <w:r w:rsidR="009750D6">
        <w:rPr>
          <w:snapToGrid w:val="0"/>
        </w:rPr>
        <w:t>9</w:t>
      </w:r>
      <w:r>
        <w:rPr>
          <w:snapToGrid w:val="0"/>
        </w:rPr>
        <w:t xml:space="preserve"> “</w:t>
      </w:r>
      <w:r w:rsidRPr="00C11F61">
        <w:rPr>
          <w:snapToGrid w:val="0"/>
        </w:rPr>
        <w:t>Report</w:t>
      </w:r>
      <w:r>
        <w:rPr>
          <w:snapToGrid w:val="0"/>
        </w:rPr>
        <w:t xml:space="preserve">”, paragraphs </w:t>
      </w:r>
      <w:r w:rsidR="009750D6">
        <w:rPr>
          <w:snapToGrid w:val="0"/>
        </w:rPr>
        <w:t>211</w:t>
      </w:r>
      <w:r>
        <w:rPr>
          <w:snapToGrid w:val="0"/>
        </w:rPr>
        <w:t xml:space="preserve"> </w:t>
      </w:r>
      <w:r w:rsidR="009750D6">
        <w:rPr>
          <w:snapToGrid w:val="0"/>
        </w:rPr>
        <w:t>to</w:t>
      </w:r>
      <w:r>
        <w:rPr>
          <w:snapToGrid w:val="0"/>
        </w:rPr>
        <w:t xml:space="preserve"> </w:t>
      </w:r>
      <w:r w:rsidR="009750D6">
        <w:rPr>
          <w:snapToGrid w:val="0"/>
        </w:rPr>
        <w:t>213</w:t>
      </w:r>
      <w:r>
        <w:rPr>
          <w:snapToGrid w:val="0"/>
        </w:rPr>
        <w:t>)</w:t>
      </w:r>
      <w:r w:rsidR="009750D6">
        <w:rPr>
          <w:snapToGrid w:val="0"/>
        </w:rPr>
        <w:t>:</w:t>
      </w:r>
    </w:p>
    <w:p w:rsidR="000B7667" w:rsidRDefault="000B7667" w:rsidP="000B7667">
      <w:pPr>
        <w:rPr>
          <w:snapToGrid w:val="0"/>
        </w:rPr>
      </w:pPr>
    </w:p>
    <w:p w:rsidR="009750D6" w:rsidRPr="000F2BDF" w:rsidRDefault="009750D6" w:rsidP="009750D6">
      <w:pPr>
        <w:ind w:left="1134" w:hanging="567"/>
      </w:pPr>
      <w:r w:rsidRPr="000F2BDF">
        <w:t>(a)</w:t>
      </w:r>
      <w:r w:rsidRPr="000F2BDF">
        <w:tab/>
        <w:t xml:space="preserve">the TWO </w:t>
      </w:r>
      <w:r w:rsidR="00502C30">
        <w:t xml:space="preserve">had </w:t>
      </w:r>
      <w:r w:rsidRPr="000F2BDF">
        <w:t>agreed that it would not be appropriate to develop a database for an ornamental species at this time; and</w:t>
      </w:r>
    </w:p>
    <w:p w:rsidR="009750D6" w:rsidRPr="000F2BDF" w:rsidRDefault="009750D6" w:rsidP="009750D6"/>
    <w:p w:rsidR="009750D6" w:rsidRPr="000F2BDF" w:rsidRDefault="009750D6" w:rsidP="009750D6">
      <w:pPr>
        <w:ind w:left="1134" w:hanging="567"/>
      </w:pPr>
      <w:r w:rsidRPr="000F2BDF">
        <w:t>(b)</w:t>
      </w:r>
      <w:r w:rsidRPr="000F2BDF">
        <w:tab/>
        <w:t>the TWC had invited an expert from China to present the analysis of variance for the interaction “variety x location” (environment) of the QN characteristics considered in the study using the statistical module of the new software “DUSTC” developed by China for presentation at its thirty</w:t>
      </w:r>
      <w:r w:rsidRPr="000F2BDF">
        <w:noBreakHyphen/>
        <w:t>third session.</w:t>
      </w:r>
    </w:p>
    <w:p w:rsidR="009750D6" w:rsidRPr="000F2BDF" w:rsidRDefault="009750D6" w:rsidP="009750D6">
      <w:pPr>
        <w:rPr>
          <w:snapToGrid w:val="0"/>
        </w:rPr>
      </w:pPr>
    </w:p>
    <w:p w:rsidR="009750D6" w:rsidRDefault="009750D6" w:rsidP="009750D6">
      <w:pPr>
        <w:rPr>
          <w:snapToGrid w:val="0"/>
        </w:rPr>
      </w:pPr>
      <w:r w:rsidRPr="000F2BDF">
        <w:rPr>
          <w:snapToGrid w:val="0"/>
        </w:rPr>
        <w:fldChar w:fldCharType="begin"/>
      </w:r>
      <w:r w:rsidRPr="000F2BDF">
        <w:rPr>
          <w:snapToGrid w:val="0"/>
        </w:rPr>
        <w:instrText xml:space="preserve"> AUTONUM  </w:instrText>
      </w:r>
      <w:r w:rsidRPr="000F2BDF">
        <w:rPr>
          <w:snapToGrid w:val="0"/>
        </w:rPr>
        <w:fldChar w:fldCharType="end"/>
      </w:r>
      <w:r w:rsidRPr="000F2BDF">
        <w:rPr>
          <w:snapToGrid w:val="0"/>
        </w:rPr>
        <w:tab/>
        <w:t>The TC noted the importance of databases for UPOV members and agreed that it would be useful to include a discussion item on facilitating the development of databases at the fifty-second sessi</w:t>
      </w:r>
      <w:r w:rsidR="00A42C06">
        <w:rPr>
          <w:snapToGrid w:val="0"/>
        </w:rPr>
        <w:t>on of the Technical Committee.</w:t>
      </w:r>
      <w:r w:rsidR="008771B7">
        <w:rPr>
          <w:snapToGrid w:val="0"/>
        </w:rPr>
        <w:t xml:space="preserve">  </w:t>
      </w:r>
      <w:r w:rsidR="00502C30">
        <w:rPr>
          <w:snapToGrid w:val="0"/>
        </w:rPr>
        <w:t xml:space="preserve">On this basis the </w:t>
      </w:r>
      <w:r w:rsidR="004D60A5" w:rsidRPr="00233D14">
        <w:t>draft agenda agreed for the fifty-second session of the TC, to be held in Geneva in 2016</w:t>
      </w:r>
      <w:r w:rsidR="004D60A5">
        <w:t>, anticipates discussion on facilitating development of databases.</w:t>
      </w:r>
    </w:p>
    <w:p w:rsidR="000B7667" w:rsidRPr="000B7667" w:rsidRDefault="000B7667" w:rsidP="000B7667">
      <w:pPr>
        <w:rPr>
          <w:snapToGrid w:val="0"/>
        </w:rPr>
      </w:pPr>
    </w:p>
    <w:p w:rsidR="00A42C06" w:rsidRDefault="00E03B2B" w:rsidP="00E03B2B">
      <w:pPr>
        <w:pStyle w:val="DecisionParagraphs"/>
        <w:rPr>
          <w:rFonts w:cs="Arial"/>
          <w:snapToGrid w:val="0"/>
        </w:rPr>
      </w:pPr>
      <w:r w:rsidRPr="0008344F">
        <w:rPr>
          <w:color w:val="000000"/>
        </w:rPr>
        <w:fldChar w:fldCharType="begin"/>
      </w:r>
      <w:r w:rsidRPr="0008344F">
        <w:rPr>
          <w:color w:val="000000"/>
        </w:rPr>
        <w:instrText xml:space="preserve"> AUTONUM  </w:instrText>
      </w:r>
      <w:r w:rsidRPr="0008344F">
        <w:rPr>
          <w:color w:val="000000"/>
        </w:rPr>
        <w:fldChar w:fldCharType="end"/>
      </w:r>
      <w:r w:rsidRPr="0008344F">
        <w:rPr>
          <w:color w:val="000000"/>
        </w:rPr>
        <w:tab/>
      </w:r>
      <w:r w:rsidRPr="0008344F">
        <w:rPr>
          <w:rFonts w:cs="Arial"/>
        </w:rPr>
        <w:t xml:space="preserve">The </w:t>
      </w:r>
      <w:r w:rsidR="00BA6912">
        <w:rPr>
          <w:rFonts w:cs="Arial"/>
        </w:rPr>
        <w:t>TWF</w:t>
      </w:r>
      <w:r w:rsidRPr="0008344F">
        <w:rPr>
          <w:rFonts w:cs="Arial"/>
        </w:rPr>
        <w:t xml:space="preserve"> is invited to</w:t>
      </w:r>
      <w:r>
        <w:rPr>
          <w:rFonts w:cs="Arial"/>
        </w:rPr>
        <w:t xml:space="preserve"> note </w:t>
      </w:r>
      <w:r>
        <w:rPr>
          <w:rFonts w:cs="Arial"/>
          <w:snapToGrid w:val="0"/>
        </w:rPr>
        <w:t>that</w:t>
      </w:r>
      <w:r w:rsidR="00A42C06">
        <w:rPr>
          <w:rFonts w:cs="Arial"/>
          <w:snapToGrid w:val="0"/>
        </w:rPr>
        <w:t>:</w:t>
      </w:r>
    </w:p>
    <w:p w:rsidR="00A42C06" w:rsidRDefault="00A42C06" w:rsidP="00E03B2B">
      <w:pPr>
        <w:pStyle w:val="DecisionParagraphs"/>
        <w:rPr>
          <w:rFonts w:cs="Arial"/>
          <w:snapToGrid w:val="0"/>
        </w:rPr>
      </w:pPr>
    </w:p>
    <w:p w:rsidR="00E03B2B" w:rsidRDefault="00A42C06" w:rsidP="00A42C06">
      <w:pPr>
        <w:pStyle w:val="DecisionParagraphs"/>
        <w:tabs>
          <w:tab w:val="left" w:pos="5954"/>
        </w:tabs>
        <w:rPr>
          <w:rFonts w:cs="Arial"/>
        </w:rPr>
      </w:pPr>
      <w:r>
        <w:rPr>
          <w:rFonts w:cs="Arial"/>
          <w:snapToGrid w:val="0"/>
        </w:rPr>
        <w:tab/>
        <w:t>(a)</w:t>
      </w:r>
      <w:r>
        <w:rPr>
          <w:rFonts w:cs="Arial"/>
          <w:snapToGrid w:val="0"/>
        </w:rPr>
        <w:tab/>
      </w:r>
      <w:r w:rsidR="00E03B2B">
        <w:rPr>
          <w:rFonts w:cs="Arial"/>
          <w:snapToGrid w:val="0"/>
        </w:rPr>
        <w:t xml:space="preserve"> </w:t>
      </w:r>
      <w:r w:rsidR="00E03B2B">
        <w:t xml:space="preserve">the TWC </w:t>
      </w:r>
      <w:r w:rsidR="00E03B2B" w:rsidRPr="00297D4D">
        <w:rPr>
          <w:rFonts w:cs="Arial"/>
        </w:rPr>
        <w:t xml:space="preserve">has invited an expert from </w:t>
      </w:r>
      <w:r w:rsidR="00E03B2B">
        <w:rPr>
          <w:rFonts w:cs="Arial"/>
        </w:rPr>
        <w:t>China</w:t>
      </w:r>
      <w:r w:rsidR="00E03B2B" w:rsidRPr="00297D4D">
        <w:rPr>
          <w:rFonts w:cs="Arial"/>
        </w:rPr>
        <w:t xml:space="preserve"> to present </w:t>
      </w:r>
      <w:r w:rsidR="00E03B2B" w:rsidRPr="002070BE">
        <w:t xml:space="preserve">the analysis of variance for the interaction “variety x location” (environment) of the QN characteristics considered in the study using the statistical module of the new software “DUSTC” developed by China for presentation at </w:t>
      </w:r>
      <w:r w:rsidR="00E03B2B">
        <w:t>its</w:t>
      </w:r>
      <w:r w:rsidR="00E03B2B" w:rsidRPr="002070BE">
        <w:t xml:space="preserve"> thirty-third</w:t>
      </w:r>
      <w:r w:rsidR="00E03B2B">
        <w:t xml:space="preserve"> session</w:t>
      </w:r>
      <w:r>
        <w:rPr>
          <w:rFonts w:cs="Arial"/>
        </w:rPr>
        <w:t>;</w:t>
      </w:r>
    </w:p>
    <w:p w:rsidR="00A42C06" w:rsidRDefault="00A42C06" w:rsidP="00A42C06">
      <w:pPr>
        <w:pStyle w:val="DecisionParagraphs"/>
        <w:tabs>
          <w:tab w:val="left" w:pos="5954"/>
        </w:tabs>
        <w:rPr>
          <w:rFonts w:cs="Arial"/>
        </w:rPr>
      </w:pPr>
    </w:p>
    <w:p w:rsidR="00A42C06" w:rsidRPr="00297D4D" w:rsidRDefault="00A42C06" w:rsidP="00A42C06">
      <w:pPr>
        <w:pStyle w:val="DecisionParagraphs"/>
        <w:tabs>
          <w:tab w:val="left" w:pos="5954"/>
        </w:tabs>
        <w:rPr>
          <w:rFonts w:cs="Arial"/>
        </w:rPr>
      </w:pPr>
      <w:r>
        <w:rPr>
          <w:rFonts w:cs="Arial"/>
        </w:rPr>
        <w:tab/>
        <w:t>(b)</w:t>
      </w:r>
      <w:r>
        <w:rPr>
          <w:rFonts w:cs="Arial"/>
        </w:rPr>
        <w:tab/>
        <w:t xml:space="preserve">the TC </w:t>
      </w:r>
      <w:r w:rsidRPr="00A42C06">
        <w:rPr>
          <w:rFonts w:cs="Arial"/>
        </w:rPr>
        <w:t xml:space="preserve">agreed to include a discussion item on facilitating the development of databases at </w:t>
      </w:r>
      <w:r w:rsidR="00502C30">
        <w:rPr>
          <w:rFonts w:cs="Arial"/>
        </w:rPr>
        <w:t xml:space="preserve">its </w:t>
      </w:r>
      <w:r w:rsidRPr="00A42C06">
        <w:rPr>
          <w:rFonts w:cs="Arial"/>
        </w:rPr>
        <w:t xml:space="preserve">fifty-second session.  </w:t>
      </w:r>
    </w:p>
    <w:p w:rsidR="00E03B2B" w:rsidRDefault="00E03B2B" w:rsidP="009F09D0"/>
    <w:p w:rsidR="009F09D0" w:rsidRDefault="009F09D0" w:rsidP="009F09D0"/>
    <w:p w:rsidR="009F09D0" w:rsidRDefault="009F09D0" w:rsidP="009F09D0"/>
    <w:p w:rsidR="009F09D0" w:rsidRDefault="009F09D0" w:rsidP="009F09D0">
      <w:pPr>
        <w:jc w:val="right"/>
      </w:pPr>
      <w:r>
        <w:t>[End of document]</w:t>
      </w:r>
    </w:p>
    <w:sectPr w:rsidR="009F09D0" w:rsidSect="00641AA4">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F2" w:rsidRDefault="00DD5EF2" w:rsidP="006655D3">
      <w:r>
        <w:separator/>
      </w:r>
    </w:p>
    <w:p w:rsidR="00DD5EF2" w:rsidRDefault="00DD5EF2" w:rsidP="006655D3"/>
    <w:p w:rsidR="00DD5EF2" w:rsidRDefault="00DD5EF2" w:rsidP="006655D3"/>
  </w:endnote>
  <w:endnote w:type="continuationSeparator" w:id="0">
    <w:p w:rsidR="00DD5EF2" w:rsidRDefault="00DD5EF2" w:rsidP="006655D3">
      <w:r>
        <w:separator/>
      </w:r>
    </w:p>
    <w:p w:rsidR="00DD5EF2" w:rsidRPr="00CC5597" w:rsidRDefault="00DD5EF2">
      <w:pPr>
        <w:pStyle w:val="Footer"/>
        <w:spacing w:after="60"/>
        <w:rPr>
          <w:sz w:val="18"/>
          <w:lang w:val="fr-CH"/>
        </w:rPr>
      </w:pPr>
      <w:r w:rsidRPr="00CC5597">
        <w:rPr>
          <w:sz w:val="18"/>
          <w:lang w:val="fr-CH"/>
        </w:rPr>
        <w:t>[Suite de la note de la page précédente]</w:t>
      </w:r>
    </w:p>
    <w:p w:rsidR="00DD5EF2" w:rsidRPr="00CC5597" w:rsidRDefault="00DD5EF2" w:rsidP="006655D3">
      <w:pPr>
        <w:rPr>
          <w:lang w:val="fr-CH"/>
        </w:rPr>
      </w:pPr>
    </w:p>
    <w:p w:rsidR="00DD5EF2" w:rsidRPr="00CC5597" w:rsidRDefault="00DD5EF2" w:rsidP="006655D3">
      <w:pPr>
        <w:rPr>
          <w:lang w:val="fr-CH"/>
        </w:rPr>
      </w:pPr>
    </w:p>
  </w:endnote>
  <w:endnote w:type="continuationNotice" w:id="1">
    <w:p w:rsidR="00DD5EF2" w:rsidRPr="00CC5597" w:rsidRDefault="00DD5EF2" w:rsidP="006655D3">
      <w:pPr>
        <w:rPr>
          <w:lang w:val="fr-CH"/>
        </w:rPr>
      </w:pPr>
      <w:r w:rsidRPr="00CC5597">
        <w:rPr>
          <w:lang w:val="fr-CH"/>
        </w:rPr>
        <w:t>[Suite de la note page suivante]</w:t>
      </w:r>
    </w:p>
    <w:p w:rsidR="00DD5EF2" w:rsidRPr="00CC5597" w:rsidRDefault="00DD5EF2" w:rsidP="006655D3">
      <w:pPr>
        <w:rPr>
          <w:lang w:val="fr-CH"/>
        </w:rPr>
      </w:pPr>
    </w:p>
    <w:p w:rsidR="00DD5EF2" w:rsidRPr="00CC5597" w:rsidRDefault="00DD5EF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F2" w:rsidRDefault="00DD5EF2" w:rsidP="006655D3">
      <w:r>
        <w:separator/>
      </w:r>
    </w:p>
  </w:footnote>
  <w:footnote w:type="continuationSeparator" w:id="0">
    <w:p w:rsidR="00DD5EF2" w:rsidRDefault="00DD5EF2" w:rsidP="006655D3">
      <w:r>
        <w:separator/>
      </w:r>
    </w:p>
  </w:footnote>
  <w:footnote w:type="continuationNotice" w:id="1">
    <w:p w:rsidR="00DD5EF2" w:rsidRPr="00AB530F" w:rsidRDefault="00DD5EF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BA6912">
      <w:t>F</w:t>
    </w:r>
    <w:r w:rsidR="00FD51B6">
      <w:t>/4</w:t>
    </w:r>
    <w:r w:rsidR="00BA6912">
      <w:t>6</w:t>
    </w:r>
    <w:r w:rsidR="006C7423">
      <w:t>/</w:t>
    </w:r>
    <w:r w:rsidR="000B7667">
      <w:t>6</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22369">
      <w:rPr>
        <w:noProof/>
      </w:rPr>
      <w:t>2</w:t>
    </w:r>
    <w:r w:rsidRPr="00832298">
      <w:fldChar w:fldCharType="end"/>
    </w:r>
  </w:p>
  <w:p w:rsidR="00903656" w:rsidRPr="00C5280D" w:rsidRDefault="00903656" w:rsidP="00832298">
    <w:pPr>
      <w:pStyle w:val="Header"/>
    </w:pPr>
  </w:p>
  <w:p w:rsidR="00612FC9" w:rsidRDefault="00612F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B32252E"/>
    <w:multiLevelType w:val="hybridMultilevel"/>
    <w:tmpl w:val="15A0D9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57424"/>
    <w:multiLevelType w:val="hybridMultilevel"/>
    <w:tmpl w:val="67884C4C"/>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04F8E"/>
    <w:multiLevelType w:val="hybridMultilevel"/>
    <w:tmpl w:val="7C344C0A"/>
    <w:lvl w:ilvl="0" w:tplc="F31C057A">
      <w:start w:val="1"/>
      <w:numFmt w:val="lowerLetter"/>
      <w:lvlText w:val="(%1)"/>
      <w:lvlJc w:val="left"/>
      <w:pPr>
        <w:ind w:left="5540" w:hanging="360"/>
      </w:pPr>
      <w:rPr>
        <w:rFonts w:ascii="Arial" w:eastAsia="Times New Roman" w:hAnsi="Arial" w:cs="Times New Roman"/>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3">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11773"/>
    <w:multiLevelType w:val="hybridMultilevel"/>
    <w:tmpl w:val="BCD494A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0"/>
  </w:num>
  <w:num w:numId="14">
    <w:abstractNumId w:val="14"/>
  </w:num>
  <w:num w:numId="15">
    <w:abstractNumId w:val="16"/>
  </w:num>
  <w:num w:numId="16">
    <w:abstractNumId w:val="15"/>
  </w:num>
  <w:num w:numId="17">
    <w:abstractNumId w:val="18"/>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F2"/>
    <w:rsid w:val="00010CF3"/>
    <w:rsid w:val="00011E27"/>
    <w:rsid w:val="000148BC"/>
    <w:rsid w:val="00024AB8"/>
    <w:rsid w:val="00030854"/>
    <w:rsid w:val="00036028"/>
    <w:rsid w:val="00044642"/>
    <w:rsid w:val="000446B9"/>
    <w:rsid w:val="00047E21"/>
    <w:rsid w:val="00085505"/>
    <w:rsid w:val="000B7667"/>
    <w:rsid w:val="000C6861"/>
    <w:rsid w:val="000C7021"/>
    <w:rsid w:val="000D6BBC"/>
    <w:rsid w:val="000D7780"/>
    <w:rsid w:val="001011C4"/>
    <w:rsid w:val="00105929"/>
    <w:rsid w:val="001131D5"/>
    <w:rsid w:val="00124397"/>
    <w:rsid w:val="001322D2"/>
    <w:rsid w:val="00141DB8"/>
    <w:rsid w:val="0017474A"/>
    <w:rsid w:val="001758C6"/>
    <w:rsid w:val="00182B99"/>
    <w:rsid w:val="0018780B"/>
    <w:rsid w:val="0021332C"/>
    <w:rsid w:val="00213982"/>
    <w:rsid w:val="002249B2"/>
    <w:rsid w:val="002417BE"/>
    <w:rsid w:val="0024416D"/>
    <w:rsid w:val="00265799"/>
    <w:rsid w:val="002800A0"/>
    <w:rsid w:val="002801B3"/>
    <w:rsid w:val="00281060"/>
    <w:rsid w:val="002940E8"/>
    <w:rsid w:val="002A6E50"/>
    <w:rsid w:val="002C256A"/>
    <w:rsid w:val="00305A7F"/>
    <w:rsid w:val="003152FE"/>
    <w:rsid w:val="00327436"/>
    <w:rsid w:val="00344BD6"/>
    <w:rsid w:val="0035528D"/>
    <w:rsid w:val="00361821"/>
    <w:rsid w:val="00370B7F"/>
    <w:rsid w:val="00375D51"/>
    <w:rsid w:val="003776C3"/>
    <w:rsid w:val="003A0E35"/>
    <w:rsid w:val="003B3894"/>
    <w:rsid w:val="003D227C"/>
    <w:rsid w:val="003D2B4D"/>
    <w:rsid w:val="00416772"/>
    <w:rsid w:val="00444A88"/>
    <w:rsid w:val="00474DA4"/>
    <w:rsid w:val="00476B4D"/>
    <w:rsid w:val="004805FA"/>
    <w:rsid w:val="004967C7"/>
    <w:rsid w:val="004A7C9D"/>
    <w:rsid w:val="004D047D"/>
    <w:rsid w:val="004D60A5"/>
    <w:rsid w:val="004F305A"/>
    <w:rsid w:val="00502C30"/>
    <w:rsid w:val="00512164"/>
    <w:rsid w:val="0051483D"/>
    <w:rsid w:val="00520297"/>
    <w:rsid w:val="005338F9"/>
    <w:rsid w:val="0054281C"/>
    <w:rsid w:val="0055268D"/>
    <w:rsid w:val="00576BE4"/>
    <w:rsid w:val="0057736E"/>
    <w:rsid w:val="005A400A"/>
    <w:rsid w:val="005F4849"/>
    <w:rsid w:val="00612379"/>
    <w:rsid w:val="00612FC9"/>
    <w:rsid w:val="0061555F"/>
    <w:rsid w:val="00633FD4"/>
    <w:rsid w:val="00641200"/>
    <w:rsid w:val="00641AA4"/>
    <w:rsid w:val="006613B9"/>
    <w:rsid w:val="006655D3"/>
    <w:rsid w:val="00667404"/>
    <w:rsid w:val="00685222"/>
    <w:rsid w:val="00687EB4"/>
    <w:rsid w:val="006B17D2"/>
    <w:rsid w:val="006C224E"/>
    <w:rsid w:val="006C7423"/>
    <w:rsid w:val="006D780A"/>
    <w:rsid w:val="006E1436"/>
    <w:rsid w:val="00732DEC"/>
    <w:rsid w:val="00735BD5"/>
    <w:rsid w:val="0075253B"/>
    <w:rsid w:val="007556F6"/>
    <w:rsid w:val="00760EEF"/>
    <w:rsid w:val="007747F7"/>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569CD"/>
    <w:rsid w:val="00867AC1"/>
    <w:rsid w:val="00876C58"/>
    <w:rsid w:val="008771B7"/>
    <w:rsid w:val="0088398C"/>
    <w:rsid w:val="008A743F"/>
    <w:rsid w:val="008C0970"/>
    <w:rsid w:val="008D2CF7"/>
    <w:rsid w:val="00900C26"/>
    <w:rsid w:val="0090197F"/>
    <w:rsid w:val="00903656"/>
    <w:rsid w:val="00904BEC"/>
    <w:rsid w:val="00906DDC"/>
    <w:rsid w:val="00934E09"/>
    <w:rsid w:val="00936253"/>
    <w:rsid w:val="00952DD4"/>
    <w:rsid w:val="00955D5D"/>
    <w:rsid w:val="00962C45"/>
    <w:rsid w:val="00966FF7"/>
    <w:rsid w:val="00970FED"/>
    <w:rsid w:val="009750D6"/>
    <w:rsid w:val="00997029"/>
    <w:rsid w:val="009D690D"/>
    <w:rsid w:val="009E65B6"/>
    <w:rsid w:val="009F09D0"/>
    <w:rsid w:val="00A24C10"/>
    <w:rsid w:val="00A42AC3"/>
    <w:rsid w:val="00A42C06"/>
    <w:rsid w:val="00A430CF"/>
    <w:rsid w:val="00A54309"/>
    <w:rsid w:val="00AB2B93"/>
    <w:rsid w:val="00AB530F"/>
    <w:rsid w:val="00AB7E5B"/>
    <w:rsid w:val="00AE0EF1"/>
    <w:rsid w:val="00AE2937"/>
    <w:rsid w:val="00B07301"/>
    <w:rsid w:val="00B21DA7"/>
    <w:rsid w:val="00B224DE"/>
    <w:rsid w:val="00B23407"/>
    <w:rsid w:val="00B46575"/>
    <w:rsid w:val="00B71144"/>
    <w:rsid w:val="00B75B90"/>
    <w:rsid w:val="00B84BBD"/>
    <w:rsid w:val="00B91DDD"/>
    <w:rsid w:val="00BA43FB"/>
    <w:rsid w:val="00BA6912"/>
    <w:rsid w:val="00BB0967"/>
    <w:rsid w:val="00BC127D"/>
    <w:rsid w:val="00BC1FE6"/>
    <w:rsid w:val="00C03216"/>
    <w:rsid w:val="00C061B6"/>
    <w:rsid w:val="00C22369"/>
    <w:rsid w:val="00C2446C"/>
    <w:rsid w:val="00C32544"/>
    <w:rsid w:val="00C36AE5"/>
    <w:rsid w:val="00C41F17"/>
    <w:rsid w:val="00C5280D"/>
    <w:rsid w:val="00C5791C"/>
    <w:rsid w:val="00C66290"/>
    <w:rsid w:val="00C72B7A"/>
    <w:rsid w:val="00C973F2"/>
    <w:rsid w:val="00CA304C"/>
    <w:rsid w:val="00CA774A"/>
    <w:rsid w:val="00CC11B0"/>
    <w:rsid w:val="00CC5597"/>
    <w:rsid w:val="00CE63BA"/>
    <w:rsid w:val="00CF7E36"/>
    <w:rsid w:val="00D3708D"/>
    <w:rsid w:val="00D40426"/>
    <w:rsid w:val="00D57C96"/>
    <w:rsid w:val="00D91203"/>
    <w:rsid w:val="00D95174"/>
    <w:rsid w:val="00DA2001"/>
    <w:rsid w:val="00DA6F36"/>
    <w:rsid w:val="00DB596E"/>
    <w:rsid w:val="00DB7773"/>
    <w:rsid w:val="00DC00EA"/>
    <w:rsid w:val="00DD5EF2"/>
    <w:rsid w:val="00DF474C"/>
    <w:rsid w:val="00E03B2B"/>
    <w:rsid w:val="00E27FC6"/>
    <w:rsid w:val="00E30ACD"/>
    <w:rsid w:val="00E32F7E"/>
    <w:rsid w:val="00E72D49"/>
    <w:rsid w:val="00E7593C"/>
    <w:rsid w:val="00E7678A"/>
    <w:rsid w:val="00E80E73"/>
    <w:rsid w:val="00E935F1"/>
    <w:rsid w:val="00E94A81"/>
    <w:rsid w:val="00EA1FFB"/>
    <w:rsid w:val="00EB048E"/>
    <w:rsid w:val="00EE34DF"/>
    <w:rsid w:val="00EF2F89"/>
    <w:rsid w:val="00EF74EB"/>
    <w:rsid w:val="00F1237A"/>
    <w:rsid w:val="00F22CBD"/>
    <w:rsid w:val="00F45372"/>
    <w:rsid w:val="00F560F7"/>
    <w:rsid w:val="00F6334D"/>
    <w:rsid w:val="00FA49AB"/>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0B7667"/>
    <w:rPr>
      <w:rFonts w:ascii="Arial" w:hAnsi="Arial"/>
      <w:caps/>
    </w:rPr>
  </w:style>
  <w:style w:type="character" w:customStyle="1" w:styleId="Heading3Char">
    <w:name w:val="Heading 3 Char"/>
    <w:basedOn w:val="DefaultParagraphFont"/>
    <w:link w:val="Heading3"/>
    <w:rsid w:val="000B7667"/>
    <w:rPr>
      <w:rFonts w:ascii="Arial" w:hAnsi="Arial"/>
      <w:i/>
    </w:rPr>
  </w:style>
  <w:style w:type="paragraph" w:styleId="ListParagraph">
    <w:name w:val="List Paragraph"/>
    <w:basedOn w:val="Normal"/>
    <w:uiPriority w:val="34"/>
    <w:qFormat/>
    <w:rsid w:val="000B7667"/>
    <w:pPr>
      <w:spacing w:before="100" w:beforeAutospacing="1" w:after="100" w:afterAutospacing="1"/>
      <w:jc w:val="left"/>
    </w:pPr>
    <w:rPr>
      <w:rFonts w:ascii="Times New Roman" w:hAnsi="Times New Roman"/>
      <w:sz w:val="24"/>
      <w:szCs w:val="24"/>
      <w:lang w:val="fr-FR" w:eastAsia="fr-FR"/>
    </w:rPr>
  </w:style>
  <w:style w:type="paragraph" w:customStyle="1" w:styleId="Default">
    <w:name w:val="Default"/>
    <w:rsid w:val="000B7667"/>
    <w:pPr>
      <w:autoSpaceDE w:val="0"/>
      <w:autoSpaceDN w:val="0"/>
      <w:adjustRightInd w:val="0"/>
    </w:pPr>
    <w:rPr>
      <w:rFonts w:ascii="Arial" w:hAnsi="Arial" w:cs="Arial"/>
      <w:color w:val="000000"/>
      <w:sz w:val="24"/>
      <w:szCs w:val="24"/>
    </w:rPr>
  </w:style>
  <w:style w:type="character" w:customStyle="1" w:styleId="DecisionParagraphsChar">
    <w:name w:val="DecisionParagraphs Char"/>
    <w:link w:val="DecisionParagraphs"/>
    <w:rsid w:val="000B7667"/>
    <w:rPr>
      <w:rFonts w:ascii="Arial" w:hAnsi="Arial"/>
      <w:i/>
    </w:rPr>
  </w:style>
  <w:style w:type="character" w:customStyle="1" w:styleId="HeaderChar">
    <w:name w:val="Header Char"/>
    <w:basedOn w:val="DefaultParagraphFont"/>
    <w:link w:val="Header"/>
    <w:uiPriority w:val="99"/>
    <w:rsid w:val="000B7667"/>
    <w:rPr>
      <w:rFonts w:ascii="Arial" w:hAnsi="Arial"/>
    </w:rPr>
  </w:style>
  <w:style w:type="character" w:customStyle="1" w:styleId="FooterChar">
    <w:name w:val="Footer Char"/>
    <w:aliases w:val="doc_path_name Char"/>
    <w:basedOn w:val="DefaultParagraphFont"/>
    <w:link w:val="Footer"/>
    <w:rsid w:val="000B7667"/>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0B7667"/>
    <w:rPr>
      <w:rFonts w:ascii="Arial" w:hAnsi="Arial"/>
      <w:caps/>
    </w:rPr>
  </w:style>
  <w:style w:type="character" w:customStyle="1" w:styleId="Heading3Char">
    <w:name w:val="Heading 3 Char"/>
    <w:basedOn w:val="DefaultParagraphFont"/>
    <w:link w:val="Heading3"/>
    <w:rsid w:val="000B7667"/>
    <w:rPr>
      <w:rFonts w:ascii="Arial" w:hAnsi="Arial"/>
      <w:i/>
    </w:rPr>
  </w:style>
  <w:style w:type="paragraph" w:styleId="ListParagraph">
    <w:name w:val="List Paragraph"/>
    <w:basedOn w:val="Normal"/>
    <w:uiPriority w:val="34"/>
    <w:qFormat/>
    <w:rsid w:val="000B7667"/>
    <w:pPr>
      <w:spacing w:before="100" w:beforeAutospacing="1" w:after="100" w:afterAutospacing="1"/>
      <w:jc w:val="left"/>
    </w:pPr>
    <w:rPr>
      <w:rFonts w:ascii="Times New Roman" w:hAnsi="Times New Roman"/>
      <w:sz w:val="24"/>
      <w:szCs w:val="24"/>
      <w:lang w:val="fr-FR" w:eastAsia="fr-FR"/>
    </w:rPr>
  </w:style>
  <w:style w:type="paragraph" w:customStyle="1" w:styleId="Default">
    <w:name w:val="Default"/>
    <w:rsid w:val="000B7667"/>
    <w:pPr>
      <w:autoSpaceDE w:val="0"/>
      <w:autoSpaceDN w:val="0"/>
      <w:adjustRightInd w:val="0"/>
    </w:pPr>
    <w:rPr>
      <w:rFonts w:ascii="Arial" w:hAnsi="Arial" w:cs="Arial"/>
      <w:color w:val="000000"/>
      <w:sz w:val="24"/>
      <w:szCs w:val="24"/>
    </w:rPr>
  </w:style>
  <w:style w:type="character" w:customStyle="1" w:styleId="DecisionParagraphsChar">
    <w:name w:val="DecisionParagraphs Char"/>
    <w:link w:val="DecisionParagraphs"/>
    <w:rsid w:val="000B7667"/>
    <w:rPr>
      <w:rFonts w:ascii="Arial" w:hAnsi="Arial"/>
      <w:i/>
    </w:rPr>
  </w:style>
  <w:style w:type="character" w:customStyle="1" w:styleId="HeaderChar">
    <w:name w:val="Header Char"/>
    <w:basedOn w:val="DefaultParagraphFont"/>
    <w:link w:val="Header"/>
    <w:uiPriority w:val="99"/>
    <w:rsid w:val="000B7667"/>
    <w:rPr>
      <w:rFonts w:ascii="Arial" w:hAnsi="Arial"/>
    </w:rPr>
  </w:style>
  <w:style w:type="character" w:customStyle="1" w:styleId="FooterChar">
    <w:name w:val="Footer Char"/>
    <w:aliases w:val="doc_path_name Char"/>
    <w:basedOn w:val="DefaultParagraphFont"/>
    <w:link w:val="Footer"/>
    <w:rsid w:val="000B7667"/>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177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twv_49</Template>
  <TotalTime>4</TotalTime>
  <Pages>2</Pages>
  <Words>713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TWF/46</vt:lpstr>
    </vt:vector>
  </TitlesOfParts>
  <Company>UPOV</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TWF/46</dc:title>
  <dc:creator>REZENDE TAVEIRA Leontino</dc:creator>
  <cp:lastModifiedBy>LONG Victoria</cp:lastModifiedBy>
  <cp:revision>4</cp:revision>
  <cp:lastPrinted>2015-07-24T09:21:00Z</cp:lastPrinted>
  <dcterms:created xsi:type="dcterms:W3CDTF">2015-06-17T09:01:00Z</dcterms:created>
  <dcterms:modified xsi:type="dcterms:W3CDTF">2015-07-24T09:21:00Z</dcterms:modified>
</cp:coreProperties>
</file>