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A85D84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507C0F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0E33091C" wp14:editId="56F1300B">
                  <wp:extent cx="962025" cy="453390"/>
                  <wp:effectExtent l="0" t="0" r="9525" b="381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A85D84" w:rsidRDefault="0024416D" w:rsidP="006655D3">
            <w:pPr>
              <w:pStyle w:val="Lettrine"/>
            </w:pPr>
            <w:r w:rsidRPr="00A85D84">
              <w:t>E</w:t>
            </w:r>
          </w:p>
          <w:p w:rsidR="000D7780" w:rsidRPr="00A85D84" w:rsidRDefault="00667404" w:rsidP="006655D3">
            <w:pPr>
              <w:pStyle w:val="Docoriginal"/>
            </w:pPr>
            <w:r w:rsidRPr="00A85D84">
              <w:t>T</w:t>
            </w:r>
            <w:r w:rsidR="0018780B" w:rsidRPr="00A85D84">
              <w:t>W</w:t>
            </w:r>
            <w:r w:rsidR="008843A4" w:rsidRPr="00A85D84">
              <w:t>F</w:t>
            </w:r>
            <w:r w:rsidRPr="00A85D84">
              <w:t>/</w:t>
            </w:r>
            <w:r w:rsidR="008B63C5" w:rsidRPr="00A85D84">
              <w:t>45/</w:t>
            </w:r>
            <w:r w:rsidR="005A5D03" w:rsidRPr="00A85D84">
              <w:t>30</w:t>
            </w:r>
          </w:p>
          <w:p w:rsidR="000D7780" w:rsidRPr="00A85D84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A85D84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A85D84">
              <w:rPr>
                <w:rStyle w:val="StyleDoclangBold"/>
                <w:b/>
                <w:bCs/>
                <w:spacing w:val="0"/>
              </w:rPr>
              <w:t>:</w:t>
            </w:r>
            <w:r w:rsidRPr="00A85D84">
              <w:rPr>
                <w:rStyle w:val="StyleDocoriginalNotBold1"/>
                <w:spacing w:val="0"/>
              </w:rPr>
              <w:t xml:space="preserve"> </w:t>
            </w:r>
            <w:bookmarkStart w:id="0" w:name="Original"/>
            <w:bookmarkEnd w:id="0"/>
            <w:r w:rsidR="00876C58" w:rsidRPr="00A85D84">
              <w:rPr>
                <w:rStyle w:val="StyleDocoriginalNotBold1"/>
                <w:spacing w:val="0"/>
              </w:rPr>
              <w:t xml:space="preserve"> </w:t>
            </w:r>
            <w:r w:rsidR="0024416D" w:rsidRPr="00A85D84">
              <w:rPr>
                <w:b w:val="0"/>
                <w:spacing w:val="0"/>
              </w:rPr>
              <w:t>English</w:t>
            </w:r>
          </w:p>
          <w:p w:rsidR="000D7780" w:rsidRPr="00A85D84" w:rsidRDefault="000D7780" w:rsidP="004028CD">
            <w:pPr>
              <w:pStyle w:val="Docoriginal"/>
            </w:pPr>
            <w:r w:rsidRPr="00A85D84">
              <w:rPr>
                <w:spacing w:val="0"/>
              </w:rPr>
              <w:t>DATE:</w:t>
            </w:r>
            <w:r w:rsidRPr="00A85D84">
              <w:rPr>
                <w:rStyle w:val="StyleDocoriginalNotBold1"/>
                <w:spacing w:val="0"/>
              </w:rPr>
              <w:t xml:space="preserve"> </w:t>
            </w:r>
            <w:bookmarkStart w:id="1" w:name="Date"/>
            <w:bookmarkEnd w:id="1"/>
            <w:r w:rsidR="00876C58" w:rsidRPr="00A85D84">
              <w:rPr>
                <w:rStyle w:val="StyleDocoriginalNotBold1"/>
                <w:spacing w:val="0"/>
              </w:rPr>
              <w:t xml:space="preserve"> </w:t>
            </w:r>
            <w:r w:rsidR="00325CCF" w:rsidRPr="00A85D84">
              <w:rPr>
                <w:rStyle w:val="StyleDocoriginalNotBold1"/>
                <w:spacing w:val="0"/>
              </w:rPr>
              <w:t>May 2</w:t>
            </w:r>
            <w:r w:rsidR="004028CD">
              <w:rPr>
                <w:rStyle w:val="StyleDocoriginalNotBold1"/>
                <w:spacing w:val="0"/>
              </w:rPr>
              <w:t>1</w:t>
            </w:r>
            <w:bookmarkStart w:id="2" w:name="_GoBack"/>
            <w:bookmarkEnd w:id="2"/>
            <w:r w:rsidR="00325CCF" w:rsidRPr="00A85D84">
              <w:rPr>
                <w:rStyle w:val="StyleDocoriginalNotBold1"/>
                <w:spacing w:val="0"/>
              </w:rPr>
              <w:t>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8843A4" w:rsidRPr="00C5280D" w:rsidRDefault="008843A4" w:rsidP="008843A4">
      <w:pPr>
        <w:pStyle w:val="Sessiontc"/>
      </w:pPr>
      <w:r w:rsidRPr="00C5280D">
        <w:t xml:space="preserve">Technical </w:t>
      </w:r>
      <w:r>
        <w:t>working party for fruit cropS</w:t>
      </w:r>
    </w:p>
    <w:p w:rsidR="002112C7" w:rsidRDefault="002112C7" w:rsidP="002112C7">
      <w:pPr>
        <w:pStyle w:val="Sessiontcplacedate"/>
      </w:pPr>
      <w:bookmarkStart w:id="3" w:name="TitleOfDoc"/>
      <w:bookmarkEnd w:id="3"/>
      <w:r>
        <w:t xml:space="preserve">Forty-Fifth </w:t>
      </w:r>
      <w:proofErr w:type="gramStart"/>
      <w:r>
        <w:t>Session</w:t>
      </w:r>
      <w:proofErr w:type="gramEnd"/>
    </w:p>
    <w:p w:rsidR="002112C7" w:rsidRDefault="002112C7" w:rsidP="002112C7">
      <w:pPr>
        <w:pStyle w:val="Sessiontcplacedate"/>
        <w:spacing w:before="0"/>
      </w:pPr>
      <w:r>
        <w:t>Marrakesh, Morocco, from May 26 to 30, 2014</w:t>
      </w:r>
    </w:p>
    <w:p w:rsidR="00F53FD8" w:rsidRDefault="00F53FD8" w:rsidP="00A92E04">
      <w:pPr>
        <w:pStyle w:val="Titleofdoc0"/>
        <w:spacing w:before="0"/>
      </w:pPr>
    </w:p>
    <w:p w:rsidR="00F53FD8" w:rsidRDefault="00F53FD8" w:rsidP="00A92E04">
      <w:pPr>
        <w:pStyle w:val="Titleofdoc0"/>
        <w:spacing w:before="0"/>
      </w:pPr>
    </w:p>
    <w:p w:rsidR="00F53FD8" w:rsidRDefault="00F53FD8" w:rsidP="00A92E04">
      <w:pPr>
        <w:pStyle w:val="Titleofdoc0"/>
        <w:spacing w:before="0"/>
      </w:pPr>
    </w:p>
    <w:p w:rsidR="00F53FD8" w:rsidRDefault="005A5D03" w:rsidP="00A92E04">
      <w:pPr>
        <w:pStyle w:val="Titleofdoc0"/>
        <w:spacing w:before="0"/>
      </w:pPr>
      <w:r>
        <w:t>PARTIAL REVISION OF THE test guidelines for</w:t>
      </w:r>
      <w:r w:rsidR="00F53FD8">
        <w:t xml:space="preserve"> </w:t>
      </w:r>
    </w:p>
    <w:p w:rsidR="000D7780" w:rsidRPr="00F53FD8" w:rsidRDefault="00F53FD8" w:rsidP="00A92E04">
      <w:pPr>
        <w:pStyle w:val="Titleofdoc0"/>
        <w:spacing w:before="0"/>
        <w:rPr>
          <w:lang w:val="fr-FR"/>
        </w:rPr>
      </w:pPr>
      <w:r w:rsidRPr="00F53FD8">
        <w:rPr>
          <w:rFonts w:cs="Arial"/>
          <w:lang w:val="fr-FR"/>
        </w:rPr>
        <w:t>Mandarins (Citrus L.-Group 1) (document TG/201/</w:t>
      </w:r>
      <w:r w:rsidR="00A034C7">
        <w:rPr>
          <w:rFonts w:cs="Arial"/>
          <w:lang w:val="fr-FR"/>
        </w:rPr>
        <w:t>1)</w:t>
      </w:r>
    </w:p>
    <w:p w:rsidR="000D7780" w:rsidRPr="00C5280D" w:rsidRDefault="00AE0EF1" w:rsidP="006655D3">
      <w:pPr>
        <w:pStyle w:val="preparedby1"/>
      </w:pPr>
      <w:bookmarkStart w:id="4" w:name="Prepared"/>
      <w:bookmarkEnd w:id="4"/>
      <w:r w:rsidRPr="00AF7C7F">
        <w:t>Document</w:t>
      </w:r>
      <w:r w:rsidRPr="00C5280D">
        <w:t xml:space="preserve"> </w:t>
      </w:r>
      <w:r w:rsidR="00134329">
        <w:t xml:space="preserve">prepared by </w:t>
      </w:r>
      <w:r w:rsidR="00F53FD8">
        <w:rPr>
          <w:rFonts w:cs="Arial"/>
          <w:color w:val="000000"/>
        </w:rPr>
        <w:t>expert from Spain</w:t>
      </w:r>
    </w:p>
    <w:p w:rsidR="00AF7C7F" w:rsidRDefault="00AF7C7F" w:rsidP="008C2DA2"/>
    <w:p w:rsidR="00055F69" w:rsidRDefault="00055F69" w:rsidP="00055F69"/>
    <w:p w:rsidR="00903656" w:rsidRPr="00711605" w:rsidRDefault="00711605" w:rsidP="00711605">
      <w:pPr>
        <w:autoSpaceDE w:val="0"/>
        <w:autoSpaceDN w:val="0"/>
        <w:adjustRightInd w:val="0"/>
        <w:jc w:val="left"/>
        <w:rPr>
          <w:rFonts w:cs="Arial"/>
        </w:rPr>
      </w:pPr>
      <w:r w:rsidRPr="00711605">
        <w:rPr>
          <w:rFonts w:cs="Arial"/>
        </w:rPr>
        <w:t xml:space="preserve">The proposal for a partial revision of the </w:t>
      </w:r>
      <w:r w:rsidRPr="00711605">
        <w:rPr>
          <w:rFonts w:cs="Arial"/>
          <w:lang w:eastAsia="ja-JP"/>
        </w:rPr>
        <w:t xml:space="preserve">Test Guidelines for </w:t>
      </w:r>
      <w:r w:rsidRPr="00711605">
        <w:rPr>
          <w:rFonts w:cs="Arial"/>
        </w:rPr>
        <w:t>Mandarins</w:t>
      </w:r>
      <w:r w:rsidRPr="00711605">
        <w:rPr>
          <w:rFonts w:cs="Arial"/>
          <w:lang w:eastAsia="ja-JP"/>
        </w:rPr>
        <w:t xml:space="preserve"> (document TG/</w:t>
      </w:r>
      <w:r w:rsidRPr="00711605">
        <w:rPr>
          <w:rFonts w:cs="Arial"/>
        </w:rPr>
        <w:t>201/1</w:t>
      </w:r>
      <w:r w:rsidRPr="00711605">
        <w:rPr>
          <w:rFonts w:cs="Arial"/>
          <w:lang w:eastAsia="ja-JP"/>
        </w:rPr>
        <w:t>)</w:t>
      </w:r>
      <w:r w:rsidRPr="00711605">
        <w:rPr>
          <w:rFonts w:cs="Arial"/>
        </w:rPr>
        <w:t xml:space="preserve"> is set out in the Annex to this document</w:t>
      </w:r>
      <w:r w:rsidRPr="00711605">
        <w:rPr>
          <w:rFonts w:cs="Arial"/>
          <w:lang w:eastAsia="ja-JP"/>
        </w:rPr>
        <w:t>.</w:t>
      </w:r>
    </w:p>
    <w:p w:rsidR="00AF7C7F" w:rsidRDefault="00AF7C7F" w:rsidP="00AB530F"/>
    <w:p w:rsidR="00AF7C7F" w:rsidRDefault="00AF7C7F" w:rsidP="00AF7C7F">
      <w:pPr>
        <w:jc w:val="right"/>
      </w:pPr>
      <w:r>
        <w:t>[Annex follows]</w:t>
      </w:r>
    </w:p>
    <w:p w:rsidR="00AF7C7F" w:rsidRDefault="00AF7C7F" w:rsidP="00AB530F">
      <w:pPr>
        <w:rPr>
          <w:snapToGrid w:val="0"/>
        </w:rPr>
      </w:pPr>
    </w:p>
    <w:p w:rsidR="00410C18" w:rsidRDefault="00410C18" w:rsidP="00AB530F">
      <w:pPr>
        <w:rPr>
          <w:snapToGrid w:val="0"/>
        </w:rPr>
        <w:sectPr w:rsidR="00410C18" w:rsidSect="00906DDC">
          <w:headerReference w:type="default" r:id="rId10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752F8" w:rsidRDefault="000752F8" w:rsidP="00AB530F">
      <w:pPr>
        <w:rPr>
          <w:snapToGrid w:val="0"/>
        </w:rPr>
      </w:pPr>
    </w:p>
    <w:p w:rsidR="00A034C7" w:rsidRPr="00B90FDA" w:rsidRDefault="00A034C7" w:rsidP="00A034C7">
      <w:pPr>
        <w:autoSpaceDE w:val="0"/>
        <w:autoSpaceDN w:val="0"/>
        <w:adjustRightInd w:val="0"/>
        <w:jc w:val="left"/>
        <w:rPr>
          <w:rFonts w:cs="Arial"/>
          <w:szCs w:val="24"/>
          <w:u w:val="single"/>
          <w:lang w:val="fr-FR"/>
        </w:rPr>
      </w:pPr>
      <w:bookmarkStart w:id="5" w:name="_Toc1553084"/>
      <w:bookmarkStart w:id="6" w:name="_Toc3259502"/>
      <w:bookmarkStart w:id="7" w:name="_Toc57432680"/>
      <w:r w:rsidRPr="00B90FDA">
        <w:rPr>
          <w:rFonts w:cs="Arial"/>
          <w:szCs w:val="24"/>
          <w:u w:val="single"/>
          <w:lang w:val="fr-FR"/>
        </w:rPr>
        <w:t>7.</w:t>
      </w:r>
      <w:r w:rsidRPr="00B90FDA">
        <w:rPr>
          <w:rFonts w:cs="Arial"/>
          <w:szCs w:val="24"/>
          <w:u w:val="single"/>
          <w:lang w:val="fr-FR"/>
        </w:rPr>
        <w:tab/>
        <w:t xml:space="preserve">Table of </w:t>
      </w:r>
      <w:proofErr w:type="spellStart"/>
      <w:r w:rsidRPr="00B90FDA">
        <w:rPr>
          <w:rFonts w:cs="Arial"/>
          <w:szCs w:val="24"/>
          <w:u w:val="single"/>
          <w:lang w:val="fr-FR"/>
        </w:rPr>
        <w:t>Characteristics</w:t>
      </w:r>
      <w:proofErr w:type="spellEnd"/>
      <w:r w:rsidRPr="00B90FDA">
        <w:rPr>
          <w:rFonts w:cs="Arial"/>
          <w:szCs w:val="24"/>
          <w:u w:val="single"/>
          <w:lang w:val="fr-FR"/>
        </w:rPr>
        <w:t>/Tableau des caractères/</w:t>
      </w:r>
      <w:proofErr w:type="spellStart"/>
      <w:r w:rsidRPr="00B90FDA">
        <w:rPr>
          <w:rFonts w:cs="Arial"/>
          <w:szCs w:val="24"/>
          <w:u w:val="single"/>
          <w:lang w:val="fr-FR"/>
        </w:rPr>
        <w:t>Merkmalstabelle</w:t>
      </w:r>
      <w:proofErr w:type="spellEnd"/>
      <w:r w:rsidRPr="00B90FDA">
        <w:rPr>
          <w:rFonts w:cs="Arial"/>
          <w:szCs w:val="24"/>
          <w:u w:val="single"/>
          <w:lang w:val="fr-FR"/>
        </w:rPr>
        <w:t xml:space="preserve">/Tabla de </w:t>
      </w:r>
      <w:proofErr w:type="spellStart"/>
      <w:r w:rsidRPr="00B90FDA">
        <w:rPr>
          <w:rFonts w:cs="Arial"/>
          <w:szCs w:val="24"/>
          <w:u w:val="single"/>
          <w:lang w:val="fr-FR"/>
        </w:rPr>
        <w:t>caracteres</w:t>
      </w:r>
      <w:bookmarkEnd w:id="5"/>
      <w:bookmarkEnd w:id="6"/>
      <w:bookmarkEnd w:id="7"/>
      <w:proofErr w:type="spellEnd"/>
    </w:p>
    <w:p w:rsidR="00A034C7" w:rsidRPr="00695431" w:rsidRDefault="00A034C7" w:rsidP="00A034C7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  <w:lang w:val="fr-FR"/>
        </w:rPr>
      </w:pPr>
    </w:p>
    <w:p w:rsidR="00A034C7" w:rsidRPr="00B90FDA" w:rsidRDefault="00A034C7" w:rsidP="00A034C7">
      <w:pPr>
        <w:autoSpaceDE w:val="0"/>
        <w:autoSpaceDN w:val="0"/>
        <w:adjustRightInd w:val="0"/>
        <w:jc w:val="left"/>
        <w:rPr>
          <w:rFonts w:cs="Arial"/>
          <w:szCs w:val="24"/>
        </w:rPr>
      </w:pPr>
      <w:r w:rsidRPr="00B90FDA">
        <w:rPr>
          <w:rFonts w:cs="Arial"/>
          <w:szCs w:val="24"/>
        </w:rPr>
        <w:t>Characteristic 25</w:t>
      </w:r>
    </w:p>
    <w:p w:rsidR="00A034C7" w:rsidRDefault="00A034C7" w:rsidP="00A034C7">
      <w:pPr>
        <w:spacing w:line="360" w:lineRule="auto"/>
        <w:rPr>
          <w:lang w:val="en-GB"/>
        </w:rPr>
      </w:pPr>
    </w:p>
    <w:p w:rsidR="00A034C7" w:rsidRDefault="00A034C7" w:rsidP="00A034C7">
      <w:pPr>
        <w:spacing w:line="276" w:lineRule="auto"/>
        <w:ind w:firstLine="708"/>
        <w:rPr>
          <w:lang w:val="en-GB"/>
        </w:rPr>
      </w:pPr>
      <w:r>
        <w:rPr>
          <w:lang w:val="en-GB"/>
        </w:rPr>
        <w:t xml:space="preserve">The capability of pollen germination of a great number of varieties of citrus fruits, and in this case the differences observed were as well trustworthy, repetitive, reproducible and with sufficient expression </w:t>
      </w:r>
      <w:r w:rsidR="00B90FDA">
        <w:rPr>
          <w:lang w:val="en-GB"/>
        </w:rPr>
        <w:t xml:space="preserve">variability. </w:t>
      </w:r>
      <w:r>
        <w:rPr>
          <w:lang w:val="en-GB"/>
        </w:rPr>
        <w:t xml:space="preserve">Varieties may </w:t>
      </w:r>
      <w:r w:rsidR="00B90FDA">
        <w:rPr>
          <w:lang w:val="en-GB"/>
        </w:rPr>
        <w:t>show</w:t>
      </w:r>
      <w:r>
        <w:rPr>
          <w:lang w:val="en-GB"/>
        </w:rPr>
        <w:t xml:space="preserve"> a </w:t>
      </w:r>
      <w:r w:rsidR="00711605">
        <w:rPr>
          <w:lang w:val="en-GB"/>
        </w:rPr>
        <w:t>wide range</w:t>
      </w:r>
      <w:r>
        <w:rPr>
          <w:lang w:val="en-GB"/>
        </w:rPr>
        <w:t xml:space="preserve"> of differences in the pollen germination </w:t>
      </w:r>
      <w:proofErr w:type="gramStart"/>
      <w:r>
        <w:rPr>
          <w:lang w:val="en-GB"/>
        </w:rPr>
        <w:t>percentage ,</w:t>
      </w:r>
      <w:proofErr w:type="gramEnd"/>
      <w:r>
        <w:rPr>
          <w:lang w:val="en-GB"/>
        </w:rPr>
        <w:t xml:space="preserve"> which are not yet well  reflected in the present </w:t>
      </w:r>
      <w:r w:rsidR="00B90FDA">
        <w:rPr>
          <w:lang w:val="en-GB"/>
        </w:rPr>
        <w:t>Test Guidelines (document TG/201/1)</w:t>
      </w:r>
      <w:r>
        <w:rPr>
          <w:lang w:val="en-GB"/>
        </w:rPr>
        <w:t xml:space="preserve">. </w:t>
      </w:r>
    </w:p>
    <w:p w:rsidR="004B69D3" w:rsidRDefault="004B69D3" w:rsidP="00A034C7">
      <w:pPr>
        <w:spacing w:after="120" w:line="276" w:lineRule="auto"/>
        <w:ind w:firstLine="708"/>
        <w:rPr>
          <w:lang w:val="en-GB"/>
        </w:rPr>
      </w:pPr>
    </w:p>
    <w:p w:rsidR="00A034C7" w:rsidRDefault="00B90FDA" w:rsidP="00A034C7">
      <w:pPr>
        <w:spacing w:after="120" w:line="276" w:lineRule="auto"/>
        <w:ind w:firstLine="708"/>
        <w:rPr>
          <w:lang w:val="en-GB"/>
        </w:rPr>
      </w:pPr>
      <w:r>
        <w:rPr>
          <w:lang w:val="en-GB"/>
        </w:rPr>
        <w:t>T</w:t>
      </w:r>
      <w:r w:rsidR="00A034C7">
        <w:rPr>
          <w:lang w:val="en-GB"/>
        </w:rPr>
        <w:t xml:space="preserve">he proposal is the </w:t>
      </w:r>
      <w:r>
        <w:rPr>
          <w:lang w:val="en-GB"/>
        </w:rPr>
        <w:t xml:space="preserve">following: </w:t>
      </w:r>
    </w:p>
    <w:p w:rsidR="00A034C7" w:rsidRDefault="00A034C7" w:rsidP="00A034C7">
      <w:pPr>
        <w:spacing w:after="120"/>
        <w:rPr>
          <w:i/>
        </w:rPr>
      </w:pPr>
      <w:r>
        <w:rPr>
          <w:i/>
        </w:rPr>
        <w:t>Current wording</w:t>
      </w:r>
    </w:p>
    <w:p w:rsidR="004B69D3" w:rsidRDefault="004B69D3" w:rsidP="00A034C7">
      <w:pPr>
        <w:spacing w:after="120"/>
        <w:rPr>
          <w:i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6"/>
        <w:gridCol w:w="318"/>
        <w:gridCol w:w="1478"/>
        <w:gridCol w:w="1478"/>
        <w:gridCol w:w="1478"/>
        <w:gridCol w:w="1478"/>
        <w:gridCol w:w="1933"/>
        <w:gridCol w:w="695"/>
      </w:tblGrid>
      <w:tr w:rsidR="00A034C7" w:rsidTr="006719F1">
        <w:trPr>
          <w:cantSplit/>
          <w:trHeight w:val="258"/>
          <w:tblHeader/>
        </w:trPr>
        <w:tc>
          <w:tcPr>
            <w:tcW w:w="526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  <w:jc w:val="center"/>
            </w:pPr>
            <w:r>
              <w:t>25.</w:t>
            </w:r>
          </w:p>
        </w:tc>
        <w:tc>
          <w:tcPr>
            <w:tcW w:w="318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</w:pPr>
            <w:r>
              <w:t>Anther: viable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  <w:rPr>
                <w:noProof w:val="0"/>
              </w:rPr>
            </w:pPr>
            <w:proofErr w:type="spellStart"/>
            <w:r>
              <w:rPr>
                <w:noProof w:val="0"/>
              </w:rPr>
              <w:t>Anthère</w:t>
            </w:r>
            <w:proofErr w:type="spellEnd"/>
            <w:r>
              <w:rPr>
                <w:noProof w:val="0"/>
              </w:rPr>
              <w:t>: pollen viable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  <w:rPr>
                <w:noProof w:val="0"/>
              </w:rPr>
            </w:pPr>
            <w:proofErr w:type="spellStart"/>
            <w:r>
              <w:rPr>
                <w:noProof w:val="0"/>
              </w:rPr>
              <w:t>Anthere</w:t>
            </w:r>
            <w:proofErr w:type="spellEnd"/>
            <w:r>
              <w:rPr>
                <w:noProof w:val="0"/>
              </w:rPr>
              <w:t xml:space="preserve">: </w:t>
            </w:r>
            <w:proofErr w:type="spellStart"/>
            <w:r>
              <w:rPr>
                <w:noProof w:val="0"/>
              </w:rPr>
              <w:t>keim</w:t>
            </w:r>
            <w:r>
              <w:rPr>
                <w:noProof w:val="0"/>
              </w:rPr>
              <w:softHyphen/>
              <w:t>fähiger</w:t>
            </w:r>
            <w:proofErr w:type="spellEnd"/>
            <w:r>
              <w:rPr>
                <w:noProof w:val="0"/>
              </w:rPr>
              <w:t xml:space="preserve"> Pollen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  <w:rPr>
                <w:noProof w:val="0"/>
                <w:lang w:val="es-ES"/>
              </w:rPr>
            </w:pPr>
            <w:r>
              <w:rPr>
                <w:noProof w:val="0"/>
                <w:lang w:val="es-ES"/>
              </w:rPr>
              <w:t>Antera: polen viable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  <w:rPr>
                <w:lang w:val="es-ES"/>
              </w:rPr>
            </w:pPr>
            <w:r>
              <w:rPr>
                <w:lang w:val="es-ES"/>
              </w:rPr>
              <w:t>Example Varieties</w:t>
            </w:r>
            <w:r>
              <w:rPr>
                <w:lang w:val="es-ES"/>
              </w:rPr>
              <w:br/>
              <w:t>Exemples</w:t>
            </w:r>
            <w:r>
              <w:rPr>
                <w:lang w:val="es-ES"/>
              </w:rPr>
              <w:br/>
              <w:t>Beispielssorten</w:t>
            </w:r>
            <w:r>
              <w:rPr>
                <w:lang w:val="es-ES"/>
              </w:rPr>
              <w:br/>
              <w:t>Variedades ejemplo</w:t>
            </w:r>
          </w:p>
        </w:tc>
        <w:tc>
          <w:tcPr>
            <w:tcW w:w="695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  <w:jc w:val="center"/>
              <w:rPr>
                <w:lang w:val="es-ES"/>
              </w:rPr>
            </w:pPr>
            <w:r>
              <w:rPr>
                <w:lang w:val="es-ES"/>
              </w:rPr>
              <w:t>Note/</w:t>
            </w:r>
            <w:r>
              <w:rPr>
                <w:lang w:val="es-ES"/>
              </w:rPr>
              <w:br/>
              <w:t>Nota</w:t>
            </w:r>
          </w:p>
        </w:tc>
      </w:tr>
      <w:tr w:rsidR="00A034C7" w:rsidTr="006719F1">
        <w:trPr>
          <w:cantSplit/>
          <w:trHeight w:val="173"/>
          <w:tblHeader/>
        </w:trPr>
        <w:tc>
          <w:tcPr>
            <w:tcW w:w="526" w:type="dxa"/>
          </w:tcPr>
          <w:p w:rsidR="00A034C7" w:rsidRDefault="00A034C7" w:rsidP="006719F1">
            <w:pPr>
              <w:pStyle w:val="Normalt"/>
              <w:spacing w:before="0"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QL</w:t>
            </w:r>
          </w:p>
        </w:tc>
        <w:tc>
          <w:tcPr>
            <w:tcW w:w="318" w:type="dxa"/>
          </w:tcPr>
          <w:p w:rsidR="00A034C7" w:rsidRDefault="00A034C7" w:rsidP="006719F1">
            <w:pPr>
              <w:pStyle w:val="Normalt"/>
              <w:keepNext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1478" w:type="dxa"/>
          </w:tcPr>
          <w:p w:rsidR="00A034C7" w:rsidRDefault="00A034C7" w:rsidP="006719F1">
            <w:pPr>
              <w:pStyle w:val="Normalt"/>
              <w:keepNext/>
              <w:spacing w:before="0" w:after="0"/>
            </w:pPr>
            <w:r>
              <w:t>absent</w:t>
            </w:r>
          </w:p>
        </w:tc>
        <w:tc>
          <w:tcPr>
            <w:tcW w:w="1478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absent</w:t>
            </w:r>
          </w:p>
        </w:tc>
        <w:tc>
          <w:tcPr>
            <w:tcW w:w="1478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fehlend</w:t>
            </w:r>
          </w:p>
        </w:tc>
        <w:tc>
          <w:tcPr>
            <w:tcW w:w="1478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ausente</w:t>
            </w:r>
          </w:p>
        </w:tc>
        <w:tc>
          <w:tcPr>
            <w:tcW w:w="1933" w:type="dxa"/>
          </w:tcPr>
          <w:p w:rsidR="00A034C7" w:rsidRDefault="00A034C7" w:rsidP="006719F1">
            <w:pPr>
              <w:pStyle w:val="Normalt"/>
              <w:keepNext/>
              <w:spacing w:before="0" w:after="0"/>
            </w:pPr>
            <w:r>
              <w:t>Owari (SAT)</w:t>
            </w:r>
          </w:p>
        </w:tc>
        <w:tc>
          <w:tcPr>
            <w:tcW w:w="695" w:type="dxa"/>
          </w:tcPr>
          <w:p w:rsidR="00A034C7" w:rsidRDefault="00A034C7" w:rsidP="006719F1">
            <w:pPr>
              <w:pStyle w:val="Normalt"/>
              <w:keepNext/>
              <w:spacing w:before="0" w:after="0"/>
              <w:jc w:val="center"/>
            </w:pPr>
            <w:r>
              <w:t>1</w:t>
            </w:r>
          </w:p>
        </w:tc>
      </w:tr>
      <w:tr w:rsidR="00A034C7" w:rsidTr="006719F1">
        <w:trPr>
          <w:cantSplit/>
          <w:trHeight w:val="179"/>
          <w:tblHeader/>
        </w:trPr>
        <w:tc>
          <w:tcPr>
            <w:tcW w:w="526" w:type="dxa"/>
            <w:tcBorders>
              <w:bottom w:val="single" w:sz="6" w:space="0" w:color="auto"/>
            </w:tcBorders>
          </w:tcPr>
          <w:p w:rsidR="00A034C7" w:rsidRDefault="00A034C7" w:rsidP="006719F1">
            <w:pPr>
              <w:pStyle w:val="Normal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[239]</w:t>
            </w:r>
          </w:p>
        </w:tc>
        <w:tc>
          <w:tcPr>
            <w:tcW w:w="318" w:type="dxa"/>
            <w:tcBorders>
              <w:bottom w:val="single" w:sz="6" w:space="0" w:color="auto"/>
            </w:tcBorders>
          </w:tcPr>
          <w:p w:rsidR="00A034C7" w:rsidRDefault="00A034C7" w:rsidP="006719F1">
            <w:pPr>
              <w:pStyle w:val="Normaltb"/>
              <w:keepNext w:val="0"/>
              <w:spacing w:before="0" w:after="0"/>
              <w:jc w:val="center"/>
            </w:pP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A034C7" w:rsidRDefault="00A034C7" w:rsidP="00422317">
            <w:pPr>
              <w:pStyle w:val="Normalt"/>
              <w:keepNext/>
              <w:spacing w:before="0" w:after="0"/>
            </w:pPr>
            <w:r>
              <w:t>present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A034C7" w:rsidRPr="00422317" w:rsidRDefault="00A034C7" w:rsidP="00422317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présent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A034C7" w:rsidRPr="00422317" w:rsidRDefault="00A034C7" w:rsidP="00422317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vorhanden</w:t>
            </w:r>
          </w:p>
        </w:tc>
        <w:tc>
          <w:tcPr>
            <w:tcW w:w="1478" w:type="dxa"/>
            <w:tcBorders>
              <w:bottom w:val="single" w:sz="6" w:space="0" w:color="auto"/>
            </w:tcBorders>
          </w:tcPr>
          <w:p w:rsidR="00A034C7" w:rsidRPr="00422317" w:rsidRDefault="00A034C7" w:rsidP="00422317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presente</w:t>
            </w:r>
          </w:p>
        </w:tc>
        <w:tc>
          <w:tcPr>
            <w:tcW w:w="1933" w:type="dxa"/>
            <w:tcBorders>
              <w:bottom w:val="single" w:sz="6" w:space="0" w:color="auto"/>
            </w:tcBorders>
          </w:tcPr>
          <w:p w:rsidR="00A034C7" w:rsidRDefault="00A034C7" w:rsidP="00422317">
            <w:pPr>
              <w:pStyle w:val="Normalt"/>
              <w:keepNext/>
              <w:spacing w:before="0" w:after="0"/>
            </w:pPr>
          </w:p>
        </w:tc>
        <w:tc>
          <w:tcPr>
            <w:tcW w:w="695" w:type="dxa"/>
            <w:tcBorders>
              <w:bottom w:val="single" w:sz="6" w:space="0" w:color="auto"/>
            </w:tcBorders>
          </w:tcPr>
          <w:p w:rsidR="00A034C7" w:rsidRDefault="00A034C7" w:rsidP="006719F1">
            <w:pPr>
              <w:pStyle w:val="Normalt"/>
              <w:spacing w:before="0" w:after="0"/>
              <w:jc w:val="center"/>
            </w:pPr>
            <w:r>
              <w:t>9</w:t>
            </w:r>
          </w:p>
        </w:tc>
      </w:tr>
    </w:tbl>
    <w:p w:rsidR="00A034C7" w:rsidRDefault="00A034C7" w:rsidP="00A034C7">
      <w:pPr>
        <w:spacing w:after="120"/>
        <w:rPr>
          <w:i/>
        </w:rPr>
      </w:pPr>
    </w:p>
    <w:p w:rsidR="004B69D3" w:rsidRDefault="004B69D3" w:rsidP="00A034C7">
      <w:pPr>
        <w:spacing w:after="120"/>
        <w:rPr>
          <w:i/>
        </w:rPr>
      </w:pPr>
    </w:p>
    <w:p w:rsidR="00A034C7" w:rsidRDefault="00A034C7" w:rsidP="00A034C7">
      <w:pPr>
        <w:spacing w:after="120"/>
        <w:rPr>
          <w:i/>
        </w:rPr>
      </w:pPr>
      <w:r>
        <w:rPr>
          <w:i/>
        </w:rPr>
        <w:t>Proposed new wording</w:t>
      </w:r>
    </w:p>
    <w:p w:rsidR="004B69D3" w:rsidRDefault="004B69D3" w:rsidP="00A034C7">
      <w:pPr>
        <w:spacing w:after="120"/>
        <w:rPr>
          <w:i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7"/>
        <w:gridCol w:w="315"/>
        <w:gridCol w:w="1466"/>
        <w:gridCol w:w="1466"/>
        <w:gridCol w:w="1466"/>
        <w:gridCol w:w="1466"/>
        <w:gridCol w:w="1917"/>
        <w:gridCol w:w="691"/>
      </w:tblGrid>
      <w:tr w:rsidR="00A034C7" w:rsidTr="006719F1">
        <w:trPr>
          <w:cantSplit/>
          <w:trHeight w:val="262"/>
          <w:tblHeader/>
        </w:trPr>
        <w:tc>
          <w:tcPr>
            <w:tcW w:w="597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  <w:jc w:val="center"/>
            </w:pPr>
            <w:r>
              <w:t>25.</w:t>
            </w:r>
          </w:p>
        </w:tc>
        <w:tc>
          <w:tcPr>
            <w:tcW w:w="315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"/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</w:pPr>
            <w:r>
              <w:t>Anther: viable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  <w:rPr>
                <w:noProof w:val="0"/>
              </w:rPr>
            </w:pPr>
            <w:proofErr w:type="spellStart"/>
            <w:r>
              <w:rPr>
                <w:noProof w:val="0"/>
              </w:rPr>
              <w:t>Anthère</w:t>
            </w:r>
            <w:proofErr w:type="spellEnd"/>
            <w:r>
              <w:rPr>
                <w:noProof w:val="0"/>
              </w:rPr>
              <w:t>: pollen viable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  <w:rPr>
                <w:noProof w:val="0"/>
              </w:rPr>
            </w:pPr>
            <w:proofErr w:type="spellStart"/>
            <w:r>
              <w:rPr>
                <w:noProof w:val="0"/>
              </w:rPr>
              <w:t>Anthere</w:t>
            </w:r>
            <w:proofErr w:type="spellEnd"/>
            <w:r>
              <w:rPr>
                <w:noProof w:val="0"/>
              </w:rPr>
              <w:t xml:space="preserve">: </w:t>
            </w:r>
            <w:proofErr w:type="spellStart"/>
            <w:r>
              <w:rPr>
                <w:noProof w:val="0"/>
              </w:rPr>
              <w:t>keim</w:t>
            </w:r>
            <w:r>
              <w:rPr>
                <w:noProof w:val="0"/>
              </w:rPr>
              <w:softHyphen/>
              <w:t>fähiger</w:t>
            </w:r>
            <w:proofErr w:type="spellEnd"/>
            <w:r>
              <w:rPr>
                <w:noProof w:val="0"/>
              </w:rPr>
              <w:t xml:space="preserve"> Pollen</w:t>
            </w:r>
          </w:p>
        </w:tc>
        <w:tc>
          <w:tcPr>
            <w:tcW w:w="1466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  <w:rPr>
                <w:noProof w:val="0"/>
                <w:lang w:val="es-ES"/>
              </w:rPr>
            </w:pPr>
            <w:r>
              <w:rPr>
                <w:noProof w:val="0"/>
                <w:lang w:val="es-ES"/>
              </w:rPr>
              <w:t>Antera: polen viable</w:t>
            </w: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  <w:rPr>
                <w:lang w:val="es-ES"/>
              </w:rPr>
            </w:pPr>
            <w:r>
              <w:rPr>
                <w:lang w:val="es-ES"/>
              </w:rPr>
              <w:t>Example Varieties</w:t>
            </w:r>
            <w:r>
              <w:rPr>
                <w:lang w:val="es-ES"/>
              </w:rPr>
              <w:br/>
              <w:t>Exemples</w:t>
            </w:r>
            <w:r>
              <w:rPr>
                <w:lang w:val="es-ES"/>
              </w:rPr>
              <w:br/>
              <w:t>Beispielssorten</w:t>
            </w:r>
            <w:r>
              <w:rPr>
                <w:lang w:val="es-ES"/>
              </w:rPr>
              <w:br/>
              <w:t>Variedades ejemplo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A034C7" w:rsidRDefault="00A034C7" w:rsidP="006719F1">
            <w:pPr>
              <w:pStyle w:val="Normaltb"/>
              <w:jc w:val="center"/>
              <w:rPr>
                <w:lang w:val="es-ES"/>
              </w:rPr>
            </w:pPr>
            <w:r>
              <w:rPr>
                <w:lang w:val="es-ES"/>
              </w:rPr>
              <w:t>Note/</w:t>
            </w:r>
            <w:r>
              <w:rPr>
                <w:lang w:val="es-ES"/>
              </w:rPr>
              <w:br/>
              <w:t>Nota</w:t>
            </w:r>
          </w:p>
        </w:tc>
      </w:tr>
      <w:tr w:rsidR="00A034C7" w:rsidTr="006719F1">
        <w:trPr>
          <w:cantSplit/>
          <w:trHeight w:val="176"/>
          <w:tblHeader/>
        </w:trPr>
        <w:tc>
          <w:tcPr>
            <w:tcW w:w="597" w:type="dxa"/>
            <w:vAlign w:val="center"/>
          </w:tcPr>
          <w:p w:rsidR="00A034C7" w:rsidRDefault="00A034C7" w:rsidP="006719F1">
            <w:pPr>
              <w:pStyle w:val="Normalt"/>
              <w:spacing w:before="0" w:after="0"/>
              <w:jc w:val="center"/>
              <w:rPr>
                <w:b/>
                <w:lang w:val="es-ES"/>
              </w:rPr>
            </w:pPr>
            <w:r>
              <w:rPr>
                <w:b/>
                <w:lang w:val="es-ES"/>
              </w:rPr>
              <w:t>QN</w:t>
            </w:r>
          </w:p>
        </w:tc>
        <w:tc>
          <w:tcPr>
            <w:tcW w:w="315" w:type="dxa"/>
          </w:tcPr>
          <w:p w:rsidR="00A034C7" w:rsidRDefault="00A034C7" w:rsidP="006719F1">
            <w:pPr>
              <w:pStyle w:val="Normalt"/>
              <w:keepNext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1466" w:type="dxa"/>
          </w:tcPr>
          <w:p w:rsidR="00A034C7" w:rsidRDefault="00A034C7" w:rsidP="006719F1">
            <w:pPr>
              <w:pStyle w:val="Normalt"/>
              <w:keepNext/>
              <w:spacing w:before="0" w:after="0"/>
            </w:pPr>
            <w:r>
              <w:t>absent or very low</w:t>
            </w:r>
          </w:p>
        </w:tc>
        <w:tc>
          <w:tcPr>
            <w:tcW w:w="1466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absent ou très faible</w:t>
            </w:r>
          </w:p>
        </w:tc>
        <w:tc>
          <w:tcPr>
            <w:tcW w:w="1466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fehlend oder sehr gering</w:t>
            </w:r>
          </w:p>
        </w:tc>
        <w:tc>
          <w:tcPr>
            <w:tcW w:w="1466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ausente o muy bajo</w:t>
            </w:r>
          </w:p>
        </w:tc>
        <w:tc>
          <w:tcPr>
            <w:tcW w:w="1917" w:type="dxa"/>
          </w:tcPr>
          <w:p w:rsidR="00A034C7" w:rsidRDefault="00A034C7" w:rsidP="006719F1">
            <w:pPr>
              <w:pStyle w:val="Normalt"/>
              <w:keepNext/>
              <w:spacing w:before="0" w:after="0"/>
            </w:pPr>
            <w:r>
              <w:t>Owari (SAT)</w:t>
            </w:r>
          </w:p>
        </w:tc>
        <w:tc>
          <w:tcPr>
            <w:tcW w:w="691" w:type="dxa"/>
          </w:tcPr>
          <w:p w:rsidR="00A034C7" w:rsidRDefault="00A034C7" w:rsidP="006719F1">
            <w:pPr>
              <w:pStyle w:val="Normalt"/>
              <w:keepNext/>
              <w:spacing w:before="0" w:after="0"/>
              <w:jc w:val="center"/>
            </w:pPr>
            <w:r>
              <w:t>1</w:t>
            </w:r>
          </w:p>
        </w:tc>
      </w:tr>
      <w:tr w:rsidR="00A034C7" w:rsidTr="006719F1">
        <w:trPr>
          <w:cantSplit/>
          <w:trHeight w:val="176"/>
          <w:tblHeader/>
        </w:trPr>
        <w:tc>
          <w:tcPr>
            <w:tcW w:w="597" w:type="dxa"/>
          </w:tcPr>
          <w:p w:rsidR="00A034C7" w:rsidRDefault="00A034C7" w:rsidP="006719F1">
            <w:pPr>
              <w:pStyle w:val="Normalt"/>
              <w:spacing w:before="0" w:after="0"/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A034C7" w:rsidRDefault="00A034C7" w:rsidP="006719F1">
            <w:pPr>
              <w:pStyle w:val="Normalt"/>
              <w:keepNext/>
              <w:spacing w:before="0" w:after="0"/>
              <w:jc w:val="center"/>
              <w:rPr>
                <w:b/>
              </w:rPr>
            </w:pPr>
          </w:p>
        </w:tc>
        <w:tc>
          <w:tcPr>
            <w:tcW w:w="1466" w:type="dxa"/>
          </w:tcPr>
          <w:p w:rsidR="00A034C7" w:rsidRDefault="00A034C7" w:rsidP="006719F1">
            <w:pPr>
              <w:pStyle w:val="Normalt"/>
              <w:keepNext/>
              <w:spacing w:before="0" w:after="0"/>
            </w:pPr>
            <w:r>
              <w:t>low</w:t>
            </w:r>
          </w:p>
        </w:tc>
        <w:tc>
          <w:tcPr>
            <w:tcW w:w="1466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faible</w:t>
            </w:r>
          </w:p>
        </w:tc>
        <w:tc>
          <w:tcPr>
            <w:tcW w:w="1466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gering</w:t>
            </w:r>
          </w:p>
        </w:tc>
        <w:tc>
          <w:tcPr>
            <w:tcW w:w="1466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bajo</w:t>
            </w:r>
          </w:p>
        </w:tc>
        <w:tc>
          <w:tcPr>
            <w:tcW w:w="1917" w:type="dxa"/>
          </w:tcPr>
          <w:p w:rsidR="00A034C7" w:rsidRDefault="00A034C7" w:rsidP="006719F1">
            <w:pPr>
              <w:pStyle w:val="Normalt"/>
              <w:keepNext/>
              <w:spacing w:before="0" w:after="0"/>
            </w:pPr>
          </w:p>
        </w:tc>
        <w:tc>
          <w:tcPr>
            <w:tcW w:w="691" w:type="dxa"/>
          </w:tcPr>
          <w:p w:rsidR="00A034C7" w:rsidRDefault="00A034C7" w:rsidP="006719F1">
            <w:pPr>
              <w:pStyle w:val="Normalt"/>
              <w:keepNext/>
              <w:spacing w:before="0" w:after="0"/>
              <w:jc w:val="center"/>
            </w:pPr>
            <w:r>
              <w:t>3</w:t>
            </w:r>
          </w:p>
        </w:tc>
      </w:tr>
      <w:tr w:rsidR="00A034C7" w:rsidTr="006719F1">
        <w:trPr>
          <w:cantSplit/>
          <w:trHeight w:val="176"/>
          <w:tblHeader/>
        </w:trPr>
        <w:tc>
          <w:tcPr>
            <w:tcW w:w="597" w:type="dxa"/>
          </w:tcPr>
          <w:p w:rsidR="00A034C7" w:rsidRDefault="00A034C7" w:rsidP="006719F1">
            <w:pPr>
              <w:pStyle w:val="Normalt"/>
              <w:spacing w:before="0" w:after="0"/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A034C7" w:rsidRDefault="00A034C7" w:rsidP="006719F1">
            <w:pPr>
              <w:pStyle w:val="Normalt"/>
              <w:keepNext/>
              <w:spacing w:before="0" w:after="0"/>
              <w:jc w:val="center"/>
              <w:rPr>
                <w:b/>
              </w:rPr>
            </w:pPr>
          </w:p>
        </w:tc>
        <w:tc>
          <w:tcPr>
            <w:tcW w:w="1466" w:type="dxa"/>
          </w:tcPr>
          <w:p w:rsidR="00A034C7" w:rsidRDefault="00A034C7" w:rsidP="006719F1">
            <w:pPr>
              <w:pStyle w:val="Normalt"/>
              <w:keepNext/>
              <w:spacing w:before="0" w:after="0"/>
            </w:pPr>
            <w:r>
              <w:t>medium</w:t>
            </w:r>
          </w:p>
        </w:tc>
        <w:tc>
          <w:tcPr>
            <w:tcW w:w="1466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moyen</w:t>
            </w:r>
          </w:p>
        </w:tc>
        <w:tc>
          <w:tcPr>
            <w:tcW w:w="1466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mittel</w:t>
            </w:r>
          </w:p>
        </w:tc>
        <w:tc>
          <w:tcPr>
            <w:tcW w:w="1466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medio</w:t>
            </w:r>
          </w:p>
        </w:tc>
        <w:tc>
          <w:tcPr>
            <w:tcW w:w="1917" w:type="dxa"/>
          </w:tcPr>
          <w:p w:rsidR="00A034C7" w:rsidRPr="00422317" w:rsidRDefault="00A034C7" w:rsidP="006719F1">
            <w:pPr>
              <w:pStyle w:val="Normalt"/>
              <w:keepNext/>
              <w:spacing w:before="0" w:after="0"/>
            </w:pPr>
            <w:r w:rsidRPr="00422317">
              <w:t>Marisol (CLE)</w:t>
            </w:r>
          </w:p>
        </w:tc>
        <w:tc>
          <w:tcPr>
            <w:tcW w:w="691" w:type="dxa"/>
          </w:tcPr>
          <w:p w:rsidR="00A034C7" w:rsidRDefault="00A034C7" w:rsidP="006719F1">
            <w:pPr>
              <w:pStyle w:val="Normalt"/>
              <w:keepNext/>
              <w:spacing w:before="0" w:after="0"/>
              <w:jc w:val="center"/>
            </w:pPr>
            <w:r>
              <w:t>5</w:t>
            </w:r>
          </w:p>
        </w:tc>
      </w:tr>
      <w:tr w:rsidR="00A034C7" w:rsidTr="006719F1">
        <w:trPr>
          <w:cantSplit/>
          <w:trHeight w:val="176"/>
          <w:tblHeader/>
        </w:trPr>
        <w:tc>
          <w:tcPr>
            <w:tcW w:w="597" w:type="dxa"/>
          </w:tcPr>
          <w:p w:rsidR="00A034C7" w:rsidRDefault="00A034C7" w:rsidP="006719F1">
            <w:pPr>
              <w:pStyle w:val="Normalt"/>
              <w:spacing w:before="0" w:after="0"/>
              <w:jc w:val="center"/>
              <w:rPr>
                <w:b/>
              </w:rPr>
            </w:pPr>
          </w:p>
        </w:tc>
        <w:tc>
          <w:tcPr>
            <w:tcW w:w="315" w:type="dxa"/>
          </w:tcPr>
          <w:p w:rsidR="00A034C7" w:rsidRDefault="00A034C7" w:rsidP="006719F1">
            <w:pPr>
              <w:pStyle w:val="Normalt"/>
              <w:keepNext/>
              <w:spacing w:before="0" w:after="0"/>
              <w:jc w:val="center"/>
              <w:rPr>
                <w:b/>
              </w:rPr>
            </w:pPr>
          </w:p>
        </w:tc>
        <w:tc>
          <w:tcPr>
            <w:tcW w:w="1466" w:type="dxa"/>
          </w:tcPr>
          <w:p w:rsidR="00A034C7" w:rsidRDefault="00A034C7" w:rsidP="006719F1">
            <w:pPr>
              <w:pStyle w:val="Normalt"/>
              <w:keepNext/>
              <w:spacing w:before="0" w:after="0"/>
            </w:pPr>
            <w:r>
              <w:t>high</w:t>
            </w:r>
          </w:p>
        </w:tc>
        <w:tc>
          <w:tcPr>
            <w:tcW w:w="1466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élevé</w:t>
            </w:r>
          </w:p>
        </w:tc>
        <w:tc>
          <w:tcPr>
            <w:tcW w:w="1466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hoch</w:t>
            </w:r>
          </w:p>
        </w:tc>
        <w:tc>
          <w:tcPr>
            <w:tcW w:w="1466" w:type="dxa"/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alto</w:t>
            </w:r>
          </w:p>
        </w:tc>
        <w:tc>
          <w:tcPr>
            <w:tcW w:w="1917" w:type="dxa"/>
          </w:tcPr>
          <w:p w:rsidR="00A034C7" w:rsidRDefault="00A034C7" w:rsidP="006719F1">
            <w:pPr>
              <w:pStyle w:val="Normalt"/>
              <w:keepNext/>
              <w:spacing w:before="0" w:after="0"/>
            </w:pPr>
            <w:r>
              <w:t>Murcott (HMA)</w:t>
            </w:r>
          </w:p>
        </w:tc>
        <w:tc>
          <w:tcPr>
            <w:tcW w:w="691" w:type="dxa"/>
          </w:tcPr>
          <w:p w:rsidR="00A034C7" w:rsidRDefault="00A034C7" w:rsidP="006719F1">
            <w:pPr>
              <w:pStyle w:val="Normalt"/>
              <w:keepNext/>
              <w:spacing w:before="0" w:after="0"/>
              <w:jc w:val="center"/>
            </w:pPr>
            <w:r>
              <w:t>7</w:t>
            </w:r>
          </w:p>
        </w:tc>
      </w:tr>
      <w:tr w:rsidR="00A034C7" w:rsidTr="006719F1">
        <w:trPr>
          <w:cantSplit/>
          <w:trHeight w:val="176"/>
          <w:tblHeader/>
        </w:trPr>
        <w:tc>
          <w:tcPr>
            <w:tcW w:w="597" w:type="dxa"/>
            <w:tcBorders>
              <w:bottom w:val="single" w:sz="4" w:space="0" w:color="auto"/>
            </w:tcBorders>
          </w:tcPr>
          <w:p w:rsidR="00A034C7" w:rsidRDefault="00A034C7" w:rsidP="006719F1">
            <w:pPr>
              <w:pStyle w:val="Normal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[239]</w:t>
            </w:r>
          </w:p>
        </w:tc>
        <w:tc>
          <w:tcPr>
            <w:tcW w:w="315" w:type="dxa"/>
            <w:tcBorders>
              <w:bottom w:val="single" w:sz="4" w:space="0" w:color="auto"/>
            </w:tcBorders>
          </w:tcPr>
          <w:p w:rsidR="00A034C7" w:rsidRDefault="00A034C7" w:rsidP="006719F1">
            <w:pPr>
              <w:pStyle w:val="Normalt"/>
              <w:keepNext/>
              <w:spacing w:before="0" w:after="0"/>
              <w:jc w:val="center"/>
              <w:rPr>
                <w:b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A034C7" w:rsidRDefault="00A034C7" w:rsidP="006719F1">
            <w:pPr>
              <w:pStyle w:val="Normalt"/>
              <w:keepNext/>
              <w:spacing w:before="0" w:after="0"/>
            </w:pPr>
            <w:r>
              <w:t>very high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très élevé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sehr hoch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A034C7" w:rsidRPr="00422317" w:rsidRDefault="00A034C7" w:rsidP="006719F1">
            <w:pPr>
              <w:keepNext/>
              <w:rPr>
                <w:rFonts w:ascii="Times New Roman" w:hAnsi="Times New Roman"/>
                <w:noProof/>
              </w:rPr>
            </w:pPr>
            <w:r w:rsidRPr="00422317">
              <w:rPr>
                <w:rFonts w:ascii="Times New Roman" w:hAnsi="Times New Roman"/>
                <w:noProof/>
              </w:rPr>
              <w:t>muy alto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A034C7" w:rsidRPr="00422317" w:rsidRDefault="00A034C7" w:rsidP="006719F1">
            <w:pPr>
              <w:pStyle w:val="Normalt"/>
              <w:keepNext/>
              <w:spacing w:before="0" w:after="0"/>
            </w:pPr>
            <w:r w:rsidRPr="00422317">
              <w:t>Fortune (HMA)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A034C7" w:rsidRDefault="00A034C7" w:rsidP="006719F1">
            <w:pPr>
              <w:pStyle w:val="Normalt"/>
              <w:keepNext/>
              <w:spacing w:before="0" w:after="0"/>
              <w:jc w:val="center"/>
            </w:pPr>
            <w:r>
              <w:t>9</w:t>
            </w:r>
          </w:p>
        </w:tc>
      </w:tr>
    </w:tbl>
    <w:p w:rsidR="00A034C7" w:rsidRDefault="00A034C7" w:rsidP="00A034C7">
      <w:pPr>
        <w:spacing w:line="360" w:lineRule="auto"/>
        <w:rPr>
          <w:b/>
          <w:u w:val="single"/>
        </w:rPr>
      </w:pPr>
    </w:p>
    <w:p w:rsidR="004B69D3" w:rsidRDefault="004B69D3">
      <w:pPr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A034C7" w:rsidRDefault="00A034C7" w:rsidP="00A034C7">
      <w:pPr>
        <w:spacing w:line="360" w:lineRule="auto"/>
        <w:rPr>
          <w:b/>
          <w:u w:val="single"/>
        </w:rPr>
      </w:pPr>
    </w:p>
    <w:p w:rsidR="00B90FDA" w:rsidRPr="00B90FDA" w:rsidRDefault="00B90FDA" w:rsidP="00B90FDA">
      <w:pPr>
        <w:autoSpaceDE w:val="0"/>
        <w:autoSpaceDN w:val="0"/>
        <w:adjustRightInd w:val="0"/>
        <w:jc w:val="left"/>
        <w:rPr>
          <w:rFonts w:cs="Arial"/>
          <w:szCs w:val="24"/>
        </w:rPr>
      </w:pPr>
      <w:r w:rsidRPr="00B90FDA">
        <w:rPr>
          <w:rFonts w:cs="Arial"/>
          <w:szCs w:val="24"/>
        </w:rPr>
        <w:t>Characteristic 99</w:t>
      </w:r>
    </w:p>
    <w:p w:rsidR="00B90FDA" w:rsidRDefault="00B90FDA" w:rsidP="00B90FDA">
      <w:pPr>
        <w:autoSpaceDE w:val="0"/>
        <w:autoSpaceDN w:val="0"/>
        <w:adjustRightInd w:val="0"/>
        <w:jc w:val="left"/>
        <w:rPr>
          <w:rFonts w:ascii="TimesNewRomanPSMT" w:hAnsi="TimesNewRomanPSMT" w:cs="TimesNewRomanPSMT"/>
          <w:sz w:val="24"/>
          <w:szCs w:val="24"/>
        </w:rPr>
      </w:pPr>
    </w:p>
    <w:p w:rsidR="00A034C7" w:rsidRDefault="00A034C7" w:rsidP="00A034C7">
      <w:pPr>
        <w:rPr>
          <w:lang w:val="en-GB"/>
        </w:rPr>
      </w:pPr>
      <w:r>
        <w:rPr>
          <w:lang w:val="en-GB"/>
        </w:rPr>
        <w:tab/>
        <w:t xml:space="preserve">This characteristic is considered not </w:t>
      </w:r>
      <w:r w:rsidR="00695431">
        <w:rPr>
          <w:lang w:val="en-GB"/>
        </w:rPr>
        <w:t xml:space="preserve">to </w:t>
      </w:r>
      <w:r>
        <w:rPr>
          <w:lang w:val="en-GB"/>
        </w:rPr>
        <w:t xml:space="preserve">satisfy the criteria for inclusion in the </w:t>
      </w:r>
      <w:r w:rsidR="00695431">
        <w:rPr>
          <w:lang w:val="en-GB"/>
        </w:rPr>
        <w:t>Test Guidelines</w:t>
      </w:r>
      <w:r>
        <w:rPr>
          <w:lang w:val="en-GB"/>
        </w:rPr>
        <w:t xml:space="preserve"> because the open pollination depends of the various conditions of the </w:t>
      </w:r>
      <w:r w:rsidR="00B90FDA">
        <w:rPr>
          <w:lang w:val="en-GB"/>
        </w:rPr>
        <w:t>environment,</w:t>
      </w:r>
      <w:r>
        <w:rPr>
          <w:lang w:val="en-GB"/>
        </w:rPr>
        <w:t xml:space="preserve"> like presence </w:t>
      </w:r>
      <w:r w:rsidR="00B90FDA">
        <w:rPr>
          <w:lang w:val="en-GB"/>
        </w:rPr>
        <w:t>of other</w:t>
      </w:r>
      <w:r>
        <w:rPr>
          <w:lang w:val="en-GB"/>
        </w:rPr>
        <w:t xml:space="preserve"> </w:t>
      </w:r>
      <w:proofErr w:type="gramStart"/>
      <w:r>
        <w:rPr>
          <w:lang w:val="en-GB"/>
        </w:rPr>
        <w:t>pollinators</w:t>
      </w:r>
      <w:proofErr w:type="gramEnd"/>
      <w:r>
        <w:rPr>
          <w:lang w:val="en-GB"/>
        </w:rPr>
        <w:t xml:space="preserve"> varieties </w:t>
      </w:r>
      <w:r w:rsidR="00B90FDA">
        <w:rPr>
          <w:lang w:val="en-GB"/>
        </w:rPr>
        <w:t>and presence of</w:t>
      </w:r>
      <w:r>
        <w:rPr>
          <w:lang w:val="en-GB"/>
        </w:rPr>
        <w:t xml:space="preserve"> insect </w:t>
      </w:r>
      <w:r w:rsidR="00B90FDA">
        <w:rPr>
          <w:lang w:val="en-GB"/>
        </w:rPr>
        <w:t xml:space="preserve">vectors. </w:t>
      </w:r>
      <w:r>
        <w:rPr>
          <w:lang w:val="en-GB"/>
        </w:rPr>
        <w:t>In consequence</w:t>
      </w:r>
      <w:r w:rsidR="00695431">
        <w:rPr>
          <w:lang w:val="en-GB"/>
        </w:rPr>
        <w:t>, it</w:t>
      </w:r>
      <w:r>
        <w:rPr>
          <w:lang w:val="en-GB"/>
        </w:rPr>
        <w:t xml:space="preserve"> is considered </w:t>
      </w:r>
      <w:r w:rsidR="00695431">
        <w:rPr>
          <w:lang w:val="en-GB"/>
        </w:rPr>
        <w:t>to</w:t>
      </w:r>
      <w:r>
        <w:rPr>
          <w:lang w:val="en-GB"/>
        </w:rPr>
        <w:t xml:space="preserve"> not offer repeatable and consistent results.</w:t>
      </w:r>
    </w:p>
    <w:p w:rsidR="004B69D3" w:rsidRDefault="004B69D3" w:rsidP="00B90FDA">
      <w:pPr>
        <w:spacing w:after="120" w:line="276" w:lineRule="auto"/>
        <w:ind w:firstLine="708"/>
        <w:rPr>
          <w:lang w:val="en-GB"/>
        </w:rPr>
      </w:pPr>
    </w:p>
    <w:p w:rsidR="00B90FDA" w:rsidRDefault="00B90FDA" w:rsidP="00B90FDA">
      <w:pPr>
        <w:spacing w:after="120" w:line="276" w:lineRule="auto"/>
        <w:ind w:firstLine="708"/>
        <w:rPr>
          <w:lang w:val="en-GB"/>
        </w:rPr>
      </w:pPr>
      <w:r>
        <w:rPr>
          <w:lang w:val="en-GB"/>
        </w:rPr>
        <w:t xml:space="preserve">The proposal is the following: </w:t>
      </w:r>
    </w:p>
    <w:p w:rsidR="00A034C7" w:rsidRDefault="00B90FDA" w:rsidP="00B90FDA">
      <w:pPr>
        <w:rPr>
          <w:lang w:val="en-GB"/>
        </w:rPr>
      </w:pPr>
      <w:r w:rsidRPr="00B90FDA">
        <w:rPr>
          <w:lang w:val="en-GB"/>
        </w:rPr>
        <w:t>To delete</w:t>
      </w:r>
      <w:r w:rsidR="00A034C7" w:rsidRPr="00B90FDA">
        <w:rPr>
          <w:lang w:val="en-GB"/>
        </w:rPr>
        <w:t xml:space="preserve"> Characteristic 99</w:t>
      </w:r>
    </w:p>
    <w:p w:rsidR="004B69D3" w:rsidRPr="00B90FDA" w:rsidRDefault="004B69D3" w:rsidP="00B90FDA">
      <w:pPr>
        <w:rPr>
          <w:lang w:val="en-GB"/>
        </w:rPr>
      </w:pPr>
    </w:p>
    <w:tbl>
      <w:tblPr>
        <w:tblW w:w="94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284"/>
        <w:gridCol w:w="1417"/>
        <w:gridCol w:w="1560"/>
        <w:gridCol w:w="1417"/>
        <w:gridCol w:w="1559"/>
        <w:gridCol w:w="1794"/>
        <w:gridCol w:w="758"/>
      </w:tblGrid>
      <w:tr w:rsidR="00A034C7" w:rsidRPr="004028CD" w:rsidTr="006719F1">
        <w:trPr>
          <w:cantSplit/>
          <w:trHeight w:val="828"/>
        </w:trPr>
        <w:tc>
          <w:tcPr>
            <w:tcW w:w="644" w:type="dxa"/>
            <w:tcBorders>
              <w:top w:val="single" w:sz="4" w:space="0" w:color="auto"/>
            </w:tcBorders>
          </w:tcPr>
          <w:p w:rsidR="00A034C7" w:rsidRPr="00B90FDA" w:rsidRDefault="00A034C7" w:rsidP="006719F1">
            <w:pPr>
              <w:pStyle w:val="Normaltb"/>
              <w:jc w:val="center"/>
              <w:rPr>
                <w:strike/>
                <w:highlight w:val="lightGray"/>
              </w:rPr>
            </w:pPr>
            <w:r w:rsidRPr="00B90FDA">
              <w:rPr>
                <w:strike/>
                <w:highlight w:val="lightGray"/>
              </w:rPr>
              <w:t>99.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A034C7" w:rsidRPr="00B90FDA" w:rsidRDefault="00A034C7" w:rsidP="006719F1">
            <w:pPr>
              <w:pStyle w:val="Normalt"/>
              <w:keepNext/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</w:rPr>
            </w:pPr>
            <w:r w:rsidRPr="00B90FDA">
              <w:rPr>
                <w:strike/>
                <w:highlight w:val="lightGray"/>
              </w:rPr>
              <w:t>Fruit: number of seeds (open pollination)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fr-FR"/>
              </w:rPr>
            </w:pPr>
            <w:r w:rsidRPr="00B90FDA">
              <w:rPr>
                <w:strike/>
                <w:noProof w:val="0"/>
                <w:highlight w:val="lightGray"/>
                <w:lang w:val="fr-FR"/>
              </w:rPr>
              <w:t>Fruit: nombre de pépins (fécondation libre)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de-DE"/>
              </w:rPr>
            </w:pPr>
            <w:r w:rsidRPr="00B90FDA">
              <w:rPr>
                <w:strike/>
                <w:noProof w:val="0"/>
                <w:highlight w:val="lightGray"/>
                <w:lang w:val="de-DE"/>
              </w:rPr>
              <w:t>Frucht: Anzahl Samen (frei abblühend)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es-ES_tradnl"/>
              </w:rPr>
            </w:pPr>
            <w:r w:rsidRPr="00B90FDA">
              <w:rPr>
                <w:strike/>
                <w:noProof w:val="0"/>
                <w:highlight w:val="lightGray"/>
                <w:lang w:val="es-ES_tradnl"/>
              </w:rPr>
              <w:t>Fruto: número de semillas (polinización libre)</w:t>
            </w:r>
          </w:p>
        </w:tc>
        <w:tc>
          <w:tcPr>
            <w:tcW w:w="1794" w:type="dxa"/>
            <w:tcBorders>
              <w:top w:val="single" w:sz="4" w:space="0" w:color="auto"/>
            </w:tcBorders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  <w:lang w:val="es-ES_tradnl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:rsidR="00A034C7" w:rsidRPr="00B90FDA" w:rsidRDefault="00A034C7" w:rsidP="006719F1">
            <w:pPr>
              <w:pStyle w:val="Normaltb"/>
              <w:jc w:val="center"/>
              <w:rPr>
                <w:strike/>
                <w:highlight w:val="lightGray"/>
                <w:lang w:val="es-ES_tradnl"/>
              </w:rPr>
            </w:pPr>
          </w:p>
        </w:tc>
      </w:tr>
      <w:tr w:rsidR="00A034C7" w:rsidRPr="00B90FDA" w:rsidTr="006719F1">
        <w:trPr>
          <w:cantSplit/>
          <w:trHeight w:val="828"/>
        </w:trPr>
        <w:tc>
          <w:tcPr>
            <w:tcW w:w="644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</w:rPr>
            </w:pPr>
            <w:r w:rsidRPr="00B90FDA">
              <w:rPr>
                <w:strike/>
                <w:highlight w:val="lightGray"/>
              </w:rPr>
              <w:t>QN</w:t>
            </w:r>
            <w:r w:rsidRPr="00B90FDA">
              <w:rPr>
                <w:strike/>
                <w:highlight w:val="lightGray"/>
              </w:rPr>
              <w:br/>
            </w:r>
            <w:r w:rsidRPr="00B90FDA">
              <w:rPr>
                <w:strike/>
                <w:highlight w:val="lightGray"/>
              </w:rPr>
              <w:br/>
              <w:t>(+)</w:t>
            </w:r>
          </w:p>
        </w:tc>
        <w:tc>
          <w:tcPr>
            <w:tcW w:w="284" w:type="dxa"/>
          </w:tcPr>
          <w:p w:rsidR="00A034C7" w:rsidRPr="00B90FDA" w:rsidRDefault="00A034C7" w:rsidP="006719F1">
            <w:pPr>
              <w:pStyle w:val="Normalt"/>
              <w:keepNext/>
              <w:jc w:val="center"/>
              <w:rPr>
                <w:b/>
                <w:strike/>
                <w:highlight w:val="lightGray"/>
              </w:rPr>
            </w:pPr>
            <w:r w:rsidRPr="00B90FDA">
              <w:rPr>
                <w:b/>
                <w:strike/>
                <w:highlight w:val="lightGray"/>
              </w:rPr>
              <w:t>(c)</w:t>
            </w:r>
          </w:p>
        </w:tc>
        <w:tc>
          <w:tcPr>
            <w:tcW w:w="1417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</w:rPr>
            </w:pPr>
            <w:r w:rsidRPr="00B90FDA">
              <w:rPr>
                <w:strike/>
                <w:highlight w:val="lightGray"/>
              </w:rPr>
              <w:t>absent or very few</w:t>
            </w:r>
          </w:p>
        </w:tc>
        <w:tc>
          <w:tcPr>
            <w:tcW w:w="1560" w:type="dxa"/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fr-FR"/>
              </w:rPr>
            </w:pPr>
            <w:r w:rsidRPr="00B90FDA">
              <w:rPr>
                <w:strike/>
                <w:noProof w:val="0"/>
                <w:highlight w:val="lightGray"/>
                <w:lang w:val="fr-FR"/>
              </w:rPr>
              <w:t>absents ou très peu nombreux</w:t>
            </w:r>
          </w:p>
        </w:tc>
        <w:tc>
          <w:tcPr>
            <w:tcW w:w="1417" w:type="dxa"/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de-DE"/>
              </w:rPr>
            </w:pPr>
            <w:r w:rsidRPr="00B90FDA">
              <w:rPr>
                <w:strike/>
                <w:noProof w:val="0"/>
                <w:highlight w:val="lightGray"/>
                <w:lang w:val="de-DE"/>
              </w:rPr>
              <w:t>fehlend oder sehr gering</w:t>
            </w:r>
          </w:p>
        </w:tc>
        <w:tc>
          <w:tcPr>
            <w:tcW w:w="1559" w:type="dxa"/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es-ES_tradnl"/>
              </w:rPr>
            </w:pPr>
            <w:r w:rsidRPr="00B90FDA">
              <w:rPr>
                <w:strike/>
                <w:noProof w:val="0"/>
                <w:highlight w:val="lightGray"/>
                <w:lang w:val="es-ES_tradnl"/>
              </w:rPr>
              <w:t>ausentes o muy bajo</w:t>
            </w:r>
          </w:p>
        </w:tc>
        <w:tc>
          <w:tcPr>
            <w:tcW w:w="1794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  <w:lang w:val="es-ES_tradnl"/>
              </w:rPr>
            </w:pPr>
            <w:r w:rsidRPr="00B90FDA">
              <w:rPr>
                <w:strike/>
                <w:highlight w:val="lightGray"/>
                <w:lang w:val="es-ES_tradnl"/>
              </w:rPr>
              <w:t>Clemenules (CLE)</w:t>
            </w:r>
          </w:p>
        </w:tc>
        <w:tc>
          <w:tcPr>
            <w:tcW w:w="758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  <w:lang w:val="es-ES_tradnl"/>
              </w:rPr>
            </w:pPr>
            <w:r w:rsidRPr="00B90FDA">
              <w:rPr>
                <w:strike/>
                <w:highlight w:val="lightGray"/>
                <w:lang w:val="es-ES_tradnl"/>
              </w:rPr>
              <w:t>1</w:t>
            </w:r>
          </w:p>
        </w:tc>
      </w:tr>
      <w:tr w:rsidR="00A034C7" w:rsidRPr="00B90FDA" w:rsidTr="006719F1">
        <w:trPr>
          <w:cantSplit/>
          <w:trHeight w:val="828"/>
        </w:trPr>
        <w:tc>
          <w:tcPr>
            <w:tcW w:w="644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</w:rPr>
            </w:pPr>
          </w:p>
        </w:tc>
        <w:tc>
          <w:tcPr>
            <w:tcW w:w="284" w:type="dxa"/>
          </w:tcPr>
          <w:p w:rsidR="00A034C7" w:rsidRPr="00B90FDA" w:rsidRDefault="00A034C7" w:rsidP="006719F1">
            <w:pPr>
              <w:pStyle w:val="Normalt"/>
              <w:keepNext/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1417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</w:rPr>
            </w:pPr>
            <w:r w:rsidRPr="00B90FDA">
              <w:rPr>
                <w:strike/>
                <w:highlight w:val="lightGray"/>
              </w:rPr>
              <w:t>few</w:t>
            </w:r>
          </w:p>
        </w:tc>
        <w:tc>
          <w:tcPr>
            <w:tcW w:w="1560" w:type="dxa"/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fr-FR"/>
              </w:rPr>
            </w:pPr>
            <w:r w:rsidRPr="00B90FDA">
              <w:rPr>
                <w:strike/>
                <w:noProof w:val="0"/>
                <w:highlight w:val="lightGray"/>
                <w:lang w:val="fr-FR"/>
              </w:rPr>
              <w:t>peu nombreux</w:t>
            </w:r>
          </w:p>
        </w:tc>
        <w:tc>
          <w:tcPr>
            <w:tcW w:w="1417" w:type="dxa"/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de-DE"/>
              </w:rPr>
            </w:pPr>
            <w:r w:rsidRPr="00B90FDA">
              <w:rPr>
                <w:strike/>
                <w:noProof w:val="0"/>
                <w:highlight w:val="lightGray"/>
                <w:lang w:val="de-DE"/>
              </w:rPr>
              <w:t>gering</w:t>
            </w:r>
          </w:p>
        </w:tc>
        <w:tc>
          <w:tcPr>
            <w:tcW w:w="1559" w:type="dxa"/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es-ES_tradnl"/>
              </w:rPr>
            </w:pPr>
            <w:r w:rsidRPr="00B90FDA">
              <w:rPr>
                <w:strike/>
                <w:noProof w:val="0"/>
                <w:highlight w:val="lightGray"/>
                <w:lang w:val="es-ES_tradnl"/>
              </w:rPr>
              <w:t>bajo</w:t>
            </w:r>
          </w:p>
        </w:tc>
        <w:tc>
          <w:tcPr>
            <w:tcW w:w="1794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  <w:lang w:val="es-ES_tradnl"/>
              </w:rPr>
            </w:pPr>
            <w:r w:rsidRPr="00B90FDA">
              <w:rPr>
                <w:strike/>
                <w:highlight w:val="lightGray"/>
                <w:lang w:val="es-ES_tradnl"/>
              </w:rPr>
              <w:t>Ellendale (TNR)</w:t>
            </w:r>
          </w:p>
        </w:tc>
        <w:tc>
          <w:tcPr>
            <w:tcW w:w="758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  <w:lang w:val="es-ES_tradnl"/>
              </w:rPr>
            </w:pPr>
            <w:r w:rsidRPr="00B90FDA">
              <w:rPr>
                <w:strike/>
                <w:highlight w:val="lightGray"/>
                <w:lang w:val="es-ES_tradnl"/>
              </w:rPr>
              <w:t>3</w:t>
            </w:r>
          </w:p>
        </w:tc>
      </w:tr>
      <w:tr w:rsidR="00A034C7" w:rsidRPr="00B90FDA" w:rsidTr="006719F1">
        <w:trPr>
          <w:cantSplit/>
          <w:trHeight w:val="828"/>
        </w:trPr>
        <w:tc>
          <w:tcPr>
            <w:tcW w:w="644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</w:rPr>
            </w:pPr>
          </w:p>
        </w:tc>
        <w:tc>
          <w:tcPr>
            <w:tcW w:w="284" w:type="dxa"/>
          </w:tcPr>
          <w:p w:rsidR="00A034C7" w:rsidRPr="00B90FDA" w:rsidRDefault="00A034C7" w:rsidP="006719F1">
            <w:pPr>
              <w:pStyle w:val="Normalt"/>
              <w:keepNext/>
              <w:jc w:val="center"/>
              <w:rPr>
                <w:b/>
                <w:strike/>
                <w:highlight w:val="lightGray"/>
              </w:rPr>
            </w:pPr>
          </w:p>
        </w:tc>
        <w:tc>
          <w:tcPr>
            <w:tcW w:w="1417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</w:rPr>
            </w:pPr>
            <w:r w:rsidRPr="00B90FDA">
              <w:rPr>
                <w:strike/>
                <w:highlight w:val="lightGray"/>
              </w:rPr>
              <w:t>medium</w:t>
            </w:r>
          </w:p>
        </w:tc>
        <w:tc>
          <w:tcPr>
            <w:tcW w:w="1560" w:type="dxa"/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fr-FR"/>
              </w:rPr>
            </w:pPr>
            <w:r w:rsidRPr="00B90FDA">
              <w:rPr>
                <w:strike/>
                <w:noProof w:val="0"/>
                <w:highlight w:val="lightGray"/>
                <w:lang w:val="fr-FR"/>
              </w:rPr>
              <w:t>moyen</w:t>
            </w:r>
          </w:p>
        </w:tc>
        <w:tc>
          <w:tcPr>
            <w:tcW w:w="1417" w:type="dxa"/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de-DE"/>
              </w:rPr>
            </w:pPr>
            <w:r w:rsidRPr="00B90FDA">
              <w:rPr>
                <w:strike/>
                <w:noProof w:val="0"/>
                <w:highlight w:val="lightGray"/>
                <w:lang w:val="de-DE"/>
              </w:rPr>
              <w:t>mittel</w:t>
            </w:r>
          </w:p>
        </w:tc>
        <w:tc>
          <w:tcPr>
            <w:tcW w:w="1559" w:type="dxa"/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es-ES_tradnl"/>
              </w:rPr>
            </w:pPr>
            <w:r w:rsidRPr="00B90FDA">
              <w:rPr>
                <w:strike/>
                <w:noProof w:val="0"/>
                <w:highlight w:val="lightGray"/>
                <w:lang w:val="es-ES_tradnl"/>
              </w:rPr>
              <w:t>medio</w:t>
            </w:r>
          </w:p>
        </w:tc>
        <w:tc>
          <w:tcPr>
            <w:tcW w:w="1794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  <w:lang w:val="es-ES_tradnl"/>
              </w:rPr>
            </w:pPr>
          </w:p>
        </w:tc>
        <w:tc>
          <w:tcPr>
            <w:tcW w:w="758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  <w:lang w:val="es-ES_tradnl"/>
              </w:rPr>
            </w:pPr>
            <w:r w:rsidRPr="00B90FDA">
              <w:rPr>
                <w:strike/>
                <w:highlight w:val="lightGray"/>
                <w:lang w:val="es-ES_tradnl"/>
              </w:rPr>
              <w:t>5</w:t>
            </w:r>
          </w:p>
        </w:tc>
      </w:tr>
      <w:tr w:rsidR="00A034C7" w:rsidRPr="00B90FDA" w:rsidTr="006719F1">
        <w:trPr>
          <w:cantSplit/>
          <w:trHeight w:val="828"/>
        </w:trPr>
        <w:tc>
          <w:tcPr>
            <w:tcW w:w="644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</w:rPr>
            </w:pPr>
            <w:r w:rsidRPr="00B90FDA">
              <w:rPr>
                <w:strike/>
                <w:highlight w:val="lightGray"/>
              </w:rPr>
              <w:t>[326]</w:t>
            </w:r>
          </w:p>
        </w:tc>
        <w:tc>
          <w:tcPr>
            <w:tcW w:w="284" w:type="dxa"/>
          </w:tcPr>
          <w:p w:rsidR="00A034C7" w:rsidRPr="00B90FDA" w:rsidRDefault="00A034C7" w:rsidP="006719F1">
            <w:pPr>
              <w:pStyle w:val="Normalt"/>
              <w:keepNext/>
              <w:rPr>
                <w:b/>
                <w:strike/>
                <w:highlight w:val="lightGray"/>
              </w:rPr>
            </w:pPr>
          </w:p>
        </w:tc>
        <w:tc>
          <w:tcPr>
            <w:tcW w:w="1417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</w:rPr>
            </w:pPr>
            <w:r w:rsidRPr="00B90FDA">
              <w:rPr>
                <w:strike/>
                <w:highlight w:val="lightGray"/>
              </w:rPr>
              <w:t>many</w:t>
            </w:r>
          </w:p>
        </w:tc>
        <w:tc>
          <w:tcPr>
            <w:tcW w:w="1560" w:type="dxa"/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fr-FR"/>
              </w:rPr>
            </w:pPr>
            <w:r w:rsidRPr="00B90FDA">
              <w:rPr>
                <w:strike/>
                <w:noProof w:val="0"/>
                <w:highlight w:val="lightGray"/>
                <w:lang w:val="fr-FR"/>
              </w:rPr>
              <w:t>nombreux</w:t>
            </w:r>
          </w:p>
        </w:tc>
        <w:tc>
          <w:tcPr>
            <w:tcW w:w="1417" w:type="dxa"/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de-DE"/>
              </w:rPr>
            </w:pPr>
            <w:r w:rsidRPr="00B90FDA">
              <w:rPr>
                <w:strike/>
                <w:noProof w:val="0"/>
                <w:highlight w:val="lightGray"/>
                <w:lang w:val="de-DE"/>
              </w:rPr>
              <w:t>groß</w:t>
            </w:r>
          </w:p>
        </w:tc>
        <w:tc>
          <w:tcPr>
            <w:tcW w:w="1559" w:type="dxa"/>
          </w:tcPr>
          <w:p w:rsidR="00A034C7" w:rsidRPr="00B90FDA" w:rsidRDefault="00A034C7" w:rsidP="006719F1">
            <w:pPr>
              <w:pStyle w:val="Normaltb"/>
              <w:rPr>
                <w:strike/>
                <w:noProof w:val="0"/>
                <w:highlight w:val="lightGray"/>
                <w:lang w:val="es-ES_tradnl"/>
              </w:rPr>
            </w:pPr>
            <w:r w:rsidRPr="00B90FDA">
              <w:rPr>
                <w:strike/>
                <w:noProof w:val="0"/>
                <w:highlight w:val="lightGray"/>
                <w:lang w:val="es-ES_tradnl"/>
              </w:rPr>
              <w:t>alto</w:t>
            </w:r>
          </w:p>
        </w:tc>
        <w:tc>
          <w:tcPr>
            <w:tcW w:w="1794" w:type="dxa"/>
          </w:tcPr>
          <w:p w:rsidR="00A034C7" w:rsidRPr="00B90FDA" w:rsidRDefault="00A034C7" w:rsidP="006719F1">
            <w:pPr>
              <w:pStyle w:val="Normaltb"/>
              <w:rPr>
                <w:strike/>
                <w:highlight w:val="lightGray"/>
                <w:lang w:val="es-ES_tradnl"/>
              </w:rPr>
            </w:pPr>
            <w:r w:rsidRPr="00B90FDA">
              <w:rPr>
                <w:strike/>
                <w:highlight w:val="lightGray"/>
                <w:lang w:val="es-ES_tradnl"/>
              </w:rPr>
              <w:t>Común (MMN)</w:t>
            </w:r>
          </w:p>
        </w:tc>
        <w:tc>
          <w:tcPr>
            <w:tcW w:w="758" w:type="dxa"/>
          </w:tcPr>
          <w:p w:rsidR="00A034C7" w:rsidRPr="00B90FDA" w:rsidRDefault="00A034C7" w:rsidP="006719F1">
            <w:pPr>
              <w:pStyle w:val="Normaltb"/>
              <w:rPr>
                <w:strike/>
                <w:lang w:val="es-ES_tradnl"/>
              </w:rPr>
            </w:pPr>
            <w:r w:rsidRPr="00B90FDA">
              <w:rPr>
                <w:strike/>
                <w:highlight w:val="lightGray"/>
                <w:lang w:val="es-ES_tradnl"/>
              </w:rPr>
              <w:t>7</w:t>
            </w:r>
          </w:p>
        </w:tc>
      </w:tr>
    </w:tbl>
    <w:p w:rsidR="00A034C7" w:rsidRDefault="00A034C7" w:rsidP="00A034C7"/>
    <w:p w:rsidR="00B238C8" w:rsidRPr="00B90FDA" w:rsidRDefault="00B238C8" w:rsidP="00B238C8">
      <w:pPr>
        <w:autoSpaceDE w:val="0"/>
        <w:autoSpaceDN w:val="0"/>
        <w:adjustRightInd w:val="0"/>
        <w:jc w:val="left"/>
        <w:rPr>
          <w:rFonts w:cs="Arial"/>
          <w:szCs w:val="24"/>
        </w:rPr>
      </w:pPr>
      <w:r>
        <w:rPr>
          <w:rFonts w:cs="Arial"/>
          <w:szCs w:val="24"/>
        </w:rPr>
        <w:t xml:space="preserve">New </w:t>
      </w:r>
      <w:r w:rsidRPr="00B90FDA">
        <w:rPr>
          <w:rFonts w:cs="Arial"/>
          <w:szCs w:val="24"/>
        </w:rPr>
        <w:t xml:space="preserve">Characteristic </w:t>
      </w:r>
      <w:r>
        <w:rPr>
          <w:rFonts w:cs="Arial"/>
          <w:szCs w:val="24"/>
        </w:rPr>
        <w:t xml:space="preserve">after </w:t>
      </w:r>
      <w:r w:rsidRPr="00B90FDA">
        <w:rPr>
          <w:rFonts w:cs="Arial"/>
          <w:szCs w:val="24"/>
        </w:rPr>
        <w:t>9</w:t>
      </w:r>
      <w:r>
        <w:rPr>
          <w:rFonts w:cs="Arial"/>
          <w:szCs w:val="24"/>
        </w:rPr>
        <w:t>8</w:t>
      </w:r>
    </w:p>
    <w:p w:rsidR="00B238C8" w:rsidRDefault="00B238C8" w:rsidP="00B238C8">
      <w:pPr>
        <w:rPr>
          <w:lang w:val="en-GB"/>
        </w:rPr>
      </w:pPr>
    </w:p>
    <w:p w:rsidR="00B238C8" w:rsidRDefault="00B238C8" w:rsidP="00B238C8">
      <w:pPr>
        <w:rPr>
          <w:lang w:val="en-GB"/>
        </w:rPr>
      </w:pPr>
      <w:r>
        <w:rPr>
          <w:lang w:val="en-GB"/>
        </w:rPr>
        <w:t xml:space="preserve">Owing to the use of the new improvement methods to obtain new citrus varieties and as consequence of the existing new varieties with a fertility reduced, and the ring test carried out to confirm the methodology to observe the production of seeds by cross pollination in a proper way, it is </w:t>
      </w:r>
      <w:r w:rsidR="004B69D3">
        <w:rPr>
          <w:lang w:val="en-GB"/>
        </w:rPr>
        <w:t>proposed the</w:t>
      </w:r>
      <w:r>
        <w:rPr>
          <w:lang w:val="en-GB"/>
        </w:rPr>
        <w:t xml:space="preserve"> incorporation of a new characteristic in the </w:t>
      </w:r>
      <w:r w:rsidR="00695431">
        <w:rPr>
          <w:lang w:val="en-GB"/>
        </w:rPr>
        <w:t>Test Guidelines</w:t>
      </w:r>
      <w:r>
        <w:rPr>
          <w:lang w:val="en-GB"/>
        </w:rPr>
        <w:t xml:space="preserve"> to evaluate the ovule fertility by cross pollination with another variety or specie</w:t>
      </w:r>
      <w:r w:rsidR="00695431">
        <w:rPr>
          <w:lang w:val="en-GB"/>
        </w:rPr>
        <w:t>s</w:t>
      </w:r>
      <w:r>
        <w:rPr>
          <w:lang w:val="en-GB"/>
        </w:rPr>
        <w:t xml:space="preserve">.  </w:t>
      </w:r>
    </w:p>
    <w:p w:rsidR="00B238C8" w:rsidRDefault="00B238C8" w:rsidP="00B238C8">
      <w:pPr>
        <w:rPr>
          <w:lang w:val="en-GB"/>
        </w:rPr>
      </w:pPr>
      <w:r>
        <w:rPr>
          <w:lang w:val="en-GB"/>
        </w:rPr>
        <w:t xml:space="preserve">The complete proposal and details are presented on a specific new proposal by </w:t>
      </w:r>
      <w:r w:rsidRPr="00B238C8">
        <w:rPr>
          <w:lang w:val="en-GB"/>
        </w:rPr>
        <w:t>the European Union (CPVO)</w:t>
      </w:r>
      <w:r>
        <w:rPr>
          <w:lang w:val="en-GB"/>
        </w:rPr>
        <w:t>, in document TWF/45/31, and will be presented to the TWF at its forty-fifth session.</w:t>
      </w:r>
    </w:p>
    <w:p w:rsidR="00B238C8" w:rsidRPr="00B238C8" w:rsidRDefault="00B238C8" w:rsidP="00A034C7">
      <w:pPr>
        <w:rPr>
          <w:lang w:val="en-GB"/>
        </w:rPr>
      </w:pPr>
    </w:p>
    <w:p w:rsidR="004B69D3" w:rsidRDefault="004B69D3">
      <w:pPr>
        <w:jc w:val="left"/>
        <w:rPr>
          <w:rFonts w:cs="Arial"/>
          <w:szCs w:val="24"/>
          <w:u w:val="single"/>
        </w:rPr>
      </w:pPr>
      <w:bookmarkStart w:id="8" w:name="_Toc57519407"/>
      <w:r>
        <w:rPr>
          <w:rFonts w:cs="Arial"/>
          <w:szCs w:val="24"/>
          <w:u w:val="single"/>
        </w:rPr>
        <w:br w:type="page"/>
      </w:r>
    </w:p>
    <w:p w:rsidR="00B90FDA" w:rsidRPr="004B69D3" w:rsidRDefault="00B90FDA" w:rsidP="00B90FDA">
      <w:pPr>
        <w:autoSpaceDE w:val="0"/>
        <w:autoSpaceDN w:val="0"/>
        <w:adjustRightInd w:val="0"/>
        <w:jc w:val="left"/>
        <w:rPr>
          <w:rFonts w:cs="Arial"/>
          <w:szCs w:val="24"/>
          <w:u w:val="single"/>
        </w:rPr>
      </w:pPr>
      <w:r w:rsidRPr="004B69D3">
        <w:rPr>
          <w:rFonts w:cs="Arial"/>
          <w:szCs w:val="24"/>
          <w:u w:val="single"/>
        </w:rPr>
        <w:lastRenderedPageBreak/>
        <w:t>8.</w:t>
      </w:r>
      <w:r w:rsidRPr="004B69D3">
        <w:rPr>
          <w:rFonts w:cs="Arial"/>
          <w:szCs w:val="24"/>
          <w:u w:val="single"/>
        </w:rPr>
        <w:tab/>
        <w:t>Explanations on the Table of Characteristics</w:t>
      </w:r>
      <w:bookmarkEnd w:id="8"/>
    </w:p>
    <w:p w:rsidR="00B90FDA" w:rsidRDefault="00B90FDA" w:rsidP="00B90FDA">
      <w:pPr>
        <w:pStyle w:val="Heading2"/>
      </w:pPr>
      <w:bookmarkStart w:id="9" w:name="_Toc57519409"/>
    </w:p>
    <w:p w:rsidR="00B90FDA" w:rsidRPr="00B90FDA" w:rsidRDefault="00B90FDA" w:rsidP="00B90FDA">
      <w:pPr>
        <w:pStyle w:val="Heading2"/>
      </w:pPr>
      <w:r w:rsidRPr="00B90FDA">
        <w:t>8.2</w:t>
      </w:r>
      <w:r w:rsidRPr="00B90FDA">
        <w:tab/>
        <w:t>Explanations for individual characteristics</w:t>
      </w:r>
      <w:bookmarkEnd w:id="9"/>
    </w:p>
    <w:p w:rsidR="00A034C7" w:rsidRDefault="00A034C7" w:rsidP="00A034C7">
      <w:pPr>
        <w:pStyle w:val="CM5"/>
        <w:widowControl/>
        <w:autoSpaceDE/>
        <w:autoSpaceDN/>
        <w:adjustRightInd/>
        <w:spacing w:after="0"/>
        <w:rPr>
          <w:rFonts w:ascii="Times New Roman" w:hAnsi="Times New Roman" w:cs="Times New Roman"/>
          <w:b/>
        </w:rPr>
      </w:pPr>
    </w:p>
    <w:p w:rsidR="00B90FDA" w:rsidRPr="00B90FDA" w:rsidRDefault="00B90FDA" w:rsidP="00B90FDA">
      <w:pPr>
        <w:pStyle w:val="Default"/>
        <w:rPr>
          <w:rFonts w:cs="Times New Roman"/>
          <w:color w:val="auto"/>
          <w:sz w:val="20"/>
          <w:szCs w:val="20"/>
          <w:lang w:val="en-US" w:eastAsia="en-US"/>
        </w:rPr>
      </w:pPr>
      <w:r w:rsidRPr="00B90FDA">
        <w:rPr>
          <w:rFonts w:cs="Times New Roman"/>
          <w:color w:val="auto"/>
          <w:sz w:val="20"/>
          <w:szCs w:val="20"/>
          <w:lang w:val="en-US" w:eastAsia="en-US"/>
        </w:rPr>
        <w:t>The proposal is to add the following:</w:t>
      </w:r>
    </w:p>
    <w:p w:rsidR="00A034C7" w:rsidRPr="004B69D3" w:rsidRDefault="00A034C7" w:rsidP="00A034C7">
      <w:pPr>
        <w:pStyle w:val="Normaltb"/>
        <w:rPr>
          <w:rFonts w:ascii="Arial" w:hAnsi="Arial" w:cs="Arial"/>
          <w:sz w:val="16"/>
          <w:u w:val="single"/>
        </w:rPr>
      </w:pPr>
      <w:r w:rsidRPr="004B69D3">
        <w:rPr>
          <w:rFonts w:ascii="Arial" w:hAnsi="Arial" w:cs="Arial"/>
          <w:b w:val="0"/>
          <w:bCs/>
          <w:u w:val="single"/>
        </w:rPr>
        <w:t>Ad. 25</w:t>
      </w:r>
      <w:r w:rsidRPr="004B69D3">
        <w:rPr>
          <w:rFonts w:ascii="Arial" w:hAnsi="Arial" w:cs="Arial"/>
          <w:sz w:val="16"/>
          <w:u w:val="single"/>
        </w:rPr>
        <w:t xml:space="preserve">:  </w:t>
      </w:r>
      <w:r w:rsidRPr="004B69D3">
        <w:rPr>
          <w:rFonts w:ascii="Arial" w:hAnsi="Arial" w:cs="Arial"/>
          <w:b w:val="0"/>
          <w:bCs/>
          <w:u w:val="single"/>
        </w:rPr>
        <w:t>Anther: percentage of viable pollen</w:t>
      </w:r>
    </w:p>
    <w:p w:rsidR="00A034C7" w:rsidRPr="00F7117A" w:rsidRDefault="00A034C7" w:rsidP="00A034C7"/>
    <w:p w:rsidR="00A034C7" w:rsidRPr="00F7117A" w:rsidRDefault="00A034C7" w:rsidP="00A034C7">
      <w:r w:rsidRPr="00F7117A">
        <w:t>Method:  The pollen should be collected when the petals begin to open (but with the anthers closed). The anthers should be introduced into a Petri dish and placed inside a silica gel dryer at room temperature, for</w:t>
      </w:r>
      <w:r w:rsidR="00B238C8">
        <w:t xml:space="preserve"> </w:t>
      </w:r>
      <w:r w:rsidRPr="00F7117A">
        <w:t xml:space="preserve">20-48 hours of darkness. When the anthers are open they should be moved to </w:t>
      </w:r>
      <w:r w:rsidR="00B238C8" w:rsidRPr="00F7117A">
        <w:t>an</w:t>
      </w:r>
      <w:r w:rsidRPr="00F7117A">
        <w:t xml:space="preserve"> </w:t>
      </w:r>
      <w:smartTag w:uri="urn:schemas-microsoft-com:office:smarttags" w:element="metricconverter">
        <w:smartTagPr>
          <w:attr w:name="ProductID" w:val="8 ﾺC"/>
        </w:smartTagPr>
        <w:r w:rsidRPr="00F7117A">
          <w:t>8 ºC</w:t>
        </w:r>
      </w:smartTag>
      <w:r w:rsidRPr="00F7117A">
        <w:t xml:space="preserve"> chamber with a </w:t>
      </w:r>
      <w:r w:rsidR="00B238C8">
        <w:br/>
      </w:r>
      <w:r w:rsidRPr="00F7117A">
        <w:t>70-80</w:t>
      </w:r>
      <w:r w:rsidR="00B238C8">
        <w:t> </w:t>
      </w:r>
      <w:r w:rsidRPr="00F7117A">
        <w:t xml:space="preserve">% Relative Humidity for one hour. Afterwards, the pollen should be brushed onto a microscope slide with 2 ml of </w:t>
      </w:r>
      <w:proofErr w:type="spellStart"/>
      <w:r w:rsidRPr="00F7117A">
        <w:t>Brewbacker</w:t>
      </w:r>
      <w:proofErr w:type="spellEnd"/>
      <w:r w:rsidRPr="00F7117A">
        <w:t xml:space="preserve"> medium (</w:t>
      </w:r>
      <w:proofErr w:type="spellStart"/>
      <w:r w:rsidRPr="00F7117A">
        <w:t>Brewbaker</w:t>
      </w:r>
      <w:proofErr w:type="spellEnd"/>
      <w:r w:rsidRPr="00F7117A">
        <w:t xml:space="preserve"> and </w:t>
      </w:r>
      <w:proofErr w:type="spellStart"/>
      <w:r w:rsidRPr="00F7117A">
        <w:t>Kwack</w:t>
      </w:r>
      <w:proofErr w:type="spellEnd"/>
      <w:r w:rsidRPr="00F7117A">
        <w:t xml:space="preserve">. 1963). Finally, the microscope slide should be placed in a </w:t>
      </w:r>
      <w:smartTag w:uri="urn:schemas-microsoft-com:office:smarttags" w:element="metricconverter">
        <w:smartTagPr>
          <w:attr w:name="ProductID" w:val="24 ﾺC"/>
        </w:smartTagPr>
        <w:r w:rsidRPr="00F7117A">
          <w:t>24 ºC</w:t>
        </w:r>
      </w:smartTag>
      <w:r w:rsidRPr="00F7117A">
        <w:t xml:space="preserve"> chamber with a 75 % RH for 20 hours. </w:t>
      </w:r>
    </w:p>
    <w:p w:rsidR="00A034C7" w:rsidRPr="00F7117A" w:rsidRDefault="00A034C7" w:rsidP="00A034C7">
      <w:pPr>
        <w:ind w:firstLine="708"/>
      </w:pPr>
    </w:p>
    <w:p w:rsidR="00A034C7" w:rsidRPr="00F7117A" w:rsidRDefault="00A034C7" w:rsidP="00A034C7">
      <w:r w:rsidRPr="00F7117A">
        <w:t>The percentage of pollen fertilization is calculated as the average of germinated pollen grains observed with a binocular in 15 visual fields from 2 different microscope slides.</w:t>
      </w:r>
    </w:p>
    <w:p w:rsidR="00A034C7" w:rsidRPr="00F7117A" w:rsidRDefault="00A034C7" w:rsidP="00A034C7">
      <w:pPr>
        <w:ind w:firstLine="708"/>
      </w:pPr>
    </w:p>
    <w:p w:rsidR="00A034C7" w:rsidRPr="00F7117A" w:rsidRDefault="00A034C7" w:rsidP="00A034C7">
      <w:pPr>
        <w:autoSpaceDE w:val="0"/>
        <w:autoSpaceDN w:val="0"/>
        <w:adjustRightInd w:val="0"/>
      </w:pPr>
      <w:r w:rsidRPr="00F7117A">
        <w:t>(</w:t>
      </w:r>
      <w:proofErr w:type="spellStart"/>
      <w:r w:rsidRPr="00F7117A">
        <w:t>Brewbaker</w:t>
      </w:r>
      <w:proofErr w:type="spellEnd"/>
      <w:r w:rsidRPr="00F7117A">
        <w:t xml:space="preserve">, J.L. and </w:t>
      </w:r>
      <w:proofErr w:type="spellStart"/>
      <w:r w:rsidRPr="00F7117A">
        <w:t>Kwack</w:t>
      </w:r>
      <w:proofErr w:type="spellEnd"/>
      <w:r w:rsidRPr="00F7117A">
        <w:t xml:space="preserve">, B.H. 1963. </w:t>
      </w:r>
      <w:proofErr w:type="gramStart"/>
      <w:r w:rsidRPr="00F7117A">
        <w:t>The essential role of calcium ion in pollen germination and pollen tube growth.</w:t>
      </w:r>
      <w:proofErr w:type="gramEnd"/>
      <w:r w:rsidRPr="00F7117A">
        <w:t xml:space="preserve"> </w:t>
      </w:r>
      <w:r w:rsidRPr="00F7117A">
        <w:rPr>
          <w:i/>
          <w:iCs/>
        </w:rPr>
        <w:t>Amer. Jour. Botany</w:t>
      </w:r>
      <w:r w:rsidRPr="00F7117A">
        <w:t>. 50: 859-865.)</w:t>
      </w:r>
    </w:p>
    <w:p w:rsidR="00A034C7" w:rsidRPr="00F7117A" w:rsidRDefault="00A034C7" w:rsidP="00A034C7">
      <w:pPr>
        <w:autoSpaceDE w:val="0"/>
        <w:autoSpaceDN w:val="0"/>
        <w:adjustRightInd w:val="0"/>
        <w:rPr>
          <w:u w:val="single"/>
        </w:rPr>
      </w:pPr>
    </w:p>
    <w:p w:rsidR="00A034C7" w:rsidRPr="00F7117A" w:rsidRDefault="00A034C7" w:rsidP="00A034C7">
      <w:pPr>
        <w:autoSpaceDE w:val="0"/>
        <w:autoSpaceDN w:val="0"/>
        <w:adjustRightInd w:val="0"/>
        <w:spacing w:line="360" w:lineRule="auto"/>
      </w:pPr>
      <w:r w:rsidRPr="00F7117A">
        <w:t>Percentage range indication for the states of expression:</w:t>
      </w:r>
    </w:p>
    <w:p w:rsidR="00A034C7" w:rsidRDefault="00A034C7" w:rsidP="00A034C7">
      <w:pPr>
        <w:autoSpaceDE w:val="0"/>
        <w:autoSpaceDN w:val="0"/>
        <w:adjustRightInd w:val="0"/>
        <w:spacing w:line="360" w:lineRule="auto"/>
        <w:rPr>
          <w:highlight w:val="lightGray"/>
        </w:rPr>
      </w:pP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1260"/>
        <w:gridCol w:w="1440"/>
      </w:tblGrid>
      <w:tr w:rsidR="00A034C7" w:rsidTr="006719F1">
        <w:tc>
          <w:tcPr>
            <w:tcW w:w="205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7117A">
              <w:t>Example varieties</w:t>
            </w:r>
          </w:p>
        </w:tc>
        <w:tc>
          <w:tcPr>
            <w:tcW w:w="126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7117A">
              <w:t>Note</w:t>
            </w:r>
          </w:p>
        </w:tc>
        <w:tc>
          <w:tcPr>
            <w:tcW w:w="144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7117A">
              <w:t>Range</w:t>
            </w:r>
          </w:p>
        </w:tc>
      </w:tr>
      <w:tr w:rsidR="00A034C7" w:rsidTr="006719F1">
        <w:tc>
          <w:tcPr>
            <w:tcW w:w="205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F7117A">
              <w:t>Owari</w:t>
            </w:r>
            <w:proofErr w:type="spellEnd"/>
            <w:r w:rsidRPr="00F7117A">
              <w:t xml:space="preserve"> (SAT)</w:t>
            </w:r>
          </w:p>
        </w:tc>
        <w:tc>
          <w:tcPr>
            <w:tcW w:w="126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7117A">
              <w:t>1</w:t>
            </w:r>
          </w:p>
        </w:tc>
        <w:tc>
          <w:tcPr>
            <w:tcW w:w="1440" w:type="dxa"/>
          </w:tcPr>
          <w:p w:rsidR="00A034C7" w:rsidRPr="00F7117A" w:rsidRDefault="00A034C7" w:rsidP="006719F1">
            <w:r w:rsidRPr="00F7117A">
              <w:t>≤ 7%</w:t>
            </w:r>
          </w:p>
        </w:tc>
      </w:tr>
      <w:tr w:rsidR="00A034C7" w:rsidTr="006719F1">
        <w:tc>
          <w:tcPr>
            <w:tcW w:w="205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6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7117A">
              <w:t>2</w:t>
            </w:r>
          </w:p>
        </w:tc>
        <w:tc>
          <w:tcPr>
            <w:tcW w:w="1440" w:type="dxa"/>
          </w:tcPr>
          <w:p w:rsidR="00A034C7" w:rsidRPr="00F7117A" w:rsidRDefault="00A034C7" w:rsidP="006719F1">
            <w:r w:rsidRPr="00F7117A">
              <w:t>&gt; 7 ≤ 14%</w:t>
            </w:r>
          </w:p>
        </w:tc>
      </w:tr>
      <w:tr w:rsidR="00A034C7" w:rsidTr="006719F1">
        <w:tc>
          <w:tcPr>
            <w:tcW w:w="205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6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7117A">
              <w:t>3</w:t>
            </w:r>
          </w:p>
        </w:tc>
        <w:tc>
          <w:tcPr>
            <w:tcW w:w="1440" w:type="dxa"/>
          </w:tcPr>
          <w:p w:rsidR="00A034C7" w:rsidRPr="00F7117A" w:rsidRDefault="00A034C7" w:rsidP="006719F1">
            <w:r w:rsidRPr="00F7117A">
              <w:t>&gt; 14 ≤ 21%</w:t>
            </w:r>
          </w:p>
        </w:tc>
      </w:tr>
      <w:tr w:rsidR="00A034C7" w:rsidTr="006719F1">
        <w:tc>
          <w:tcPr>
            <w:tcW w:w="205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6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7117A">
              <w:t>4</w:t>
            </w:r>
          </w:p>
        </w:tc>
        <w:tc>
          <w:tcPr>
            <w:tcW w:w="144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  <w:r w:rsidRPr="00F7117A">
              <w:t>&gt; 21 ≤ 28%</w:t>
            </w:r>
          </w:p>
        </w:tc>
      </w:tr>
      <w:tr w:rsidR="00A034C7" w:rsidTr="006719F1">
        <w:tc>
          <w:tcPr>
            <w:tcW w:w="205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  <w:r w:rsidRPr="00F7117A">
              <w:t>Marisol (CLE)</w:t>
            </w:r>
          </w:p>
        </w:tc>
        <w:tc>
          <w:tcPr>
            <w:tcW w:w="126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7117A">
              <w:t>5</w:t>
            </w:r>
          </w:p>
        </w:tc>
        <w:tc>
          <w:tcPr>
            <w:tcW w:w="144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  <w:r w:rsidRPr="00F7117A">
              <w:t>&gt; 28 ≤ 35%</w:t>
            </w:r>
          </w:p>
        </w:tc>
      </w:tr>
      <w:tr w:rsidR="00A034C7" w:rsidTr="006719F1">
        <w:tc>
          <w:tcPr>
            <w:tcW w:w="205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6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7117A">
              <w:t>6</w:t>
            </w:r>
          </w:p>
        </w:tc>
        <w:tc>
          <w:tcPr>
            <w:tcW w:w="1440" w:type="dxa"/>
          </w:tcPr>
          <w:p w:rsidR="00A034C7" w:rsidRPr="00F7117A" w:rsidRDefault="00A034C7" w:rsidP="006719F1">
            <w:r w:rsidRPr="00F7117A">
              <w:t>&gt; 35 ≤ 45%</w:t>
            </w:r>
          </w:p>
        </w:tc>
      </w:tr>
      <w:tr w:rsidR="00A034C7" w:rsidTr="006719F1">
        <w:tc>
          <w:tcPr>
            <w:tcW w:w="205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 w:rsidRPr="00F7117A">
              <w:t>Murcott</w:t>
            </w:r>
            <w:proofErr w:type="spellEnd"/>
            <w:r w:rsidRPr="00F7117A">
              <w:t xml:space="preserve"> (HMA)</w:t>
            </w:r>
          </w:p>
        </w:tc>
        <w:tc>
          <w:tcPr>
            <w:tcW w:w="126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7117A">
              <w:t>7</w:t>
            </w:r>
          </w:p>
        </w:tc>
        <w:tc>
          <w:tcPr>
            <w:tcW w:w="144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  <w:r w:rsidRPr="00F7117A">
              <w:t>&gt; 45 &lt; 55%</w:t>
            </w:r>
          </w:p>
        </w:tc>
      </w:tr>
      <w:tr w:rsidR="00A034C7" w:rsidTr="006719F1">
        <w:tc>
          <w:tcPr>
            <w:tcW w:w="205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</w:p>
        </w:tc>
        <w:tc>
          <w:tcPr>
            <w:tcW w:w="126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7117A">
              <w:t>8</w:t>
            </w:r>
          </w:p>
        </w:tc>
        <w:tc>
          <w:tcPr>
            <w:tcW w:w="144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  <w:r w:rsidRPr="00F7117A">
              <w:t>&gt; 55 &lt; 65%</w:t>
            </w:r>
          </w:p>
        </w:tc>
      </w:tr>
      <w:tr w:rsidR="00A034C7" w:rsidTr="006719F1">
        <w:tc>
          <w:tcPr>
            <w:tcW w:w="205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</w:pPr>
            <w:r w:rsidRPr="00F7117A">
              <w:t>Fortune (HMA)</w:t>
            </w:r>
          </w:p>
        </w:tc>
        <w:tc>
          <w:tcPr>
            <w:tcW w:w="1260" w:type="dxa"/>
          </w:tcPr>
          <w:p w:rsidR="00A034C7" w:rsidRPr="00F7117A" w:rsidRDefault="00A034C7" w:rsidP="006719F1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F7117A">
              <w:t>9</w:t>
            </w:r>
          </w:p>
        </w:tc>
        <w:tc>
          <w:tcPr>
            <w:tcW w:w="1440" w:type="dxa"/>
          </w:tcPr>
          <w:p w:rsidR="00A034C7" w:rsidRPr="00F7117A" w:rsidRDefault="00A034C7" w:rsidP="006719F1">
            <w:r w:rsidRPr="00F7117A">
              <w:t>≥ 65%</w:t>
            </w:r>
          </w:p>
        </w:tc>
      </w:tr>
    </w:tbl>
    <w:p w:rsidR="00A034C7" w:rsidRDefault="00A034C7" w:rsidP="00A034C7"/>
    <w:p w:rsidR="00B238C8" w:rsidRDefault="00B238C8" w:rsidP="00A034C7">
      <w:pPr>
        <w:pStyle w:val="preparedby0"/>
        <w:spacing w:before="0" w:after="0"/>
        <w:jc w:val="left"/>
      </w:pPr>
    </w:p>
    <w:p w:rsidR="00A034C7" w:rsidRPr="00F7117A" w:rsidRDefault="00A034C7" w:rsidP="00A034C7">
      <w:pPr>
        <w:pStyle w:val="preparedby0"/>
        <w:spacing w:before="0" w:after="0"/>
        <w:jc w:val="left"/>
      </w:pPr>
      <w:r w:rsidRPr="00F7117A">
        <w:t>Partial revision of Annex to documents TG/83/4, TG/201/1, TG/202/1, TG/203/1 and TG/204/1</w:t>
      </w:r>
    </w:p>
    <w:p w:rsidR="00A034C7" w:rsidRPr="00F7117A" w:rsidRDefault="00A034C7" w:rsidP="00A034C7">
      <w:pPr>
        <w:pStyle w:val="preparedby0"/>
        <w:spacing w:before="0" w:after="0"/>
        <w:jc w:val="left"/>
      </w:pPr>
    </w:p>
    <w:p w:rsidR="00A034C7" w:rsidRPr="00B238C8" w:rsidRDefault="00A034C7" w:rsidP="00A034C7">
      <w:pPr>
        <w:pStyle w:val="Default"/>
        <w:spacing w:line="276" w:lineRule="atLeast"/>
        <w:jc w:val="both"/>
        <w:rPr>
          <w:color w:val="auto"/>
          <w:sz w:val="20"/>
          <w:lang w:val="en-US"/>
        </w:rPr>
      </w:pPr>
      <w:r w:rsidRPr="00B238C8">
        <w:rPr>
          <w:color w:val="auto"/>
          <w:sz w:val="20"/>
          <w:lang w:val="en-US"/>
        </w:rPr>
        <w:t>The changes to the Test Guidelines for Mandarin would also be reflected in the overall Table of Characteristics included in the Annex to documents TG/83/4 (Trifoliate Orange (</w:t>
      </w:r>
      <w:proofErr w:type="spellStart"/>
      <w:r w:rsidRPr="00B238C8">
        <w:rPr>
          <w:color w:val="auto"/>
          <w:sz w:val="20"/>
          <w:lang w:val="en-US"/>
        </w:rPr>
        <w:t>Poncirus</w:t>
      </w:r>
      <w:proofErr w:type="spellEnd"/>
      <w:r w:rsidRPr="00B238C8">
        <w:rPr>
          <w:color w:val="auto"/>
          <w:sz w:val="20"/>
          <w:lang w:val="en-US"/>
        </w:rPr>
        <w:t>) (</w:t>
      </w:r>
      <w:r w:rsidRPr="00B238C8">
        <w:rPr>
          <w:i/>
          <w:color w:val="auto"/>
          <w:sz w:val="20"/>
          <w:lang w:val="en-US"/>
        </w:rPr>
        <w:t>Citrus</w:t>
      </w:r>
      <w:r w:rsidRPr="00B238C8">
        <w:rPr>
          <w:color w:val="auto"/>
          <w:sz w:val="20"/>
          <w:lang w:val="en-US"/>
        </w:rPr>
        <w:t xml:space="preserve"> L. </w:t>
      </w:r>
      <w:r w:rsidR="00B238C8">
        <w:rPr>
          <w:color w:val="auto"/>
          <w:sz w:val="20"/>
          <w:lang w:val="en-US"/>
        </w:rPr>
        <w:t>–</w:t>
      </w:r>
      <w:r w:rsidRPr="00B238C8">
        <w:rPr>
          <w:color w:val="auto"/>
          <w:sz w:val="20"/>
          <w:lang w:val="en-US"/>
        </w:rPr>
        <w:t xml:space="preserve"> Group</w:t>
      </w:r>
      <w:r w:rsidR="00B238C8">
        <w:rPr>
          <w:color w:val="auto"/>
          <w:sz w:val="20"/>
          <w:lang w:val="en-US"/>
        </w:rPr>
        <w:t> </w:t>
      </w:r>
      <w:r w:rsidRPr="00B238C8">
        <w:rPr>
          <w:color w:val="auto"/>
          <w:sz w:val="20"/>
          <w:lang w:val="en-US"/>
        </w:rPr>
        <w:t>5)), TG/201/1, TG/202/1 (Oranges (</w:t>
      </w:r>
      <w:r w:rsidRPr="00B238C8">
        <w:rPr>
          <w:i/>
          <w:color w:val="auto"/>
          <w:sz w:val="20"/>
          <w:lang w:val="en-US"/>
        </w:rPr>
        <w:t>Citrus</w:t>
      </w:r>
      <w:r w:rsidRPr="00B238C8">
        <w:rPr>
          <w:color w:val="auto"/>
          <w:sz w:val="20"/>
          <w:lang w:val="en-US"/>
        </w:rPr>
        <w:t xml:space="preserve"> L. - Group 2)), TG/203/1 (Lemons and Limes (</w:t>
      </w:r>
      <w:r w:rsidRPr="00B238C8">
        <w:rPr>
          <w:i/>
          <w:color w:val="auto"/>
          <w:sz w:val="20"/>
          <w:lang w:val="en-US"/>
        </w:rPr>
        <w:t>Citrus</w:t>
      </w:r>
      <w:r w:rsidRPr="00B238C8">
        <w:rPr>
          <w:color w:val="auto"/>
          <w:sz w:val="20"/>
          <w:lang w:val="en-US"/>
        </w:rPr>
        <w:t xml:space="preserve"> L. - Group 3)) and TG/204/1 (Grapefruit and </w:t>
      </w:r>
      <w:proofErr w:type="spellStart"/>
      <w:r w:rsidRPr="00B238C8">
        <w:rPr>
          <w:color w:val="auto"/>
          <w:sz w:val="20"/>
          <w:lang w:val="en-US"/>
        </w:rPr>
        <w:t>Pummelo</w:t>
      </w:r>
      <w:proofErr w:type="spellEnd"/>
      <w:r w:rsidRPr="00B238C8">
        <w:rPr>
          <w:color w:val="auto"/>
          <w:sz w:val="20"/>
          <w:lang w:val="en-US"/>
        </w:rPr>
        <w:t xml:space="preserve"> (</w:t>
      </w:r>
      <w:r w:rsidRPr="00B238C8">
        <w:rPr>
          <w:i/>
          <w:color w:val="auto"/>
          <w:sz w:val="20"/>
          <w:lang w:val="en-US"/>
        </w:rPr>
        <w:t>Citrus</w:t>
      </w:r>
      <w:r w:rsidRPr="00B238C8">
        <w:rPr>
          <w:color w:val="auto"/>
          <w:sz w:val="20"/>
          <w:lang w:val="en-US"/>
        </w:rPr>
        <w:t> L. - Group 4)) by means of a partial revision to those Test Guidelines.</w:t>
      </w:r>
    </w:p>
    <w:p w:rsidR="00A034C7" w:rsidRDefault="00A034C7" w:rsidP="00A034C7"/>
    <w:p w:rsidR="00A034C7" w:rsidRDefault="00A034C7" w:rsidP="00A034C7"/>
    <w:p w:rsidR="00A034C7" w:rsidRDefault="00A034C7" w:rsidP="00A034C7"/>
    <w:p w:rsidR="00CC2FD6" w:rsidRPr="00A034C7" w:rsidRDefault="00CC2FD6" w:rsidP="00CC2FD6">
      <w:pPr>
        <w:spacing w:line="360" w:lineRule="auto"/>
        <w:jc w:val="center"/>
        <w:rPr>
          <w:lang w:val="en-GB"/>
        </w:rPr>
      </w:pPr>
    </w:p>
    <w:p w:rsidR="00DF474C" w:rsidRDefault="00055F69" w:rsidP="000752F8">
      <w:pPr>
        <w:pStyle w:val="endofdoc"/>
        <w:rPr>
          <w:snapToGrid w:val="0"/>
        </w:rPr>
      </w:pPr>
      <w:r>
        <w:rPr>
          <w:snapToGrid w:val="0"/>
        </w:rPr>
        <w:t xml:space="preserve"> </w:t>
      </w:r>
      <w:r w:rsidR="00DF474C">
        <w:rPr>
          <w:snapToGrid w:val="0"/>
        </w:rPr>
        <w:t xml:space="preserve">[End </w:t>
      </w:r>
      <w:r w:rsidR="008A4D6C">
        <w:rPr>
          <w:snapToGrid w:val="0"/>
        </w:rPr>
        <w:t xml:space="preserve">Annex and </w:t>
      </w:r>
      <w:r w:rsidR="00DF474C">
        <w:rPr>
          <w:snapToGrid w:val="0"/>
        </w:rPr>
        <w:t>of document]</w:t>
      </w:r>
    </w:p>
    <w:sectPr w:rsidR="00DF474C" w:rsidSect="00507C0F"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04" w:rsidRDefault="00A92E04" w:rsidP="006655D3">
      <w:r>
        <w:separator/>
      </w:r>
    </w:p>
    <w:p w:rsidR="00A92E04" w:rsidRDefault="00A92E04" w:rsidP="006655D3"/>
    <w:p w:rsidR="00A92E04" w:rsidRDefault="00A92E04" w:rsidP="006655D3"/>
  </w:endnote>
  <w:endnote w:type="continuationSeparator" w:id="0">
    <w:p w:rsidR="00A92E04" w:rsidRDefault="00A92E04" w:rsidP="006655D3">
      <w:r>
        <w:separator/>
      </w:r>
    </w:p>
    <w:p w:rsidR="00A92E04" w:rsidRPr="005D1676" w:rsidRDefault="00A92E04">
      <w:pPr>
        <w:pStyle w:val="Footer"/>
        <w:spacing w:after="60"/>
        <w:rPr>
          <w:sz w:val="18"/>
          <w:lang w:val="es-ES_tradnl"/>
        </w:rPr>
      </w:pPr>
      <w:r w:rsidRPr="005D1676">
        <w:rPr>
          <w:sz w:val="18"/>
          <w:lang w:val="es-ES_tradnl"/>
        </w:rPr>
        <w:t xml:space="preserve">[Suite de la note de la page </w:t>
      </w:r>
      <w:proofErr w:type="spellStart"/>
      <w:r w:rsidRPr="005D1676">
        <w:rPr>
          <w:sz w:val="18"/>
          <w:lang w:val="es-ES_tradnl"/>
        </w:rPr>
        <w:t>précédente</w:t>
      </w:r>
      <w:proofErr w:type="spellEnd"/>
      <w:r w:rsidRPr="005D1676">
        <w:rPr>
          <w:sz w:val="18"/>
          <w:lang w:val="es-ES_tradnl"/>
        </w:rPr>
        <w:t>]</w:t>
      </w:r>
    </w:p>
    <w:p w:rsidR="00A92E04" w:rsidRPr="005D1676" w:rsidRDefault="00A92E04" w:rsidP="006655D3">
      <w:pPr>
        <w:rPr>
          <w:lang w:val="es-ES_tradnl"/>
        </w:rPr>
      </w:pPr>
    </w:p>
    <w:p w:rsidR="00A92E04" w:rsidRPr="005D1676" w:rsidRDefault="00A92E04" w:rsidP="006655D3">
      <w:pPr>
        <w:rPr>
          <w:lang w:val="es-ES_tradnl"/>
        </w:rPr>
      </w:pPr>
    </w:p>
  </w:endnote>
  <w:endnote w:type="continuationNotice" w:id="1">
    <w:p w:rsidR="00A92E04" w:rsidRPr="008B3377" w:rsidRDefault="00A92E04" w:rsidP="006655D3">
      <w:pPr>
        <w:rPr>
          <w:lang w:val="fr-CH"/>
        </w:rPr>
      </w:pPr>
      <w:r w:rsidRPr="008B3377">
        <w:rPr>
          <w:lang w:val="fr-CH"/>
        </w:rPr>
        <w:t>[Suite de la note page suivante]</w:t>
      </w:r>
    </w:p>
    <w:p w:rsidR="00A92E04" w:rsidRPr="008B3377" w:rsidRDefault="00A92E04" w:rsidP="006655D3">
      <w:pPr>
        <w:rPr>
          <w:lang w:val="fr-CH"/>
        </w:rPr>
      </w:pPr>
    </w:p>
    <w:p w:rsidR="00A92E04" w:rsidRPr="008B3377" w:rsidRDefault="00A92E04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msRmn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04" w:rsidRDefault="00A92E04" w:rsidP="006655D3">
      <w:r>
        <w:separator/>
      </w:r>
    </w:p>
  </w:footnote>
  <w:footnote w:type="continuationSeparator" w:id="0">
    <w:p w:rsidR="00A92E04" w:rsidRDefault="00A92E04" w:rsidP="006655D3">
      <w:r>
        <w:separator/>
      </w:r>
    </w:p>
  </w:footnote>
  <w:footnote w:type="continuationNotice" w:id="1">
    <w:p w:rsidR="00A92E04" w:rsidRPr="00AB530F" w:rsidRDefault="00A92E0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04" w:rsidRPr="00832298" w:rsidRDefault="00A92E04" w:rsidP="00832298">
    <w:pPr>
      <w:pStyle w:val="Header"/>
    </w:pPr>
    <w:r w:rsidRPr="00832298">
      <w:t>TW</w:t>
    </w:r>
    <w:r>
      <w:t>F</w:t>
    </w:r>
    <w:r w:rsidRPr="00832298">
      <w:t>/4</w:t>
    </w:r>
    <w:r w:rsidR="00422317">
      <w:t>5/30</w:t>
    </w:r>
  </w:p>
  <w:p w:rsidR="00A92E04" w:rsidRPr="00C5280D" w:rsidRDefault="00A92E04" w:rsidP="00EB048E">
    <w:pPr>
      <w:pStyle w:val="Header"/>
    </w:pPr>
    <w:r>
      <w:t xml:space="preserve">Annex, </w:t>
    </w:r>
    <w:r w:rsidRPr="00C5280D">
      <w:t xml:space="preserve">page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4028CD">
      <w:rPr>
        <w:noProof/>
      </w:rPr>
      <w:t>3</w:t>
    </w:r>
    <w:r w:rsidRPr="00832298">
      <w:fldChar w:fldCharType="end"/>
    </w:r>
  </w:p>
  <w:p w:rsidR="00A92E04" w:rsidRPr="00C5280D" w:rsidRDefault="00A92E04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E04" w:rsidRPr="00832298" w:rsidRDefault="00A92E04" w:rsidP="00507C0F">
    <w:pPr>
      <w:pStyle w:val="Header"/>
    </w:pPr>
    <w:r w:rsidRPr="00832298">
      <w:t>TW</w:t>
    </w:r>
    <w:r>
      <w:t>F</w:t>
    </w:r>
    <w:r w:rsidRPr="00832298">
      <w:t>/4</w:t>
    </w:r>
    <w:r w:rsidR="00A034C7">
      <w:t>5/30</w:t>
    </w:r>
  </w:p>
  <w:p w:rsidR="00A92E04" w:rsidRDefault="00A92E04">
    <w:pPr>
      <w:pStyle w:val="Header"/>
    </w:pPr>
  </w:p>
  <w:p w:rsidR="00A92E04" w:rsidRDefault="00A92E04">
    <w:pPr>
      <w:pStyle w:val="Header"/>
    </w:pPr>
    <w:r>
      <w:t>ANNEX</w:t>
    </w:r>
  </w:p>
  <w:p w:rsidR="00A92E04" w:rsidRDefault="00A92E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03104F1"/>
    <w:multiLevelType w:val="hybridMultilevel"/>
    <w:tmpl w:val="9DAA3494"/>
    <w:lvl w:ilvl="0" w:tplc="178E0748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18"/>
    <w:rsid w:val="00010CF3"/>
    <w:rsid w:val="00011E27"/>
    <w:rsid w:val="000148BC"/>
    <w:rsid w:val="00024AB8"/>
    <w:rsid w:val="00030854"/>
    <w:rsid w:val="00036028"/>
    <w:rsid w:val="000374FC"/>
    <w:rsid w:val="00044642"/>
    <w:rsid w:val="000446B9"/>
    <w:rsid w:val="00047E21"/>
    <w:rsid w:val="00055F69"/>
    <w:rsid w:val="000752F8"/>
    <w:rsid w:val="00085505"/>
    <w:rsid w:val="000C7021"/>
    <w:rsid w:val="000D6BBC"/>
    <w:rsid w:val="000D7780"/>
    <w:rsid w:val="00105929"/>
    <w:rsid w:val="001131D5"/>
    <w:rsid w:val="001322D2"/>
    <w:rsid w:val="00134329"/>
    <w:rsid w:val="00141DB8"/>
    <w:rsid w:val="0017474A"/>
    <w:rsid w:val="001758C6"/>
    <w:rsid w:val="00182B99"/>
    <w:rsid w:val="0018780B"/>
    <w:rsid w:val="002112C7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152FE"/>
    <w:rsid w:val="00325CCF"/>
    <w:rsid w:val="00327436"/>
    <w:rsid w:val="00344BD6"/>
    <w:rsid w:val="0035528D"/>
    <w:rsid w:val="00361821"/>
    <w:rsid w:val="00371D50"/>
    <w:rsid w:val="003B3894"/>
    <w:rsid w:val="003D227C"/>
    <w:rsid w:val="003D2B4D"/>
    <w:rsid w:val="003F66F3"/>
    <w:rsid w:val="004028CD"/>
    <w:rsid w:val="00410C18"/>
    <w:rsid w:val="00422317"/>
    <w:rsid w:val="00444A88"/>
    <w:rsid w:val="00474DA4"/>
    <w:rsid w:val="00476B4D"/>
    <w:rsid w:val="004805FA"/>
    <w:rsid w:val="004B69D3"/>
    <w:rsid w:val="004D047D"/>
    <w:rsid w:val="004F305A"/>
    <w:rsid w:val="00507C0F"/>
    <w:rsid w:val="00512164"/>
    <w:rsid w:val="00520297"/>
    <w:rsid w:val="005338F9"/>
    <w:rsid w:val="0054281C"/>
    <w:rsid w:val="0055268D"/>
    <w:rsid w:val="00564E2E"/>
    <w:rsid w:val="00576BE4"/>
    <w:rsid w:val="0057736E"/>
    <w:rsid w:val="005A400A"/>
    <w:rsid w:val="005A5D03"/>
    <w:rsid w:val="005D1676"/>
    <w:rsid w:val="0060168F"/>
    <w:rsid w:val="00612379"/>
    <w:rsid w:val="0061555F"/>
    <w:rsid w:val="00641200"/>
    <w:rsid w:val="006655D3"/>
    <w:rsid w:val="00667404"/>
    <w:rsid w:val="00681435"/>
    <w:rsid w:val="00685222"/>
    <w:rsid w:val="00687EB4"/>
    <w:rsid w:val="00695431"/>
    <w:rsid w:val="006B17D2"/>
    <w:rsid w:val="006C224E"/>
    <w:rsid w:val="006C6175"/>
    <w:rsid w:val="006D780A"/>
    <w:rsid w:val="006E1436"/>
    <w:rsid w:val="00711605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843A4"/>
    <w:rsid w:val="008A4D6C"/>
    <w:rsid w:val="008A743F"/>
    <w:rsid w:val="008B3377"/>
    <w:rsid w:val="008B63C5"/>
    <w:rsid w:val="008C0970"/>
    <w:rsid w:val="008C2DA2"/>
    <w:rsid w:val="008D276A"/>
    <w:rsid w:val="008D2CF7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C0A7F"/>
    <w:rsid w:val="009D690D"/>
    <w:rsid w:val="009E65B6"/>
    <w:rsid w:val="00A034C7"/>
    <w:rsid w:val="00A24C10"/>
    <w:rsid w:val="00A42AC3"/>
    <w:rsid w:val="00A430CF"/>
    <w:rsid w:val="00A54309"/>
    <w:rsid w:val="00A85D84"/>
    <w:rsid w:val="00A92E04"/>
    <w:rsid w:val="00AB2B93"/>
    <w:rsid w:val="00AB530F"/>
    <w:rsid w:val="00AB7E5B"/>
    <w:rsid w:val="00AE0EF1"/>
    <w:rsid w:val="00AE2937"/>
    <w:rsid w:val="00AF7C7F"/>
    <w:rsid w:val="00B07301"/>
    <w:rsid w:val="00B224DE"/>
    <w:rsid w:val="00B238C8"/>
    <w:rsid w:val="00B46575"/>
    <w:rsid w:val="00B71144"/>
    <w:rsid w:val="00B84BBD"/>
    <w:rsid w:val="00B90FDA"/>
    <w:rsid w:val="00BA43FB"/>
    <w:rsid w:val="00BB0967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2FD6"/>
    <w:rsid w:val="00CF7E36"/>
    <w:rsid w:val="00D3708D"/>
    <w:rsid w:val="00D40426"/>
    <w:rsid w:val="00D57C96"/>
    <w:rsid w:val="00D91203"/>
    <w:rsid w:val="00D95174"/>
    <w:rsid w:val="00DA6F36"/>
    <w:rsid w:val="00DB596E"/>
    <w:rsid w:val="00DB7773"/>
    <w:rsid w:val="00DC00EA"/>
    <w:rsid w:val="00DF474C"/>
    <w:rsid w:val="00E01596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3FD8"/>
    <w:rsid w:val="00F560F7"/>
    <w:rsid w:val="00F6334D"/>
    <w:rsid w:val="00F72E99"/>
    <w:rsid w:val="00FA49AB"/>
    <w:rsid w:val="00FD54E2"/>
    <w:rsid w:val="00FE1DA4"/>
    <w:rsid w:val="00FE39C7"/>
    <w:rsid w:val="00FF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90FDA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0752F8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odyText2">
    <w:name w:val="Body Text 2"/>
    <w:basedOn w:val="Normal"/>
    <w:link w:val="BodyText2Char"/>
    <w:rsid w:val="00410C1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284"/>
      <w:textAlignment w:val="baseline"/>
    </w:pPr>
    <w:rPr>
      <w:rFonts w:ascii="TmsRmn 12pt" w:hAnsi="TmsRmn 12pt"/>
      <w:spacing w:val="-3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410C18"/>
    <w:rPr>
      <w:rFonts w:ascii="TmsRmn 12pt" w:hAnsi="TmsRmn 12pt"/>
      <w:spacing w:val="-3"/>
      <w:sz w:val="24"/>
      <w:lang w:val="en-GB" w:eastAsia="en-GB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A4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D6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112C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customStyle="1" w:styleId="Normaltb">
    <w:name w:val="Normaltb"/>
    <w:basedOn w:val="Normalt"/>
    <w:rsid w:val="00A034C7"/>
    <w:pPr>
      <w:keepNext/>
    </w:pPr>
    <w:rPr>
      <w:b/>
    </w:rPr>
  </w:style>
  <w:style w:type="paragraph" w:customStyle="1" w:styleId="Normalt">
    <w:name w:val="Normalt"/>
    <w:basedOn w:val="Normal"/>
    <w:rsid w:val="00A034C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A034C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A034C7"/>
    <w:pPr>
      <w:spacing w:after="128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90FDA"/>
    <w:pPr>
      <w:keepNext/>
      <w:jc w:val="both"/>
      <w:outlineLvl w:val="1"/>
    </w:pPr>
    <w:rPr>
      <w:rFonts w:ascii="Arial" w:hAnsi="Arial"/>
      <w:i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0752F8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odyText2">
    <w:name w:val="Body Text 2"/>
    <w:basedOn w:val="Normal"/>
    <w:link w:val="BodyText2Char"/>
    <w:rsid w:val="00410C18"/>
    <w:pPr>
      <w:tabs>
        <w:tab w:val="left" w:pos="-720"/>
      </w:tabs>
      <w:suppressAutoHyphens/>
      <w:overflowPunct w:val="0"/>
      <w:autoSpaceDE w:val="0"/>
      <w:autoSpaceDN w:val="0"/>
      <w:adjustRightInd w:val="0"/>
      <w:ind w:left="284"/>
      <w:textAlignment w:val="baseline"/>
    </w:pPr>
    <w:rPr>
      <w:rFonts w:ascii="TmsRmn 12pt" w:hAnsi="TmsRmn 12pt"/>
      <w:spacing w:val="-3"/>
      <w:sz w:val="24"/>
      <w:lang w:val="en-GB" w:eastAsia="en-GB"/>
    </w:rPr>
  </w:style>
  <w:style w:type="character" w:customStyle="1" w:styleId="BodyText2Char">
    <w:name w:val="Body Text 2 Char"/>
    <w:basedOn w:val="DefaultParagraphFont"/>
    <w:link w:val="BodyText2"/>
    <w:rsid w:val="00410C18"/>
    <w:rPr>
      <w:rFonts w:ascii="TmsRmn 12pt" w:hAnsi="TmsRmn 12pt"/>
      <w:spacing w:val="-3"/>
      <w:sz w:val="24"/>
      <w:lang w:val="en-GB" w:eastAsia="en-GB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A4D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A4D6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112C7"/>
    <w:pPr>
      <w:tabs>
        <w:tab w:val="decimal" w:pos="907"/>
        <w:tab w:val="left" w:pos="1077"/>
      </w:tabs>
    </w:pPr>
    <w:rPr>
      <w:rFonts w:ascii="Times New Roman" w:hAnsi="Times New Roman"/>
      <w:sz w:val="24"/>
      <w:szCs w:val="24"/>
      <w:lang w:eastAsia="ja-JP"/>
    </w:rPr>
  </w:style>
  <w:style w:type="paragraph" w:customStyle="1" w:styleId="Normaltb">
    <w:name w:val="Normaltb"/>
    <w:basedOn w:val="Normalt"/>
    <w:rsid w:val="00A034C7"/>
    <w:pPr>
      <w:keepNext/>
    </w:pPr>
    <w:rPr>
      <w:b/>
    </w:rPr>
  </w:style>
  <w:style w:type="paragraph" w:customStyle="1" w:styleId="Normalt">
    <w:name w:val="Normalt"/>
    <w:basedOn w:val="Normal"/>
    <w:rsid w:val="00A034C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Default">
    <w:name w:val="Default"/>
    <w:rsid w:val="00A034C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paragraph" w:customStyle="1" w:styleId="CM5">
    <w:name w:val="CM5"/>
    <w:basedOn w:val="Default"/>
    <w:next w:val="Default"/>
    <w:rsid w:val="00A034C7"/>
    <w:pPr>
      <w:spacing w:after="128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6\Template\two_4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6368-08B7-47E0-9F75-5CF36F55D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two_46</Template>
  <TotalTime>38</TotalTime>
  <Pages>4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LONG Victoria</cp:lastModifiedBy>
  <cp:revision>8</cp:revision>
  <cp:lastPrinted>2014-05-20T15:46:00Z</cp:lastPrinted>
  <dcterms:created xsi:type="dcterms:W3CDTF">2014-05-21T04:59:00Z</dcterms:created>
  <dcterms:modified xsi:type="dcterms:W3CDTF">2014-05-23T06:03:00Z</dcterms:modified>
</cp:coreProperties>
</file>