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95B18">
        <w:trPr>
          <w:trHeight w:val="1760"/>
        </w:trPr>
        <w:tc>
          <w:tcPr>
            <w:tcW w:w="4243" w:type="dxa"/>
          </w:tcPr>
          <w:p w:rsidR="000D7780" w:rsidRPr="00C5280D" w:rsidRDefault="000D7780" w:rsidP="006655D3"/>
        </w:tc>
        <w:tc>
          <w:tcPr>
            <w:tcW w:w="1646" w:type="dxa"/>
            <w:vAlign w:val="center"/>
          </w:tcPr>
          <w:p w:rsidR="000D7780" w:rsidRPr="00C5280D" w:rsidRDefault="006F062E" w:rsidP="006655D3">
            <w:pPr>
              <w:pStyle w:val="LogoUPOV"/>
            </w:pPr>
            <w:r>
              <w:rPr>
                <w:noProof/>
              </w:rPr>
              <w:drawing>
                <wp:inline distT="0" distB="0" distL="0" distR="0" wp14:anchorId="77D53886" wp14:editId="49E65A73">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D95B18" w:rsidRPr="00C5280D" w:rsidRDefault="00D95B18" w:rsidP="00D95B18">
            <w:pPr>
              <w:pStyle w:val="Docoriginal"/>
            </w:pPr>
            <w:r>
              <w:t>TW</w:t>
            </w:r>
            <w:r w:rsidR="005534AA">
              <w:t>F</w:t>
            </w:r>
            <w:r>
              <w:t>/4</w:t>
            </w:r>
            <w:r w:rsidR="005534AA">
              <w:t>5</w:t>
            </w:r>
            <w:r>
              <w:t>/</w:t>
            </w:r>
            <w:bookmarkStart w:id="0" w:name="Code"/>
            <w:bookmarkEnd w:id="0"/>
            <w:r>
              <w:t>12</w:t>
            </w:r>
          </w:p>
          <w:p w:rsidR="00D95B18" w:rsidRPr="00B46575" w:rsidRDefault="00D95B18" w:rsidP="00D95B18">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0D7780" w:rsidRPr="00C5280D" w:rsidRDefault="00D95B18" w:rsidP="00AE31A7">
            <w:pPr>
              <w:pStyle w:val="Docoriginal"/>
            </w:pPr>
            <w:r w:rsidRPr="00B46575">
              <w:rPr>
                <w:spacing w:val="0"/>
              </w:rPr>
              <w:t>DATE:</w:t>
            </w:r>
            <w:r w:rsidRPr="00B46575">
              <w:rPr>
                <w:rStyle w:val="StyleDocoriginalNotBold1"/>
                <w:spacing w:val="0"/>
              </w:rPr>
              <w:t xml:space="preserve"> </w:t>
            </w:r>
            <w:bookmarkStart w:id="2" w:name="Date"/>
            <w:bookmarkEnd w:id="2"/>
            <w:r w:rsidR="00BB7289" w:rsidRPr="00AE31A7">
              <w:rPr>
                <w:rStyle w:val="StyleDocoriginalNotBold1"/>
                <w:spacing w:val="0"/>
              </w:rPr>
              <w:t xml:space="preserve">May </w:t>
            </w:r>
            <w:r w:rsidR="00AE31A7" w:rsidRPr="00AE31A7">
              <w:rPr>
                <w:rStyle w:val="StyleDocoriginalNotBold1"/>
                <w:spacing w:val="0"/>
              </w:rPr>
              <w:t>19</w:t>
            </w:r>
            <w:r w:rsidRPr="00AE31A7">
              <w:rPr>
                <w:rStyle w:val="StyleDocoriginalNotBold1"/>
                <w:spacing w:val="0"/>
              </w:rPr>
              <w:t>, 2014</w:t>
            </w:r>
            <w:bookmarkStart w:id="3" w:name="_GoBack"/>
            <w:bookmarkEnd w:id="3"/>
          </w:p>
        </w:tc>
      </w:tr>
      <w:tr w:rsidR="000D7780" w:rsidRPr="00C5280D" w:rsidTr="00D95B18">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95B18">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95B18" w:rsidRPr="00C5280D" w:rsidRDefault="00D95B18" w:rsidP="00D95B18">
      <w:pPr>
        <w:pStyle w:val="Sessiontc"/>
      </w:pPr>
      <w:bookmarkStart w:id="4" w:name="Prepared"/>
      <w:bookmarkEnd w:id="4"/>
      <w:r w:rsidRPr="00C5280D">
        <w:t xml:space="preserve">Technical </w:t>
      </w:r>
      <w:r>
        <w:t xml:space="preserve">working party for </w:t>
      </w:r>
      <w:r w:rsidR="005534AA">
        <w:t>FRUIT CROPS</w:t>
      </w:r>
    </w:p>
    <w:p w:rsidR="00D95B18" w:rsidRPr="00C5280D" w:rsidRDefault="00D95B18" w:rsidP="00D95B18">
      <w:pPr>
        <w:pStyle w:val="Sessiontcplacedate"/>
      </w:pPr>
      <w:r w:rsidRPr="00C5280D">
        <w:t>Forty-</w:t>
      </w:r>
      <w:r w:rsidR="005534AA">
        <w:t>Fif</w:t>
      </w:r>
      <w:r>
        <w:t>th</w:t>
      </w:r>
      <w:r w:rsidRPr="00C5280D">
        <w:t xml:space="preserve"> Session</w:t>
      </w:r>
      <w:r w:rsidRPr="00C5280D">
        <w:br/>
      </w:r>
      <w:r w:rsidR="005534AA">
        <w:rPr>
          <w:rFonts w:cs="Arial"/>
        </w:rPr>
        <w:t>Marrakesh</w:t>
      </w:r>
      <w:r w:rsidRPr="00CC587F">
        <w:rPr>
          <w:rFonts w:cs="Arial"/>
        </w:rPr>
        <w:t xml:space="preserve">, </w:t>
      </w:r>
      <w:r w:rsidR="005534AA">
        <w:rPr>
          <w:rFonts w:cs="Arial"/>
        </w:rPr>
        <w:t>Morocco</w:t>
      </w:r>
      <w:r w:rsidRPr="00C5280D">
        <w:t>,</w:t>
      </w:r>
      <w:r>
        <w:t xml:space="preserve"> May </w:t>
      </w:r>
      <w:r w:rsidR="005534AA">
        <w:t>26</w:t>
      </w:r>
      <w:r>
        <w:t xml:space="preserve"> to 3</w:t>
      </w:r>
      <w:r w:rsidR="005534AA">
        <w:t>0</w:t>
      </w:r>
      <w:r>
        <w:t>, 2014</w:t>
      </w:r>
    </w:p>
    <w:p w:rsidR="00D95B18" w:rsidRPr="00A10223" w:rsidRDefault="00D95B18" w:rsidP="00D95B18">
      <w:pPr>
        <w:pStyle w:val="Titleofdoc0"/>
      </w:pPr>
      <w:bookmarkStart w:id="5" w:name="TitleOfDoc"/>
      <w:bookmarkEnd w:id="5"/>
      <w:r w:rsidRPr="00C26B84">
        <w:rPr>
          <w:rFonts w:cs="Arial"/>
        </w:rPr>
        <w:t xml:space="preserve">Revision of document TGP/7: </w:t>
      </w:r>
      <w:r w:rsidRPr="00181712">
        <w:rPr>
          <w:rFonts w:cs="Arial"/>
        </w:rPr>
        <w:t>PLANT MATERIAL SUBMITTED FOR EXAMINATION</w:t>
      </w:r>
    </w:p>
    <w:p w:rsidR="00050E16" w:rsidRPr="00C5280D" w:rsidRDefault="00AE0EF1" w:rsidP="00050E16">
      <w:pPr>
        <w:pStyle w:val="preparedby1"/>
      </w:pPr>
      <w:r w:rsidRPr="008F679D">
        <w:t xml:space="preserve">Document </w:t>
      </w:r>
      <w:r w:rsidR="0061555F" w:rsidRPr="008F679D">
        <w:t>prepared by the Office of the Union</w:t>
      </w:r>
      <w:r w:rsidR="00050E16">
        <w:br/>
      </w:r>
      <w:r w:rsidR="00050E16">
        <w:br/>
      </w:r>
      <w:r w:rsidR="00050E16">
        <w:rPr>
          <w:color w:val="A6A6A6" w:themeColor="background1" w:themeShade="A6"/>
        </w:rPr>
        <w:t>Disclaimer:  this document does not represent UPOV policies or guidance</w:t>
      </w:r>
    </w:p>
    <w:p w:rsidR="007D0FE0" w:rsidRPr="004F1C91" w:rsidRDefault="007D0FE0" w:rsidP="007D0FE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7D0FE0" w:rsidRPr="004F1C91" w:rsidRDefault="007D0FE0" w:rsidP="007D0FE0">
      <w:pPr>
        <w:rPr>
          <w:rFonts w:cs="Arial"/>
          <w:color w:val="000000"/>
        </w:rPr>
      </w:pPr>
    </w:p>
    <w:p w:rsidR="007D0FE0" w:rsidRPr="004F1C91" w:rsidRDefault="007D0FE0" w:rsidP="007D0FE0">
      <w:pPr>
        <w:rPr>
          <w:rFonts w:cs="Arial"/>
        </w:rPr>
      </w:pPr>
      <w:r w:rsidRPr="004F1C91">
        <w:rPr>
          <w:rFonts w:cs="Arial"/>
        </w:rPr>
        <w:tab/>
        <w:t>TC:</w:t>
      </w:r>
      <w:r w:rsidRPr="004F1C91">
        <w:rPr>
          <w:rFonts w:cs="Arial"/>
        </w:rPr>
        <w:tab/>
      </w:r>
      <w:r w:rsidRPr="004F1C91">
        <w:rPr>
          <w:rFonts w:cs="Arial"/>
        </w:rPr>
        <w:tab/>
        <w:t>Technical Committee</w:t>
      </w:r>
    </w:p>
    <w:p w:rsidR="007D0FE0" w:rsidRPr="004F1C91" w:rsidRDefault="007D0FE0" w:rsidP="007D0FE0">
      <w:pPr>
        <w:rPr>
          <w:rFonts w:eastAsia="PMingLiU" w:cs="Arial"/>
        </w:rPr>
      </w:pPr>
      <w:r w:rsidRPr="004F1C91">
        <w:rPr>
          <w:rFonts w:eastAsia="PMingLiU" w:cs="Arial"/>
        </w:rPr>
        <w:tab/>
        <w:t>TC-EDC:</w:t>
      </w:r>
      <w:r w:rsidRPr="004F1C91">
        <w:rPr>
          <w:rFonts w:eastAsia="PMingLiU" w:cs="Arial"/>
        </w:rPr>
        <w:tab/>
        <w:t>Enlarged Editorial Committee</w:t>
      </w:r>
    </w:p>
    <w:p w:rsidR="007D0FE0" w:rsidRPr="004F1C91" w:rsidRDefault="007D0FE0" w:rsidP="007D0FE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D0FE0" w:rsidRPr="004F1C91" w:rsidRDefault="007D0FE0" w:rsidP="007D0FE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D0FE0" w:rsidRPr="004F1C91" w:rsidRDefault="007D0FE0" w:rsidP="007D0FE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D0FE0" w:rsidRPr="004F1C91" w:rsidRDefault="007D0FE0" w:rsidP="007D0FE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7D0FE0" w:rsidRPr="004F1C91" w:rsidRDefault="007D0FE0" w:rsidP="007D0FE0">
      <w:pPr>
        <w:rPr>
          <w:rFonts w:eastAsia="PMingLiU" w:cs="Arial"/>
        </w:rPr>
      </w:pPr>
      <w:r w:rsidRPr="004F1C91">
        <w:rPr>
          <w:rFonts w:eastAsia="PMingLiU" w:cs="Arial"/>
        </w:rPr>
        <w:tab/>
        <w:t>TWPs:</w:t>
      </w:r>
      <w:r w:rsidRPr="004F1C91">
        <w:rPr>
          <w:rFonts w:eastAsia="PMingLiU" w:cs="Arial"/>
        </w:rPr>
        <w:tab/>
        <w:t>Technical Working Parties</w:t>
      </w:r>
    </w:p>
    <w:p w:rsidR="007D0FE0" w:rsidRPr="004F1C91" w:rsidRDefault="007D0FE0" w:rsidP="007D0FE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D0FE0" w:rsidRPr="004F1C91" w:rsidRDefault="007D0FE0" w:rsidP="007D0FE0">
      <w:pPr>
        <w:tabs>
          <w:tab w:val="left" w:pos="567"/>
        </w:tabs>
        <w:autoSpaceDE w:val="0"/>
        <w:autoSpaceDN w:val="0"/>
        <w:adjustRightInd w:val="0"/>
        <w:rPr>
          <w:rFonts w:cs="Arial"/>
        </w:rPr>
      </w:pPr>
    </w:p>
    <w:p w:rsidR="007D0FE0" w:rsidRDefault="007D0FE0" w:rsidP="007D0FE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81712" w:rsidRDefault="008E10C4">
      <w:pPr>
        <w:pStyle w:val="TOC1"/>
        <w:rPr>
          <w:rFonts w:eastAsiaTheme="minorEastAsia" w:cstheme="minorBidi"/>
          <w:bCs w:val="0"/>
          <w:caps w:val="0"/>
          <w:noProof/>
          <w:sz w:val="22"/>
          <w:szCs w:val="22"/>
        </w:rPr>
      </w:pPr>
      <w:r>
        <w:rPr>
          <w:rFonts w:cs="Arial"/>
          <w:bCs w:val="0"/>
        </w:rPr>
        <w:fldChar w:fldCharType="begin"/>
      </w:r>
      <w:r>
        <w:rPr>
          <w:rFonts w:cs="Arial"/>
          <w:bCs w:val="0"/>
        </w:rPr>
        <w:instrText xml:space="preserve"> TOC \o "1-3" \h \z \u </w:instrText>
      </w:r>
      <w:r>
        <w:rPr>
          <w:rFonts w:cs="Arial"/>
          <w:bCs w:val="0"/>
        </w:rPr>
        <w:fldChar w:fldCharType="separate"/>
      </w:r>
      <w:hyperlink w:anchor="_Toc386449411" w:history="1">
        <w:r w:rsidR="00181712" w:rsidRPr="00A47B43">
          <w:rPr>
            <w:rStyle w:val="Hyperlink"/>
            <w:noProof/>
          </w:rPr>
          <w:t>BACKGROUND</w:t>
        </w:r>
        <w:r w:rsidR="00181712">
          <w:rPr>
            <w:noProof/>
            <w:webHidden/>
          </w:rPr>
          <w:tab/>
        </w:r>
        <w:r w:rsidR="00181712">
          <w:rPr>
            <w:noProof/>
            <w:webHidden/>
          </w:rPr>
          <w:fldChar w:fldCharType="begin"/>
        </w:r>
        <w:r w:rsidR="00181712">
          <w:rPr>
            <w:noProof/>
            <w:webHidden/>
          </w:rPr>
          <w:instrText xml:space="preserve"> PAGEREF _Toc386449411 \h </w:instrText>
        </w:r>
        <w:r w:rsidR="00181712">
          <w:rPr>
            <w:noProof/>
            <w:webHidden/>
          </w:rPr>
        </w:r>
        <w:r w:rsidR="00181712">
          <w:rPr>
            <w:noProof/>
            <w:webHidden/>
          </w:rPr>
          <w:fldChar w:fldCharType="separate"/>
        </w:r>
        <w:r w:rsidR="00AE31A7">
          <w:rPr>
            <w:noProof/>
            <w:webHidden/>
          </w:rPr>
          <w:t>2</w:t>
        </w:r>
        <w:r w:rsidR="00181712">
          <w:rPr>
            <w:noProof/>
            <w:webHidden/>
          </w:rPr>
          <w:fldChar w:fldCharType="end"/>
        </w:r>
      </w:hyperlink>
    </w:p>
    <w:p w:rsidR="00181712" w:rsidRDefault="00AE31A7">
      <w:pPr>
        <w:pStyle w:val="TOC1"/>
        <w:rPr>
          <w:rFonts w:eastAsiaTheme="minorEastAsia" w:cstheme="minorBidi"/>
          <w:bCs w:val="0"/>
          <w:caps w:val="0"/>
          <w:noProof/>
          <w:sz w:val="22"/>
          <w:szCs w:val="22"/>
        </w:rPr>
      </w:pPr>
      <w:hyperlink w:anchor="_Toc386449412" w:history="1">
        <w:r w:rsidR="00181712" w:rsidRPr="00A47B43">
          <w:rPr>
            <w:rStyle w:val="Hyperlink"/>
            <w:noProof/>
          </w:rPr>
          <w:t>CONSIDERATION by the technical working parties in 2013</w:t>
        </w:r>
        <w:r w:rsidR="00181712">
          <w:rPr>
            <w:noProof/>
            <w:webHidden/>
          </w:rPr>
          <w:tab/>
        </w:r>
        <w:r w:rsidR="00181712">
          <w:rPr>
            <w:noProof/>
            <w:webHidden/>
          </w:rPr>
          <w:fldChar w:fldCharType="begin"/>
        </w:r>
        <w:r w:rsidR="00181712">
          <w:rPr>
            <w:noProof/>
            <w:webHidden/>
          </w:rPr>
          <w:instrText xml:space="preserve"> PAGEREF _Toc386449412 \h </w:instrText>
        </w:r>
        <w:r w:rsidR="00181712">
          <w:rPr>
            <w:noProof/>
            <w:webHidden/>
          </w:rPr>
        </w:r>
        <w:r w:rsidR="00181712">
          <w:rPr>
            <w:noProof/>
            <w:webHidden/>
          </w:rPr>
          <w:fldChar w:fldCharType="separate"/>
        </w:r>
        <w:r>
          <w:rPr>
            <w:noProof/>
            <w:webHidden/>
          </w:rPr>
          <w:t>2</w:t>
        </w:r>
        <w:r w:rsidR="00181712">
          <w:rPr>
            <w:noProof/>
            <w:webHidden/>
          </w:rPr>
          <w:fldChar w:fldCharType="end"/>
        </w:r>
      </w:hyperlink>
    </w:p>
    <w:p w:rsidR="00181712" w:rsidRDefault="00AE31A7">
      <w:pPr>
        <w:pStyle w:val="TOC1"/>
        <w:rPr>
          <w:rFonts w:eastAsiaTheme="minorEastAsia" w:cstheme="minorBidi"/>
          <w:bCs w:val="0"/>
          <w:caps w:val="0"/>
          <w:noProof/>
          <w:sz w:val="22"/>
          <w:szCs w:val="22"/>
        </w:rPr>
      </w:pPr>
      <w:hyperlink w:anchor="_Toc386449413" w:history="1">
        <w:r w:rsidR="00181712" w:rsidRPr="00A47B43">
          <w:rPr>
            <w:rStyle w:val="Hyperlink"/>
            <w:noProof/>
          </w:rPr>
          <w:t>DEVELOPMENTS in 2014</w:t>
        </w:r>
        <w:r w:rsidR="00181712">
          <w:rPr>
            <w:noProof/>
            <w:webHidden/>
          </w:rPr>
          <w:tab/>
        </w:r>
        <w:r w:rsidR="00181712">
          <w:rPr>
            <w:noProof/>
            <w:webHidden/>
          </w:rPr>
          <w:fldChar w:fldCharType="begin"/>
        </w:r>
        <w:r w:rsidR="00181712">
          <w:rPr>
            <w:noProof/>
            <w:webHidden/>
          </w:rPr>
          <w:instrText xml:space="preserve"> PAGEREF _Toc386449413 \h </w:instrText>
        </w:r>
        <w:r w:rsidR="00181712">
          <w:rPr>
            <w:noProof/>
            <w:webHidden/>
          </w:rPr>
        </w:r>
        <w:r w:rsidR="00181712">
          <w:rPr>
            <w:noProof/>
            <w:webHidden/>
          </w:rPr>
          <w:fldChar w:fldCharType="separate"/>
        </w:r>
        <w:r>
          <w:rPr>
            <w:noProof/>
            <w:webHidden/>
          </w:rPr>
          <w:t>3</w:t>
        </w:r>
        <w:r w:rsidR="00181712">
          <w:rPr>
            <w:noProof/>
            <w:webHidden/>
          </w:rPr>
          <w:fldChar w:fldCharType="end"/>
        </w:r>
      </w:hyperlink>
    </w:p>
    <w:p w:rsidR="00D12A11" w:rsidRPr="00174C21" w:rsidRDefault="008E10C4" w:rsidP="00342BC5">
      <w:pPr>
        <w:pStyle w:val="TitleofDoc"/>
        <w:spacing w:before="120"/>
        <w:ind w:left="1692" w:hanging="1125"/>
        <w:jc w:val="left"/>
        <w:rPr>
          <w:rFonts w:cs="Arial"/>
          <w:sz w:val="22"/>
        </w:rPr>
      </w:pPr>
      <w:r>
        <w:rPr>
          <w:rFonts w:asciiTheme="minorHAnsi" w:hAnsiTheme="minorHAnsi" w:cs="Arial"/>
          <w:bCs/>
        </w:rPr>
        <w:fldChar w:fldCharType="end"/>
      </w:r>
      <w:r w:rsidR="00D12A11">
        <w:rPr>
          <w:rFonts w:cs="Arial"/>
        </w:rPr>
        <w:t xml:space="preserve">ANNEX: </w:t>
      </w:r>
      <w:r w:rsidR="007E2FF6">
        <w:rPr>
          <w:rFonts w:cs="Arial"/>
        </w:rPr>
        <w:tab/>
      </w:r>
      <w:r w:rsidR="00D12A11" w:rsidRPr="00D12A11">
        <w:rPr>
          <w:rFonts w:cs="Arial"/>
        </w:rPr>
        <w:t>SOURCE OF PROPAGATING MATERIAL</w:t>
      </w:r>
      <w:r w:rsidR="00D12A11" w:rsidRPr="00174C21">
        <w:rPr>
          <w:rFonts w:cs="Arial"/>
          <w:sz w:val="22"/>
        </w:rPr>
        <w:t xml:space="preserve"> </w:t>
      </w:r>
      <w:r w:rsidR="00D12A11" w:rsidRPr="00174C21">
        <w:rPr>
          <w:rFonts w:cs="Arial"/>
        </w:rPr>
        <w:t>(</w:t>
      </w:r>
      <w:r w:rsidR="00073B39" w:rsidRPr="00174C21">
        <w:rPr>
          <w:rFonts w:cs="Arial"/>
        </w:rPr>
        <w:t>condensed version prepared by the expert from the European Union, presented at the Technical Committee at its fiftieth session in 2014</w:t>
      </w:r>
      <w:r w:rsidR="00D12A11" w:rsidRPr="00174C21">
        <w:rPr>
          <w:rFonts w:cs="Arial"/>
        </w:rPr>
        <w:t>)</w:t>
      </w:r>
    </w:p>
    <w:p w:rsidR="004D2C55" w:rsidRDefault="004D2C55" w:rsidP="007D0FE0">
      <w:pPr>
        <w:pStyle w:val="Heading1"/>
      </w:pPr>
      <w:bookmarkStart w:id="6" w:name="_Toc373228365"/>
    </w:p>
    <w:p w:rsidR="007E2FF6" w:rsidRPr="007E2FF6" w:rsidRDefault="007E2FF6" w:rsidP="007E2FF6"/>
    <w:p w:rsidR="005903D2" w:rsidRDefault="005903D2">
      <w:pPr>
        <w:jc w:val="left"/>
        <w:rPr>
          <w:caps/>
        </w:rPr>
      </w:pPr>
      <w:r>
        <w:br w:type="page"/>
      </w:r>
    </w:p>
    <w:p w:rsidR="007D0FE0" w:rsidRPr="004F1C91" w:rsidRDefault="007D0FE0" w:rsidP="007D0FE0">
      <w:pPr>
        <w:pStyle w:val="Heading1"/>
      </w:pPr>
      <w:bookmarkStart w:id="7" w:name="_Toc386449411"/>
      <w:r w:rsidRPr="004F1C91">
        <w:lastRenderedPageBreak/>
        <w:t>BACKGROUND</w:t>
      </w:r>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7D0FE0" w:rsidRPr="00E461F1" w:rsidRDefault="007D0FE0" w:rsidP="00B0552B"/>
    <w:p w:rsidR="007D0FE0" w:rsidRDefault="004D2C55" w:rsidP="00B0552B">
      <w:pPr>
        <w:pStyle w:val="Heading1"/>
        <w:keepNext w:val="0"/>
      </w:pPr>
      <w:bookmarkStart w:id="8" w:name="_Toc372555732"/>
      <w:bookmarkStart w:id="9" w:name="_Toc373228366"/>
      <w:bookmarkStart w:id="10" w:name="_Toc386449412"/>
      <w:r>
        <w:t>CONSIDERATION</w:t>
      </w:r>
      <w:r w:rsidR="007D0FE0">
        <w:t xml:space="preserve"> by the technical working parties in 2013</w:t>
      </w:r>
      <w:bookmarkEnd w:id="8"/>
      <w:bookmarkEnd w:id="9"/>
      <w:bookmarkEnd w:id="10"/>
    </w:p>
    <w:p w:rsidR="007D0FE0" w:rsidRDefault="007D0FE0" w:rsidP="00B0552B"/>
    <w:p w:rsidR="007D0FE0" w:rsidRDefault="007D0FE0" w:rsidP="00B0552B">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 xml:space="preserve">uidance on source of propagating material, prepared by </w:t>
      </w:r>
      <w:r w:rsidR="00A5311D">
        <w:t>Mr. Jens Wegner</w:t>
      </w:r>
      <w:r w:rsidR="00A5311D" w:rsidRPr="00E461F1">
        <w:t xml:space="preserve"> </w:t>
      </w:r>
      <w:r w:rsidR="00A5311D">
        <w:t>(</w:t>
      </w:r>
      <w:r w:rsidRPr="00E461F1">
        <w:t>European Union</w:t>
      </w:r>
      <w:r w:rsidR="000A7AB9">
        <w:t>)</w:t>
      </w:r>
      <w:r w:rsidRPr="00E461F1">
        <w:t>,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document TWF/44/31 “Report”, paragraphs 25 to 27, and document TWV/47/34 “Report”, paragraphs 25 to 27, document TWC/31/32 “Report”, paragraphs 23 and 24, and document TWA/42/3</w:t>
      </w:r>
      <w:r w:rsidR="00315510">
        <w:t>1 “Report”, paragraphs 24 to 26</w:t>
      </w:r>
      <w:r w:rsidRPr="00F00C80">
        <w:t>)</w:t>
      </w:r>
      <w:r>
        <w:t xml:space="preserve">, as reproduced </w:t>
      </w:r>
      <w:r w:rsidRPr="00E461F1">
        <w:t>in Annex I to this document.</w:t>
      </w:r>
    </w:p>
    <w:p w:rsidR="007D0FE0" w:rsidRDefault="007D0FE0" w:rsidP="00B0552B"/>
    <w:p w:rsidR="007D0FE0" w:rsidRDefault="007D0FE0" w:rsidP="00B0552B">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r w:rsidR="000A7AB9">
        <w:t xml:space="preserve"> </w:t>
      </w:r>
      <w:r w:rsidR="000A7AB9" w:rsidRPr="00F00C80">
        <w:t>(see document TWO/46</w:t>
      </w:r>
      <w:r w:rsidR="000A7AB9">
        <w:t xml:space="preserve">/29 “Report”, paragraph </w:t>
      </w:r>
      <w:r w:rsidR="000A7AB9" w:rsidRPr="00F00C80">
        <w:t>23</w:t>
      </w:r>
      <w:r w:rsidR="000A7AB9">
        <w:t>)</w:t>
      </w:r>
      <w:r w:rsidRPr="003542E2">
        <w:t>.</w:t>
      </w:r>
    </w:p>
    <w:p w:rsidR="007D0FE0" w:rsidRDefault="007D0FE0" w:rsidP="00B0552B"/>
    <w:p w:rsidR="007D0FE0" w:rsidRPr="00C50B1E" w:rsidRDefault="007D0FE0" w:rsidP="00B0552B">
      <w:r w:rsidRPr="00D57E7B">
        <w:fldChar w:fldCharType="begin"/>
      </w:r>
      <w:r w:rsidRPr="00D57E7B">
        <w:instrText xml:space="preserve"> AUTONUM  </w:instrText>
      </w:r>
      <w:r w:rsidRPr="00D57E7B">
        <w:fldChar w:fldCharType="end"/>
      </w:r>
      <w:r>
        <w:tab/>
      </w:r>
      <w:r w:rsidRPr="00462D28">
        <w:t>The TWF n</w:t>
      </w:r>
      <w:r w:rsidRPr="00C50B1E">
        <w:t>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w:t>
      </w:r>
      <w:r w:rsidR="008D1D4E">
        <w:t xml:space="preserve"> (see </w:t>
      </w:r>
      <w:r w:rsidR="008D1D4E" w:rsidRPr="00E461F1">
        <w:t>document TWF/44/31 “Report”, paragraph 2</w:t>
      </w:r>
      <w:r w:rsidR="008D1D4E">
        <w:t>6)</w:t>
      </w:r>
      <w:r w:rsidRPr="00C50B1E">
        <w:t xml:space="preserve">. </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TWF invited an expert from Spain to make a presentation at the forty-fifth session of the TWF, on practical experience in the use of</w:t>
      </w:r>
      <w:r w:rsidRPr="00A5311D">
        <w:rPr>
          <w:i/>
        </w:rPr>
        <w:t xml:space="preserve"> in vitro</w:t>
      </w:r>
      <w:r w:rsidRPr="00C50B1E">
        <w:t xml:space="preserve"> propagated material when submitted for DUS testing or certification schemes</w:t>
      </w:r>
      <w:r w:rsidR="008D1D4E">
        <w:t xml:space="preserve"> (see </w:t>
      </w:r>
      <w:r w:rsidR="008D1D4E" w:rsidRPr="00E461F1">
        <w:t>document TWF/44/31 “Report”, paragraph 2</w:t>
      </w:r>
      <w:r w:rsidR="008D1D4E">
        <w:t>7)</w:t>
      </w:r>
      <w:r w:rsidRPr="00C50B1E">
        <w:t>.</w:t>
      </w:r>
    </w:p>
    <w:p w:rsidR="007D0FE0" w:rsidRPr="00C50B1E"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w:t>
      </w:r>
      <w:r w:rsidR="00315510">
        <w:t xml:space="preserve"> (see </w:t>
      </w:r>
      <w:r w:rsidR="00315510" w:rsidRPr="00E461F1">
        <w:t>documen</w:t>
      </w:r>
      <w:r w:rsidR="00315510">
        <w:t>t TWV/47/34 “Report”, paragraph</w:t>
      </w:r>
      <w:r w:rsidR="00315510" w:rsidRPr="00E461F1">
        <w:t xml:space="preserve"> 2</w:t>
      </w:r>
      <w:r w:rsidR="00315510">
        <w:t>6)</w:t>
      </w:r>
      <w:r w:rsidRPr="00E461F1">
        <w:t xml:space="preserve">.  </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requested to add examples for </w:t>
      </w:r>
      <w:proofErr w:type="spellStart"/>
      <w:r w:rsidRPr="00E461F1">
        <w:t>vegetatively</w:t>
      </w:r>
      <w:proofErr w:type="spellEnd"/>
      <w:r w:rsidRPr="00E461F1">
        <w:t xml:space="preserve"> propagated </w:t>
      </w:r>
      <w:r w:rsidR="00315510" w:rsidRPr="00E461F1">
        <w:t>vegetables</w:t>
      </w:r>
      <w:r w:rsidR="00315510">
        <w:t xml:space="preserve"> (see </w:t>
      </w:r>
      <w:r w:rsidR="00315510" w:rsidRPr="00E461F1">
        <w:t>documen</w:t>
      </w:r>
      <w:r w:rsidR="00315510">
        <w:t>t TWV/47/34 “Report”, paragraph</w:t>
      </w:r>
      <w:r w:rsidR="00315510" w:rsidRPr="00E461F1">
        <w:t xml:space="preserve"> 2</w:t>
      </w:r>
      <w:r w:rsidR="00315510">
        <w:t>7)</w:t>
      </w:r>
      <w:r w:rsidR="00315510" w:rsidRPr="00E461F1">
        <w:t>.</w:t>
      </w:r>
    </w:p>
    <w:p w:rsidR="007D0FE0" w:rsidRPr="00E461F1" w:rsidRDefault="007D0FE0" w:rsidP="00B0552B"/>
    <w:p w:rsidR="007D0FE0" w:rsidRPr="00C50B1E" w:rsidRDefault="007D0FE0" w:rsidP="00B0552B">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r w:rsidR="00315510">
        <w:t xml:space="preserve"> (see </w:t>
      </w:r>
      <w:r w:rsidR="00315510" w:rsidRPr="00E461F1">
        <w:t>document TWC/31/3</w:t>
      </w:r>
      <w:r w:rsidR="00315510">
        <w:t>2 “Report”, paragraph 23)</w:t>
      </w:r>
      <w:r w:rsidRPr="00C50B1E">
        <w:t>.</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TWC requested the drafter to avoid reference to Wikipedia</w:t>
      </w:r>
      <w:r w:rsidR="004D2C55">
        <w:t xml:space="preserve"> </w:t>
      </w:r>
      <w:r w:rsidRPr="00C50B1E">
        <w:t>in order to make sure to refer to a</w:t>
      </w:r>
      <w:r w:rsidR="00315510">
        <w:t xml:space="preserve"> reliable information source (see </w:t>
      </w:r>
      <w:r w:rsidR="00315510" w:rsidRPr="00E461F1">
        <w:t>document TWC/31/3</w:t>
      </w:r>
      <w:r w:rsidR="00315510">
        <w:t>2 “Report”, paragraph 24)</w:t>
      </w:r>
      <w:r w:rsidR="00315510" w:rsidRPr="00C50B1E">
        <w:t>.</w:t>
      </w:r>
    </w:p>
    <w:p w:rsidR="007D0FE0" w:rsidRPr="00C50B1E" w:rsidRDefault="007D0FE0" w:rsidP="00B0552B">
      <w:pPr>
        <w:rPr>
          <w:rFonts w:eastAsiaTheme="minorEastAsia"/>
        </w:rPr>
      </w:pPr>
    </w:p>
    <w:p w:rsidR="007D0FE0" w:rsidRPr="00C50B1E" w:rsidRDefault="007D0FE0" w:rsidP="005903D2">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r w:rsidR="00315510">
        <w:t xml:space="preserve"> (see </w:t>
      </w:r>
      <w:r w:rsidR="00315510" w:rsidRPr="00E461F1">
        <w:t>documen</w:t>
      </w:r>
      <w:r w:rsidR="00315510">
        <w:t>t TWA/42/31 “Report”, paragraph</w:t>
      </w:r>
      <w:r w:rsidR="00315510" w:rsidRPr="00E461F1">
        <w:t xml:space="preserve"> 2</w:t>
      </w:r>
      <w:r w:rsidR="00315510">
        <w:t>5)</w:t>
      </w:r>
      <w:r w:rsidRPr="00C50B1E">
        <w:t>.</w:t>
      </w:r>
    </w:p>
    <w:p w:rsidR="007D0FE0" w:rsidRPr="00C50B1E" w:rsidRDefault="007D0FE0" w:rsidP="00B0552B">
      <w:r w:rsidRPr="00C50B1E">
        <w:lastRenderedPageBreak/>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C50B1E" w:rsidRDefault="007D0FE0" w:rsidP="007D0FE0">
      <w:pPr>
        <w:autoSpaceDE w:val="0"/>
        <w:autoSpaceDN w:val="0"/>
        <w:adjustRightInd w:val="0"/>
        <w:ind w:left="1134"/>
        <w:jc w:val="left"/>
      </w:pPr>
    </w:p>
    <w:p w:rsidR="007D0FE0" w:rsidRPr="00C50B1E" w:rsidRDefault="007D0FE0" w:rsidP="007D0FE0">
      <w:r w:rsidRPr="00C50B1E">
        <w:t xml:space="preserve">The TWA also recalled the guidance provided in document </w:t>
      </w:r>
      <w:r w:rsidRPr="00C50B1E">
        <w:rPr>
          <w:snapToGrid w:val="0"/>
        </w:rPr>
        <w:t>TGP/12 “Guidance on Certain Physiological Characteristics”</w:t>
      </w:r>
      <w:r w:rsidR="00315510">
        <w:rPr>
          <w:snapToGrid w:val="0"/>
        </w:rPr>
        <w:t xml:space="preserve"> </w:t>
      </w:r>
      <w:r w:rsidR="00315510">
        <w:t xml:space="preserve">(see </w:t>
      </w:r>
      <w:r w:rsidR="00315510" w:rsidRPr="00E461F1">
        <w:t>documen</w:t>
      </w:r>
      <w:r w:rsidR="00315510">
        <w:t>t TWA/42/31 “Report”, paragraph</w:t>
      </w:r>
      <w:r w:rsidR="00315510" w:rsidRPr="00E461F1">
        <w:t xml:space="preserve"> 2</w:t>
      </w:r>
      <w:r w:rsidR="00315510">
        <w:t>5)</w:t>
      </w:r>
      <w:r w:rsidR="00315510" w:rsidRPr="00C50B1E">
        <w:t>.</w:t>
      </w:r>
    </w:p>
    <w:p w:rsidR="005903D2" w:rsidRPr="00C50B1E" w:rsidRDefault="005903D2" w:rsidP="005903D2"/>
    <w:p w:rsidR="00340BB5" w:rsidRDefault="00342BC5" w:rsidP="00340BB5">
      <w:pPr>
        <w:pStyle w:val="Heading1"/>
        <w:keepNext w:val="0"/>
      </w:pPr>
      <w:bookmarkStart w:id="11" w:name="_Toc386449413"/>
      <w:r>
        <w:t>DEVELOP</w:t>
      </w:r>
      <w:r w:rsidR="00340BB5">
        <w:t>MENT</w:t>
      </w:r>
      <w:r w:rsidR="00315510">
        <w:t>S</w:t>
      </w:r>
      <w:r w:rsidR="00340BB5">
        <w:t xml:space="preserve"> in 2014</w:t>
      </w:r>
      <w:bookmarkEnd w:id="11"/>
    </w:p>
    <w:p w:rsidR="00340BB5" w:rsidRDefault="00340BB5" w:rsidP="007D0FE0"/>
    <w:p w:rsidR="00181712" w:rsidRDefault="00340BB5" w:rsidP="00340BB5">
      <w:pPr>
        <w:keepNext/>
      </w:pPr>
      <w:r w:rsidRPr="00330930">
        <w:fldChar w:fldCharType="begin"/>
      </w:r>
      <w:r w:rsidRPr="00330930">
        <w:instrText xml:space="preserve"> AUTONUM  </w:instrText>
      </w:r>
      <w:r w:rsidRPr="00330930">
        <w:fldChar w:fldCharType="end"/>
      </w:r>
      <w:r>
        <w:tab/>
        <w:t xml:space="preserve">The TC, at </w:t>
      </w:r>
      <w:r w:rsidRPr="00AF342C">
        <w:t xml:space="preserve">its </w:t>
      </w:r>
      <w:r>
        <w:t xml:space="preserve">fiftieth </w:t>
      </w:r>
      <w:r w:rsidRPr="00AF342C">
        <w:t>session</w:t>
      </w:r>
      <w:r w:rsidR="00181712">
        <w:t>, held</w:t>
      </w:r>
      <w:r w:rsidRPr="00AF342C">
        <w:t xml:space="preserve"> in Geneva from </w:t>
      </w:r>
      <w:r>
        <w:t>April</w:t>
      </w:r>
      <w:r w:rsidRPr="00AF342C">
        <w:t> </w:t>
      </w:r>
      <w:r>
        <w:t>7</w:t>
      </w:r>
      <w:r w:rsidRPr="00AF342C">
        <w:t> to </w:t>
      </w:r>
      <w:r>
        <w:t>9</w:t>
      </w:r>
      <w:r w:rsidRPr="00AF342C">
        <w:t>, 201</w:t>
      </w:r>
      <w:r>
        <w:t>4, considered document TC/50/17 “</w:t>
      </w:r>
      <w:bookmarkStart w:id="12" w:name="_Toc374385121"/>
      <w:bookmarkStart w:id="13" w:name="_Toc374631059"/>
      <w:bookmarkStart w:id="14" w:name="_Toc374632531"/>
      <w:bookmarkStart w:id="15" w:name="_Toc374635731"/>
      <w:bookmarkStart w:id="16" w:name="_Toc378251521"/>
      <w:bookmarkStart w:id="17" w:name="_Toc381279982"/>
      <w:r w:rsidRPr="00340BB5">
        <w:t>Revision of document TGP/7: Source of Propagating material</w:t>
      </w:r>
      <w:bookmarkEnd w:id="12"/>
      <w:bookmarkEnd w:id="13"/>
      <w:bookmarkEnd w:id="14"/>
      <w:bookmarkEnd w:id="15"/>
      <w:bookmarkEnd w:id="16"/>
      <w:bookmarkEnd w:id="17"/>
      <w:r>
        <w:t>”</w:t>
      </w:r>
      <w:r w:rsidR="00181712">
        <w:t xml:space="preserve">, including a new </w:t>
      </w:r>
      <w:r w:rsidR="00181712">
        <w:rPr>
          <w:rFonts w:cs="Arial"/>
        </w:rPr>
        <w:t>condensed version of</w:t>
      </w:r>
      <w:r w:rsidR="00181712" w:rsidRPr="00C50B1E">
        <w:rPr>
          <w:rFonts w:cs="Arial"/>
        </w:rPr>
        <w:t xml:space="preserve"> draft of guidance on source of propagating material</w:t>
      </w:r>
      <w:r w:rsidR="00181712">
        <w:rPr>
          <w:rFonts w:cs="Arial"/>
        </w:rPr>
        <w:t>,</w:t>
      </w:r>
      <w:r w:rsidR="00181712" w:rsidRPr="00181712">
        <w:rPr>
          <w:rFonts w:cs="Arial"/>
        </w:rPr>
        <w:t xml:space="preserve"> </w:t>
      </w:r>
      <w:r w:rsidR="00181712" w:rsidRPr="00C50B1E">
        <w:rPr>
          <w:rFonts w:cs="Arial"/>
        </w:rPr>
        <w:t xml:space="preserve">prepared </w:t>
      </w:r>
      <w:r w:rsidR="00181712">
        <w:rPr>
          <w:rFonts w:cs="Arial"/>
        </w:rPr>
        <w:t xml:space="preserve">by </w:t>
      </w:r>
      <w:r w:rsidR="00181712" w:rsidRPr="00C50B1E">
        <w:rPr>
          <w:rFonts w:cs="Arial"/>
        </w:rPr>
        <w:t xml:space="preserve">the expert from the European Union, </w:t>
      </w:r>
      <w:r w:rsidR="00181712">
        <w:rPr>
          <w:rFonts w:cs="Arial"/>
        </w:rPr>
        <w:t xml:space="preserve">which is presented </w:t>
      </w:r>
      <w:r w:rsidR="00181712" w:rsidRPr="00C50B1E">
        <w:rPr>
          <w:rFonts w:cs="Arial"/>
        </w:rPr>
        <w:t>in Annex</w:t>
      </w:r>
      <w:r w:rsidR="00181712">
        <w:rPr>
          <w:rFonts w:cs="Arial"/>
        </w:rPr>
        <w:t xml:space="preserve"> I</w:t>
      </w:r>
      <w:r w:rsidR="00181712" w:rsidRPr="00C50B1E">
        <w:rPr>
          <w:rFonts w:cs="Arial"/>
        </w:rPr>
        <w:t xml:space="preserve"> to this document</w:t>
      </w:r>
      <w:r w:rsidR="00C73665">
        <w:rPr>
          <w:rFonts w:cs="Arial"/>
        </w:rPr>
        <w:t xml:space="preserve"> </w:t>
      </w:r>
      <w:r w:rsidR="00C73665">
        <w:t xml:space="preserve">(see </w:t>
      </w:r>
      <w:r w:rsidR="00C73665" w:rsidRPr="00E461F1">
        <w:t>documen</w:t>
      </w:r>
      <w:r w:rsidR="00C73665">
        <w:t>t TC/50/36 “Report</w:t>
      </w:r>
      <w:r w:rsidR="00E11A88" w:rsidRPr="00E461F1">
        <w:t xml:space="preserve"> on the Conclusions</w:t>
      </w:r>
      <w:r w:rsidR="00C73665">
        <w:t>”, paragraph</w:t>
      </w:r>
      <w:r w:rsidR="00C73665" w:rsidRPr="00E461F1">
        <w:t xml:space="preserve"> </w:t>
      </w:r>
      <w:r w:rsidR="00C73665">
        <w:t>43)</w:t>
      </w:r>
      <w:r>
        <w:t xml:space="preserve">. </w:t>
      </w:r>
    </w:p>
    <w:p w:rsidR="00181712" w:rsidRDefault="00181712" w:rsidP="00340BB5">
      <w:pPr>
        <w:keepNext/>
      </w:pPr>
    </w:p>
    <w:p w:rsidR="00315510" w:rsidRPr="00315510" w:rsidRDefault="00181712" w:rsidP="00340BB5">
      <w:pPr>
        <w:keepNext/>
      </w:pPr>
      <w:r w:rsidRPr="00330930">
        <w:fldChar w:fldCharType="begin"/>
      </w:r>
      <w:r w:rsidRPr="00330930">
        <w:instrText xml:space="preserve"> AUTONUM  </w:instrText>
      </w:r>
      <w:r w:rsidRPr="00330930">
        <w:fldChar w:fldCharType="end"/>
      </w:r>
      <w:r>
        <w:tab/>
      </w:r>
      <w:r w:rsidR="00340BB5">
        <w:t>The TC</w:t>
      </w:r>
      <w:r w:rsidR="00E11A88">
        <w:t xml:space="preserve">, </w:t>
      </w:r>
      <w:r w:rsidR="00E11A88" w:rsidRPr="004717F7">
        <w:t xml:space="preserve">at its fiftieth session, </w:t>
      </w:r>
      <w:r w:rsidR="00340BB5">
        <w:t>encouraged experts to present to</w:t>
      </w:r>
      <w:r w:rsidR="00340BB5" w:rsidRPr="00330930">
        <w:t xml:space="preserve"> the T</w:t>
      </w:r>
      <w:r w:rsidR="00340BB5">
        <w:t xml:space="preserve">WPs, at their sessions in 2014, </w:t>
      </w:r>
      <w:r w:rsidR="00340BB5" w:rsidRPr="004D2C55">
        <w:t>their experiences with regard to</w:t>
      </w:r>
      <w:r w:rsidR="00340BB5">
        <w:t xml:space="preserve"> </w:t>
      </w:r>
      <w:r w:rsidR="00340BB5" w:rsidRPr="00851174">
        <w:t>plant material submitted for examination</w:t>
      </w:r>
      <w:r>
        <w:t>,</w:t>
      </w:r>
      <w:r w:rsidR="00340BB5" w:rsidRPr="004D2C55">
        <w:t xml:space="preserve"> </w:t>
      </w:r>
      <w:r w:rsidR="00340BB5">
        <w:t xml:space="preserve">and how they had addressed the problems that could arise, which could be developed into guidance that would reflect good practice.  </w:t>
      </w:r>
      <w:r w:rsidR="00E11A88">
        <w:t>It</w:t>
      </w:r>
      <w:r>
        <w:t xml:space="preserve"> also agreed that t</w:t>
      </w:r>
      <w:r w:rsidR="00340BB5">
        <w:t>he title of the document should be amended accordingly</w:t>
      </w:r>
      <w:r w:rsidR="00315510">
        <w:t xml:space="preserve"> (see </w:t>
      </w:r>
      <w:r w:rsidR="00315510" w:rsidRPr="00E461F1">
        <w:t>documen</w:t>
      </w:r>
      <w:r w:rsidR="00315510">
        <w:t>t TC/50/36 “Report</w:t>
      </w:r>
      <w:r w:rsidR="00E11A88" w:rsidRPr="00E461F1">
        <w:t xml:space="preserve"> on the Conclusions</w:t>
      </w:r>
      <w:r w:rsidR="00315510">
        <w:t>”, paragraph</w:t>
      </w:r>
      <w:r w:rsidR="00315510" w:rsidRPr="00E461F1">
        <w:t xml:space="preserve"> </w:t>
      </w:r>
      <w:r w:rsidR="00315510">
        <w:t>44)</w:t>
      </w:r>
      <w:r w:rsidR="00315510" w:rsidRPr="00C50B1E">
        <w:t>.</w:t>
      </w:r>
    </w:p>
    <w:p w:rsidR="00340BB5" w:rsidRDefault="00340BB5" w:rsidP="007D0FE0"/>
    <w:p w:rsidR="00A5311D" w:rsidRDefault="00A5311D" w:rsidP="007D0FE0">
      <w:r w:rsidRPr="00330930">
        <w:fldChar w:fldCharType="begin"/>
      </w:r>
      <w:r w:rsidRPr="00330930">
        <w:instrText xml:space="preserve"> AUTONUM  </w:instrText>
      </w:r>
      <w:r w:rsidRPr="00330930">
        <w:fldChar w:fldCharType="end"/>
      </w:r>
      <w:r>
        <w:tab/>
      </w:r>
      <w:r w:rsidR="00BB7289">
        <w:t>On April 25, 2014</w:t>
      </w:r>
      <w:r>
        <w:t>, t</w:t>
      </w:r>
      <w:r w:rsidR="00BB7289">
        <w:t>he Office of the Union, issued C</w:t>
      </w:r>
      <w:r>
        <w:t xml:space="preserve">ircular E14/105 inviting experts to provide </w:t>
      </w:r>
      <w:r w:rsidR="00BB7289" w:rsidRPr="004D2C55">
        <w:t>their experiences with regard to</w:t>
      </w:r>
      <w:r w:rsidR="00BB7289">
        <w:t xml:space="preserve"> </w:t>
      </w:r>
      <w:r w:rsidR="00BB7289" w:rsidRPr="00851174">
        <w:t>plant material submitted for examination</w:t>
      </w:r>
      <w:r w:rsidR="00BB7289">
        <w:t>,</w:t>
      </w:r>
      <w:r w:rsidR="00BB7289" w:rsidRPr="004D2C55">
        <w:t xml:space="preserve"> </w:t>
      </w:r>
      <w:r w:rsidR="00BB7289">
        <w:t>and how they had addressed the problems that could arise</w:t>
      </w:r>
      <w:r>
        <w:t>.</w:t>
      </w:r>
      <w:r w:rsidR="00BB7289">
        <w:t xml:space="preserve"> Copies of presentations received in response to the </w:t>
      </w:r>
      <w:r w:rsidR="009528D8">
        <w:t>C</w:t>
      </w:r>
      <w:r w:rsidR="00BB7289">
        <w:t>ircular will be</w:t>
      </w:r>
      <w:r w:rsidR="00852338">
        <w:t xml:space="preserve"> presented in an addendum to this document</w:t>
      </w:r>
      <w:r w:rsidR="00BB7289">
        <w:t>.</w:t>
      </w:r>
    </w:p>
    <w:p w:rsidR="00340BB5" w:rsidRDefault="00340BB5" w:rsidP="007D0FE0"/>
    <w:p w:rsidR="00340BB5" w:rsidRDefault="007D0FE0" w:rsidP="007D0FE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340BB5">
        <w:rPr>
          <w:i/>
        </w:rPr>
        <w:tab/>
        <w:t>The TW</w:t>
      </w:r>
      <w:r w:rsidR="00722B0E">
        <w:rPr>
          <w:i/>
        </w:rPr>
        <w:t>F</w:t>
      </w:r>
      <w:r w:rsidR="001A42B3">
        <w:rPr>
          <w:i/>
        </w:rPr>
        <w:t xml:space="preserve"> is </w:t>
      </w:r>
      <w:r w:rsidRPr="00330930">
        <w:rPr>
          <w:i/>
        </w:rPr>
        <w:t>invited to</w:t>
      </w:r>
      <w:r w:rsidR="00340BB5">
        <w:rPr>
          <w:i/>
        </w:rPr>
        <w:t>:</w:t>
      </w:r>
    </w:p>
    <w:p w:rsidR="00340BB5" w:rsidRDefault="00340BB5" w:rsidP="007D0FE0">
      <w:pPr>
        <w:tabs>
          <w:tab w:val="left" w:pos="5529"/>
        </w:tabs>
        <w:ind w:left="4820"/>
        <w:rPr>
          <w:i/>
        </w:rPr>
      </w:pPr>
    </w:p>
    <w:p w:rsidR="00340BB5" w:rsidRPr="00C73665" w:rsidRDefault="00340BB5" w:rsidP="00340BB5">
      <w:pPr>
        <w:pStyle w:val="ListParagraph"/>
        <w:numPr>
          <w:ilvl w:val="0"/>
          <w:numId w:val="4"/>
        </w:numPr>
        <w:tabs>
          <w:tab w:val="left" w:pos="6096"/>
        </w:tabs>
        <w:ind w:left="4820" w:firstLine="992"/>
        <w:rPr>
          <w:i/>
        </w:rPr>
      </w:pPr>
      <w:r w:rsidRPr="00340BB5">
        <w:rPr>
          <w:i/>
        </w:rPr>
        <w:t>consider the presentation</w:t>
      </w:r>
      <w:r w:rsidR="00A5311D">
        <w:rPr>
          <w:i/>
        </w:rPr>
        <w:t>s</w:t>
      </w:r>
      <w:r w:rsidRPr="00340BB5">
        <w:rPr>
          <w:i/>
        </w:rPr>
        <w:t xml:space="preserve"> </w:t>
      </w:r>
      <w:r w:rsidR="00C73665" w:rsidRPr="00340BB5">
        <w:rPr>
          <w:i/>
        </w:rPr>
        <w:t>of experts</w:t>
      </w:r>
      <w:r w:rsidR="00C73665">
        <w:rPr>
          <w:i/>
        </w:rPr>
        <w:t>,</w:t>
      </w:r>
      <w:r w:rsidR="00C73665" w:rsidRPr="00340BB5">
        <w:rPr>
          <w:i/>
        </w:rPr>
        <w:t xml:space="preserve"> </w:t>
      </w:r>
      <w:r w:rsidR="00C73665">
        <w:rPr>
          <w:i/>
        </w:rPr>
        <w:t xml:space="preserve"> </w:t>
      </w:r>
      <w:r w:rsidRPr="00340BB5">
        <w:rPr>
          <w:i/>
        </w:rPr>
        <w:t>on their</w:t>
      </w:r>
      <w:r w:rsidR="004D2C55" w:rsidRPr="00340BB5">
        <w:rPr>
          <w:i/>
        </w:rPr>
        <w:t xml:space="preserve"> experiences with regard to </w:t>
      </w:r>
      <w:r w:rsidR="00DC1A5A" w:rsidRPr="00C73665">
        <w:rPr>
          <w:i/>
        </w:rPr>
        <w:t>plant material submitted for examination</w:t>
      </w:r>
      <w:r w:rsidR="00C73665">
        <w:rPr>
          <w:i/>
        </w:rPr>
        <w:t xml:space="preserve">, </w:t>
      </w:r>
      <w:r w:rsidR="00A5311D">
        <w:rPr>
          <w:i/>
        </w:rPr>
        <w:t>and the solutions that ha</w:t>
      </w:r>
      <w:r w:rsidR="00DC1A5A">
        <w:rPr>
          <w:i/>
        </w:rPr>
        <w:t>ve</w:t>
      </w:r>
      <w:r w:rsidR="00A5311D">
        <w:rPr>
          <w:i/>
        </w:rPr>
        <w:t xml:space="preserve"> been developed to address </w:t>
      </w:r>
      <w:r w:rsidR="00C73665" w:rsidRPr="00C73665">
        <w:rPr>
          <w:i/>
        </w:rPr>
        <w:t>problems</w:t>
      </w:r>
      <w:r w:rsidR="000C1479">
        <w:rPr>
          <w:i/>
        </w:rPr>
        <w:t>, as reproduced in the addendum of this document</w:t>
      </w:r>
      <w:r w:rsidR="00315510" w:rsidRPr="00C73665">
        <w:rPr>
          <w:i/>
        </w:rPr>
        <w:t>;</w:t>
      </w:r>
      <w:r w:rsidR="00DC1A5A">
        <w:rPr>
          <w:i/>
        </w:rPr>
        <w:t xml:space="preserve"> and</w:t>
      </w:r>
    </w:p>
    <w:p w:rsidR="00340BB5" w:rsidRPr="00340BB5" w:rsidRDefault="00340BB5" w:rsidP="00340BB5">
      <w:pPr>
        <w:pStyle w:val="ListParagraph"/>
        <w:tabs>
          <w:tab w:val="left" w:pos="6096"/>
        </w:tabs>
        <w:ind w:left="5812"/>
        <w:rPr>
          <w:i/>
        </w:rPr>
      </w:pPr>
    </w:p>
    <w:p w:rsidR="00340BB5" w:rsidRDefault="00340BB5" w:rsidP="00340BB5">
      <w:pPr>
        <w:pStyle w:val="ListParagraph"/>
        <w:numPr>
          <w:ilvl w:val="0"/>
          <w:numId w:val="4"/>
        </w:numPr>
        <w:tabs>
          <w:tab w:val="left" w:pos="6096"/>
        </w:tabs>
        <w:ind w:left="4820" w:firstLine="992"/>
        <w:rPr>
          <w:i/>
        </w:rPr>
      </w:pPr>
      <w:proofErr w:type="gramStart"/>
      <w:r w:rsidRPr="00340BB5">
        <w:rPr>
          <w:i/>
        </w:rPr>
        <w:t>consider</w:t>
      </w:r>
      <w:proofErr w:type="gramEnd"/>
      <w:r w:rsidRPr="00340BB5">
        <w:rPr>
          <w:i/>
        </w:rPr>
        <w:t xml:space="preserve"> </w:t>
      </w:r>
      <w:r w:rsidR="00A5311D">
        <w:rPr>
          <w:i/>
        </w:rPr>
        <w:t>how those experiences and solutions could be developed into</w:t>
      </w:r>
      <w:r w:rsidR="009E7957" w:rsidRPr="00340BB5">
        <w:rPr>
          <w:i/>
        </w:rPr>
        <w:t xml:space="preserve"> guidance</w:t>
      </w:r>
      <w:r w:rsidR="008F679D" w:rsidRPr="00340BB5">
        <w:rPr>
          <w:i/>
        </w:rPr>
        <w:t xml:space="preserve"> that</w:t>
      </w:r>
      <w:r w:rsidR="00E461F1" w:rsidRPr="00340BB5">
        <w:rPr>
          <w:i/>
        </w:rPr>
        <w:t xml:space="preserve"> reflects</w:t>
      </w:r>
      <w:r w:rsidR="009E7957" w:rsidRPr="00340BB5">
        <w:rPr>
          <w:i/>
        </w:rPr>
        <w:t xml:space="preserve"> good practice</w:t>
      </w:r>
      <w:r w:rsidR="00181712">
        <w:rPr>
          <w:i/>
        </w:rPr>
        <w:t>.</w:t>
      </w:r>
    </w:p>
    <w:p w:rsidR="00340BB5" w:rsidRPr="00340BB5" w:rsidRDefault="00340BB5" w:rsidP="00340BB5">
      <w:pPr>
        <w:pStyle w:val="ListParagraph"/>
        <w:tabs>
          <w:tab w:val="left" w:pos="6096"/>
        </w:tabs>
        <w:ind w:left="5812"/>
        <w:rPr>
          <w:i/>
        </w:rPr>
      </w:pPr>
    </w:p>
    <w:p w:rsidR="007D0FE0" w:rsidRPr="00347939" w:rsidRDefault="007D0FE0" w:rsidP="00340BB5">
      <w:pPr>
        <w:tabs>
          <w:tab w:val="left" w:pos="6096"/>
        </w:tabs>
        <w:ind w:left="4820" w:firstLine="992"/>
      </w:pPr>
    </w:p>
    <w:p w:rsidR="007D0FE0" w:rsidRPr="00A944A6" w:rsidRDefault="007D0FE0" w:rsidP="007D0FE0"/>
    <w:p w:rsidR="007D0FE0" w:rsidRDefault="00BB7289" w:rsidP="007D0FE0">
      <w:pPr>
        <w:jc w:val="right"/>
      </w:pPr>
      <w:r>
        <w:t xml:space="preserve">[Annex </w:t>
      </w:r>
      <w:r w:rsidR="007D0FE0">
        <w:t>follow</w:t>
      </w:r>
      <w:r w:rsidR="000A7AB9">
        <w:t>s</w:t>
      </w:r>
      <w:r w:rsidR="007D0FE0" w:rsidRPr="00C5280D">
        <w:t>]</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rsidRPr="004F1C91">
        <w:rPr>
          <w:rFonts w:cs="Arial"/>
        </w:rPr>
        <w:lastRenderedPageBreak/>
        <w:t>SOURCE OF PROPAGATING MATERIAL</w:t>
      </w:r>
    </w:p>
    <w:p w:rsidR="00EF2C67" w:rsidRPr="004F1C91" w:rsidRDefault="00EF2C67" w:rsidP="007D0FE0">
      <w:pPr>
        <w:jc w:val="center"/>
        <w:rPr>
          <w:rFonts w:cs="Arial"/>
        </w:rPr>
      </w:pPr>
      <w:r>
        <w:rPr>
          <w:rFonts w:cs="Arial"/>
        </w:rPr>
        <w:t>(</w:t>
      </w:r>
      <w:proofErr w:type="gramStart"/>
      <w:r>
        <w:rPr>
          <w:rFonts w:cs="Arial"/>
        </w:rPr>
        <w:t>condensed</w:t>
      </w:r>
      <w:proofErr w:type="gramEnd"/>
      <w:r>
        <w:rPr>
          <w:rFonts w:cs="Arial"/>
        </w:rPr>
        <w:t xml:space="preserve"> version</w:t>
      </w:r>
      <w:r w:rsidRPr="00C50B1E">
        <w:rPr>
          <w:rFonts w:cs="Arial"/>
        </w:rPr>
        <w:t xml:space="preserve"> prepared </w:t>
      </w:r>
      <w:r>
        <w:rPr>
          <w:rFonts w:cs="Arial"/>
        </w:rPr>
        <w:t xml:space="preserve">by </w:t>
      </w:r>
      <w:r w:rsidRPr="00C50B1E">
        <w:rPr>
          <w:rFonts w:cs="Arial"/>
        </w:rPr>
        <w:t>the expert from the European Union</w:t>
      </w:r>
      <w:r>
        <w:rPr>
          <w:rFonts w:cs="Arial"/>
        </w:rPr>
        <w:t>, presented at the Technical Committee at its fiftieth session in 2014)</w:t>
      </w:r>
    </w:p>
    <w:p w:rsidR="007D0FE0" w:rsidRDefault="007D0FE0" w:rsidP="007D0FE0">
      <w:pPr>
        <w:spacing w:line="276" w:lineRule="auto"/>
        <w:ind w:left="1080"/>
        <w:jc w:val="left"/>
        <w:rPr>
          <w:rFonts w:cs="Arial"/>
          <w:b/>
        </w:rPr>
      </w:pPr>
    </w:p>
    <w:p w:rsidR="007D0FE0" w:rsidRPr="008779EC" w:rsidRDefault="00F55A3A" w:rsidP="00F55A3A">
      <w:r>
        <w:t>I.</w:t>
      </w:r>
      <w:r w:rsidRPr="008779EC">
        <w:tab/>
        <w:t>INTRODUCTION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horticultural circles </w:t>
      </w:r>
      <w:r w:rsidRPr="00186FC8">
        <w:rPr>
          <w:rFonts w:cs="Arial"/>
        </w:rPr>
        <w:t>and in some agricultural crops</w:t>
      </w:r>
      <w:r w:rsidRPr="001B2820">
        <w:rPr>
          <w:rFonts w:cs="Arial"/>
        </w:rPr>
        <w:t xml:space="preserve"> a wide range of methods of vegetative propagation are found. On a commercial scale, the most frequently applied methods are the following:</w:t>
      </w:r>
    </w:p>
    <w:p w:rsidR="007D0FE0" w:rsidRPr="001B2820" w:rsidRDefault="007D0FE0" w:rsidP="007D0FE0">
      <w:pPr>
        <w:numPr>
          <w:ilvl w:val="0"/>
          <w:numId w:val="1"/>
        </w:numPr>
        <w:spacing w:line="276" w:lineRule="auto"/>
        <w:rPr>
          <w:rFonts w:cs="Arial"/>
        </w:rPr>
      </w:pPr>
      <w:r w:rsidRPr="001B2820">
        <w:rPr>
          <w:rFonts w:cs="Arial"/>
        </w:rPr>
        <w:t xml:space="preserve">softwood cuttings, </w:t>
      </w:r>
    </w:p>
    <w:p w:rsidR="007D0FE0" w:rsidRPr="001B2820" w:rsidRDefault="007D0FE0" w:rsidP="007D0FE0">
      <w:pPr>
        <w:numPr>
          <w:ilvl w:val="0"/>
          <w:numId w:val="1"/>
        </w:numPr>
        <w:spacing w:line="276" w:lineRule="auto"/>
        <w:rPr>
          <w:rFonts w:cs="Arial"/>
        </w:rPr>
      </w:pPr>
      <w:r w:rsidRPr="001B2820">
        <w:rPr>
          <w:rFonts w:cs="Arial"/>
        </w:rPr>
        <w:t xml:space="preserve">hardwood cuttings,  </w:t>
      </w:r>
    </w:p>
    <w:p w:rsidR="007D0FE0" w:rsidRPr="001B2820" w:rsidRDefault="007D0FE0" w:rsidP="007D0FE0">
      <w:pPr>
        <w:numPr>
          <w:ilvl w:val="0"/>
          <w:numId w:val="1"/>
        </w:numPr>
        <w:spacing w:line="276" w:lineRule="auto"/>
        <w:rPr>
          <w:rFonts w:cs="Arial"/>
        </w:rPr>
      </w:pPr>
      <w:r w:rsidRPr="001B2820">
        <w:rPr>
          <w:rFonts w:cs="Arial"/>
        </w:rPr>
        <w:t xml:space="preserve">leaf cuttings, </w:t>
      </w:r>
    </w:p>
    <w:p w:rsidR="007D0FE0" w:rsidRPr="001B2820" w:rsidRDefault="007D0FE0" w:rsidP="007D0FE0">
      <w:pPr>
        <w:numPr>
          <w:ilvl w:val="0"/>
          <w:numId w:val="1"/>
        </w:numPr>
        <w:spacing w:line="276" w:lineRule="auto"/>
        <w:rPr>
          <w:rFonts w:cs="Arial"/>
        </w:rPr>
      </w:pPr>
      <w:r w:rsidRPr="001B2820">
        <w:rPr>
          <w:rFonts w:cs="Arial"/>
        </w:rPr>
        <w:t xml:space="preserve">division of rhizomes or plant clusters, </w:t>
      </w:r>
    </w:p>
    <w:p w:rsidR="007D0FE0" w:rsidRPr="001B2820" w:rsidRDefault="007D0FE0" w:rsidP="007D0FE0">
      <w:pPr>
        <w:numPr>
          <w:ilvl w:val="0"/>
          <w:numId w:val="1"/>
        </w:numPr>
        <w:spacing w:line="276" w:lineRule="auto"/>
        <w:rPr>
          <w:rFonts w:cs="Arial"/>
        </w:rPr>
      </w:pPr>
      <w:r w:rsidRPr="001B2820">
        <w:rPr>
          <w:rFonts w:cs="Arial"/>
        </w:rPr>
        <w:t xml:space="preserve">runners, </w:t>
      </w:r>
    </w:p>
    <w:p w:rsidR="007D0FE0" w:rsidRPr="001B2820" w:rsidRDefault="007D0FE0" w:rsidP="007D0FE0">
      <w:pPr>
        <w:numPr>
          <w:ilvl w:val="0"/>
          <w:numId w:val="1"/>
        </w:numPr>
        <w:spacing w:line="276" w:lineRule="auto"/>
        <w:rPr>
          <w:rFonts w:cs="Arial"/>
        </w:rPr>
      </w:pPr>
      <w:r w:rsidRPr="001B2820">
        <w:rPr>
          <w:rFonts w:cs="Arial"/>
        </w:rPr>
        <w:t>daughter bulbs</w:t>
      </w:r>
      <w:r>
        <w:rPr>
          <w:rFonts w:cs="Arial"/>
        </w:rPr>
        <w:t xml:space="preserve"> </w:t>
      </w:r>
      <w:r w:rsidRPr="008779EC">
        <w:rPr>
          <w:rFonts w:cs="Arial"/>
        </w:rPr>
        <w:t>and bulbils</w:t>
      </w:r>
      <w:r w:rsidRPr="001B2820">
        <w:rPr>
          <w:rFonts w:cs="Arial"/>
        </w:rPr>
        <w:t xml:space="preserve">, </w:t>
      </w:r>
    </w:p>
    <w:p w:rsidR="007D0FE0" w:rsidRPr="001B2820" w:rsidRDefault="007D0FE0" w:rsidP="007D0FE0">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7D0FE0" w:rsidRDefault="007D0FE0" w:rsidP="007D0FE0">
      <w:pPr>
        <w:numPr>
          <w:ilvl w:val="0"/>
          <w:numId w:val="1"/>
        </w:numPr>
        <w:spacing w:line="276" w:lineRule="auto"/>
        <w:rPr>
          <w:rFonts w:cs="Arial"/>
        </w:rPr>
      </w:pPr>
      <w:r w:rsidRPr="001B2820">
        <w:rPr>
          <w:rFonts w:cs="Arial"/>
        </w:rPr>
        <w:t>grafting</w:t>
      </w:r>
      <w:r>
        <w:rPr>
          <w:rFonts w:cs="Arial"/>
        </w:rPr>
        <w:t>,</w:t>
      </w:r>
    </w:p>
    <w:p w:rsidR="007D0FE0" w:rsidRPr="001B2820" w:rsidRDefault="007D0FE0" w:rsidP="007D0FE0">
      <w:pPr>
        <w:numPr>
          <w:ilvl w:val="0"/>
          <w:numId w:val="1"/>
        </w:numPr>
        <w:spacing w:line="276" w:lineRule="auto"/>
        <w:rPr>
          <w:rFonts w:cs="Arial"/>
        </w:rPr>
      </w:pPr>
      <w:r w:rsidRPr="00186FC8">
        <w:rPr>
          <w:rFonts w:cs="Arial"/>
        </w:rPr>
        <w:t>(mini- or micro) tubers</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Pr>
          <w:rFonts w:cs="Arial"/>
        </w:rPr>
        <w:t xml:space="preserve"> </w:t>
      </w:r>
      <w:r w:rsidRPr="008779EC">
        <w:rPr>
          <w:rFonts w:cs="Arial"/>
        </w:rPr>
        <w:t xml:space="preserve">Further complications may arise where </w:t>
      </w:r>
      <w:proofErr w:type="spellStart"/>
      <w:r w:rsidRPr="008779EC">
        <w:rPr>
          <w:rFonts w:cs="Arial"/>
        </w:rPr>
        <w:t>vegetatively</w:t>
      </w:r>
      <w:proofErr w:type="spellEnd"/>
      <w:r w:rsidRPr="008779EC">
        <w:rPr>
          <w:rFonts w:cs="Arial"/>
        </w:rPr>
        <w:t xml:space="preserve"> propagated varieties have to be compared to seed-propagated varieties.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1B2820" w:rsidRDefault="007D0FE0" w:rsidP="007D0FE0">
      <w:pPr>
        <w:rPr>
          <w:rFonts w:cs="Arial"/>
        </w:rPr>
      </w:pPr>
    </w:p>
    <w:p w:rsidR="007D0FE0" w:rsidRPr="001B2820" w:rsidRDefault="007D0FE0" w:rsidP="007D0FE0">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The purpose of the document is to investigate how the method of propagation could </w:t>
      </w:r>
      <w:r>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7D0FE0" w:rsidRPr="001B2820" w:rsidRDefault="007D0FE0" w:rsidP="007D0FE0">
      <w:pPr>
        <w:rPr>
          <w:rFonts w:cs="Arial"/>
        </w:rPr>
      </w:pPr>
    </w:p>
    <w:p w:rsidR="007D0FE0" w:rsidRPr="001B2820" w:rsidRDefault="00F55A3A" w:rsidP="00F55A3A">
      <w:r>
        <w:t>II.</w:t>
      </w:r>
      <w:r>
        <w:tab/>
      </w:r>
      <w:r w:rsidRPr="001B2820">
        <w:t>VEGETATIVE PROPAGATION THROUGH CUTTINGS</w:t>
      </w:r>
    </w:p>
    <w:p w:rsidR="007D0FE0" w:rsidRPr="001B2820" w:rsidRDefault="007D0FE0" w:rsidP="007D0FE0">
      <w:pPr>
        <w:ind w:left="720"/>
        <w:rPr>
          <w:rFonts w:cs="Arial"/>
        </w:rPr>
      </w:pPr>
    </w:p>
    <w:p w:rsidR="007D0FE0" w:rsidRPr="001B2820" w:rsidRDefault="007D0FE0" w:rsidP="007D0FE0">
      <w:pPr>
        <w:rPr>
          <w:rFonts w:cs="Arial"/>
        </w:rPr>
      </w:pPr>
      <w:r w:rsidRPr="001B2820">
        <w:rPr>
          <w:rFonts w:cs="Arial"/>
        </w:rPr>
        <w:t xml:space="preserve">Cuttings show </w:t>
      </w:r>
      <w:r>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Pr>
          <w:rFonts w:cs="Arial"/>
        </w:rPr>
        <w:t xml:space="preserve"> </w:t>
      </w:r>
      <w:r w:rsidRPr="001B2820">
        <w:rPr>
          <w:rFonts w:cs="Arial"/>
        </w:rPr>
        <w:t xml:space="preserve">Where branches of orthotropic growing plants of a variety are used to produce </w:t>
      </w:r>
      <w:proofErr w:type="spellStart"/>
      <w:r w:rsidRPr="001B2820">
        <w:rPr>
          <w:rFonts w:cs="Arial"/>
        </w:rPr>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7D0FE0" w:rsidRPr="001B2820" w:rsidRDefault="007D0FE0" w:rsidP="007D0FE0">
      <w:pPr>
        <w:rPr>
          <w:rFonts w:cs="Arial"/>
        </w:rPr>
      </w:pPr>
    </w:p>
    <w:p w:rsidR="007D0FE0" w:rsidRPr="001B2820" w:rsidRDefault="00F55A3A" w:rsidP="00F55A3A">
      <w:r>
        <w:t>III.</w:t>
      </w:r>
      <w:r>
        <w:tab/>
      </w:r>
      <w:r w:rsidRPr="001B2820">
        <w:t xml:space="preserve">EFFECTS OF </w:t>
      </w:r>
      <w:r w:rsidRPr="001B2820">
        <w:rPr>
          <w:i/>
        </w:rPr>
        <w:t>IN VITRO</w:t>
      </w:r>
      <w:r w:rsidRPr="001B2820">
        <w:t xml:space="preserve"> CULTURE</w:t>
      </w:r>
    </w:p>
    <w:p w:rsidR="007D0FE0" w:rsidRPr="001B2820" w:rsidRDefault="007D0FE0" w:rsidP="007D0FE0">
      <w:pPr>
        <w:rPr>
          <w:rFonts w:cs="Arial"/>
        </w:rPr>
      </w:pPr>
    </w:p>
    <w:p w:rsidR="007D0FE0" w:rsidRPr="001B2820" w:rsidRDefault="007D0FE0" w:rsidP="007D0FE0">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Pr="00186FC8">
        <w:rPr>
          <w:rFonts w:cs="Arial"/>
        </w:rPr>
        <w:t xml:space="preserve">, </w:t>
      </w:r>
      <w:proofErr w:type="spellStart"/>
      <w:r w:rsidRPr="00186FC8">
        <w:rPr>
          <w:rFonts w:cs="Arial"/>
        </w:rPr>
        <w:t>somaclonal</w:t>
      </w:r>
      <w:proofErr w:type="spellEnd"/>
      <w:r w:rsidRPr="00186FC8">
        <w:rPr>
          <w:rFonts w:cs="Arial"/>
        </w:rPr>
        <w:t xml:space="preserve">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Information provided by applicants to be considered in the DUS test</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1B2820" w:rsidRDefault="007D0FE0" w:rsidP="007D0FE0">
      <w:pPr>
        <w:rPr>
          <w:rFonts w:cs="Arial"/>
        </w:rPr>
      </w:pPr>
      <w:r w:rsidRPr="001B2820">
        <w:rPr>
          <w:rFonts w:cs="Arial"/>
        </w:rPr>
        <w:tab/>
        <w:t xml:space="preserve">Example: </w:t>
      </w:r>
      <w:proofErr w:type="spellStart"/>
      <w:r w:rsidRPr="001B2820">
        <w:rPr>
          <w:rFonts w:cs="Arial"/>
          <w:i/>
        </w:rPr>
        <w:t>Phalaenopsis</w:t>
      </w:r>
      <w:proofErr w:type="spellEnd"/>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7D0FE0" w:rsidRPr="001B2820" w:rsidRDefault="007D0FE0" w:rsidP="007D0FE0">
      <w:pPr>
        <w:rPr>
          <w:rFonts w:cs="Arial"/>
        </w:rPr>
      </w:pPr>
      <w:r w:rsidRPr="001B2820">
        <w:rPr>
          <w:rFonts w:cs="Arial"/>
        </w:rPr>
        <w:tab/>
        <w:t xml:space="preserve">Example: </w:t>
      </w:r>
      <w:r w:rsidRPr="001B2820">
        <w:rPr>
          <w:rFonts w:cs="Arial"/>
          <w:i/>
        </w:rPr>
        <w:t>Pelargonium</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Pr>
          <w:rFonts w:cs="Arial"/>
        </w:rPr>
        <w:t>following section</w:t>
      </w:r>
      <w:r w:rsidRPr="001B2820">
        <w:rPr>
          <w:rFonts w:cs="Arial"/>
        </w:rPr>
        <w:t>.</w:t>
      </w:r>
    </w:p>
    <w:p w:rsidR="007D0FE0" w:rsidRPr="001B2820" w:rsidRDefault="007D0FE0" w:rsidP="007D0FE0">
      <w:pPr>
        <w:rPr>
          <w:rFonts w:cs="Arial"/>
        </w:rPr>
      </w:pPr>
      <w:r w:rsidRPr="001B2820">
        <w:rPr>
          <w:rFonts w:cs="Arial"/>
        </w:rPr>
        <w:tab/>
        <w:t xml:space="preserve">Example: </w:t>
      </w:r>
      <w:r w:rsidRPr="001B2820">
        <w:rPr>
          <w:rFonts w:cs="Arial"/>
          <w:i/>
        </w:rPr>
        <w:t>Rhododendron</w:t>
      </w:r>
      <w:r>
        <w:rPr>
          <w:rFonts w:cs="Arial"/>
          <w:i/>
        </w:rPr>
        <w:t xml:space="preserve">, </w:t>
      </w:r>
      <w:r w:rsidRPr="000D4055">
        <w:rPr>
          <w:rFonts w:cs="Arial"/>
          <w:i/>
        </w:rPr>
        <w:t xml:space="preserve">Asparagus, tomatoes and pepper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Consequences for the conduct of the DUS technical examination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However, if all plants of a given “variety” are equally affected (such as through rejuvenation or late effect of plant hormones and other growing conditions applied) this must – in the absence of a genetic basis for the expression of the characteristics in question – not result in the grant of a title of protection. The difficulty a DUS examiner may be faced with lies in the distinction between these different alterations.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the first case the sample </w:t>
      </w:r>
      <w:r>
        <w:rPr>
          <w:rFonts w:cs="Arial"/>
        </w:rPr>
        <w:t>should</w:t>
      </w:r>
      <w:r w:rsidRPr="001B2820">
        <w:rPr>
          <w:rFonts w:cs="Arial"/>
        </w:rPr>
        <w:t xml:space="preserve"> be regarded as not suitable for the conduct of the DUS test (and it is up to the testing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7D0FE0" w:rsidRPr="001B2820" w:rsidRDefault="007D0FE0" w:rsidP="007D0FE0">
      <w:pPr>
        <w:rPr>
          <w:rFonts w:cs="Arial"/>
        </w:rPr>
      </w:pPr>
    </w:p>
    <w:p w:rsidR="007D0FE0" w:rsidRPr="001B2820" w:rsidRDefault="00F55A3A" w:rsidP="00F55A3A">
      <w:r w:rsidRPr="001B2820">
        <w:t xml:space="preserve"> </w:t>
      </w:r>
      <w:r>
        <w:t>IV.</w:t>
      </w:r>
      <w:r>
        <w:tab/>
      </w:r>
      <w:r w:rsidRPr="001B2820">
        <w:t>GUIDANCE FOR DRAFTING TEST GUIDELINES</w:t>
      </w:r>
    </w:p>
    <w:p w:rsidR="007D0FE0" w:rsidRPr="001B2820" w:rsidRDefault="007D0FE0" w:rsidP="007D0FE0">
      <w:pPr>
        <w:rPr>
          <w:rFonts w:cs="Arial"/>
        </w:rPr>
      </w:pPr>
    </w:p>
    <w:p w:rsidR="007D0FE0" w:rsidRPr="001B2820" w:rsidRDefault="007D0FE0" w:rsidP="007D0FE0">
      <w:pPr>
        <w:rPr>
          <w:rFonts w:cs="Arial"/>
        </w:rPr>
      </w:pPr>
      <w:r>
        <w:rPr>
          <w:rFonts w:cs="Arial"/>
        </w:rPr>
        <w:t xml:space="preserve">Document </w:t>
      </w:r>
      <w:r w:rsidRPr="001B2820">
        <w:rPr>
          <w:rFonts w:cs="Arial"/>
        </w:rPr>
        <w:t>TGP</w:t>
      </w:r>
      <w:r>
        <w:rPr>
          <w:rFonts w:cs="Arial"/>
        </w:rPr>
        <w:t>/</w:t>
      </w:r>
      <w:r w:rsidRPr="001B2820">
        <w:rPr>
          <w:rFonts w:cs="Arial"/>
        </w:rPr>
        <w:t xml:space="preserve">7 “Development of Test Guidelines” provides standard wording with regard to the quantity of plant material required for the DUS trial but is silent on the plant quality. It is therefore proposed that </w:t>
      </w:r>
      <w:r>
        <w:rPr>
          <w:rFonts w:cs="Arial"/>
        </w:rPr>
        <w:t>a</w:t>
      </w:r>
      <w:r w:rsidRPr="001B2820">
        <w:rPr>
          <w:rFonts w:cs="Arial"/>
        </w:rPr>
        <w:t xml:space="preserve"> guidance note is </w:t>
      </w:r>
      <w:r>
        <w:rPr>
          <w:rFonts w:cs="Arial"/>
        </w:rPr>
        <w:t>provided to explain</w:t>
      </w:r>
      <w:r w:rsidRPr="001B2820">
        <w:rPr>
          <w:rFonts w:cs="Arial"/>
        </w:rPr>
        <w:t xml:space="preserve"> potential problems in the DUS growing trial resulting from the source of propagation material. </w:t>
      </w: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Cuttings (ex vitro):</w:t>
      </w:r>
    </w:p>
    <w:p w:rsidR="007D0FE0" w:rsidRPr="00FC2AC0" w:rsidRDefault="007D0FE0" w:rsidP="007D0FE0">
      <w:pPr>
        <w:rPr>
          <w:rFonts w:cs="Arial"/>
          <w:u w:val="single"/>
        </w:rPr>
      </w:pPr>
      <w:r w:rsidRPr="00FC2AC0">
        <w:rPr>
          <w:rFonts w:cs="Arial"/>
          <w:u w:val="single"/>
        </w:rPr>
        <w:t xml:space="preserve"> </w:t>
      </w:r>
    </w:p>
    <w:p w:rsidR="007D0FE0" w:rsidRPr="001B2820" w:rsidRDefault="007D0FE0" w:rsidP="007D0FE0">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especially for crops which will not be pruned during the growing trial – Test Guidelines may have to define the type of cuttings to be used to produce the sample for the DUS trial. Options to choose from could be:</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cuttings and must have neither been pinched nor pruned.</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w:t>
      </w:r>
      <w:r>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Pr>
          <w:rFonts w:cs="Arial"/>
          <w:i/>
        </w:rPr>
        <w:t xml:space="preserve">been </w:t>
      </w:r>
      <w:r w:rsidRPr="001B2820">
        <w:rPr>
          <w:rFonts w:cs="Arial"/>
          <w:i/>
        </w:rPr>
        <w:t xml:space="preserve">propagated through softwood cuttings coming from </w:t>
      </w:r>
      <w:r>
        <w:rPr>
          <w:rFonts w:cs="Arial"/>
          <w:i/>
        </w:rPr>
        <w:t xml:space="preserve">the </w:t>
      </w:r>
      <w:r w:rsidRPr="001B2820">
        <w:rPr>
          <w:rFonts w:cs="Arial"/>
          <w:i/>
        </w:rPr>
        <w:t xml:space="preserve">central or basal parts of the mother plant. </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hardwood cuttings.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For crops where</w:t>
      </w:r>
      <w:r>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Pr>
          <w:rFonts w:cs="Arial"/>
        </w:rPr>
        <w:t>, as an example</w:t>
      </w:r>
      <w:r w:rsidRPr="001B2820">
        <w:rPr>
          <w:rFonts w:cs="Arial"/>
        </w:rPr>
        <w:t xml:space="preserve">: </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 xml:space="preserve">Micro propagation: </w:t>
      </w:r>
    </w:p>
    <w:p w:rsidR="007D0FE0" w:rsidRPr="00FC2AC0" w:rsidRDefault="007D0FE0" w:rsidP="007D0FE0">
      <w:pPr>
        <w:rPr>
          <w:rFonts w:cs="Arial"/>
          <w:u w:val="single"/>
        </w:rPr>
      </w:pPr>
    </w:p>
    <w:p w:rsidR="007D0FE0" w:rsidRPr="001B2820" w:rsidRDefault="007D0FE0" w:rsidP="007D0FE0">
      <w:pPr>
        <w:rPr>
          <w:rFonts w:cs="Arial"/>
        </w:rPr>
      </w:pPr>
      <w:r w:rsidRPr="001B2820">
        <w:rPr>
          <w:rFonts w:cs="Arial"/>
        </w:rPr>
        <w:t>In crops where tissue culture is not the only method of propagation the Test Guideline</w:t>
      </w:r>
      <w:r>
        <w:rPr>
          <w:rFonts w:cs="Arial"/>
        </w:rPr>
        <w:t>s</w:t>
      </w:r>
      <w:r w:rsidRPr="001B2820">
        <w:rPr>
          <w:rFonts w:cs="Arial"/>
        </w:rPr>
        <w:t xml:space="preserve"> may specify:</w:t>
      </w:r>
    </w:p>
    <w:p w:rsidR="007D0FE0" w:rsidRPr="001B2820" w:rsidRDefault="007D0FE0" w:rsidP="007D0FE0">
      <w:pPr>
        <w:rPr>
          <w:rFonts w:cs="Arial"/>
        </w:rPr>
      </w:pPr>
    </w:p>
    <w:p w:rsidR="007D0FE0" w:rsidRPr="001B2820" w:rsidRDefault="007D0FE0" w:rsidP="007D0FE0">
      <w:pPr>
        <w:ind w:left="720"/>
        <w:rPr>
          <w:rFonts w:cs="Arial"/>
          <w:i/>
        </w:rPr>
      </w:pPr>
      <w:r>
        <w:rPr>
          <w:rFonts w:cs="Arial"/>
          <w:i/>
        </w:rPr>
        <w:t>“</w:t>
      </w:r>
      <w:r w:rsidRPr="001B2820">
        <w:rPr>
          <w:rFonts w:cs="Arial"/>
          <w:i/>
        </w:rPr>
        <w:t>The plant material supplied should preferably not be obtained from in vitro propagation</w:t>
      </w:r>
      <w:r>
        <w:rPr>
          <w:rFonts w:cs="Arial"/>
          <w:i/>
        </w:rPr>
        <w:t>”</w:t>
      </w:r>
      <w:r w:rsidRPr="001B2820">
        <w:rPr>
          <w:rFonts w:cs="Arial"/>
          <w:i/>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For those crops for which tissue culture is used, Test Guidelines could </w:t>
      </w:r>
      <w:r w:rsidRPr="000D4055">
        <w:rPr>
          <w:rFonts w:cs="Arial"/>
        </w:rPr>
        <w:t>– where feasible –</w:t>
      </w:r>
      <w:r>
        <w:rPr>
          <w:rFonts w:cs="Arial"/>
        </w:rPr>
        <w:t xml:space="preserve"> </w:t>
      </w:r>
      <w:r w:rsidRPr="001B2820">
        <w:rPr>
          <w:rFonts w:cs="Arial"/>
        </w:rPr>
        <w:t xml:space="preserve">foresee regularly more than one growing cycle </w:t>
      </w:r>
      <w:r w:rsidRPr="000D4055">
        <w:rPr>
          <w:rFonts w:cs="Arial"/>
        </w:rPr>
        <w:t xml:space="preserve">(possibly with an additional propagation) </w:t>
      </w:r>
      <w:r w:rsidRPr="001B2820">
        <w:rPr>
          <w:rFonts w:cs="Arial"/>
        </w:rPr>
        <w:t>which would firstly allow the examin</w:t>
      </w:r>
      <w:r>
        <w:rPr>
          <w:rFonts w:cs="Arial"/>
        </w:rPr>
        <w:t>er to detect non-declared micro-</w:t>
      </w:r>
      <w:r w:rsidRPr="001B2820">
        <w:rPr>
          <w:rFonts w:cs="Arial"/>
        </w:rPr>
        <w:t xml:space="preserve">propagation and secondly to </w:t>
      </w:r>
      <w:r>
        <w:rPr>
          <w:rFonts w:cs="Arial"/>
        </w:rPr>
        <w:t>allow</w:t>
      </w:r>
      <w:r w:rsidRPr="001B2820">
        <w:rPr>
          <w:rFonts w:cs="Arial"/>
        </w:rPr>
        <w:t xml:space="preserve"> late effects of tissue cu</w:t>
      </w:r>
      <w:r>
        <w:rPr>
          <w:rFonts w:cs="Arial"/>
        </w:rPr>
        <w:t>lture to grow out and thus reduce</w:t>
      </w:r>
      <w:r w:rsidRPr="001B2820">
        <w:rPr>
          <w:rFonts w:cs="Arial"/>
        </w:rPr>
        <w:t xml:space="preserve"> the risk of taking a wrong decision on distinctness.</w:t>
      </w:r>
    </w:p>
    <w:p w:rsidR="007D0FE0" w:rsidRPr="001B2820" w:rsidRDefault="007D0FE0" w:rsidP="007D0FE0">
      <w:pPr>
        <w:rPr>
          <w:rFonts w:cs="Arial"/>
        </w:rPr>
      </w:pPr>
    </w:p>
    <w:p w:rsidR="007D0FE0" w:rsidRPr="001B2820" w:rsidRDefault="00F55A3A" w:rsidP="00F55A3A">
      <w:r>
        <w:t>V.</w:t>
      </w:r>
      <w:r>
        <w:tab/>
      </w:r>
      <w:r w:rsidRPr="001B2820">
        <w:t>LITERATURE:</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Bhat</w:t>
      </w:r>
      <w:proofErr w:type="spellEnd"/>
      <w:r w:rsidRPr="001B2820">
        <w:rPr>
          <w:rFonts w:cs="Arial"/>
        </w:rPr>
        <w:t>, S.R. and Srinivasan, S. (2002): Molecular and genetic analysis of transgenic plants: Considerations and approaches. Plant Science 163: 673-681</w:t>
      </w:r>
    </w:p>
    <w:p w:rsidR="007D0FE0" w:rsidRPr="001B2820" w:rsidRDefault="007D0FE0" w:rsidP="007D0FE0">
      <w:pPr>
        <w:rPr>
          <w:rFonts w:cs="Arial"/>
        </w:rPr>
      </w:pPr>
    </w:p>
    <w:p w:rsidR="007D0FE0" w:rsidRPr="005534AA" w:rsidRDefault="007D0FE0" w:rsidP="007D0FE0">
      <w:pPr>
        <w:rPr>
          <w:rFonts w:cs="Arial"/>
          <w:lang w:val="de-DE"/>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w:t>
      </w:r>
      <w:r w:rsidRPr="005534AA">
        <w:rPr>
          <w:rFonts w:cs="Arial"/>
          <w:lang w:val="de-DE"/>
        </w:rPr>
        <w:t>Plant Cell, Tissue and Organ Culture 25: 75-84</w:t>
      </w:r>
    </w:p>
    <w:p w:rsidR="007D0FE0" w:rsidRPr="005534AA"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7D0FE0" w:rsidRPr="001B2820"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lastRenderedPageBreak/>
        <w:t>Jesch, H.-H. and Plietzsch, A. (2001): Langzeit-Leistungsprüfung in vitro vermehrter Ziergehölze (Prunus). II. Phänologische und physiologische Merkmale. Gartenbauwissenschaft 66: 61-67</w:t>
      </w:r>
    </w:p>
    <w:p w:rsidR="007D0FE0" w:rsidRPr="001B2820" w:rsidRDefault="007D0FE0" w:rsidP="007D0FE0">
      <w:pPr>
        <w:rPr>
          <w:rFonts w:cs="Arial"/>
          <w:lang w:val="de-DE"/>
        </w:rPr>
      </w:pPr>
    </w:p>
    <w:p w:rsidR="007D0FE0" w:rsidRPr="00852338" w:rsidRDefault="007D0FE0" w:rsidP="007D0FE0">
      <w:pPr>
        <w:rPr>
          <w:rFonts w:cs="Arial"/>
          <w:lang w:val="de-DE"/>
        </w:rPr>
      </w:pPr>
      <w:r w:rsidRPr="00852338">
        <w:rPr>
          <w:rFonts w:cs="Arial"/>
          <w:lang w:val="de-DE"/>
        </w:rPr>
        <w:t xml:space="preserve">Klaehn, F.U.: the relation of vegetative propagation to topophysis, cyclophysis and periphysis in forest trees. </w:t>
      </w:r>
    </w:p>
    <w:p w:rsidR="007D0FE0" w:rsidRPr="00852338" w:rsidRDefault="007D0FE0" w:rsidP="007D0FE0">
      <w:pPr>
        <w:rPr>
          <w:rFonts w:cs="Arial"/>
          <w:lang w:val="de-DE"/>
        </w:rPr>
      </w:pPr>
    </w:p>
    <w:p w:rsidR="007D0FE0" w:rsidRPr="001B2820" w:rsidRDefault="007D0FE0" w:rsidP="007D0FE0">
      <w:pPr>
        <w:rPr>
          <w:rFonts w:cs="Arial"/>
        </w:rPr>
      </w:pPr>
      <w:r w:rsidRPr="005534AA">
        <w:rPr>
          <w:rFonts w:cs="Arial"/>
          <w:lang w:val="de-DE"/>
        </w:rPr>
        <w:t>Krüssmann, G. (1997): Die Baumschule. 6</w:t>
      </w:r>
      <w:r w:rsidRPr="005534AA">
        <w:rPr>
          <w:rFonts w:cs="Arial"/>
          <w:vertAlign w:val="superscript"/>
          <w:lang w:val="de-DE"/>
        </w:rPr>
        <w:t>th</w:t>
      </w:r>
      <w:r w:rsidRPr="005534AA">
        <w:rPr>
          <w:rFonts w:cs="Arial"/>
          <w:lang w:val="de-DE"/>
        </w:rPr>
        <w:t xml:space="preserve"> Ed. </w:t>
      </w:r>
      <w:proofErr w:type="spellStart"/>
      <w:r w:rsidRPr="001B2820">
        <w:rPr>
          <w:rFonts w:cs="Arial"/>
        </w:rPr>
        <w:t>Parey</w:t>
      </w:r>
      <w:proofErr w:type="spellEnd"/>
      <w:r w:rsidRPr="001B2820">
        <w:rPr>
          <w:rFonts w:cs="Arial"/>
        </w:rPr>
        <w:t xml:space="preserve"> Berlin</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7D0FE0" w:rsidRPr="001B2820" w:rsidRDefault="007D0FE0" w:rsidP="007D0FE0">
      <w:pPr>
        <w:rPr>
          <w:rFonts w:cs="Arial"/>
        </w:rPr>
      </w:pPr>
    </w:p>
    <w:p w:rsidR="007D0FE0" w:rsidRPr="005534AA" w:rsidRDefault="007D0FE0" w:rsidP="007D0FE0">
      <w:pPr>
        <w:rPr>
          <w:rFonts w:cs="Arial"/>
        </w:rPr>
      </w:pPr>
      <w:proofErr w:type="spellStart"/>
      <w:r w:rsidRPr="005534AA">
        <w:rPr>
          <w:rFonts w:cs="Arial"/>
        </w:rPr>
        <w:t>Waldenmaier</w:t>
      </w:r>
      <w:proofErr w:type="spellEnd"/>
      <w:r w:rsidRPr="005534AA">
        <w:rPr>
          <w:rFonts w:cs="Arial"/>
        </w:rPr>
        <w:t xml:space="preserve">, S. and </w:t>
      </w:r>
      <w:proofErr w:type="spellStart"/>
      <w:r w:rsidRPr="005534AA">
        <w:rPr>
          <w:rFonts w:cs="Arial"/>
        </w:rPr>
        <w:t>Bünemann</w:t>
      </w:r>
      <w:proofErr w:type="spellEnd"/>
      <w:r w:rsidRPr="005534AA">
        <w:rPr>
          <w:rFonts w:cs="Arial"/>
        </w:rPr>
        <w:t xml:space="preserve">, G. (1991): Ex vitro effects in </w:t>
      </w:r>
      <w:proofErr w:type="spellStart"/>
      <w:r w:rsidRPr="005534AA">
        <w:rPr>
          <w:rFonts w:cs="Arial"/>
        </w:rPr>
        <w:t>micropropagation</w:t>
      </w:r>
      <w:proofErr w:type="spellEnd"/>
      <w:r w:rsidRPr="005534AA">
        <w:rPr>
          <w:rFonts w:cs="Arial"/>
        </w:rPr>
        <w:t xml:space="preserve"> of </w:t>
      </w:r>
      <w:proofErr w:type="spellStart"/>
      <w:r w:rsidRPr="005534AA">
        <w:rPr>
          <w:rFonts w:cs="Arial"/>
        </w:rPr>
        <w:t>Syringa</w:t>
      </w:r>
      <w:proofErr w:type="spellEnd"/>
      <w:r w:rsidRPr="005534AA">
        <w:rPr>
          <w:rFonts w:cs="Arial"/>
        </w:rPr>
        <w:t xml:space="preserve"> L.; </w:t>
      </w:r>
      <w:proofErr w:type="spellStart"/>
      <w:r w:rsidRPr="005534AA">
        <w:rPr>
          <w:rFonts w:cs="Arial"/>
        </w:rPr>
        <w:t>Acta</w:t>
      </w:r>
      <w:proofErr w:type="spellEnd"/>
      <w:r w:rsidRPr="005534AA">
        <w:rPr>
          <w:rFonts w:cs="Arial"/>
        </w:rPr>
        <w:t xml:space="preserve"> </w:t>
      </w:r>
      <w:proofErr w:type="spellStart"/>
      <w:r w:rsidRPr="005534AA">
        <w:rPr>
          <w:rFonts w:cs="Arial"/>
        </w:rPr>
        <w:t>Horticulturae</w:t>
      </w:r>
      <w:proofErr w:type="spellEnd"/>
      <w:r w:rsidRPr="005534AA">
        <w:rPr>
          <w:rFonts w:cs="Arial"/>
        </w:rPr>
        <w:t xml:space="preserve"> 300</w:t>
      </w:r>
    </w:p>
    <w:p w:rsidR="007D0FE0" w:rsidRPr="005534AA" w:rsidRDefault="007D0FE0" w:rsidP="007D0FE0">
      <w:pPr>
        <w:rPr>
          <w:rFonts w:ascii="Times New Roman" w:hAnsi="Times New Roman"/>
          <w:sz w:val="24"/>
          <w:szCs w:val="24"/>
        </w:rPr>
      </w:pPr>
    </w:p>
    <w:p w:rsidR="007D0FE0" w:rsidRPr="005534AA" w:rsidRDefault="007D0FE0" w:rsidP="007D0FE0">
      <w:pPr>
        <w:jc w:val="right"/>
      </w:pPr>
    </w:p>
    <w:p w:rsidR="007D0FE0" w:rsidRDefault="007D0FE0" w:rsidP="007D0FE0">
      <w:pPr>
        <w:jc w:val="right"/>
      </w:pPr>
    </w:p>
    <w:p w:rsidR="007D0FE0" w:rsidRPr="00C5280D" w:rsidRDefault="007D0FE0" w:rsidP="007D0FE0">
      <w:pPr>
        <w:jc w:val="right"/>
      </w:pPr>
      <w:r w:rsidRPr="00C5280D">
        <w:t xml:space="preserve">[End of </w:t>
      </w:r>
      <w:r>
        <w:t xml:space="preserve">Annex and of </w:t>
      </w:r>
      <w:r w:rsidRPr="00C5280D">
        <w:t>document]</w:t>
      </w:r>
    </w:p>
    <w:p w:rsidR="00050E16" w:rsidRDefault="00050E16" w:rsidP="008E10C4">
      <w:pPr>
        <w:pStyle w:val="TOC1"/>
        <w:rPr>
          <w:snapToGrid w:val="0"/>
        </w:rPr>
      </w:pPr>
    </w:p>
    <w:p w:rsidR="00050E16" w:rsidRDefault="00050E16" w:rsidP="00050E16"/>
    <w:p w:rsidR="00050E16" w:rsidRPr="00C651CE" w:rsidRDefault="00050E16" w:rsidP="00050E16"/>
    <w:sectPr w:rsidR="00050E16" w:rsidRPr="00C651CE" w:rsidSect="001A42B3">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D" w:rsidRDefault="008F679D" w:rsidP="006655D3">
      <w:r>
        <w:separator/>
      </w:r>
    </w:p>
    <w:p w:rsidR="008F679D" w:rsidRDefault="008F679D" w:rsidP="006655D3"/>
    <w:p w:rsidR="008F679D" w:rsidRDefault="008F679D" w:rsidP="006655D3"/>
  </w:endnote>
  <w:endnote w:type="continuationSeparator" w:id="0">
    <w:p w:rsidR="008F679D" w:rsidRDefault="008F679D" w:rsidP="006655D3">
      <w:r>
        <w:separator/>
      </w:r>
    </w:p>
    <w:p w:rsidR="008F679D" w:rsidRPr="007D0FE0" w:rsidRDefault="008F679D">
      <w:pPr>
        <w:pStyle w:val="Footer"/>
        <w:spacing w:after="60"/>
        <w:rPr>
          <w:sz w:val="18"/>
          <w:lang w:val="fr-FR"/>
        </w:rPr>
      </w:pPr>
      <w:r w:rsidRPr="007D0FE0">
        <w:rPr>
          <w:sz w:val="18"/>
          <w:lang w:val="fr-FR"/>
        </w:rPr>
        <w:t>[Suite de la note de la page précédente]</w:t>
      </w:r>
    </w:p>
    <w:p w:rsidR="008F679D" w:rsidRPr="007D0FE0" w:rsidRDefault="008F679D" w:rsidP="006655D3">
      <w:pPr>
        <w:rPr>
          <w:lang w:val="fr-FR"/>
        </w:rPr>
      </w:pPr>
    </w:p>
    <w:p w:rsidR="008F679D" w:rsidRPr="007D0FE0" w:rsidRDefault="008F679D" w:rsidP="006655D3">
      <w:pPr>
        <w:rPr>
          <w:lang w:val="fr-FR"/>
        </w:rPr>
      </w:pPr>
    </w:p>
  </w:endnote>
  <w:endnote w:type="continuationNotice" w:id="1">
    <w:p w:rsidR="008F679D" w:rsidRPr="007D0FE0" w:rsidRDefault="008F679D" w:rsidP="006655D3">
      <w:pPr>
        <w:rPr>
          <w:lang w:val="fr-FR"/>
        </w:rPr>
      </w:pPr>
      <w:r w:rsidRPr="007D0FE0">
        <w:rPr>
          <w:lang w:val="fr-FR"/>
        </w:rPr>
        <w:t>[Suite de la note page suivante]</w:t>
      </w:r>
    </w:p>
    <w:p w:rsidR="008F679D" w:rsidRPr="007D0FE0" w:rsidRDefault="008F679D" w:rsidP="006655D3">
      <w:pPr>
        <w:rPr>
          <w:lang w:val="fr-FR"/>
        </w:rPr>
      </w:pPr>
    </w:p>
    <w:p w:rsidR="008F679D" w:rsidRPr="007D0FE0" w:rsidRDefault="008F67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A871FA" w:rsidRDefault="008F679D" w:rsidP="00A8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D" w:rsidRDefault="008F679D" w:rsidP="006655D3">
      <w:r>
        <w:separator/>
      </w:r>
    </w:p>
  </w:footnote>
  <w:footnote w:type="continuationSeparator" w:id="0">
    <w:p w:rsidR="008F679D" w:rsidRDefault="008F679D" w:rsidP="006655D3">
      <w:r>
        <w:separator/>
      </w:r>
    </w:p>
  </w:footnote>
  <w:footnote w:type="continuationNotice" w:id="1">
    <w:p w:rsidR="008F679D" w:rsidRPr="00AB530F" w:rsidRDefault="008F67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lang w:val="en-US"/>
      </w:rPr>
    </w:pPr>
    <w:r w:rsidRPr="00C5280D">
      <w:rPr>
        <w:rStyle w:val="PageNumber"/>
        <w:lang w:val="en-US"/>
      </w:rPr>
      <w:t>T</w:t>
    </w:r>
    <w:r w:rsidR="00340BB5">
      <w:rPr>
        <w:rStyle w:val="PageNumber"/>
        <w:lang w:val="en-US"/>
      </w:rPr>
      <w:t>W</w:t>
    </w:r>
    <w:r w:rsidR="00E56508">
      <w:rPr>
        <w:rStyle w:val="PageNumber"/>
        <w:lang w:val="en-US"/>
      </w:rPr>
      <w:t>F</w:t>
    </w:r>
    <w:r w:rsidR="00340BB5">
      <w:rPr>
        <w:rStyle w:val="PageNumber"/>
        <w:lang w:val="en-US"/>
      </w:rPr>
      <w:t>/4</w:t>
    </w:r>
    <w:r w:rsidR="00E56508">
      <w:rPr>
        <w:rStyle w:val="PageNumber"/>
        <w:lang w:val="en-US"/>
      </w:rPr>
      <w:t>5</w:t>
    </w:r>
    <w:r w:rsidR="00340BB5">
      <w:rPr>
        <w:rStyle w:val="PageNumber"/>
        <w:lang w:val="en-US"/>
      </w:rPr>
      <w:t>/12</w:t>
    </w:r>
  </w:p>
  <w:p w:rsidR="007D0FE0" w:rsidRPr="00C5280D" w:rsidRDefault="007D0FE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31A7">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lang w:val="en-US"/>
      </w:rPr>
    </w:pPr>
    <w:r w:rsidRPr="00C5280D">
      <w:rPr>
        <w:rStyle w:val="PageNumber"/>
        <w:lang w:val="en-US"/>
      </w:rPr>
      <w:t>T</w:t>
    </w:r>
    <w:r w:rsidR="00EF2C67">
      <w:rPr>
        <w:rStyle w:val="PageNumber"/>
        <w:lang w:val="en-US"/>
      </w:rPr>
      <w:t>W</w:t>
    </w:r>
    <w:r w:rsidR="00E56508">
      <w:rPr>
        <w:rStyle w:val="PageNumber"/>
        <w:lang w:val="en-US"/>
      </w:rPr>
      <w:t>F</w:t>
    </w:r>
    <w:r w:rsidR="00EF2C67">
      <w:rPr>
        <w:rStyle w:val="PageNumber"/>
        <w:lang w:val="en-US"/>
      </w:rPr>
      <w:t>/4</w:t>
    </w:r>
    <w:r w:rsidR="00E56508">
      <w:rPr>
        <w:rStyle w:val="PageNumber"/>
        <w:lang w:val="en-US"/>
      </w:rPr>
      <w:t>5</w:t>
    </w:r>
    <w:r w:rsidR="00EF2C67">
      <w:rPr>
        <w:rStyle w:val="PageNumber"/>
        <w:lang w:val="en-US"/>
      </w:rPr>
      <w:t>/12</w:t>
    </w:r>
  </w:p>
  <w:p w:rsidR="008F679D" w:rsidRPr="00C5280D" w:rsidRDefault="000A7AB9" w:rsidP="001A42B3">
    <w:pPr>
      <w:pStyle w:val="Header"/>
      <w:rPr>
        <w:lang w:val="en-US"/>
      </w:rPr>
    </w:pPr>
    <w:r>
      <w:rPr>
        <w:lang w:val="en-US"/>
      </w:rPr>
      <w:t xml:space="preserve">Annex </w:t>
    </w:r>
    <w:r w:rsidR="008F679D">
      <w:rPr>
        <w:lang w:val="en-US"/>
      </w:rPr>
      <w:t xml:space="preserve">I, </w:t>
    </w:r>
    <w:r w:rsidR="008F679D" w:rsidRPr="00C5280D">
      <w:rPr>
        <w:lang w:val="en-US"/>
      </w:rPr>
      <w:t xml:space="preserve">page </w:t>
    </w:r>
    <w:r w:rsidR="008F679D" w:rsidRPr="00C5280D">
      <w:rPr>
        <w:rStyle w:val="PageNumber"/>
        <w:lang w:val="en-US"/>
      </w:rPr>
      <w:fldChar w:fldCharType="begin"/>
    </w:r>
    <w:r w:rsidR="008F679D" w:rsidRPr="00C5280D">
      <w:rPr>
        <w:rStyle w:val="PageNumber"/>
        <w:lang w:val="en-US"/>
      </w:rPr>
      <w:instrText xml:space="preserve"> PAGE </w:instrText>
    </w:r>
    <w:r w:rsidR="008F679D" w:rsidRPr="00C5280D">
      <w:rPr>
        <w:rStyle w:val="PageNumber"/>
        <w:lang w:val="en-US"/>
      </w:rPr>
      <w:fldChar w:fldCharType="separate"/>
    </w:r>
    <w:r w:rsidR="00AE31A7">
      <w:rPr>
        <w:rStyle w:val="PageNumber"/>
        <w:noProof/>
        <w:lang w:val="en-US"/>
      </w:rPr>
      <w:t>4</w:t>
    </w:r>
    <w:r w:rsidR="008F679D" w:rsidRPr="00C5280D">
      <w:rPr>
        <w:rStyle w:val="PageNumber"/>
        <w:lang w:val="en-US"/>
      </w:rPr>
      <w:fldChar w:fldCharType="end"/>
    </w:r>
  </w:p>
  <w:p w:rsidR="008F679D" w:rsidRPr="00C5280D" w:rsidRDefault="008F67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lang w:val="en-US"/>
      </w:rPr>
    </w:pPr>
    <w:r w:rsidRPr="00C5280D">
      <w:rPr>
        <w:rStyle w:val="PageNumber"/>
        <w:lang w:val="en-US"/>
      </w:rPr>
      <w:t>T</w:t>
    </w:r>
    <w:r w:rsidR="00EF2C67">
      <w:rPr>
        <w:rStyle w:val="PageNumber"/>
        <w:lang w:val="en-US"/>
      </w:rPr>
      <w:t>W</w:t>
    </w:r>
    <w:r w:rsidR="00E56508">
      <w:rPr>
        <w:rStyle w:val="PageNumber"/>
        <w:lang w:val="en-US"/>
      </w:rPr>
      <w:t>F</w:t>
    </w:r>
    <w:r w:rsidR="00EF2C67">
      <w:rPr>
        <w:rStyle w:val="PageNumber"/>
        <w:lang w:val="en-US"/>
      </w:rPr>
      <w:t>/4</w:t>
    </w:r>
    <w:r w:rsidR="00A52AD8">
      <w:rPr>
        <w:rStyle w:val="PageNumber"/>
        <w:lang w:val="en-US"/>
      </w:rPr>
      <w:t>5</w:t>
    </w:r>
    <w:r w:rsidR="00EF2C67">
      <w:rPr>
        <w:rStyle w:val="PageNumber"/>
        <w:lang w:val="en-US"/>
      </w:rPr>
      <w:t>/12</w:t>
    </w:r>
  </w:p>
  <w:p w:rsidR="008F679D" w:rsidRDefault="008F679D" w:rsidP="008F679D">
    <w:pPr>
      <w:pStyle w:val="Header"/>
    </w:pPr>
  </w:p>
  <w:p w:rsidR="008F679D" w:rsidRDefault="008F679D" w:rsidP="008F679D">
    <w:pPr>
      <w:pStyle w:val="Header"/>
    </w:pPr>
    <w:r>
      <w:t>A</w:t>
    </w:r>
    <w:r w:rsidR="00A52AD8">
      <w:t>NNEX </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63947950"/>
    <w:multiLevelType w:val="hybridMultilevel"/>
    <w:tmpl w:val="8B2EF1C8"/>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73B39"/>
    <w:rsid w:val="00085505"/>
    <w:rsid w:val="000A7AB9"/>
    <w:rsid w:val="000C1479"/>
    <w:rsid w:val="000C7021"/>
    <w:rsid w:val="000D6BBC"/>
    <w:rsid w:val="000D7780"/>
    <w:rsid w:val="000F2F11"/>
    <w:rsid w:val="000F2F52"/>
    <w:rsid w:val="00105929"/>
    <w:rsid w:val="001131D5"/>
    <w:rsid w:val="00141DB8"/>
    <w:rsid w:val="0017474A"/>
    <w:rsid w:val="00174C21"/>
    <w:rsid w:val="001758C6"/>
    <w:rsid w:val="00181712"/>
    <w:rsid w:val="00182B99"/>
    <w:rsid w:val="001A42B3"/>
    <w:rsid w:val="0021332C"/>
    <w:rsid w:val="00213982"/>
    <w:rsid w:val="0024416D"/>
    <w:rsid w:val="00271911"/>
    <w:rsid w:val="002800A0"/>
    <w:rsid w:val="002801B3"/>
    <w:rsid w:val="00281060"/>
    <w:rsid w:val="002940E8"/>
    <w:rsid w:val="002A6E50"/>
    <w:rsid w:val="002C256A"/>
    <w:rsid w:val="002C56BA"/>
    <w:rsid w:val="002C5A9E"/>
    <w:rsid w:val="00305A7F"/>
    <w:rsid w:val="003152FE"/>
    <w:rsid w:val="00315510"/>
    <w:rsid w:val="00327436"/>
    <w:rsid w:val="0033347B"/>
    <w:rsid w:val="00340BB5"/>
    <w:rsid w:val="00342BC5"/>
    <w:rsid w:val="00344BD6"/>
    <w:rsid w:val="0035528D"/>
    <w:rsid w:val="00361821"/>
    <w:rsid w:val="0036706A"/>
    <w:rsid w:val="003A7B79"/>
    <w:rsid w:val="003D227C"/>
    <w:rsid w:val="003D2B4D"/>
    <w:rsid w:val="003D69EC"/>
    <w:rsid w:val="003F7DD3"/>
    <w:rsid w:val="00426202"/>
    <w:rsid w:val="00444A88"/>
    <w:rsid w:val="00474DA4"/>
    <w:rsid w:val="00476B4D"/>
    <w:rsid w:val="004805FA"/>
    <w:rsid w:val="004B11D6"/>
    <w:rsid w:val="004D047D"/>
    <w:rsid w:val="004D2C55"/>
    <w:rsid w:val="004F305A"/>
    <w:rsid w:val="00512164"/>
    <w:rsid w:val="00520297"/>
    <w:rsid w:val="005338F9"/>
    <w:rsid w:val="0054281C"/>
    <w:rsid w:val="0055268D"/>
    <w:rsid w:val="005534AA"/>
    <w:rsid w:val="00576BE4"/>
    <w:rsid w:val="005903D2"/>
    <w:rsid w:val="005A400A"/>
    <w:rsid w:val="00612379"/>
    <w:rsid w:val="0061555F"/>
    <w:rsid w:val="00641200"/>
    <w:rsid w:val="0065798C"/>
    <w:rsid w:val="006655D3"/>
    <w:rsid w:val="00667404"/>
    <w:rsid w:val="00687EB4"/>
    <w:rsid w:val="006B17D2"/>
    <w:rsid w:val="006B31EB"/>
    <w:rsid w:val="006B41E0"/>
    <w:rsid w:val="006C224E"/>
    <w:rsid w:val="006D780A"/>
    <w:rsid w:val="006F062E"/>
    <w:rsid w:val="00722B0E"/>
    <w:rsid w:val="00732DEC"/>
    <w:rsid w:val="00735BD5"/>
    <w:rsid w:val="007556F6"/>
    <w:rsid w:val="00760EEF"/>
    <w:rsid w:val="00771F57"/>
    <w:rsid w:val="00777EE5"/>
    <w:rsid w:val="00784836"/>
    <w:rsid w:val="0079023E"/>
    <w:rsid w:val="00795D76"/>
    <w:rsid w:val="007A2854"/>
    <w:rsid w:val="007D0B9D"/>
    <w:rsid w:val="007D0FE0"/>
    <w:rsid w:val="007D19B0"/>
    <w:rsid w:val="007E2FF6"/>
    <w:rsid w:val="007F498F"/>
    <w:rsid w:val="007F4DEF"/>
    <w:rsid w:val="0080679D"/>
    <w:rsid w:val="008108B0"/>
    <w:rsid w:val="00811B20"/>
    <w:rsid w:val="00812B3F"/>
    <w:rsid w:val="0082296E"/>
    <w:rsid w:val="00824099"/>
    <w:rsid w:val="00852338"/>
    <w:rsid w:val="00867AC1"/>
    <w:rsid w:val="00896EEC"/>
    <w:rsid w:val="008A743F"/>
    <w:rsid w:val="008C0970"/>
    <w:rsid w:val="008D1D4E"/>
    <w:rsid w:val="008D2CF7"/>
    <w:rsid w:val="008E10C4"/>
    <w:rsid w:val="008E4ED5"/>
    <w:rsid w:val="008F679D"/>
    <w:rsid w:val="00900C26"/>
    <w:rsid w:val="0090197F"/>
    <w:rsid w:val="00906DDC"/>
    <w:rsid w:val="0091666C"/>
    <w:rsid w:val="00934E09"/>
    <w:rsid w:val="00936253"/>
    <w:rsid w:val="009528D8"/>
    <w:rsid w:val="00952DD4"/>
    <w:rsid w:val="00970FED"/>
    <w:rsid w:val="00992D82"/>
    <w:rsid w:val="00997029"/>
    <w:rsid w:val="009D690D"/>
    <w:rsid w:val="009E4DD1"/>
    <w:rsid w:val="009E65B6"/>
    <w:rsid w:val="009E7957"/>
    <w:rsid w:val="00A24C10"/>
    <w:rsid w:val="00A37B52"/>
    <w:rsid w:val="00A42AC3"/>
    <w:rsid w:val="00A430CF"/>
    <w:rsid w:val="00A52AD8"/>
    <w:rsid w:val="00A5311D"/>
    <w:rsid w:val="00A54309"/>
    <w:rsid w:val="00A871FA"/>
    <w:rsid w:val="00AB2B93"/>
    <w:rsid w:val="00AB530F"/>
    <w:rsid w:val="00AB7E5B"/>
    <w:rsid w:val="00AE0EF1"/>
    <w:rsid w:val="00AE2937"/>
    <w:rsid w:val="00AE31A7"/>
    <w:rsid w:val="00AE750D"/>
    <w:rsid w:val="00B0552B"/>
    <w:rsid w:val="00B07301"/>
    <w:rsid w:val="00B220DD"/>
    <w:rsid w:val="00B224DE"/>
    <w:rsid w:val="00B46575"/>
    <w:rsid w:val="00B84BBD"/>
    <w:rsid w:val="00BA43FB"/>
    <w:rsid w:val="00BB7289"/>
    <w:rsid w:val="00BC127D"/>
    <w:rsid w:val="00BC1FE6"/>
    <w:rsid w:val="00BF5590"/>
    <w:rsid w:val="00C061B6"/>
    <w:rsid w:val="00C2446C"/>
    <w:rsid w:val="00C26B84"/>
    <w:rsid w:val="00C36AE5"/>
    <w:rsid w:val="00C41F17"/>
    <w:rsid w:val="00C5280D"/>
    <w:rsid w:val="00C5791C"/>
    <w:rsid w:val="00C66290"/>
    <w:rsid w:val="00C70477"/>
    <w:rsid w:val="00C72B7A"/>
    <w:rsid w:val="00C73665"/>
    <w:rsid w:val="00C973F2"/>
    <w:rsid w:val="00CA304C"/>
    <w:rsid w:val="00CA774A"/>
    <w:rsid w:val="00CC11B0"/>
    <w:rsid w:val="00CE4A2B"/>
    <w:rsid w:val="00CF7E36"/>
    <w:rsid w:val="00D12A11"/>
    <w:rsid w:val="00D3708D"/>
    <w:rsid w:val="00D40426"/>
    <w:rsid w:val="00D57C96"/>
    <w:rsid w:val="00D8632E"/>
    <w:rsid w:val="00D91203"/>
    <w:rsid w:val="00D95174"/>
    <w:rsid w:val="00D95B18"/>
    <w:rsid w:val="00DA6F36"/>
    <w:rsid w:val="00DB596E"/>
    <w:rsid w:val="00DB7773"/>
    <w:rsid w:val="00DC00EA"/>
    <w:rsid w:val="00DC1A5A"/>
    <w:rsid w:val="00E11A88"/>
    <w:rsid w:val="00E32F7E"/>
    <w:rsid w:val="00E461F1"/>
    <w:rsid w:val="00E56508"/>
    <w:rsid w:val="00E72D49"/>
    <w:rsid w:val="00E7593C"/>
    <w:rsid w:val="00E7678A"/>
    <w:rsid w:val="00E935F1"/>
    <w:rsid w:val="00E94A81"/>
    <w:rsid w:val="00EA1FFB"/>
    <w:rsid w:val="00EB048E"/>
    <w:rsid w:val="00EE34DF"/>
    <w:rsid w:val="00EF2C67"/>
    <w:rsid w:val="00EF2F89"/>
    <w:rsid w:val="00F1237A"/>
    <w:rsid w:val="00F22CBD"/>
    <w:rsid w:val="00F45372"/>
    <w:rsid w:val="00F55A3A"/>
    <w:rsid w:val="00F560F7"/>
    <w:rsid w:val="00F6334D"/>
    <w:rsid w:val="00F97632"/>
    <w:rsid w:val="00FA49AB"/>
    <w:rsid w:val="00FB2E3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AAFB-EF16-42B8-B911-EF050604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32</TotalTime>
  <Pages>7</Pages>
  <Words>3385</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15</cp:revision>
  <cp:lastPrinted>2014-05-20T14:32:00Z</cp:lastPrinted>
  <dcterms:created xsi:type="dcterms:W3CDTF">2014-05-06T15:01:00Z</dcterms:created>
  <dcterms:modified xsi:type="dcterms:W3CDTF">2014-05-20T14:32:00Z</dcterms:modified>
</cp:coreProperties>
</file>