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17A43" w:rsidTr="0018780B">
        <w:trPr>
          <w:trHeight w:val="1760"/>
        </w:trPr>
        <w:tc>
          <w:tcPr>
            <w:tcW w:w="4243" w:type="dxa"/>
          </w:tcPr>
          <w:p w:rsidR="000D7780" w:rsidRPr="00217A43" w:rsidRDefault="000D7780" w:rsidP="006655D3"/>
        </w:tc>
        <w:tc>
          <w:tcPr>
            <w:tcW w:w="1646" w:type="dxa"/>
            <w:vAlign w:val="center"/>
          </w:tcPr>
          <w:p w:rsidR="000D7780" w:rsidRPr="00217A43" w:rsidRDefault="00D95650" w:rsidP="006655D3">
            <w:pPr>
              <w:pStyle w:val="LogoUPOV"/>
            </w:pPr>
            <w:r w:rsidRPr="00217A43">
              <w:rPr>
                <w:noProof/>
              </w:rPr>
              <w:drawing>
                <wp:inline distT="0" distB="0" distL="0" distR="0" wp14:anchorId="3C1CA64D" wp14:editId="3224A17A">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217A43" w:rsidRDefault="0024416D" w:rsidP="006655D3">
            <w:pPr>
              <w:pStyle w:val="Lettrine"/>
            </w:pPr>
            <w:r w:rsidRPr="00217A43">
              <w:t>E</w:t>
            </w:r>
          </w:p>
          <w:p w:rsidR="000D7780" w:rsidRPr="00217A43" w:rsidRDefault="00667404" w:rsidP="006655D3">
            <w:pPr>
              <w:pStyle w:val="Docoriginal"/>
            </w:pPr>
            <w:r w:rsidRPr="00217A43">
              <w:t>T</w:t>
            </w:r>
            <w:r w:rsidR="0018780B" w:rsidRPr="00217A43">
              <w:t>W</w:t>
            </w:r>
            <w:r w:rsidR="005556B1">
              <w:t>F</w:t>
            </w:r>
            <w:r w:rsidRPr="00217A43">
              <w:t>/4</w:t>
            </w:r>
            <w:r w:rsidR="005556B1">
              <w:t>5</w:t>
            </w:r>
            <w:r w:rsidRPr="00217A43">
              <w:t>/</w:t>
            </w:r>
            <w:bookmarkStart w:id="0" w:name="Code"/>
            <w:bookmarkEnd w:id="0"/>
            <w:r w:rsidR="004330FE" w:rsidRPr="00217A43">
              <w:t>1</w:t>
            </w:r>
            <w:r w:rsidR="00C4434D">
              <w:t>0</w:t>
            </w:r>
          </w:p>
          <w:p w:rsidR="000D7780" w:rsidRPr="00217A43" w:rsidRDefault="0061555F" w:rsidP="006655D3">
            <w:pPr>
              <w:pStyle w:val="Docoriginal"/>
              <w:rPr>
                <w:b w:val="0"/>
                <w:spacing w:val="0"/>
              </w:rPr>
            </w:pPr>
            <w:r w:rsidRPr="00217A43">
              <w:rPr>
                <w:rStyle w:val="StyleDoclangBold"/>
                <w:b/>
                <w:bCs/>
                <w:spacing w:val="0"/>
              </w:rPr>
              <w:t>ORIGINAL</w:t>
            </w:r>
            <w:r w:rsidR="000D7780" w:rsidRPr="00217A43">
              <w:rPr>
                <w:rStyle w:val="StyleDoclangBold"/>
                <w:b/>
                <w:bCs/>
                <w:spacing w:val="0"/>
              </w:rPr>
              <w:t>:</w:t>
            </w:r>
            <w:r w:rsidRPr="00217A43">
              <w:rPr>
                <w:rStyle w:val="StyleDocoriginalNotBold1"/>
                <w:spacing w:val="0"/>
              </w:rPr>
              <w:t xml:space="preserve"> </w:t>
            </w:r>
            <w:bookmarkStart w:id="1" w:name="Original"/>
            <w:bookmarkEnd w:id="1"/>
            <w:r w:rsidR="00876C58" w:rsidRPr="00217A43">
              <w:rPr>
                <w:rStyle w:val="StyleDocoriginalNotBold1"/>
                <w:spacing w:val="0"/>
              </w:rPr>
              <w:t xml:space="preserve"> </w:t>
            </w:r>
            <w:r w:rsidR="0024416D" w:rsidRPr="00217A43">
              <w:rPr>
                <w:b w:val="0"/>
                <w:spacing w:val="0"/>
              </w:rPr>
              <w:t>English</w:t>
            </w:r>
          </w:p>
          <w:p w:rsidR="000D7780" w:rsidRPr="00217A43" w:rsidRDefault="000D7780" w:rsidP="00680EFA">
            <w:pPr>
              <w:pStyle w:val="Docoriginal"/>
            </w:pPr>
            <w:r w:rsidRPr="00217A43">
              <w:rPr>
                <w:spacing w:val="0"/>
              </w:rPr>
              <w:t>DATE</w:t>
            </w:r>
            <w:r w:rsidRPr="00581B6E">
              <w:rPr>
                <w:spacing w:val="0"/>
              </w:rPr>
              <w:t>:</w:t>
            </w:r>
            <w:r w:rsidRPr="00581B6E">
              <w:rPr>
                <w:rStyle w:val="StyleDocoriginalNotBold1"/>
                <w:spacing w:val="0"/>
              </w:rPr>
              <w:t xml:space="preserve"> </w:t>
            </w:r>
            <w:bookmarkStart w:id="2" w:name="Date"/>
            <w:bookmarkEnd w:id="2"/>
            <w:r w:rsidR="00876C58" w:rsidRPr="00581B6E">
              <w:rPr>
                <w:rStyle w:val="StyleDocoriginalNotBold1"/>
                <w:spacing w:val="0"/>
              </w:rPr>
              <w:t xml:space="preserve"> </w:t>
            </w:r>
            <w:r w:rsidR="00C4434D" w:rsidRPr="00680EFA">
              <w:rPr>
                <w:rStyle w:val="StyleDocoriginalNotBold1"/>
                <w:spacing w:val="0"/>
              </w:rPr>
              <w:t>May</w:t>
            </w:r>
            <w:r w:rsidR="00510AAB" w:rsidRPr="00680EFA">
              <w:rPr>
                <w:rStyle w:val="StyleDocoriginalNotBold1"/>
                <w:spacing w:val="0"/>
              </w:rPr>
              <w:t xml:space="preserve"> </w:t>
            </w:r>
            <w:r w:rsidR="00581B6E" w:rsidRPr="00680EFA">
              <w:rPr>
                <w:rStyle w:val="StyleDocoriginalNotBold1"/>
                <w:spacing w:val="0"/>
              </w:rPr>
              <w:t>1</w:t>
            </w:r>
            <w:r w:rsidR="00680EFA" w:rsidRPr="00680EFA">
              <w:rPr>
                <w:rStyle w:val="StyleDocoriginalNotBold1"/>
                <w:spacing w:val="0"/>
              </w:rPr>
              <w:t>9</w:t>
            </w:r>
            <w:r w:rsidR="00510AAB" w:rsidRPr="00680EFA">
              <w:rPr>
                <w:rStyle w:val="StyleDocoriginalNotBold1"/>
                <w:spacing w:val="0"/>
              </w:rPr>
              <w:t>, 2014</w:t>
            </w:r>
            <w:bookmarkStart w:id="3" w:name="_GoBack"/>
            <w:bookmarkEnd w:id="3"/>
          </w:p>
        </w:tc>
      </w:tr>
      <w:tr w:rsidR="000D7780" w:rsidRPr="00217A43" w:rsidTr="0018780B">
        <w:tc>
          <w:tcPr>
            <w:tcW w:w="10131" w:type="dxa"/>
            <w:gridSpan w:val="3"/>
          </w:tcPr>
          <w:p w:rsidR="000D7780" w:rsidRPr="00217A43" w:rsidRDefault="0024416D" w:rsidP="006655D3">
            <w:pPr>
              <w:pStyle w:val="upove"/>
              <w:rPr>
                <w:sz w:val="28"/>
              </w:rPr>
            </w:pPr>
            <w:r w:rsidRPr="00217A43">
              <w:rPr>
                <w:snapToGrid w:val="0"/>
              </w:rPr>
              <w:t xml:space="preserve">INTERNATIONAL UNION FOR THE PROTECTION OF NEW VARIETIES OF PLANTS </w:t>
            </w:r>
          </w:p>
        </w:tc>
      </w:tr>
      <w:tr w:rsidR="000D7780" w:rsidRPr="00217A43" w:rsidTr="0018780B">
        <w:tc>
          <w:tcPr>
            <w:tcW w:w="10131" w:type="dxa"/>
            <w:gridSpan w:val="3"/>
          </w:tcPr>
          <w:p w:rsidR="000D7780" w:rsidRPr="00217A43" w:rsidRDefault="00867AC1" w:rsidP="006655D3">
            <w:pPr>
              <w:pStyle w:val="Country"/>
            </w:pPr>
            <w:r w:rsidRPr="00217A43">
              <w:t>Gen</w:t>
            </w:r>
            <w:r w:rsidR="0061555F" w:rsidRPr="00217A43">
              <w:t>e</w:t>
            </w:r>
            <w:r w:rsidRPr="00217A43">
              <w:t>v</w:t>
            </w:r>
            <w:r w:rsidR="0061555F" w:rsidRPr="00217A43">
              <w:t>a</w:t>
            </w:r>
          </w:p>
        </w:tc>
      </w:tr>
    </w:tbl>
    <w:p w:rsidR="0018780B" w:rsidRPr="00217A43" w:rsidRDefault="005556B1" w:rsidP="0018780B">
      <w:pPr>
        <w:pStyle w:val="Sessiontc"/>
      </w:pPr>
      <w:r>
        <w:t>Technical working party for FRUIT CROPS</w:t>
      </w:r>
    </w:p>
    <w:p w:rsidR="0018780B" w:rsidRPr="00217A43" w:rsidRDefault="005556B1" w:rsidP="0018780B">
      <w:pPr>
        <w:pStyle w:val="Sessiontcplacedate"/>
      </w:pPr>
      <w:r w:rsidRPr="00C5280D">
        <w:t>Forty-</w:t>
      </w:r>
      <w:r>
        <w:t>Fifth</w:t>
      </w:r>
      <w:r w:rsidRPr="00C5280D">
        <w:t xml:space="preserve"> Session</w:t>
      </w:r>
      <w:r w:rsidR="00361821" w:rsidRPr="00217A43">
        <w:br/>
      </w:r>
      <w:r>
        <w:rPr>
          <w:rFonts w:cs="Arial"/>
        </w:rPr>
        <w:t>Marrakesh</w:t>
      </w:r>
      <w:r w:rsidRPr="00CC587F">
        <w:rPr>
          <w:rFonts w:cs="Arial"/>
        </w:rPr>
        <w:t xml:space="preserve">, </w:t>
      </w:r>
      <w:r>
        <w:rPr>
          <w:rFonts w:cs="Arial"/>
        </w:rPr>
        <w:t>Morocco</w:t>
      </w:r>
      <w:r w:rsidRPr="00C5280D">
        <w:t>,</w:t>
      </w:r>
      <w:r>
        <w:t xml:space="preserve"> May 26 to 30, 2014</w:t>
      </w:r>
    </w:p>
    <w:p w:rsidR="008065D2" w:rsidRPr="00217A43" w:rsidRDefault="00A81F0F" w:rsidP="008065D2">
      <w:pPr>
        <w:pStyle w:val="Titleofdoc0"/>
      </w:pPr>
      <w:bookmarkStart w:id="4" w:name="TitleOfDoc"/>
      <w:bookmarkEnd w:id="4"/>
      <w:r>
        <w:t>GUIDANCE for Drafters of Test Guidelines</w:t>
      </w:r>
    </w:p>
    <w:p w:rsidR="008065D2" w:rsidRPr="00217A43" w:rsidRDefault="008065D2" w:rsidP="008065D2">
      <w:pPr>
        <w:pStyle w:val="preparedby1"/>
      </w:pPr>
      <w:bookmarkStart w:id="5" w:name="Prepared"/>
      <w:bookmarkEnd w:id="5"/>
      <w:r w:rsidRPr="00217A43">
        <w:t>Document prepared by the Office of the Union</w:t>
      </w:r>
      <w:r w:rsidR="002444C2">
        <w:t xml:space="preserve">   </w:t>
      </w:r>
      <w:r w:rsidRPr="00217A43">
        <w:br/>
      </w:r>
      <w:r w:rsidRPr="00217A43">
        <w:br/>
      </w:r>
      <w:r w:rsidRPr="00217A43">
        <w:rPr>
          <w:color w:val="A6A6A6" w:themeColor="background1" w:themeShade="A6"/>
        </w:rPr>
        <w:t>Disclaimer:  this document does not represent UPOV policies or guidance</w:t>
      </w:r>
    </w:p>
    <w:p w:rsidR="00A81F0F" w:rsidRDefault="002E0512" w:rsidP="00A81F0F">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A81F0F" w:rsidRPr="007A57C3">
        <w:rPr>
          <w:snapToGrid w:val="0"/>
        </w:rPr>
        <w:t xml:space="preserve">The purpose of this document is to report on </w:t>
      </w:r>
      <w:r w:rsidR="007A57C3" w:rsidRPr="007A57C3">
        <w:rPr>
          <w:snapToGrid w:val="0"/>
        </w:rPr>
        <w:t xml:space="preserve">guidance for drafters of Test Guidelines and on </w:t>
      </w:r>
      <w:r w:rsidR="00A81F0F" w:rsidRPr="007A57C3">
        <w:rPr>
          <w:snapToGrid w:val="0"/>
        </w:rPr>
        <w:t>the development of a web-based TG Template</w:t>
      </w:r>
      <w:r w:rsidR="007A57C3" w:rsidRPr="007A57C3">
        <w:rPr>
          <w:snapToGrid w:val="0"/>
        </w:rPr>
        <w:t xml:space="preserve"> for the development of Test Guidelines</w:t>
      </w:r>
      <w:r w:rsidR="00A81F0F" w:rsidRPr="007A57C3">
        <w:rPr>
          <w:snapToGrid w:val="0"/>
        </w:rPr>
        <w:t>.</w:t>
      </w:r>
    </w:p>
    <w:p w:rsidR="00A81F0F" w:rsidRPr="00C5280D" w:rsidRDefault="00A81F0F" w:rsidP="00A81F0F">
      <w:pPr>
        <w:rPr>
          <w:snapToGrid w:val="0"/>
        </w:rPr>
      </w:pPr>
    </w:p>
    <w:p w:rsidR="00A81F0F" w:rsidRDefault="00A81F0F" w:rsidP="00A81F0F">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A81F0F" w:rsidRDefault="00A81F0F" w:rsidP="00A81F0F">
      <w:pPr>
        <w:rPr>
          <w:rFonts w:cs="Arial"/>
          <w:color w:val="000000"/>
        </w:rPr>
      </w:pPr>
    </w:p>
    <w:p w:rsidR="00A81F0F" w:rsidRPr="00322838" w:rsidRDefault="00A81F0F" w:rsidP="00A81F0F">
      <w:pPr>
        <w:rPr>
          <w:rFonts w:cs="Arial"/>
        </w:rPr>
      </w:pPr>
      <w:r w:rsidRPr="00322838">
        <w:rPr>
          <w:rFonts w:cs="Arial"/>
        </w:rPr>
        <w:tab/>
        <w:t>TC:</w:t>
      </w:r>
      <w:r w:rsidRPr="00322838">
        <w:rPr>
          <w:rFonts w:cs="Arial"/>
        </w:rPr>
        <w:tab/>
      </w:r>
      <w:r w:rsidRPr="00322838">
        <w:rPr>
          <w:rFonts w:cs="Arial"/>
        </w:rPr>
        <w:tab/>
        <w:t>Technical Committee</w:t>
      </w:r>
    </w:p>
    <w:p w:rsidR="00A81F0F" w:rsidRPr="00322838" w:rsidRDefault="00A81F0F" w:rsidP="00A81F0F">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A81F0F" w:rsidRPr="00322838" w:rsidRDefault="00A81F0F" w:rsidP="00A81F0F">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A81F0F" w:rsidRPr="00322838" w:rsidRDefault="00A81F0F" w:rsidP="00A81F0F">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A81F0F" w:rsidRPr="00322838" w:rsidRDefault="00A81F0F" w:rsidP="00A81F0F">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A81F0F" w:rsidRPr="00322838" w:rsidRDefault="00A81F0F" w:rsidP="00A81F0F">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A81F0F" w:rsidRPr="00322838" w:rsidRDefault="00A81F0F" w:rsidP="00A81F0F">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A81F0F" w:rsidRPr="00FF5F20" w:rsidRDefault="00A81F0F" w:rsidP="00A81F0F">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A81F0F" w:rsidRDefault="00A81F0F" w:rsidP="00A81F0F">
      <w:pPr>
        <w:autoSpaceDE w:val="0"/>
        <w:autoSpaceDN w:val="0"/>
        <w:adjustRightInd w:val="0"/>
      </w:pPr>
    </w:p>
    <w:p w:rsidR="00A81F0F" w:rsidRDefault="00A81F0F" w:rsidP="00A81F0F">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A81F0F" w:rsidRPr="00A70561" w:rsidRDefault="00A81F0F" w:rsidP="00A81F0F">
      <w:pPr>
        <w:autoSpaceDE w:val="0"/>
        <w:autoSpaceDN w:val="0"/>
        <w:adjustRightInd w:val="0"/>
        <w:rPr>
          <w:rFonts w:eastAsia="MS Mincho"/>
          <w:color w:val="000000"/>
          <w:szCs w:val="16"/>
          <w:lang w:eastAsia="ja-JP"/>
        </w:rPr>
      </w:pPr>
    </w:p>
    <w:p w:rsidR="00830240" w:rsidRDefault="007A57C3">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387684639" w:history="1">
        <w:r w:rsidR="00830240" w:rsidRPr="00B4207E">
          <w:rPr>
            <w:rStyle w:val="Hyperlink"/>
          </w:rPr>
          <w:t>Consideration by the TWPs in 2013</w:t>
        </w:r>
        <w:r w:rsidR="00830240">
          <w:rPr>
            <w:webHidden/>
          </w:rPr>
          <w:tab/>
        </w:r>
        <w:r w:rsidR="00830240">
          <w:rPr>
            <w:webHidden/>
          </w:rPr>
          <w:fldChar w:fldCharType="begin"/>
        </w:r>
        <w:r w:rsidR="00830240">
          <w:rPr>
            <w:webHidden/>
          </w:rPr>
          <w:instrText xml:space="preserve"> PAGEREF _Toc387684639 \h </w:instrText>
        </w:r>
        <w:r w:rsidR="00830240">
          <w:rPr>
            <w:webHidden/>
          </w:rPr>
        </w:r>
        <w:r w:rsidR="00830240">
          <w:rPr>
            <w:webHidden/>
          </w:rPr>
          <w:fldChar w:fldCharType="separate"/>
        </w:r>
        <w:r w:rsidR="00DC3EB5">
          <w:rPr>
            <w:webHidden/>
          </w:rPr>
          <w:t>1</w:t>
        </w:r>
        <w:r w:rsidR="00830240">
          <w:rPr>
            <w:webHidden/>
          </w:rPr>
          <w:fldChar w:fldCharType="end"/>
        </w:r>
      </w:hyperlink>
    </w:p>
    <w:p w:rsidR="00830240" w:rsidRPr="00830240" w:rsidRDefault="00830240" w:rsidP="00830240">
      <w:pPr>
        <w:rPr>
          <w:rFonts w:eastAsiaTheme="minorEastAsia"/>
          <w:noProof/>
        </w:rPr>
      </w:pPr>
    </w:p>
    <w:p w:rsidR="00830240" w:rsidRDefault="00DC3EB5">
      <w:pPr>
        <w:pStyle w:val="TOC1"/>
        <w:rPr>
          <w:rFonts w:asciiTheme="minorHAnsi" w:eastAsiaTheme="minorEastAsia" w:hAnsiTheme="minorHAnsi" w:cstheme="minorBidi"/>
          <w:caps w:val="0"/>
          <w:sz w:val="22"/>
          <w:szCs w:val="22"/>
        </w:rPr>
      </w:pPr>
      <w:hyperlink w:anchor="_Toc387684640" w:history="1">
        <w:r w:rsidR="00830240" w:rsidRPr="00B4207E">
          <w:rPr>
            <w:rStyle w:val="Hyperlink"/>
          </w:rPr>
          <w:t>consideration by the TC in 2014</w:t>
        </w:r>
        <w:r w:rsidR="00830240">
          <w:rPr>
            <w:webHidden/>
          </w:rPr>
          <w:tab/>
        </w:r>
        <w:r w:rsidR="00830240">
          <w:rPr>
            <w:webHidden/>
          </w:rPr>
          <w:fldChar w:fldCharType="begin"/>
        </w:r>
        <w:r w:rsidR="00830240">
          <w:rPr>
            <w:webHidden/>
          </w:rPr>
          <w:instrText xml:space="preserve"> PAGEREF _Toc387684640 \h </w:instrText>
        </w:r>
        <w:r w:rsidR="00830240">
          <w:rPr>
            <w:webHidden/>
          </w:rPr>
        </w:r>
        <w:r w:rsidR="00830240">
          <w:rPr>
            <w:webHidden/>
          </w:rPr>
          <w:fldChar w:fldCharType="separate"/>
        </w:r>
        <w:r>
          <w:rPr>
            <w:webHidden/>
          </w:rPr>
          <w:t>2</w:t>
        </w:r>
        <w:r w:rsidR="00830240">
          <w:rPr>
            <w:webHidden/>
          </w:rPr>
          <w:fldChar w:fldCharType="end"/>
        </w:r>
      </w:hyperlink>
    </w:p>
    <w:p w:rsidR="00830240" w:rsidRDefault="00DC3EB5">
      <w:pPr>
        <w:pStyle w:val="TOC3"/>
        <w:rPr>
          <w:rStyle w:val="Hyperlink"/>
        </w:rPr>
      </w:pPr>
      <w:hyperlink w:anchor="_Toc387684641" w:history="1">
        <w:r w:rsidR="00830240" w:rsidRPr="00B4207E">
          <w:rPr>
            <w:rStyle w:val="Hyperlink"/>
          </w:rPr>
          <w:t>“Features of the web-based TG Template</w:t>
        </w:r>
        <w:r w:rsidR="00830240">
          <w:rPr>
            <w:webHidden/>
          </w:rPr>
          <w:tab/>
        </w:r>
        <w:r w:rsidR="00830240">
          <w:rPr>
            <w:webHidden/>
          </w:rPr>
          <w:fldChar w:fldCharType="begin"/>
        </w:r>
        <w:r w:rsidR="00830240">
          <w:rPr>
            <w:webHidden/>
          </w:rPr>
          <w:instrText xml:space="preserve"> PAGEREF _Toc387684641 \h </w:instrText>
        </w:r>
        <w:r w:rsidR="00830240">
          <w:rPr>
            <w:webHidden/>
          </w:rPr>
        </w:r>
        <w:r w:rsidR="00830240">
          <w:rPr>
            <w:webHidden/>
          </w:rPr>
          <w:fldChar w:fldCharType="separate"/>
        </w:r>
        <w:r>
          <w:rPr>
            <w:webHidden/>
          </w:rPr>
          <w:t>2</w:t>
        </w:r>
        <w:r w:rsidR="00830240">
          <w:rPr>
            <w:webHidden/>
          </w:rPr>
          <w:fldChar w:fldCharType="end"/>
        </w:r>
      </w:hyperlink>
    </w:p>
    <w:p w:rsidR="00830240" w:rsidRPr="00830240" w:rsidRDefault="00830240" w:rsidP="00830240">
      <w:pPr>
        <w:rPr>
          <w:rFonts w:eastAsiaTheme="minorEastAsia"/>
          <w:noProof/>
          <w:lang w:val="fr-FR"/>
        </w:rPr>
      </w:pPr>
    </w:p>
    <w:p w:rsidR="00A81F0F" w:rsidRDefault="007A57C3" w:rsidP="00F966A9">
      <w:pPr>
        <w:tabs>
          <w:tab w:val="left" w:pos="1276"/>
        </w:tabs>
        <w:ind w:left="1276" w:hanging="1276"/>
        <w:rPr>
          <w:noProof/>
          <w:snapToGrid w:val="0"/>
        </w:rPr>
      </w:pPr>
      <w:r>
        <w:rPr>
          <w:noProof/>
          <w:snapToGrid w:val="0"/>
        </w:rPr>
        <w:fldChar w:fldCharType="end"/>
      </w:r>
      <w:r w:rsidR="00091965">
        <w:rPr>
          <w:noProof/>
          <w:snapToGrid w:val="0"/>
        </w:rPr>
        <w:t>ANNEX</w:t>
      </w:r>
      <w:r w:rsidR="00A81F0F">
        <w:rPr>
          <w:noProof/>
          <w:snapToGrid w:val="0"/>
        </w:rPr>
        <w:tab/>
      </w:r>
      <w:r w:rsidR="00091965">
        <w:rPr>
          <w:noProof/>
          <w:snapToGrid w:val="0"/>
        </w:rPr>
        <w:t>Presentation: “Web-Based TG Template”</w:t>
      </w:r>
    </w:p>
    <w:p w:rsidR="00A81F0F" w:rsidRDefault="00A81F0F" w:rsidP="00A81F0F">
      <w:pPr>
        <w:tabs>
          <w:tab w:val="left" w:pos="1710"/>
        </w:tabs>
        <w:rPr>
          <w:caps/>
          <w:noProof/>
          <w:snapToGrid w:val="0"/>
        </w:rPr>
      </w:pPr>
    </w:p>
    <w:p w:rsidR="00B044D2" w:rsidRPr="00D931CB" w:rsidRDefault="00B044D2" w:rsidP="00C4434D">
      <w:pPr>
        <w:autoSpaceDE w:val="0"/>
        <w:autoSpaceDN w:val="0"/>
        <w:adjustRightInd w:val="0"/>
        <w:rPr>
          <w:rFonts w:cs="Arial"/>
          <w:sz w:val="18"/>
        </w:rPr>
      </w:pPr>
    </w:p>
    <w:p w:rsidR="00686A63" w:rsidRDefault="00686A63" w:rsidP="00F57438">
      <w:pPr>
        <w:pStyle w:val="Heading1"/>
      </w:pPr>
    </w:p>
    <w:p w:rsidR="00E4324B" w:rsidRDefault="00F57438" w:rsidP="00F57438">
      <w:pPr>
        <w:pStyle w:val="Heading1"/>
      </w:pPr>
      <w:bookmarkStart w:id="6" w:name="_Toc387249871"/>
      <w:bookmarkStart w:id="7" w:name="_Toc387250255"/>
      <w:bookmarkStart w:id="8" w:name="_Toc387684639"/>
      <w:r>
        <w:t>C</w:t>
      </w:r>
      <w:r w:rsidR="00381323">
        <w:t>onsideration</w:t>
      </w:r>
      <w:r w:rsidR="00E4324B">
        <w:t xml:space="preserve"> by the TWPs in 2013</w:t>
      </w:r>
      <w:bookmarkEnd w:id="6"/>
      <w:bookmarkEnd w:id="7"/>
      <w:bookmarkEnd w:id="8"/>
    </w:p>
    <w:p w:rsidR="00E4324B" w:rsidRDefault="00E4324B" w:rsidP="00686A63"/>
    <w:p w:rsidR="00686A63" w:rsidRDefault="00686A63" w:rsidP="00686A63">
      <w:r w:rsidRPr="003C38D5">
        <w:fldChar w:fldCharType="begin"/>
      </w:r>
      <w:r w:rsidRPr="003C38D5">
        <w:instrText xml:space="preserve"> AUTONUM  </w:instrText>
      </w:r>
      <w:r w:rsidRPr="003C38D5">
        <w:fldChar w:fldCharType="end"/>
      </w:r>
      <w:r w:rsidRPr="003C38D5">
        <w:tab/>
        <w:t xml:space="preserve">At their sessions in 2013, the </w:t>
      </w:r>
      <w:r>
        <w:t>TWPs</w:t>
      </w:r>
      <w:r w:rsidRPr="003C38D5">
        <w:t xml:space="preserve"> noted the information provided in the</w:t>
      </w:r>
      <w:r w:rsidRPr="00143E49">
        <w:rPr>
          <w:rFonts w:cs="Arial"/>
        </w:rPr>
        <w:t xml:space="preserve"> TG</w:t>
      </w:r>
      <w:r>
        <w:rPr>
          <w:rFonts w:cs="Arial"/>
        </w:rPr>
        <w:t> </w:t>
      </w:r>
      <w:r w:rsidRPr="00143E49">
        <w:rPr>
          <w:rFonts w:cs="Arial"/>
        </w:rPr>
        <w:t>Drafters’ webpage of the UPOV website, including the Revised Practical Guide for Drafters (Leading Experts) of UPOV Test Guidelines</w:t>
      </w:r>
      <w:r>
        <w:rPr>
          <w:rFonts w:cs="Arial"/>
        </w:rPr>
        <w:t xml:space="preserve">, and </w:t>
      </w:r>
      <w:r w:rsidRPr="00462D28">
        <w:rPr>
          <w:snapToGrid w:val="0"/>
        </w:rPr>
        <w:t>the file “Summary information on quantity of plant material required on adopted Test Guidelines” available on the TG Drafters’ webpage of the UPOV website</w:t>
      </w:r>
      <w:r w:rsidRPr="000D2BFB">
        <w:rPr>
          <w:rFonts w:cs="Arial"/>
          <w:szCs w:val="24"/>
        </w:rPr>
        <w:t xml:space="preserve"> (see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aragraphs</w:t>
      </w:r>
      <w:r w:rsidR="00F57438">
        <w:rPr>
          <w:rFonts w:eastAsia="PMingLiU" w:cs="Arial"/>
          <w:szCs w:val="24"/>
        </w:rPr>
        <w:t xml:space="preserve"> 86 and 89, document TWF/44/31 “</w:t>
      </w:r>
      <w:r>
        <w:rPr>
          <w:rFonts w:eastAsia="PMingLiU" w:cs="Arial"/>
          <w:szCs w:val="24"/>
        </w:rPr>
        <w:t xml:space="preserve">Report”, paragraphs 84 and 87, </w:t>
      </w:r>
      <w:r w:rsidRPr="000D2BFB">
        <w:rPr>
          <w:rFonts w:eastAsia="PMingLiU" w:cs="Arial"/>
          <w:szCs w:val="24"/>
        </w:rPr>
        <w:t>document</w:t>
      </w:r>
      <w:r>
        <w:t> TWV/47/34 “Report”, paragraphs 98 and</w:t>
      </w:r>
      <w:r w:rsidRPr="00BB61B0">
        <w:rPr>
          <w:rFonts w:eastAsia="PMingLiU" w:cs="Arial"/>
          <w:szCs w:val="24"/>
        </w:rPr>
        <w:t xml:space="preserve"> </w:t>
      </w:r>
      <w:r>
        <w:rPr>
          <w:rFonts w:eastAsia="PMingLiU" w:cs="Arial"/>
          <w:szCs w:val="24"/>
        </w:rPr>
        <w:t xml:space="preserve">102, </w:t>
      </w:r>
      <w:r w:rsidRPr="000D2BFB">
        <w:rPr>
          <w:rFonts w:eastAsia="PMingLiU" w:cs="Arial"/>
          <w:szCs w:val="24"/>
        </w:rPr>
        <w:t>document</w:t>
      </w:r>
      <w:r>
        <w:t xml:space="preserve"> TWC/31/32 “Report”, paragraphs 98 and</w:t>
      </w:r>
      <w:r w:rsidRPr="00BB61B0">
        <w:rPr>
          <w:rFonts w:eastAsia="PMingLiU" w:cs="Arial"/>
          <w:szCs w:val="24"/>
        </w:rPr>
        <w:t xml:space="preserve"> </w:t>
      </w:r>
      <w:r>
        <w:rPr>
          <w:rFonts w:eastAsia="PMingLiU" w:cs="Arial"/>
          <w:szCs w:val="24"/>
        </w:rPr>
        <w:t xml:space="preserve">100 and </w:t>
      </w:r>
      <w:r w:rsidRPr="000D2BFB">
        <w:rPr>
          <w:rFonts w:eastAsia="PMingLiU" w:cs="Arial"/>
          <w:szCs w:val="24"/>
        </w:rPr>
        <w:t>document</w:t>
      </w:r>
      <w:r>
        <w:rPr>
          <w:rFonts w:eastAsia="PMingLiU" w:cs="Arial"/>
          <w:szCs w:val="24"/>
        </w:rPr>
        <w:t> TWA/42/31 “Report”, paragraphs 94 and 98</w:t>
      </w:r>
      <w:r w:rsidRPr="000D2BFB">
        <w:t>).</w:t>
      </w:r>
      <w:r>
        <w:t xml:space="preserve"> </w:t>
      </w:r>
    </w:p>
    <w:p w:rsidR="00686A63" w:rsidRDefault="00686A63" w:rsidP="00686A63"/>
    <w:p w:rsidR="00686A63" w:rsidRDefault="00686A63" w:rsidP="00686A63">
      <w:pPr>
        <w:rPr>
          <w:rFonts w:cs="Arial"/>
        </w:rPr>
      </w:pPr>
      <w:r w:rsidRPr="00143E49">
        <w:rPr>
          <w:rFonts w:cs="Arial"/>
        </w:rPr>
        <w:lastRenderedPageBreak/>
        <w:fldChar w:fldCharType="begin"/>
      </w:r>
      <w:r w:rsidRPr="00143E49">
        <w:rPr>
          <w:rFonts w:cs="Arial"/>
        </w:rPr>
        <w:instrText xml:space="preserve"> AUTONUM  </w:instrText>
      </w:r>
      <w:r w:rsidRPr="00143E49">
        <w:rPr>
          <w:rFonts w:cs="Arial"/>
        </w:rPr>
        <w:fldChar w:fldCharType="end"/>
      </w:r>
      <w:r w:rsidRPr="00143E49">
        <w:rPr>
          <w:rFonts w:cs="Arial"/>
        </w:rPr>
        <w:tab/>
        <w:t>The TWO noted the difficulties experienced in using the TG Template available on UPOV website and proposed to include a demonstration of its use during the Preparatory Workshop.  The TWO requested to have a short document with the standard wording applicable for the types of Test Guidelines discussed in each TWP</w:t>
      </w:r>
      <w:r>
        <w:rPr>
          <w:rFonts w:cs="Arial"/>
        </w:rPr>
        <w:t xml:space="preserve"> </w:t>
      </w:r>
      <w:r w:rsidRPr="000D2BFB">
        <w:rPr>
          <w:rFonts w:cs="Arial"/>
          <w:szCs w:val="24"/>
        </w:rPr>
        <w:t>(see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 87)</w:t>
      </w:r>
      <w:r w:rsidRPr="00143E49">
        <w:rPr>
          <w:rFonts w:cs="Arial"/>
        </w:rPr>
        <w:t>.</w:t>
      </w:r>
    </w:p>
    <w:p w:rsidR="00686A63" w:rsidRDefault="00686A63" w:rsidP="00686A63">
      <w:pPr>
        <w:rPr>
          <w:rFonts w:cs="Arial"/>
        </w:rPr>
      </w:pPr>
    </w:p>
    <w:p w:rsidR="00686A63" w:rsidRPr="00462D28" w:rsidRDefault="00686A63" w:rsidP="00686A63">
      <w:pPr>
        <w:rPr>
          <w:rFonts w:cs="Arial"/>
        </w:rPr>
      </w:pPr>
      <w:r w:rsidRPr="00462D28">
        <w:rPr>
          <w:rFonts w:cs="Arial"/>
        </w:rPr>
        <w:fldChar w:fldCharType="begin"/>
      </w:r>
      <w:r w:rsidRPr="00462D28">
        <w:rPr>
          <w:rFonts w:cs="Arial"/>
        </w:rPr>
        <w:instrText xml:space="preserve"> AUTONUM  </w:instrText>
      </w:r>
      <w:r w:rsidRPr="00462D28">
        <w:rPr>
          <w:rFonts w:cs="Arial"/>
        </w:rPr>
        <w:fldChar w:fldCharType="end"/>
      </w:r>
      <w:r w:rsidRPr="00462D28">
        <w:rPr>
          <w:rFonts w:cs="Arial"/>
        </w:rPr>
        <w:tab/>
        <w:t>The TWF proposed to include a template for a grid for shape and ratio in the future web-based TG</w:t>
      </w:r>
      <w:r>
        <w:rPr>
          <w:rFonts w:cs="Arial"/>
        </w:rPr>
        <w:t> </w:t>
      </w:r>
      <w:r w:rsidRPr="00462D28">
        <w:rPr>
          <w:rFonts w:cs="Arial"/>
        </w:rPr>
        <w:t>Template that leading experts might use when drafting Test Guidelines</w:t>
      </w:r>
      <w:r>
        <w:rPr>
          <w:rFonts w:cs="Arial"/>
        </w:rPr>
        <w:t xml:space="preserve"> </w:t>
      </w:r>
      <w:r w:rsidRPr="000D2BFB">
        <w:rPr>
          <w:rFonts w:cs="Arial"/>
          <w:szCs w:val="24"/>
        </w:rPr>
        <w:t>(see</w:t>
      </w:r>
      <w:r w:rsidRPr="000D2BFB">
        <w:rPr>
          <w:rFonts w:eastAsia="PMingLiU" w:cs="Arial"/>
          <w:szCs w:val="24"/>
        </w:rPr>
        <w:t xml:space="preserve"> </w:t>
      </w:r>
      <w:r>
        <w:t>document</w:t>
      </w:r>
      <w:r>
        <w:rPr>
          <w:rFonts w:eastAsia="PMingLiU" w:cs="Arial"/>
          <w:szCs w:val="24"/>
        </w:rPr>
        <w:t> TWF/44/31</w:t>
      </w:r>
      <w:r w:rsidRPr="000D2BFB">
        <w:rPr>
          <w:rFonts w:eastAsia="PMingLiU" w:cs="Arial"/>
          <w:szCs w:val="24"/>
        </w:rPr>
        <w:t xml:space="preserve"> “Report”, p</w:t>
      </w:r>
      <w:r>
        <w:rPr>
          <w:rFonts w:eastAsia="PMingLiU" w:cs="Arial"/>
          <w:szCs w:val="24"/>
        </w:rPr>
        <w:t>aragraph 86)</w:t>
      </w:r>
      <w:r w:rsidRPr="00462D28">
        <w:rPr>
          <w:rFonts w:cs="Arial"/>
        </w:rPr>
        <w:t>.</w:t>
      </w:r>
    </w:p>
    <w:p w:rsidR="00686A63" w:rsidRPr="00143E49" w:rsidRDefault="00686A63" w:rsidP="00686A63">
      <w:pPr>
        <w:rPr>
          <w:rFonts w:cs="Arial"/>
        </w:rPr>
      </w:pPr>
    </w:p>
    <w:p w:rsidR="00686A63" w:rsidRPr="00700478" w:rsidRDefault="00686A63" w:rsidP="00686A63">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w:t>
      </w:r>
      <w:r>
        <w:rPr>
          <w:rFonts w:cs="Arial"/>
        </w:rPr>
        <w:t xml:space="preserve">and the TWA </w:t>
      </w:r>
      <w:r w:rsidRPr="00700478">
        <w:rPr>
          <w:rFonts w:cs="Arial"/>
        </w:rPr>
        <w:t xml:space="preserve">agreed with the </w:t>
      </w:r>
      <w:r w:rsidRPr="00700478">
        <w:t>proposal of the TWO at its forty-sixth session and the TWF at its forty</w:t>
      </w:r>
      <w:r w:rsidRPr="00700478">
        <w:noBreakHyphen/>
        <w:t xml:space="preserve">fourth session, to receive </w:t>
      </w:r>
      <w:r w:rsidRPr="00700478">
        <w:rPr>
          <w:snapToGrid w:val="0"/>
        </w:rPr>
        <w:t>a demonstration during the Preparatory Workshop on how to use the TG</w:t>
      </w:r>
      <w:r>
        <w:rPr>
          <w:snapToGrid w:val="0"/>
        </w:rPr>
        <w:t> </w:t>
      </w:r>
      <w:r w:rsidRPr="00700478">
        <w:rPr>
          <w:snapToGrid w:val="0"/>
        </w:rPr>
        <w:t xml:space="preserve">Template available on UPOV website, and </w:t>
      </w:r>
      <w:r w:rsidRPr="00700478">
        <w:rPr>
          <w:rFonts w:cs="Arial"/>
        </w:rPr>
        <w:t>to include a template for a grid for shape and ratio in the future web-based TG Template that leading experts might use when drafting Test Guidelines</w:t>
      </w:r>
      <w:r>
        <w:rPr>
          <w:rFonts w:cs="Arial"/>
        </w:rPr>
        <w:t xml:space="preserve"> (see </w:t>
      </w:r>
      <w:r w:rsidRPr="000D2BFB">
        <w:rPr>
          <w:rFonts w:eastAsia="PMingLiU" w:cs="Arial"/>
          <w:szCs w:val="24"/>
        </w:rPr>
        <w:t>document</w:t>
      </w:r>
      <w:r>
        <w:rPr>
          <w:rFonts w:eastAsia="PMingLiU" w:cs="Arial"/>
          <w:szCs w:val="24"/>
        </w:rPr>
        <w:t> </w:t>
      </w:r>
      <w:r>
        <w:t xml:space="preserve">TWV/47/34 “Report”, paragraph 101 and </w:t>
      </w:r>
      <w:r w:rsidRPr="000D2BFB">
        <w:rPr>
          <w:rFonts w:eastAsia="PMingLiU" w:cs="Arial"/>
          <w:szCs w:val="24"/>
        </w:rPr>
        <w:t>document</w:t>
      </w:r>
      <w:r>
        <w:rPr>
          <w:rFonts w:eastAsia="PMingLiU" w:cs="Arial"/>
          <w:szCs w:val="24"/>
        </w:rPr>
        <w:t> TWA/42/31 “Report”, paragraph 97</w:t>
      </w:r>
      <w:r w:rsidRPr="000D2BFB">
        <w:t>).</w:t>
      </w:r>
    </w:p>
    <w:p w:rsidR="00686A63" w:rsidRPr="00BD6040" w:rsidRDefault="00686A63" w:rsidP="00686A63">
      <w:pPr>
        <w:ind w:left="567"/>
        <w:rPr>
          <w:rFonts w:cs="Arial"/>
        </w:rPr>
      </w:pPr>
    </w:p>
    <w:p w:rsidR="00686A63" w:rsidRDefault="00686A63" w:rsidP="00686A63">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w:t>
      </w:r>
      <w:r>
        <w:rPr>
          <w:rFonts w:cs="Arial"/>
        </w:rPr>
        <w:t xml:space="preserve">and the TWA </w:t>
      </w:r>
      <w:r w:rsidRPr="00700478">
        <w:rPr>
          <w:rFonts w:cs="Arial"/>
        </w:rPr>
        <w:t>requested the Office of the Union to investigate the possibility of using a different way of sharing draft Test Guidelines between interested experts (e.g. SharePoint or restricted area on the TG</w:t>
      </w:r>
      <w:r>
        <w:rPr>
          <w:rFonts w:cs="Arial"/>
        </w:rPr>
        <w:t> </w:t>
      </w:r>
      <w:r w:rsidRPr="00700478">
        <w:rPr>
          <w:rFonts w:cs="Arial"/>
        </w:rPr>
        <w:t>Drafters’ webpage of the UPOV website), as the size of the documents could be an issue when using regular email addresses</w:t>
      </w:r>
      <w:r>
        <w:rPr>
          <w:rFonts w:cs="Arial"/>
        </w:rPr>
        <w:t xml:space="preserve"> (see </w:t>
      </w:r>
      <w:r w:rsidRPr="000D2BFB">
        <w:rPr>
          <w:rFonts w:eastAsia="PMingLiU" w:cs="Arial"/>
          <w:szCs w:val="24"/>
        </w:rPr>
        <w:t>document</w:t>
      </w:r>
      <w:r>
        <w:t xml:space="preserve"> TWV/47/34 “Report”, paragraph 100 and </w:t>
      </w:r>
      <w:r w:rsidRPr="000D2BFB">
        <w:rPr>
          <w:rFonts w:eastAsia="PMingLiU" w:cs="Arial"/>
          <w:szCs w:val="24"/>
        </w:rPr>
        <w:t>document</w:t>
      </w:r>
      <w:r>
        <w:rPr>
          <w:rFonts w:eastAsia="PMingLiU" w:cs="Arial"/>
          <w:szCs w:val="24"/>
        </w:rPr>
        <w:t> TWA/42/31 “Report”, paragraph 96</w:t>
      </w:r>
      <w:r w:rsidRPr="000D2BFB">
        <w:t>).</w:t>
      </w:r>
      <w:r>
        <w:t xml:space="preserve"> </w:t>
      </w:r>
      <w:r w:rsidRPr="00700478">
        <w:rPr>
          <w:rFonts w:cs="Arial"/>
        </w:rPr>
        <w:t xml:space="preserve"> </w:t>
      </w:r>
    </w:p>
    <w:p w:rsidR="00E9519B" w:rsidRDefault="00E9519B" w:rsidP="00686A63">
      <w:pPr>
        <w:rPr>
          <w:rFonts w:cs="Arial"/>
        </w:rPr>
      </w:pPr>
    </w:p>
    <w:p w:rsidR="00E9519B" w:rsidRPr="00874D1A" w:rsidRDefault="00E9519B" w:rsidP="00874D1A">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t>T</w:t>
      </w:r>
      <w:r w:rsidRPr="003C38D5">
        <w:t xml:space="preserve">he </w:t>
      </w:r>
      <w:r>
        <w:t>TWPs</w:t>
      </w:r>
      <w:r w:rsidRPr="003C38D5">
        <w:t xml:space="preserve"> noted </w:t>
      </w:r>
      <w:r w:rsidR="00874D1A">
        <w:rPr>
          <w:rFonts w:cs="Arial"/>
        </w:rPr>
        <w:t xml:space="preserve">the plan for the development of a prototype web-based TG Template for testing by interested experts by the end of 2013 and </w:t>
      </w:r>
      <w:r w:rsidR="00381323">
        <w:rPr>
          <w:rFonts w:cs="Arial"/>
        </w:rPr>
        <w:t xml:space="preserve">noted </w:t>
      </w:r>
      <w:r w:rsidR="00874D1A">
        <w:rPr>
          <w:rFonts w:cs="Arial"/>
        </w:rPr>
        <w:t xml:space="preserve">that the template would provide sufficient flexibility for drafters of Test Guidelines to introduce proposals that were not covered by existing standard wording and would retain flexibility in the structure for further development of Test Guidelines by UPOV members </w:t>
      </w:r>
      <w:r w:rsidRPr="000D2BFB">
        <w:rPr>
          <w:rFonts w:cs="Arial"/>
          <w:szCs w:val="24"/>
        </w:rPr>
        <w:t>(see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w:t>
      </w:r>
      <w:r w:rsidR="00874D1A">
        <w:rPr>
          <w:rFonts w:eastAsia="PMingLiU" w:cs="Arial"/>
          <w:szCs w:val="24"/>
        </w:rPr>
        <w:t xml:space="preserve"> </w:t>
      </w:r>
      <w:r>
        <w:rPr>
          <w:rFonts w:eastAsia="PMingLiU" w:cs="Arial"/>
          <w:szCs w:val="24"/>
        </w:rPr>
        <w:t>8</w:t>
      </w:r>
      <w:r w:rsidR="00874D1A">
        <w:rPr>
          <w:rFonts w:eastAsia="PMingLiU" w:cs="Arial"/>
          <w:szCs w:val="24"/>
        </w:rPr>
        <w:t>8</w:t>
      </w:r>
      <w:r>
        <w:rPr>
          <w:rFonts w:eastAsia="PMingLiU" w:cs="Arial"/>
          <w:szCs w:val="24"/>
        </w:rPr>
        <w:t>, document TWF/44/31 “Report”, paragraph</w:t>
      </w:r>
      <w:r w:rsidR="00874D1A">
        <w:rPr>
          <w:rFonts w:eastAsia="PMingLiU" w:cs="Arial"/>
          <w:szCs w:val="24"/>
        </w:rPr>
        <w:t xml:space="preserve"> </w:t>
      </w:r>
      <w:r>
        <w:rPr>
          <w:rFonts w:eastAsia="PMingLiU" w:cs="Arial"/>
          <w:szCs w:val="24"/>
        </w:rPr>
        <w:t>8</w:t>
      </w:r>
      <w:r w:rsidR="00874D1A">
        <w:rPr>
          <w:rFonts w:eastAsia="PMingLiU" w:cs="Arial"/>
          <w:szCs w:val="24"/>
        </w:rPr>
        <w:t>5</w:t>
      </w:r>
      <w:r>
        <w:rPr>
          <w:rFonts w:eastAsia="PMingLiU" w:cs="Arial"/>
          <w:szCs w:val="24"/>
        </w:rPr>
        <w:t xml:space="preserve">, </w:t>
      </w:r>
      <w:r w:rsidRPr="000D2BFB">
        <w:rPr>
          <w:rFonts w:eastAsia="PMingLiU" w:cs="Arial"/>
          <w:szCs w:val="24"/>
        </w:rPr>
        <w:t>document</w:t>
      </w:r>
      <w:r>
        <w:t> TWV/47/34 “Report”, paragraph 9</w:t>
      </w:r>
      <w:r w:rsidR="00874D1A">
        <w:t>9</w:t>
      </w:r>
      <w:r>
        <w:rPr>
          <w:rFonts w:eastAsia="PMingLiU" w:cs="Arial"/>
          <w:szCs w:val="24"/>
        </w:rPr>
        <w:t xml:space="preserve">, </w:t>
      </w:r>
      <w:r w:rsidRPr="000D2BFB">
        <w:rPr>
          <w:rFonts w:eastAsia="PMingLiU" w:cs="Arial"/>
          <w:szCs w:val="24"/>
        </w:rPr>
        <w:t>document</w:t>
      </w:r>
      <w:r>
        <w:t xml:space="preserve"> TWC/31/32 “Report”, paragraph</w:t>
      </w:r>
      <w:r w:rsidR="00874D1A">
        <w:t xml:space="preserve"> </w:t>
      </w:r>
      <w:r>
        <w:t>9</w:t>
      </w:r>
      <w:r w:rsidR="00874D1A">
        <w:t>9</w:t>
      </w:r>
      <w:r>
        <w:rPr>
          <w:rFonts w:eastAsia="PMingLiU" w:cs="Arial"/>
          <w:szCs w:val="24"/>
        </w:rPr>
        <w:t xml:space="preserve"> and </w:t>
      </w:r>
      <w:r w:rsidRPr="000D2BFB">
        <w:rPr>
          <w:rFonts w:eastAsia="PMingLiU" w:cs="Arial"/>
          <w:szCs w:val="24"/>
        </w:rPr>
        <w:t>document</w:t>
      </w:r>
      <w:r>
        <w:rPr>
          <w:rFonts w:eastAsia="PMingLiU" w:cs="Arial"/>
          <w:szCs w:val="24"/>
        </w:rPr>
        <w:t> TWA/42/31 “Report”, paragraph</w:t>
      </w:r>
      <w:r w:rsidR="00874D1A">
        <w:rPr>
          <w:rFonts w:eastAsia="PMingLiU" w:cs="Arial"/>
          <w:szCs w:val="24"/>
        </w:rPr>
        <w:t xml:space="preserve"> </w:t>
      </w:r>
      <w:r>
        <w:rPr>
          <w:rFonts w:eastAsia="PMingLiU" w:cs="Arial"/>
          <w:szCs w:val="24"/>
        </w:rPr>
        <w:t>9</w:t>
      </w:r>
      <w:r w:rsidR="00874D1A">
        <w:rPr>
          <w:rFonts w:eastAsia="PMingLiU" w:cs="Arial"/>
          <w:szCs w:val="24"/>
        </w:rPr>
        <w:t>5</w:t>
      </w:r>
      <w:r w:rsidRPr="000D2BFB">
        <w:t>).</w:t>
      </w:r>
      <w:r>
        <w:t xml:space="preserve"> </w:t>
      </w:r>
    </w:p>
    <w:p w:rsidR="00E9519B" w:rsidRPr="00700478" w:rsidRDefault="00E9519B" w:rsidP="00874D1A">
      <w:pPr>
        <w:rPr>
          <w:rFonts w:cs="Arial"/>
        </w:rPr>
      </w:pPr>
    </w:p>
    <w:p w:rsidR="00686A63" w:rsidRDefault="00686A63" w:rsidP="00874D1A">
      <w:pPr>
        <w:rPr>
          <w:rFonts w:cs="Arial"/>
        </w:rPr>
      </w:pPr>
    </w:p>
    <w:p w:rsidR="00E4324B" w:rsidRDefault="00F57438" w:rsidP="00F57438">
      <w:pPr>
        <w:pStyle w:val="Heading1"/>
      </w:pPr>
      <w:bookmarkStart w:id="9" w:name="_Toc387249872"/>
      <w:bookmarkStart w:id="10" w:name="_Toc387250256"/>
      <w:bookmarkStart w:id="11" w:name="_Toc387684640"/>
      <w:r>
        <w:t>consi</w:t>
      </w:r>
      <w:r w:rsidR="00381323">
        <w:t>deration</w:t>
      </w:r>
      <w:r w:rsidR="00E4324B">
        <w:t xml:space="preserve"> by the TC in 2014</w:t>
      </w:r>
      <w:bookmarkEnd w:id="9"/>
      <w:bookmarkEnd w:id="10"/>
      <w:bookmarkEnd w:id="11"/>
    </w:p>
    <w:p w:rsidR="00874D1A" w:rsidRPr="00874D1A" w:rsidRDefault="00874D1A" w:rsidP="00874D1A"/>
    <w:p w:rsidR="00E4324B" w:rsidRDefault="00E4324B" w:rsidP="00E4324B">
      <w:r>
        <w:fldChar w:fldCharType="begin"/>
      </w:r>
      <w:r>
        <w:instrText xml:space="preserve"> AUTONUM  </w:instrText>
      </w:r>
      <w:r>
        <w:fldChar w:fldCharType="end"/>
      </w:r>
      <w:r>
        <w:tab/>
        <w:t>The TC</w:t>
      </w:r>
      <w:r w:rsidR="00381323">
        <w:t>, at its fiftieth session, held in Geneva, from April 7 to 9, 2014,</w:t>
      </w:r>
      <w:r>
        <w:t xml:space="preserve"> noted the report on developments concerning the new web-based TG Template in document TC/50/10 “Report on developments in UPOV including relevant matters discussed in the last sessions of the Administrative and Legal Committee, the Consultative Committee and the Council”</w:t>
      </w:r>
      <w:r w:rsidR="00874D1A">
        <w:t xml:space="preserve">, as </w:t>
      </w:r>
      <w:r w:rsidR="00874D1A" w:rsidRPr="00A150A4">
        <w:t>follows</w:t>
      </w:r>
      <w:r w:rsidR="00D16B04" w:rsidRPr="00A150A4">
        <w:t xml:space="preserve"> (see document </w:t>
      </w:r>
      <w:r w:rsidR="00A150A4" w:rsidRPr="00A150A4">
        <w:t>TC/50/10 “Report on developments in UPOV including relevant matters discussed in the last sessions of the Administrative and Legal Committee, the Consultative Committee and the Council”</w:t>
      </w:r>
      <w:r w:rsidR="00D16B04" w:rsidRPr="00A150A4">
        <w:t xml:space="preserve"> paragraphs </w:t>
      </w:r>
      <w:r w:rsidR="00A150A4" w:rsidRPr="00A150A4">
        <w:t>51</w:t>
      </w:r>
      <w:r w:rsidR="00D16B04" w:rsidRPr="00A150A4">
        <w:t xml:space="preserve"> to </w:t>
      </w:r>
      <w:r w:rsidR="00A150A4" w:rsidRPr="00A150A4">
        <w:t>63</w:t>
      </w:r>
      <w:r w:rsidR="00D16B04" w:rsidRPr="00A150A4">
        <w:t>)</w:t>
      </w:r>
      <w:r w:rsidR="00874D1A" w:rsidRPr="00A150A4">
        <w:t>:</w:t>
      </w:r>
    </w:p>
    <w:p w:rsidR="00E4324B" w:rsidRPr="00E00427" w:rsidRDefault="00E4324B" w:rsidP="00E4324B">
      <w:pPr>
        <w:rPr>
          <w:sz w:val="18"/>
        </w:rPr>
      </w:pPr>
    </w:p>
    <w:p w:rsidR="005A7191" w:rsidRPr="00E00427" w:rsidRDefault="00E00427" w:rsidP="00E00427">
      <w:pPr>
        <w:pStyle w:val="Heading3"/>
        <w:ind w:left="567" w:right="567"/>
        <w:rPr>
          <w:sz w:val="18"/>
        </w:rPr>
      </w:pPr>
      <w:bookmarkStart w:id="12" w:name="_Toc387684641"/>
      <w:r>
        <w:rPr>
          <w:sz w:val="18"/>
        </w:rPr>
        <w:t>“</w:t>
      </w:r>
      <w:r w:rsidR="00F01584" w:rsidRPr="00E00427">
        <w:rPr>
          <w:sz w:val="18"/>
        </w:rPr>
        <w:t>Features of the web-based TG Template</w:t>
      </w:r>
      <w:bookmarkEnd w:id="12"/>
    </w:p>
    <w:p w:rsidR="005A7191" w:rsidRPr="00E00427" w:rsidRDefault="005A7191" w:rsidP="00E00427">
      <w:pPr>
        <w:keepNext/>
        <w:autoSpaceDE w:val="0"/>
        <w:autoSpaceDN w:val="0"/>
        <w:adjustRightInd w:val="0"/>
        <w:ind w:left="567" w:right="567"/>
        <w:rPr>
          <w:rFonts w:cs="Arial"/>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The web-based TG Template will be developed in two separate phases in the form of Versions 1 and 2.</w:t>
      </w:r>
    </w:p>
    <w:p w:rsidR="00F01584" w:rsidRPr="00E00427" w:rsidRDefault="00F01584" w:rsidP="00E00427">
      <w:pPr>
        <w:keepNext/>
        <w:autoSpaceDE w:val="0"/>
        <w:autoSpaceDN w:val="0"/>
        <w:adjustRightInd w:val="0"/>
        <w:ind w:left="567" w:right="567"/>
        <w:rPr>
          <w:rFonts w:cs="Arial"/>
          <w:sz w:val="18"/>
        </w:rPr>
      </w:pPr>
    </w:p>
    <w:p w:rsidR="00F01584" w:rsidRPr="00E00427" w:rsidRDefault="00E00427" w:rsidP="00E00427">
      <w:pPr>
        <w:pStyle w:val="Heading4"/>
        <w:rPr>
          <w:sz w:val="18"/>
        </w:rPr>
      </w:pPr>
      <w:bookmarkStart w:id="13" w:name="_Toc381174894"/>
      <w:bookmarkStart w:id="14" w:name="_Toc387249875"/>
      <w:r>
        <w:rPr>
          <w:sz w:val="18"/>
        </w:rPr>
        <w:t>“</w:t>
      </w:r>
      <w:r w:rsidR="00F01584" w:rsidRPr="00E00427">
        <w:rPr>
          <w:sz w:val="18"/>
        </w:rPr>
        <w:t>Version 1</w:t>
      </w:r>
      <w:bookmarkEnd w:id="13"/>
      <w:bookmarkEnd w:id="14"/>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 xml:space="preserve">Version 1 of the web-based TG Template will be fully functional for the development of UPOV Test Guidelines by </w:t>
      </w:r>
      <w:r w:rsidRPr="00E00427">
        <w:rPr>
          <w:iCs/>
          <w:snapToGrid w:val="0"/>
          <w:color w:val="000000"/>
          <w:sz w:val="18"/>
        </w:rPr>
        <w:t>Leading Expert</w:t>
      </w:r>
      <w:r w:rsidRPr="00E00427">
        <w:rPr>
          <w:sz w:val="18"/>
        </w:rPr>
        <w:t xml:space="preserve">s and will enable Interested Experts to provide comments.  Version 1 of the web-based TG Template will be completed in 2014 and a demonstration will be made at </w:t>
      </w:r>
      <w:r w:rsidR="00252CA7" w:rsidRPr="00E00427">
        <w:rPr>
          <w:sz w:val="18"/>
        </w:rPr>
        <w:t xml:space="preserve">the TWPs </w:t>
      </w:r>
      <w:r w:rsidR="0006090F" w:rsidRPr="00E00427">
        <w:rPr>
          <w:sz w:val="18"/>
        </w:rPr>
        <w:t>session</w:t>
      </w:r>
      <w:r w:rsidR="00252CA7" w:rsidRPr="00E00427">
        <w:rPr>
          <w:sz w:val="18"/>
        </w:rPr>
        <w:t>s in 2014.</w:t>
      </w:r>
      <w:r w:rsidRPr="00E00427">
        <w:rPr>
          <w:sz w:val="18"/>
        </w:rPr>
        <w:t xml:space="preserve">  A copy of th</w:t>
      </w:r>
      <w:r w:rsidR="0006090F" w:rsidRPr="00E00427">
        <w:rPr>
          <w:sz w:val="18"/>
        </w:rPr>
        <w:t>e</w:t>
      </w:r>
      <w:r w:rsidRPr="00E00427">
        <w:rPr>
          <w:sz w:val="18"/>
        </w:rPr>
        <w:t xml:space="preserve"> presentation is provided in</w:t>
      </w:r>
      <w:r w:rsidR="0006090F" w:rsidRPr="00E00427">
        <w:rPr>
          <w:sz w:val="18"/>
        </w:rPr>
        <w:t xml:space="preserve"> the</w:t>
      </w:r>
      <w:r w:rsidRPr="00E00427">
        <w:rPr>
          <w:sz w:val="18"/>
        </w:rPr>
        <w:t xml:space="preserve"> Annex to this document.</w:t>
      </w:r>
    </w:p>
    <w:p w:rsidR="0019051D" w:rsidRPr="00E00427" w:rsidRDefault="0019051D" w:rsidP="00E00427">
      <w:pPr>
        <w:ind w:left="567" w:right="567"/>
        <w:rPr>
          <w:sz w:val="18"/>
        </w:rPr>
      </w:pPr>
      <w:bookmarkStart w:id="15" w:name="_Toc381174895"/>
    </w:p>
    <w:p w:rsidR="00F01584" w:rsidRPr="00E00427" w:rsidRDefault="00E00427" w:rsidP="00E00427">
      <w:pPr>
        <w:pStyle w:val="Heading5"/>
        <w:rPr>
          <w:sz w:val="16"/>
        </w:rPr>
      </w:pPr>
      <w:bookmarkStart w:id="16" w:name="_Toc387249876"/>
      <w:r>
        <w:rPr>
          <w:sz w:val="16"/>
        </w:rPr>
        <w:t>“</w:t>
      </w:r>
      <w:r w:rsidR="00F01584" w:rsidRPr="00E00427">
        <w:rPr>
          <w:sz w:val="16"/>
        </w:rPr>
        <w:t>Features</w:t>
      </w:r>
      <w:bookmarkEnd w:id="15"/>
      <w:bookmarkEnd w:id="16"/>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The main features of Version 1 are as follows:</w:t>
      </w:r>
    </w:p>
    <w:p w:rsidR="00F01584" w:rsidRPr="00E00427" w:rsidRDefault="00F01584" w:rsidP="00E00427">
      <w:pPr>
        <w:ind w:left="567" w:right="567"/>
        <w:rPr>
          <w:sz w:val="18"/>
        </w:rPr>
      </w:pP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 xml:space="preserve">Draft Test Guidelines will be prepared by </w:t>
      </w:r>
      <w:r w:rsidR="00F01584" w:rsidRPr="00E00427">
        <w:rPr>
          <w:iCs/>
          <w:snapToGrid w:val="0"/>
          <w:color w:val="000000"/>
          <w:sz w:val="18"/>
        </w:rPr>
        <w:t>Leading Experts</w:t>
      </w:r>
      <w:r w:rsidR="00F01584" w:rsidRPr="00E00427">
        <w:rPr>
          <w:sz w:val="18"/>
        </w:rPr>
        <w:t xml:space="preserve"> online via the web-based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Fixed template containing all universal standard wording which is appropriate for all Test Guidelines (see document TGP/7/3 “Development of Test Guidelines”, Section 3.1 “The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Options to add Additional Standard Wording (ASW) (see document TGP/7/3, Section 3.2 “Additional Standard Wording (ASW) for the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Links to Guidance Notes (GN) (see document TGP/7/3, Section 3.3 “Guidance Notes (GN) for the TG Template”)</w:t>
      </w:r>
    </w:p>
    <w:p w:rsidR="00F01584" w:rsidRPr="00E00427" w:rsidRDefault="00E00427" w:rsidP="00961FAA">
      <w:pPr>
        <w:pStyle w:val="ListParagraph"/>
        <w:numPr>
          <w:ilvl w:val="0"/>
          <w:numId w:val="12"/>
        </w:numPr>
        <w:ind w:left="993" w:right="567" w:firstLine="0"/>
        <w:rPr>
          <w:i/>
          <w:snapToGrid w:val="0"/>
          <w:sz w:val="18"/>
        </w:rPr>
      </w:pPr>
      <w:r>
        <w:rPr>
          <w:sz w:val="18"/>
        </w:rPr>
        <w:lastRenderedPageBreak/>
        <w:t>“</w:t>
      </w:r>
      <w:r w:rsidR="00F01584" w:rsidRPr="00E00427">
        <w:rPr>
          <w:sz w:val="18"/>
        </w:rPr>
        <w:t>A database of characteristics (in English, French, German and Spanish) from Test Guidelines adopted after the adoption of document TGP/7/1 “Development of Test Guidelines” the Collection of Approved Characteristics (adopted in 2004) (see document TGP/7/3, Annex 4 “Collection of Approved Characteristics”).</w:t>
      </w:r>
    </w:p>
    <w:p w:rsidR="00F01584" w:rsidRPr="00E00427" w:rsidRDefault="00F01584" w:rsidP="00E00427">
      <w:pPr>
        <w:ind w:left="567" w:right="567"/>
        <w:rPr>
          <w:i/>
          <w:snapToGrid w:val="0"/>
          <w:sz w:val="18"/>
        </w:rPr>
      </w:pPr>
      <w:r w:rsidRPr="00E00427">
        <w:rPr>
          <w:sz w:val="18"/>
        </w:rPr>
        <w:br/>
      </w:r>
      <w:r w:rsidR="00E00427">
        <w:rPr>
          <w:i/>
          <w:sz w:val="18"/>
        </w:rPr>
        <w:t>“</w:t>
      </w:r>
      <w:r w:rsidRPr="00E00427">
        <w:rPr>
          <w:i/>
          <w:sz w:val="18"/>
        </w:rPr>
        <w:t xml:space="preserve">The database will contain all information from the </w:t>
      </w:r>
      <w:r w:rsidRPr="00E00427">
        <w:rPr>
          <w:i/>
          <w:color w:val="000000"/>
          <w:sz w:val="18"/>
          <w:lang w:val="nl-NL"/>
        </w:rPr>
        <w:t xml:space="preserve">Table of Characteristics, including </w:t>
      </w:r>
      <w:r w:rsidRPr="00E00427">
        <w:rPr>
          <w:i/>
          <w:sz w:val="18"/>
        </w:rPr>
        <w:t xml:space="preserve">states of expression, notes, example varieties, etc.  The database can be searched for relevant characteristics and a relevant </w:t>
      </w:r>
      <w:r w:rsidRPr="00E00427">
        <w:rPr>
          <w:i/>
          <w:snapToGrid w:val="0"/>
          <w:sz w:val="18"/>
        </w:rPr>
        <w:t>characteristic uploaded into draft Test Guidelines with subsequent modification as required.</w:t>
      </w:r>
    </w:p>
    <w:p w:rsidR="00F01584" w:rsidRPr="00E00427" w:rsidRDefault="00F01584" w:rsidP="00E00427">
      <w:pPr>
        <w:ind w:left="567" w:right="567"/>
        <w:rPr>
          <w:i/>
          <w:snapToGrid w:val="0"/>
          <w:sz w:val="18"/>
        </w:rPr>
      </w:pP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Comments boxes for Interested Experts to complete online with a facility to view all comments</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 xml:space="preserve">Options to produce output in HTML or Word format. </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English only version</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Translators’ facility for the Table of Characteristics (Chapter 7)</w:t>
      </w:r>
    </w:p>
    <w:p w:rsidR="00F01584" w:rsidRPr="00E00427" w:rsidRDefault="00F01584" w:rsidP="00E00427">
      <w:pPr>
        <w:ind w:left="567" w:right="567"/>
        <w:rPr>
          <w:i/>
          <w:snapToGrid w:val="0"/>
          <w:color w:val="000000"/>
          <w:sz w:val="18"/>
          <w:lang w:val="nl-NL"/>
        </w:rPr>
      </w:pPr>
    </w:p>
    <w:p w:rsidR="00F01584" w:rsidRPr="00E00427" w:rsidRDefault="00E00427" w:rsidP="00E00427">
      <w:pPr>
        <w:ind w:left="567" w:right="567"/>
        <w:rPr>
          <w:i/>
          <w:snapToGrid w:val="0"/>
          <w:color w:val="000000"/>
          <w:sz w:val="18"/>
          <w:lang w:val="nl-NL"/>
        </w:rPr>
      </w:pPr>
      <w:r>
        <w:rPr>
          <w:i/>
          <w:snapToGrid w:val="0"/>
          <w:color w:val="000000"/>
          <w:sz w:val="18"/>
          <w:lang w:val="nl-NL"/>
        </w:rPr>
        <w:t>“</w:t>
      </w:r>
      <w:r w:rsidR="00F01584" w:rsidRPr="00E00427">
        <w:rPr>
          <w:i/>
          <w:snapToGrid w:val="0"/>
          <w:color w:val="000000"/>
          <w:sz w:val="18"/>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5A7191" w:rsidRPr="00E00427" w:rsidRDefault="005A7191" w:rsidP="00E00427">
      <w:pPr>
        <w:autoSpaceDE w:val="0"/>
        <w:autoSpaceDN w:val="0"/>
        <w:adjustRightInd w:val="0"/>
        <w:ind w:left="567" w:right="567"/>
        <w:rPr>
          <w:rFonts w:cs="Arial"/>
          <w:sz w:val="18"/>
          <w:lang w:val="nl-NL"/>
        </w:rPr>
      </w:pPr>
    </w:p>
    <w:p w:rsidR="00FE7249" w:rsidRPr="00E00427" w:rsidRDefault="00E00427" w:rsidP="00E00427">
      <w:pPr>
        <w:pStyle w:val="Heading4"/>
        <w:rPr>
          <w:snapToGrid w:val="0"/>
          <w:sz w:val="18"/>
          <w:lang w:val="nl-NL"/>
        </w:rPr>
      </w:pPr>
      <w:bookmarkStart w:id="17" w:name="_Toc381174896"/>
      <w:bookmarkStart w:id="18" w:name="_Toc387249877"/>
      <w:r>
        <w:rPr>
          <w:snapToGrid w:val="0"/>
          <w:sz w:val="18"/>
          <w:lang w:val="nl-NL"/>
        </w:rPr>
        <w:t>“</w:t>
      </w:r>
      <w:r w:rsidR="00FE7249" w:rsidRPr="00E00427">
        <w:rPr>
          <w:snapToGrid w:val="0"/>
          <w:sz w:val="18"/>
          <w:lang w:val="nl-NL"/>
        </w:rPr>
        <w:t>Implementation</w:t>
      </w:r>
      <w:bookmarkEnd w:id="17"/>
      <w:r w:rsidR="00FE7249" w:rsidRPr="00E00427">
        <w:rPr>
          <w:snapToGrid w:val="0"/>
          <w:sz w:val="18"/>
          <w:lang w:val="nl-NL"/>
        </w:rPr>
        <w:t xml:space="preserve"> of Version 1</w:t>
      </w:r>
      <w:bookmarkEnd w:id="18"/>
    </w:p>
    <w:p w:rsidR="00FE7249" w:rsidRPr="00E00427" w:rsidRDefault="00FE7249" w:rsidP="00E00427">
      <w:pPr>
        <w:ind w:left="567" w:right="567"/>
        <w:rPr>
          <w:snapToGrid w:val="0"/>
          <w:sz w:val="18"/>
          <w:lang w:val="nl-NL"/>
        </w:rPr>
      </w:pPr>
    </w:p>
    <w:p w:rsidR="00FE7249" w:rsidRPr="00E00427" w:rsidRDefault="00FE7249" w:rsidP="00E00427">
      <w:pPr>
        <w:ind w:left="567" w:right="567"/>
        <w:rPr>
          <w:snapToGrid w:val="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napToGrid w:val="0"/>
          <w:sz w:val="18"/>
        </w:rPr>
        <w:t>The timetable for the preparation of Test Guidelines for the Technical Working Party sessions in 2014 is as follows:</w:t>
      </w:r>
    </w:p>
    <w:p w:rsidR="00801F36" w:rsidRDefault="00801F36" w:rsidP="00E00427">
      <w:pPr>
        <w:ind w:left="567" w:right="567"/>
        <w:rPr>
          <w:snapToGrid w:val="0"/>
        </w:rPr>
      </w:pPr>
    </w:p>
    <w:tbl>
      <w:tblPr>
        <w:tblStyle w:val="TableGrid"/>
        <w:tblW w:w="0" w:type="auto"/>
        <w:tblInd w:w="6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119"/>
        <w:gridCol w:w="1417"/>
        <w:gridCol w:w="1276"/>
        <w:gridCol w:w="1327"/>
        <w:gridCol w:w="1366"/>
      </w:tblGrid>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Technical Working Party for:</w:t>
            </w:r>
          </w:p>
        </w:tc>
        <w:tc>
          <w:tcPr>
            <w:tcW w:w="1417" w:type="dxa"/>
          </w:tcPr>
          <w:p w:rsidR="00FE7249" w:rsidRPr="00E00427" w:rsidRDefault="00FE7249" w:rsidP="00E00427">
            <w:pPr>
              <w:ind w:right="26"/>
              <w:jc w:val="left"/>
              <w:rPr>
                <w:snapToGrid w:val="0"/>
                <w:sz w:val="16"/>
              </w:rPr>
            </w:pPr>
            <w:r w:rsidRPr="00E00427">
              <w:rPr>
                <w:snapToGrid w:val="0"/>
                <w:sz w:val="16"/>
              </w:rPr>
              <w:t>Subgrou</w:t>
            </w:r>
            <w:r w:rsidR="007167C2">
              <w:rPr>
                <w:snapToGrid w:val="0"/>
                <w:sz w:val="16"/>
              </w:rPr>
              <w:t>p</w:t>
            </w:r>
            <w:r w:rsidRPr="00E00427">
              <w:rPr>
                <w:snapToGrid w:val="0"/>
                <w:sz w:val="16"/>
              </w:rPr>
              <w:t xml:space="preserve"> draft</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 xml:space="preserve">Interested Experts’ comments </w:t>
            </w:r>
          </w:p>
        </w:tc>
        <w:tc>
          <w:tcPr>
            <w:tcW w:w="1327" w:type="dxa"/>
          </w:tcPr>
          <w:p w:rsidR="00FE7249" w:rsidRPr="00E00427" w:rsidRDefault="00FE7249" w:rsidP="00E00427">
            <w:pPr>
              <w:ind w:left="-13" w:right="78"/>
              <w:jc w:val="left"/>
              <w:rPr>
                <w:snapToGrid w:val="0"/>
                <w:sz w:val="16"/>
              </w:rPr>
            </w:pPr>
            <w:r w:rsidRPr="00E00427">
              <w:rPr>
                <w:snapToGrid w:val="0"/>
                <w:sz w:val="16"/>
              </w:rPr>
              <w:t>Technical Working Party draft</w:t>
            </w:r>
          </w:p>
        </w:tc>
        <w:tc>
          <w:tcPr>
            <w:tcW w:w="1366" w:type="dxa"/>
          </w:tcPr>
          <w:p w:rsidR="00FE7249" w:rsidRPr="00E00427" w:rsidRDefault="00FE7249" w:rsidP="00E00427">
            <w:pPr>
              <w:ind w:right="-115"/>
              <w:jc w:val="left"/>
              <w:rPr>
                <w:snapToGrid w:val="0"/>
                <w:sz w:val="16"/>
              </w:rPr>
            </w:pPr>
            <w:r w:rsidRPr="00E00427">
              <w:rPr>
                <w:snapToGrid w:val="0"/>
                <w:sz w:val="16"/>
              </w:rPr>
              <w:t>Technical Working Party session</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Ornamental Plants and Forest Trees (TWO)</w:t>
            </w:r>
          </w:p>
        </w:tc>
        <w:tc>
          <w:tcPr>
            <w:tcW w:w="1417" w:type="dxa"/>
          </w:tcPr>
          <w:p w:rsidR="00FE7249" w:rsidRPr="00E00427" w:rsidRDefault="00FE7249" w:rsidP="00E00427">
            <w:pPr>
              <w:ind w:right="26"/>
              <w:jc w:val="left"/>
              <w:rPr>
                <w:snapToGrid w:val="0"/>
                <w:sz w:val="16"/>
              </w:rPr>
            </w:pPr>
            <w:r w:rsidRPr="00E00427">
              <w:rPr>
                <w:snapToGrid w:val="0"/>
                <w:sz w:val="16"/>
              </w:rPr>
              <w:t>February 8</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March 8</w:t>
            </w:r>
          </w:p>
        </w:tc>
        <w:tc>
          <w:tcPr>
            <w:tcW w:w="1327" w:type="dxa"/>
          </w:tcPr>
          <w:p w:rsidR="00FE7249" w:rsidRPr="00E00427" w:rsidRDefault="00FE7249" w:rsidP="00E00427">
            <w:pPr>
              <w:ind w:left="-13" w:right="78"/>
              <w:jc w:val="left"/>
              <w:rPr>
                <w:snapToGrid w:val="0"/>
                <w:sz w:val="16"/>
              </w:rPr>
            </w:pPr>
            <w:r w:rsidRPr="00E00427">
              <w:rPr>
                <w:snapToGrid w:val="0"/>
                <w:sz w:val="16"/>
              </w:rPr>
              <w:t>April 5</w:t>
            </w:r>
          </w:p>
        </w:tc>
        <w:tc>
          <w:tcPr>
            <w:tcW w:w="1366" w:type="dxa"/>
          </w:tcPr>
          <w:p w:rsidR="00FE7249" w:rsidRPr="00E00427" w:rsidRDefault="00FE7249" w:rsidP="00E00427">
            <w:pPr>
              <w:ind w:right="-115"/>
              <w:jc w:val="left"/>
              <w:rPr>
                <w:snapToGrid w:val="0"/>
                <w:sz w:val="16"/>
              </w:rPr>
            </w:pPr>
            <w:r w:rsidRPr="00E00427">
              <w:rPr>
                <w:snapToGrid w:val="0"/>
                <w:sz w:val="16"/>
              </w:rPr>
              <w:t>May 19-23</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Fruit Crops (TWF)</w:t>
            </w:r>
          </w:p>
        </w:tc>
        <w:tc>
          <w:tcPr>
            <w:tcW w:w="1417" w:type="dxa"/>
          </w:tcPr>
          <w:p w:rsidR="00FE7249" w:rsidRPr="00E00427" w:rsidRDefault="00FE7249" w:rsidP="00E00427">
            <w:pPr>
              <w:ind w:right="26"/>
              <w:jc w:val="left"/>
              <w:rPr>
                <w:snapToGrid w:val="0"/>
                <w:sz w:val="16"/>
              </w:rPr>
            </w:pPr>
            <w:r w:rsidRPr="00E00427">
              <w:rPr>
                <w:snapToGrid w:val="0"/>
                <w:sz w:val="16"/>
              </w:rPr>
              <w:t>February 14</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March 14</w:t>
            </w:r>
          </w:p>
        </w:tc>
        <w:tc>
          <w:tcPr>
            <w:tcW w:w="1327" w:type="dxa"/>
          </w:tcPr>
          <w:p w:rsidR="00FE7249" w:rsidRPr="00E00427" w:rsidRDefault="00FE7249" w:rsidP="00E00427">
            <w:pPr>
              <w:ind w:left="-13" w:right="78"/>
              <w:jc w:val="left"/>
              <w:rPr>
                <w:snapToGrid w:val="0"/>
                <w:sz w:val="16"/>
              </w:rPr>
            </w:pPr>
            <w:r w:rsidRPr="00E00427">
              <w:rPr>
                <w:snapToGrid w:val="0"/>
                <w:sz w:val="16"/>
              </w:rPr>
              <w:t>April 11</w:t>
            </w:r>
          </w:p>
        </w:tc>
        <w:tc>
          <w:tcPr>
            <w:tcW w:w="1366" w:type="dxa"/>
          </w:tcPr>
          <w:p w:rsidR="00FE7249" w:rsidRPr="00E00427" w:rsidRDefault="00FE7249" w:rsidP="00E00427">
            <w:pPr>
              <w:ind w:right="-115"/>
              <w:jc w:val="left"/>
              <w:rPr>
                <w:snapToGrid w:val="0"/>
                <w:sz w:val="16"/>
              </w:rPr>
            </w:pPr>
            <w:r w:rsidRPr="00E00427">
              <w:rPr>
                <w:snapToGrid w:val="0"/>
                <w:sz w:val="16"/>
              </w:rPr>
              <w:t>May 26-30</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Vegetables (TWV)</w:t>
            </w:r>
          </w:p>
        </w:tc>
        <w:tc>
          <w:tcPr>
            <w:tcW w:w="1417" w:type="dxa"/>
          </w:tcPr>
          <w:p w:rsidR="00FE7249" w:rsidRPr="00E00427" w:rsidRDefault="00FE7249" w:rsidP="00E00427">
            <w:pPr>
              <w:ind w:right="26"/>
              <w:jc w:val="left"/>
              <w:rPr>
                <w:snapToGrid w:val="0"/>
                <w:sz w:val="16"/>
              </w:rPr>
            </w:pPr>
            <w:r w:rsidRPr="00E00427">
              <w:rPr>
                <w:snapToGrid w:val="0"/>
                <w:sz w:val="16"/>
              </w:rPr>
              <w:t>March 14</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April 11</w:t>
            </w:r>
          </w:p>
        </w:tc>
        <w:tc>
          <w:tcPr>
            <w:tcW w:w="1327" w:type="dxa"/>
          </w:tcPr>
          <w:p w:rsidR="00FE7249" w:rsidRPr="00E00427" w:rsidRDefault="00FE7249" w:rsidP="00E00427">
            <w:pPr>
              <w:ind w:left="-13" w:right="78"/>
              <w:jc w:val="left"/>
              <w:rPr>
                <w:snapToGrid w:val="0"/>
                <w:sz w:val="16"/>
              </w:rPr>
            </w:pPr>
            <w:r w:rsidRPr="00E00427">
              <w:rPr>
                <w:snapToGrid w:val="0"/>
                <w:sz w:val="16"/>
              </w:rPr>
              <w:t>May 9</w:t>
            </w:r>
          </w:p>
        </w:tc>
        <w:tc>
          <w:tcPr>
            <w:tcW w:w="1366" w:type="dxa"/>
          </w:tcPr>
          <w:p w:rsidR="00FE7249" w:rsidRPr="00E00427" w:rsidRDefault="00FE7249" w:rsidP="00E00427">
            <w:pPr>
              <w:ind w:right="-115"/>
              <w:jc w:val="left"/>
              <w:rPr>
                <w:snapToGrid w:val="0"/>
                <w:sz w:val="16"/>
              </w:rPr>
            </w:pPr>
            <w:r w:rsidRPr="00E00427">
              <w:rPr>
                <w:snapToGrid w:val="0"/>
                <w:sz w:val="16"/>
              </w:rPr>
              <w:t>June 23-27</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color w:val="000000"/>
                <w:sz w:val="16"/>
              </w:rPr>
              <w:t>Agricultural Crops (TWA)</w:t>
            </w:r>
          </w:p>
        </w:tc>
        <w:tc>
          <w:tcPr>
            <w:tcW w:w="1417" w:type="dxa"/>
          </w:tcPr>
          <w:p w:rsidR="00FE7249" w:rsidRPr="00E00427" w:rsidRDefault="00FE7249" w:rsidP="00E00427">
            <w:pPr>
              <w:ind w:right="26"/>
              <w:jc w:val="left"/>
              <w:rPr>
                <w:snapToGrid w:val="0"/>
                <w:sz w:val="16"/>
              </w:rPr>
            </w:pPr>
            <w:r w:rsidRPr="00E00427">
              <w:rPr>
                <w:snapToGrid w:val="0"/>
                <w:sz w:val="16"/>
              </w:rPr>
              <w:t>August 8</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September 15</w:t>
            </w:r>
          </w:p>
        </w:tc>
        <w:tc>
          <w:tcPr>
            <w:tcW w:w="1327" w:type="dxa"/>
          </w:tcPr>
          <w:p w:rsidR="00FE7249" w:rsidRPr="00E00427" w:rsidRDefault="00FE7249" w:rsidP="00E00427">
            <w:pPr>
              <w:ind w:left="-13" w:right="78"/>
              <w:jc w:val="left"/>
              <w:rPr>
                <w:snapToGrid w:val="0"/>
                <w:sz w:val="16"/>
              </w:rPr>
            </w:pPr>
            <w:r w:rsidRPr="00E00427">
              <w:rPr>
                <w:snapToGrid w:val="0"/>
                <w:sz w:val="16"/>
              </w:rPr>
              <w:t>October 3</w:t>
            </w:r>
          </w:p>
        </w:tc>
        <w:tc>
          <w:tcPr>
            <w:tcW w:w="1366" w:type="dxa"/>
          </w:tcPr>
          <w:p w:rsidR="00FE7249" w:rsidRPr="00E00427" w:rsidRDefault="00FE7249" w:rsidP="00E00427">
            <w:pPr>
              <w:ind w:right="-115"/>
              <w:jc w:val="left"/>
              <w:rPr>
                <w:snapToGrid w:val="0"/>
                <w:sz w:val="16"/>
              </w:rPr>
            </w:pPr>
            <w:r w:rsidRPr="00E00427">
              <w:rPr>
                <w:snapToGrid w:val="0"/>
                <w:sz w:val="16"/>
              </w:rPr>
              <w:t>November 17-21</w:t>
            </w:r>
          </w:p>
        </w:tc>
      </w:tr>
    </w:tbl>
    <w:p w:rsidR="00E00427" w:rsidRDefault="00E00427" w:rsidP="00E00427">
      <w:pPr>
        <w:ind w:left="567" w:right="567"/>
        <w:rPr>
          <w:snapToGrid w:val="0"/>
        </w:rPr>
      </w:pPr>
    </w:p>
    <w:p w:rsidR="00FE7249" w:rsidRPr="00E00427" w:rsidRDefault="00E00427" w:rsidP="00E00427">
      <w:pPr>
        <w:ind w:left="567" w:right="567"/>
        <w:rPr>
          <w:snapToGrid w:val="0"/>
          <w:color w:val="00000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t>“</w:t>
      </w:r>
      <w:r w:rsidR="00FE7249" w:rsidRPr="00E00427">
        <w:rPr>
          <w:snapToGrid w:val="0"/>
          <w:sz w:val="18"/>
        </w:rPr>
        <w:t xml:space="preserve">A mock-up of Version 1 of the web-based TG Template was developed and tested at the end of 2013, in conjunction with experts from Australia and the </w:t>
      </w:r>
      <w:r w:rsidR="00FE7249" w:rsidRPr="00E00427">
        <w:rPr>
          <w:rFonts w:cs="Arial"/>
          <w:snapToGrid w:val="0"/>
          <w:color w:val="000000"/>
          <w:sz w:val="18"/>
        </w:rPr>
        <w:t xml:space="preserve">Netherlands, and the fully-functioning software </w:t>
      </w:r>
      <w:r w:rsidR="0006090F" w:rsidRPr="00E00427">
        <w:rPr>
          <w:rFonts w:cs="Arial"/>
          <w:snapToGrid w:val="0"/>
          <w:color w:val="000000"/>
          <w:sz w:val="18"/>
        </w:rPr>
        <w:t>was</w:t>
      </w:r>
      <w:r w:rsidR="00FE7249" w:rsidRPr="00E00427">
        <w:rPr>
          <w:rFonts w:cs="Arial"/>
          <w:snapToGrid w:val="0"/>
          <w:color w:val="000000"/>
          <w:sz w:val="18"/>
        </w:rPr>
        <w:t xml:space="preserve"> tested by the same experts in March 2014.</w:t>
      </w:r>
      <w:r w:rsidR="00FE7249" w:rsidRPr="00E00427">
        <w:rPr>
          <w:snapToGrid w:val="0"/>
          <w:sz w:val="18"/>
        </w:rPr>
        <w:t xml:space="preserve">  </w:t>
      </w:r>
      <w:r w:rsidR="00FE7249" w:rsidRPr="00E00427">
        <w:rPr>
          <w:snapToGrid w:val="0"/>
          <w:color w:val="000000"/>
          <w:sz w:val="18"/>
        </w:rPr>
        <w:t xml:space="preserve">The Office of the Union will inform all </w:t>
      </w:r>
      <w:r w:rsidR="00FE7249" w:rsidRPr="00E00427">
        <w:rPr>
          <w:iCs/>
          <w:snapToGrid w:val="0"/>
          <w:color w:val="000000"/>
          <w:sz w:val="18"/>
        </w:rPr>
        <w:t>Leading Expert</w:t>
      </w:r>
      <w:r w:rsidR="00FE7249" w:rsidRPr="00E00427">
        <w:rPr>
          <w:snapToGrid w:val="0"/>
          <w:color w:val="000000"/>
          <w:sz w:val="18"/>
        </w:rPr>
        <w:t xml:space="preserve">s of the development of the web-based TG Template and </w:t>
      </w:r>
      <w:r w:rsidR="00FE7249" w:rsidRPr="00E00427">
        <w:rPr>
          <w:rFonts w:cs="Arial"/>
          <w:sz w:val="18"/>
        </w:rPr>
        <w:t>request all Leading Experts to participate in the testing of Version 1 in May and June 2014</w:t>
      </w:r>
      <w:r w:rsidR="00FE7249" w:rsidRPr="00E00427">
        <w:rPr>
          <w:snapToGrid w:val="0"/>
          <w:color w:val="000000"/>
          <w:sz w:val="18"/>
        </w:rPr>
        <w:t xml:space="preserve">.  A circular will be issued in due course to all Leading Experts providing all necessary </w:t>
      </w:r>
      <w:r w:rsidR="0006090F" w:rsidRPr="00E00427">
        <w:rPr>
          <w:snapToGrid w:val="0"/>
          <w:color w:val="000000"/>
          <w:sz w:val="18"/>
        </w:rPr>
        <w:t>information</w:t>
      </w:r>
      <w:r w:rsidR="00FE7249" w:rsidRPr="00E00427">
        <w:rPr>
          <w:snapToGrid w:val="0"/>
          <w:color w:val="000000"/>
          <w:sz w:val="18"/>
        </w:rPr>
        <w:t xml:space="preserve">.  </w:t>
      </w:r>
      <w:r w:rsidR="00FE7249" w:rsidRPr="00E00427">
        <w:rPr>
          <w:snapToGrid w:val="0"/>
          <w:sz w:val="18"/>
        </w:rPr>
        <w:t xml:space="preserve">In the case of the </w:t>
      </w:r>
      <w:r w:rsidR="00FE7249" w:rsidRPr="00E00427">
        <w:rPr>
          <w:snapToGrid w:val="0"/>
          <w:color w:val="000000"/>
          <w:sz w:val="18"/>
        </w:rPr>
        <w:t>TWA, the web</w:t>
      </w:r>
      <w:r w:rsidR="00FE7249" w:rsidRPr="00E00427">
        <w:rPr>
          <w:snapToGrid w:val="0"/>
          <w:color w:val="000000"/>
          <w:sz w:val="18"/>
        </w:rPr>
        <w:noBreakHyphen/>
        <w:t xml:space="preserve">based TG Template can be used to prepare the Subgroup drafts.  </w:t>
      </w:r>
    </w:p>
    <w:p w:rsidR="00FE7249" w:rsidRPr="00E00427" w:rsidRDefault="00FE7249" w:rsidP="00E00427">
      <w:pPr>
        <w:ind w:left="567" w:right="567"/>
        <w:rPr>
          <w:snapToGrid w:val="0"/>
          <w:color w:val="000000"/>
          <w:sz w:val="18"/>
        </w:rPr>
      </w:pPr>
    </w:p>
    <w:p w:rsidR="00FE7249" w:rsidRPr="00E00427" w:rsidRDefault="00FE7249" w:rsidP="00E00427">
      <w:pPr>
        <w:ind w:left="567" w:right="567"/>
        <w:rPr>
          <w:snapToGrid w:val="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napToGrid w:val="0"/>
          <w:sz w:val="18"/>
        </w:rPr>
        <w:t xml:space="preserve">In order to achieve the benefits of the web-based TG Template, it will be necessary for all </w:t>
      </w:r>
      <w:r w:rsidRPr="00E00427">
        <w:rPr>
          <w:iCs/>
          <w:snapToGrid w:val="0"/>
          <w:color w:val="000000"/>
          <w:sz w:val="18"/>
        </w:rPr>
        <w:t>Leading Expert</w:t>
      </w:r>
      <w:r w:rsidRPr="00E00427">
        <w:rPr>
          <w:snapToGrid w:val="0"/>
          <w:sz w:val="18"/>
        </w:rPr>
        <w:t>s and Interested Experts to use the web-based TG Template exclusively for the preparation of Test Guidelines for the Technical Working Parties.  Therefore, the use of the web-based TG Template will be required for the preparation of all Test Guidelines from 2015.  Training on the use of the web-based TG Template will initially be provided at the Technical Working Party sessions in 2014 and by means of e</w:t>
      </w:r>
      <w:r w:rsidRPr="00E00427">
        <w:rPr>
          <w:snapToGrid w:val="0"/>
          <w:sz w:val="18"/>
        </w:rPr>
        <w:noBreakHyphen/>
        <w:t xml:space="preserve">workshops.  </w:t>
      </w:r>
    </w:p>
    <w:p w:rsidR="0019051D" w:rsidRPr="00E00427" w:rsidRDefault="0019051D" w:rsidP="00E00427">
      <w:pPr>
        <w:autoSpaceDE w:val="0"/>
        <w:autoSpaceDN w:val="0"/>
        <w:adjustRightInd w:val="0"/>
        <w:ind w:left="567" w:right="567"/>
        <w:rPr>
          <w:rFonts w:cs="Arial"/>
          <w:sz w:val="18"/>
          <w:lang w:val="nl-NL"/>
        </w:rPr>
      </w:pPr>
    </w:p>
    <w:p w:rsidR="00F01584" w:rsidRPr="00E00427" w:rsidRDefault="00E00427" w:rsidP="00E00427">
      <w:pPr>
        <w:pStyle w:val="Heading4"/>
        <w:rPr>
          <w:sz w:val="18"/>
        </w:rPr>
      </w:pPr>
      <w:bookmarkStart w:id="19" w:name="_Toc381174897"/>
      <w:bookmarkStart w:id="20" w:name="_Toc387249878"/>
      <w:r w:rsidRPr="00E00427">
        <w:rPr>
          <w:sz w:val="18"/>
        </w:rPr>
        <w:t>“</w:t>
      </w:r>
      <w:r w:rsidR="00F01584" w:rsidRPr="00E00427">
        <w:rPr>
          <w:sz w:val="18"/>
        </w:rPr>
        <w:t>Version 2</w:t>
      </w:r>
      <w:bookmarkEnd w:id="19"/>
      <w:bookmarkEnd w:id="20"/>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2 of the web-based TG Template will provide the two following additional features:</w:t>
      </w:r>
    </w:p>
    <w:p w:rsidR="00F01584" w:rsidRPr="00E00427" w:rsidRDefault="00F01584" w:rsidP="00E00427">
      <w:pPr>
        <w:spacing w:line="360" w:lineRule="auto"/>
        <w:ind w:left="567" w:right="567"/>
        <w:rPr>
          <w:sz w:val="18"/>
        </w:rPr>
      </w:pPr>
    </w:p>
    <w:p w:rsidR="00F01584" w:rsidRPr="00E00427" w:rsidRDefault="00E00427" w:rsidP="00E00427">
      <w:pPr>
        <w:pStyle w:val="Heading5"/>
        <w:rPr>
          <w:sz w:val="16"/>
        </w:rPr>
      </w:pPr>
      <w:bookmarkStart w:id="21" w:name="_Toc381174898"/>
      <w:bookmarkStart w:id="22" w:name="_Toc387249879"/>
      <w:r w:rsidRPr="00E00427">
        <w:rPr>
          <w:sz w:val="16"/>
        </w:rPr>
        <w:t>“</w:t>
      </w:r>
      <w:r w:rsidR="00F01584" w:rsidRPr="00E00427">
        <w:rPr>
          <w:sz w:val="16"/>
        </w:rPr>
        <w:t>Concurrent translation</w:t>
      </w:r>
      <w:bookmarkEnd w:id="21"/>
      <w:bookmarkEnd w:id="22"/>
      <w:r w:rsidR="00F01584" w:rsidRPr="00E00427">
        <w:rPr>
          <w:sz w:val="16"/>
        </w:rPr>
        <w:t xml:space="preserve"> </w:t>
      </w:r>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 xml:space="preserve">In version 2 of the web-based TG Template, the French, German and Spanish language versions of the Test Guidelines will be automatically developed concurrently with the English draft for the standard wording, </w:t>
      </w:r>
      <w:r w:rsidRPr="00E00427">
        <w:rPr>
          <w:snapToGrid w:val="0"/>
          <w:color w:val="000000"/>
          <w:sz w:val="18"/>
        </w:rPr>
        <w:t>Additional Standard Wording (ASW) and c</w:t>
      </w:r>
      <w:r w:rsidRPr="00E00427">
        <w:rPr>
          <w:sz w:val="18"/>
        </w:rPr>
        <w:t>haracteristics uploaded, unchanged, from the database comprising the collection of approved characteristics.  Text that has not been automatically translated will be indicated for translation in the language concerned.</w:t>
      </w:r>
    </w:p>
    <w:p w:rsidR="00F01584" w:rsidRPr="00E00427" w:rsidRDefault="00F01584" w:rsidP="00E00427">
      <w:pPr>
        <w:spacing w:line="360" w:lineRule="auto"/>
        <w:ind w:left="567" w:right="567"/>
        <w:rPr>
          <w:sz w:val="18"/>
        </w:rPr>
      </w:pPr>
    </w:p>
    <w:p w:rsidR="00F01584" w:rsidRPr="00E00427" w:rsidRDefault="00E00427" w:rsidP="00E00427">
      <w:pPr>
        <w:pStyle w:val="Heading5"/>
        <w:rPr>
          <w:sz w:val="16"/>
        </w:rPr>
      </w:pPr>
      <w:bookmarkStart w:id="23" w:name="_Toc381174899"/>
      <w:bookmarkStart w:id="24" w:name="_Toc387249880"/>
      <w:r w:rsidRPr="00E00427">
        <w:rPr>
          <w:sz w:val="16"/>
        </w:rPr>
        <w:t>“</w:t>
      </w:r>
      <w:r w:rsidR="00F01584" w:rsidRPr="00E00427">
        <w:rPr>
          <w:sz w:val="16"/>
        </w:rPr>
        <w:t>Individual authorities’ test guidelines</w:t>
      </w:r>
      <w:bookmarkEnd w:id="23"/>
      <w:bookmarkEnd w:id="24"/>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1 of the web-based TG Template has been designed for the development of Test Guidelines for UPOV.  However, it has also been designed such that Version 2 will enable members of the Union to use:</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lastRenderedPageBreak/>
        <w:tab/>
      </w:r>
      <w:r w:rsidR="00E00427" w:rsidRPr="00E00427">
        <w:rPr>
          <w:sz w:val="18"/>
        </w:rPr>
        <w:t>“</w:t>
      </w:r>
      <w:r w:rsidRPr="00E00427">
        <w:rPr>
          <w:sz w:val="18"/>
        </w:rPr>
        <w:t>(</w:t>
      </w:r>
      <w:proofErr w:type="gramStart"/>
      <w:r w:rsidRPr="00E00427">
        <w:rPr>
          <w:sz w:val="18"/>
        </w:rPr>
        <w:t>a</w:t>
      </w:r>
      <w:proofErr w:type="gramEnd"/>
      <w:r w:rsidRPr="00E00427">
        <w:rPr>
          <w:sz w:val="18"/>
        </w:rPr>
        <w:t>)</w:t>
      </w:r>
      <w:r w:rsidRPr="00E00427">
        <w:rPr>
          <w:sz w:val="18"/>
        </w:rPr>
        <w:tab/>
        <w:t>adopted UPOV Test Guidelines as a basis for the development of individual authorities’ test guidelines;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tab/>
      </w:r>
      <w:r w:rsidR="00E00427" w:rsidRPr="00E00427">
        <w:rPr>
          <w:sz w:val="18"/>
        </w:rPr>
        <w:t>“</w:t>
      </w:r>
      <w:r w:rsidRPr="00E00427">
        <w:rPr>
          <w:sz w:val="18"/>
        </w:rPr>
        <w:t>(b)</w:t>
      </w:r>
      <w:r w:rsidRPr="00E00427">
        <w:rPr>
          <w:sz w:val="18"/>
        </w:rPr>
        <w:tab/>
        <w:t>the web-based TG Template and database of characteristics to develop  individual authorities’ test guidelines for which there are no UPOV Test Guidelines;  and</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tab/>
      </w:r>
      <w:r w:rsidR="00E00427" w:rsidRPr="00E00427">
        <w:rPr>
          <w:sz w:val="18"/>
        </w:rPr>
        <w:t>“</w:t>
      </w:r>
      <w:r w:rsidRPr="00E00427">
        <w:rPr>
          <w:sz w:val="18"/>
        </w:rPr>
        <w:t>(</w:t>
      </w:r>
      <w:proofErr w:type="gramStart"/>
      <w:r w:rsidRPr="00E00427">
        <w:rPr>
          <w:sz w:val="18"/>
        </w:rPr>
        <w:t>c</w:t>
      </w:r>
      <w:proofErr w:type="gramEnd"/>
      <w:r w:rsidRPr="00E00427">
        <w:rPr>
          <w:sz w:val="18"/>
        </w:rPr>
        <w:t>)</w:t>
      </w:r>
      <w:r w:rsidRPr="00E00427">
        <w:rPr>
          <w:sz w:val="18"/>
        </w:rPr>
        <w:tab/>
        <w:t>use individual authorities’ test guidelines, developed using the web-based TG Template, as the basis for draft UPOV Test Guidelines.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Subject to successful implementation of Version 1 of the web-based TG Template in 2014, the development of Version 2 is planned for 2015.</w:t>
      </w:r>
      <w:r w:rsidR="00E00427" w:rsidRPr="00E00427">
        <w:rPr>
          <w:sz w:val="18"/>
        </w:rPr>
        <w:t>”</w:t>
      </w:r>
    </w:p>
    <w:p w:rsidR="00722632" w:rsidRDefault="00722632" w:rsidP="00722632"/>
    <w:p w:rsidR="00E00427" w:rsidRDefault="00E00427" w:rsidP="00722632"/>
    <w:p w:rsidR="00D16B04" w:rsidRDefault="00D16B04" w:rsidP="00D16B04">
      <w:r>
        <w:fldChar w:fldCharType="begin"/>
      </w:r>
      <w:r>
        <w:instrText xml:space="preserve"> AUTONUM  </w:instrText>
      </w:r>
      <w:r>
        <w:fldChar w:fldCharType="end"/>
      </w:r>
      <w:r>
        <w:tab/>
        <w:t xml:space="preserve">The TC agreed to the organization of </w:t>
      </w:r>
      <w:r>
        <w:rPr>
          <w:rFonts w:cs="Arial"/>
        </w:rPr>
        <w:t xml:space="preserve">a series of </w:t>
      </w:r>
      <w:r>
        <w:t>electronic workshops (e-workshops) to demonstrate the use of the new web-based TG template. T</w:t>
      </w:r>
      <w:r>
        <w:rPr>
          <w:rFonts w:cs="Arial"/>
        </w:rPr>
        <w:t>he e</w:t>
      </w:r>
      <w:r>
        <w:rPr>
          <w:rFonts w:cs="Arial"/>
        </w:rPr>
        <w:noBreakHyphen/>
        <w:t>workshops would be organized to coincide with the start of drafting work by Leading Experts.  The TC also agreed that a demonstration of the</w:t>
      </w:r>
      <w:r>
        <w:t xml:space="preserve"> new web-based TG template</w:t>
      </w:r>
      <w:r>
        <w:rPr>
          <w:rFonts w:cs="Arial"/>
        </w:rPr>
        <w:t xml:space="preserve"> should be made at the Technical Working Party sessions.</w:t>
      </w:r>
    </w:p>
    <w:p w:rsidR="00D16B04" w:rsidRDefault="00D16B04" w:rsidP="00D16B04"/>
    <w:p w:rsidR="00D16B04" w:rsidRDefault="00D16B04" w:rsidP="00D16B04">
      <w:r>
        <w:fldChar w:fldCharType="begin"/>
      </w:r>
      <w:r>
        <w:instrText xml:space="preserve"> AUTONUM  </w:instrText>
      </w:r>
      <w:r>
        <w:fldChar w:fldCharType="end"/>
      </w:r>
      <w:r>
        <w:tab/>
        <w:t xml:space="preserve">The TC noted that the Office of the Union would prepare a grid template for shape and ratio characteristics, for use by </w:t>
      </w:r>
      <w:r w:rsidRPr="00160D90">
        <w:rPr>
          <w:iCs/>
          <w:snapToGrid w:val="0"/>
          <w:color w:val="000000"/>
        </w:rPr>
        <w:t>Leading Expert</w:t>
      </w:r>
      <w:r>
        <w:t xml:space="preserve">s (see document TC/50/36 “Report on the Conclusions”, paragraphs </w:t>
      </w:r>
      <w:r w:rsidR="00E00427">
        <w:t>20 and</w:t>
      </w:r>
      <w:r>
        <w:t xml:space="preserve"> 21). </w:t>
      </w:r>
    </w:p>
    <w:p w:rsidR="00D16B04" w:rsidRDefault="00D16B04" w:rsidP="00D16B04">
      <w:pPr>
        <w:autoSpaceDE w:val="0"/>
        <w:autoSpaceDN w:val="0"/>
        <w:adjustRightInd w:val="0"/>
        <w:rPr>
          <w:rFonts w:cs="Arial"/>
        </w:rPr>
      </w:pPr>
    </w:p>
    <w:p w:rsidR="00D16B04" w:rsidRDefault="00D16B04" w:rsidP="00D16B04">
      <w:r>
        <w:fldChar w:fldCharType="begin"/>
      </w:r>
      <w:r>
        <w:instrText xml:space="preserve"> AUTONUM  </w:instrText>
      </w:r>
      <w:r>
        <w:fldChar w:fldCharType="end"/>
      </w:r>
      <w:r>
        <w:tab/>
      </w:r>
      <w:r w:rsidRPr="00761D75">
        <w:rPr>
          <w:rFonts w:cs="Arial"/>
        </w:rPr>
        <w:t xml:space="preserve">The TC noted that the Office would </w:t>
      </w:r>
      <w:r>
        <w:rPr>
          <w:rFonts w:cs="Arial"/>
        </w:rPr>
        <w:t xml:space="preserve">request all Leading Experts to participate in the testing of Version 1 in May and June 2014.  The TC also noted that the Leading and Interested Experts would be requested to use the web-based TG Template for the preparation of draft Test Guidelines for the forty-third session of the </w:t>
      </w:r>
      <w:r w:rsidRPr="00AF342C">
        <w:t>Technical Working Party for Agricultural Crops</w:t>
      </w:r>
      <w:r>
        <w:t xml:space="preserve"> (TWA), to be held in Mar del Plata, Argentina, from November 17 to 21, 2014.  The TC approved the plans for the implementation of the web-based TG Template, including the exclusive use of the web-based TG Template for the development of all Test Guidelines from 2015</w:t>
      </w:r>
      <w:r w:rsidR="00E00427">
        <w:t xml:space="preserve"> (see document TC/50/36 “Report on the Conclusions”, paragraph 15)</w:t>
      </w:r>
      <w:r>
        <w:t xml:space="preserve">. </w:t>
      </w:r>
    </w:p>
    <w:p w:rsidR="00E00427" w:rsidRDefault="00E00427" w:rsidP="00D16B04"/>
    <w:p w:rsidR="00E00427" w:rsidRDefault="00E00427" w:rsidP="00E00427">
      <w:r>
        <w:fldChar w:fldCharType="begin"/>
      </w:r>
      <w:r>
        <w:instrText xml:space="preserve"> AUTONUM  </w:instrText>
      </w:r>
      <w:r>
        <w:fldChar w:fldCharType="end"/>
      </w:r>
      <w:r>
        <w:tab/>
        <w:t>A presentation on the web-based TG Temp</w:t>
      </w:r>
      <w:r w:rsidR="005556B1">
        <w:t>late will be made at the forty-fif</w:t>
      </w:r>
      <w:r>
        <w:t>th session of the TW</w:t>
      </w:r>
      <w:r w:rsidR="005556B1">
        <w:t>F</w:t>
      </w:r>
      <w:r w:rsidR="00DA1C3E">
        <w:t>.</w:t>
      </w:r>
    </w:p>
    <w:p w:rsidR="00D16B04" w:rsidRDefault="00D16B04" w:rsidP="00722632"/>
    <w:p w:rsidR="0050043F" w:rsidRPr="00FF721B" w:rsidRDefault="0050043F" w:rsidP="0050043F">
      <w:pPr>
        <w:pStyle w:val="DecisionParagraphs"/>
        <w:tabs>
          <w:tab w:val="left" w:pos="5954"/>
        </w:tabs>
      </w:pPr>
      <w:r w:rsidRPr="00217A43">
        <w:rPr>
          <w:rFonts w:cs="Arial"/>
          <w:i w:val="0"/>
        </w:rPr>
        <w:fldChar w:fldCharType="begin"/>
      </w:r>
      <w:r w:rsidRPr="00217A43">
        <w:rPr>
          <w:rFonts w:cs="Arial"/>
        </w:rPr>
        <w:instrText xml:space="preserve"> AUTONUM  </w:instrText>
      </w:r>
      <w:r w:rsidRPr="00217A43">
        <w:rPr>
          <w:rFonts w:cs="Arial"/>
          <w:i w:val="0"/>
        </w:rPr>
        <w:fldChar w:fldCharType="end"/>
      </w:r>
      <w:r w:rsidRPr="00217A43">
        <w:rPr>
          <w:rFonts w:cs="Arial"/>
        </w:rPr>
        <w:tab/>
      </w:r>
      <w:r w:rsidRPr="00FF721B">
        <w:t>The T</w:t>
      </w:r>
      <w:r>
        <w:t>W</w:t>
      </w:r>
      <w:r w:rsidR="005556B1">
        <w:t>F</w:t>
      </w:r>
      <w:r w:rsidRPr="00FF721B">
        <w:t xml:space="preserve"> is invited to</w:t>
      </w:r>
      <w:r w:rsidR="00381323">
        <w:t xml:space="preserve"> note the</w:t>
      </w:r>
      <w:r w:rsidRPr="00FF721B">
        <w:t>:</w:t>
      </w:r>
    </w:p>
    <w:p w:rsidR="0050043F" w:rsidRPr="00FF721B" w:rsidRDefault="0050043F" w:rsidP="0050043F">
      <w:pPr>
        <w:pStyle w:val="DecisionParagraphs"/>
        <w:tabs>
          <w:tab w:val="left" w:pos="5954"/>
        </w:tabs>
      </w:pPr>
    </w:p>
    <w:p w:rsidR="0050043F" w:rsidRDefault="0050043F" w:rsidP="0050043F">
      <w:pPr>
        <w:pStyle w:val="DecisionParagraphs"/>
        <w:tabs>
          <w:tab w:val="left" w:pos="5954"/>
        </w:tabs>
      </w:pPr>
      <w:r>
        <w:tab/>
      </w:r>
      <w:r w:rsidRPr="00FC4145">
        <w:t>(</w:t>
      </w:r>
      <w:proofErr w:type="gramStart"/>
      <w:r w:rsidRPr="00FC4145">
        <w:t>a</w:t>
      </w:r>
      <w:proofErr w:type="gramEnd"/>
      <w:r w:rsidRPr="00FC4145">
        <w:t>)</w:t>
      </w:r>
      <w:r w:rsidRPr="00FC4145">
        <w:tab/>
        <w:t>features of Version 1 of the web</w:t>
      </w:r>
      <w:r w:rsidRPr="00FC4145">
        <w:noBreakHyphen/>
        <w:t xml:space="preserve">based TG Template, as set out in </w:t>
      </w:r>
      <w:r w:rsidRPr="00B25FF1">
        <w:t xml:space="preserve">paragraph </w:t>
      </w:r>
      <w:r w:rsidR="00DA1C3E" w:rsidRPr="00B25FF1">
        <w:t>10</w:t>
      </w:r>
      <w:r w:rsidRPr="00B25FF1">
        <w:t>;</w:t>
      </w:r>
    </w:p>
    <w:p w:rsidR="00F85332" w:rsidRDefault="00F85332" w:rsidP="0050043F">
      <w:pPr>
        <w:pStyle w:val="DecisionParagraphs"/>
        <w:tabs>
          <w:tab w:val="left" w:pos="5954"/>
        </w:tabs>
      </w:pPr>
    </w:p>
    <w:p w:rsidR="00F85332" w:rsidRPr="00FC4145" w:rsidRDefault="00F85332" w:rsidP="0050043F">
      <w:pPr>
        <w:pStyle w:val="DecisionParagraphs"/>
        <w:tabs>
          <w:tab w:val="left" w:pos="5954"/>
        </w:tabs>
      </w:pPr>
      <w:r>
        <w:tab/>
      </w:r>
      <w:r w:rsidRPr="00E43D07">
        <w:t>(b)</w:t>
      </w:r>
      <w:r w:rsidRPr="00E43D07">
        <w:tab/>
      </w:r>
      <w:proofErr w:type="gramStart"/>
      <w:r w:rsidR="00E43D07" w:rsidRPr="00E43D07">
        <w:t>request</w:t>
      </w:r>
      <w:proofErr w:type="gramEnd"/>
      <w:r w:rsidR="00E43D07" w:rsidRPr="00E43D07">
        <w:t xml:space="preserve"> </w:t>
      </w:r>
      <w:r w:rsidR="00381323">
        <w:t xml:space="preserve">for </w:t>
      </w:r>
      <w:r w:rsidRPr="00E43D07">
        <w:rPr>
          <w:rFonts w:cs="Arial"/>
        </w:rPr>
        <w:t xml:space="preserve">Leading Experts to participate in the testing of Version 1 </w:t>
      </w:r>
      <w:r w:rsidR="00E43D07" w:rsidRPr="00E43D07">
        <w:rPr>
          <w:rFonts w:cs="Arial"/>
        </w:rPr>
        <w:t xml:space="preserve">of the </w:t>
      </w:r>
      <w:r w:rsidR="00E43D07" w:rsidRPr="00E43D07">
        <w:t>web</w:t>
      </w:r>
      <w:r w:rsidR="00E43D07" w:rsidRPr="00E43D07">
        <w:noBreakHyphen/>
        <w:t>based TG</w:t>
      </w:r>
      <w:r w:rsidR="00E43D07">
        <w:t> </w:t>
      </w:r>
      <w:r w:rsidR="00E43D07" w:rsidRPr="00E43D07">
        <w:t>Template</w:t>
      </w:r>
      <w:r w:rsidRPr="00E43D07">
        <w:rPr>
          <w:rFonts w:cs="Arial"/>
        </w:rPr>
        <w:t>;</w:t>
      </w:r>
      <w:r w:rsidR="00381323">
        <w:rPr>
          <w:rFonts w:cs="Arial"/>
        </w:rPr>
        <w:t xml:space="preserve"> and</w:t>
      </w:r>
    </w:p>
    <w:p w:rsidR="0050043F" w:rsidRPr="00FC4145" w:rsidRDefault="0050043F" w:rsidP="0050043F">
      <w:pPr>
        <w:pStyle w:val="DecisionParagraphs"/>
        <w:tabs>
          <w:tab w:val="left" w:pos="5954"/>
        </w:tabs>
      </w:pPr>
    </w:p>
    <w:p w:rsidR="0050043F" w:rsidRPr="00FC4145" w:rsidRDefault="0050043F" w:rsidP="0050043F">
      <w:pPr>
        <w:pStyle w:val="DecisionParagraphs"/>
        <w:tabs>
          <w:tab w:val="left" w:pos="5954"/>
        </w:tabs>
      </w:pPr>
      <w:r w:rsidRPr="00FC4145">
        <w:tab/>
        <w:t>(</w:t>
      </w:r>
      <w:r w:rsidR="00DA1C3E">
        <w:t>c</w:t>
      </w:r>
      <w:r w:rsidRPr="00FC4145">
        <w:t>)</w:t>
      </w:r>
      <w:r w:rsidRPr="00FC4145">
        <w:tab/>
      </w:r>
      <w:proofErr w:type="gramStart"/>
      <w:r w:rsidRPr="00FC4145">
        <w:t>exclusive</w:t>
      </w:r>
      <w:proofErr w:type="gramEnd"/>
      <w:r w:rsidRPr="00FC4145">
        <w:t xml:space="preserve"> use of the web-based TG Template for the development of all Test Guidelines from 2015</w:t>
      </w:r>
      <w:r w:rsidR="00E43D07">
        <w:t>.</w:t>
      </w:r>
    </w:p>
    <w:p w:rsidR="0050043F" w:rsidRPr="00FC4145" w:rsidRDefault="0050043F" w:rsidP="0050043F">
      <w:pPr>
        <w:pStyle w:val="DecisionParagraphs"/>
        <w:tabs>
          <w:tab w:val="left" w:pos="5954"/>
        </w:tabs>
      </w:pPr>
    </w:p>
    <w:p w:rsidR="0006090F" w:rsidRDefault="0006090F" w:rsidP="0006090F">
      <w:pPr>
        <w:pStyle w:val="Header"/>
      </w:pPr>
    </w:p>
    <w:p w:rsidR="001D73AF" w:rsidRDefault="001D73AF" w:rsidP="0006090F">
      <w:pPr>
        <w:pStyle w:val="Header"/>
      </w:pPr>
    </w:p>
    <w:p w:rsidR="00894F0A" w:rsidRDefault="00894F0A" w:rsidP="00894F0A">
      <w:pPr>
        <w:pStyle w:val="Header"/>
        <w:jc w:val="right"/>
      </w:pPr>
      <w:r>
        <w:t>[Annex follows]</w:t>
      </w:r>
    </w:p>
    <w:p w:rsidR="00894F0A" w:rsidRDefault="00894F0A" w:rsidP="00894F0A">
      <w:pPr>
        <w:pStyle w:val="Header"/>
        <w:jc w:val="right"/>
      </w:pPr>
    </w:p>
    <w:p w:rsidR="00894F0A" w:rsidRDefault="00894F0A" w:rsidP="00894F0A">
      <w:pPr>
        <w:pStyle w:val="Header"/>
        <w:jc w:val="right"/>
        <w:sectPr w:rsidR="00894F0A" w:rsidSect="00906DDC">
          <w:headerReference w:type="default" r:id="rId10"/>
          <w:pgSz w:w="11907" w:h="16840" w:code="9"/>
          <w:pgMar w:top="510" w:right="1134" w:bottom="1134" w:left="1134" w:header="510" w:footer="680" w:gutter="0"/>
          <w:cols w:space="720"/>
          <w:titlePg/>
        </w:sectPr>
      </w:pPr>
    </w:p>
    <w:p w:rsidR="006977CF" w:rsidRDefault="006977CF" w:rsidP="0006090F">
      <w:pPr>
        <w:pStyle w:val="Header"/>
      </w:pPr>
    </w:p>
    <w:p w:rsidR="006977CF" w:rsidRDefault="006977CF" w:rsidP="0006090F">
      <w:pPr>
        <w:pStyle w:val="Header"/>
      </w:pPr>
    </w:p>
    <w:p w:rsidR="006977CF" w:rsidRDefault="001348D7" w:rsidP="00C90ACD">
      <w:pPr>
        <w:pStyle w:val="Header"/>
        <w:jc w:val="left"/>
      </w:pPr>
      <w:r>
        <w:rPr>
          <w:noProof/>
        </w:rPr>
        <w:drawing>
          <wp:inline distT="0" distB="0" distL="0" distR="0" wp14:anchorId="46FA9C26">
            <wp:extent cx="2870420" cy="215291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5095" cy="2156422"/>
                    </a:xfrm>
                    <a:prstGeom prst="rect">
                      <a:avLst/>
                    </a:prstGeom>
                    <a:noFill/>
                  </pic:spPr>
                </pic:pic>
              </a:graphicData>
            </a:graphic>
          </wp:inline>
        </w:drawing>
      </w:r>
      <w:r w:rsidR="00C90ACD">
        <w:tab/>
        <w:t xml:space="preserve">   </w:t>
      </w:r>
      <w:r w:rsidR="00C90ACD" w:rsidRPr="005C6AF9">
        <w:rPr>
          <w:noProof/>
        </w:rPr>
        <w:drawing>
          <wp:inline distT="0" distB="0" distL="0" distR="0" wp14:anchorId="28A04D00" wp14:editId="28B6B4DF">
            <wp:extent cx="2879999" cy="216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5C6AF9" w:rsidRDefault="005C6AF9" w:rsidP="00C90ACD">
      <w:pPr>
        <w:pStyle w:val="Header"/>
        <w:jc w:val="left"/>
      </w:pPr>
      <w:r w:rsidRPr="005C6AF9">
        <w:rPr>
          <w:noProof/>
        </w:rPr>
        <w:drawing>
          <wp:inline distT="0" distB="0" distL="0" distR="0" wp14:anchorId="365D77A2" wp14:editId="3AC34C55">
            <wp:extent cx="2879999" cy="21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79999" cy="2160000"/>
                    </a:xfrm>
                    <a:prstGeom prst="rect">
                      <a:avLst/>
                    </a:prstGeom>
                  </pic:spPr>
                </pic:pic>
              </a:graphicData>
            </a:graphic>
          </wp:inline>
        </w:drawing>
      </w:r>
      <w:r w:rsidR="00C90ACD">
        <w:t xml:space="preserve">   </w:t>
      </w:r>
      <w:r w:rsidR="00C90ACD" w:rsidRPr="005C6AF9">
        <w:rPr>
          <w:noProof/>
        </w:rPr>
        <w:drawing>
          <wp:inline distT="0" distB="0" distL="0" distR="0" wp14:anchorId="02A3DF85" wp14:editId="63C2AE88">
            <wp:extent cx="2879999" cy="21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5C6AF9" w:rsidRDefault="005C6AF9" w:rsidP="00CA51D3">
      <w:pPr>
        <w:pStyle w:val="Header"/>
        <w:jc w:val="left"/>
      </w:pPr>
      <w:r w:rsidRPr="005C6AF9">
        <w:rPr>
          <w:noProof/>
        </w:rPr>
        <w:drawing>
          <wp:inline distT="0" distB="0" distL="0" distR="0" wp14:anchorId="306B2D35" wp14:editId="1AB21DCD">
            <wp:extent cx="2879999" cy="216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79999" cy="2160000"/>
                    </a:xfrm>
                    <a:prstGeom prst="rect">
                      <a:avLst/>
                    </a:prstGeom>
                  </pic:spPr>
                </pic:pic>
              </a:graphicData>
            </a:graphic>
          </wp:inline>
        </w:drawing>
      </w:r>
      <w:r w:rsidR="00CA51D3">
        <w:t xml:space="preserve">   </w:t>
      </w:r>
      <w:r w:rsidR="00CA51D3" w:rsidRPr="005C6AF9">
        <w:rPr>
          <w:noProof/>
        </w:rPr>
        <w:drawing>
          <wp:inline distT="0" distB="0" distL="0" distR="0" wp14:anchorId="560560A3" wp14:editId="27593B49">
            <wp:extent cx="287999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5C6AF9" w:rsidRDefault="005C6AF9" w:rsidP="0006090F">
      <w:pPr>
        <w:pStyle w:val="Header"/>
      </w:pPr>
    </w:p>
    <w:p w:rsidR="005C6AF9" w:rsidRDefault="005C6AF9" w:rsidP="0006090F">
      <w:pPr>
        <w:pStyle w:val="Header"/>
      </w:pPr>
    </w:p>
    <w:p w:rsidR="005C6AF9" w:rsidRDefault="005C6AF9" w:rsidP="00AE3249">
      <w:pPr>
        <w:pStyle w:val="Header"/>
        <w:jc w:val="left"/>
      </w:pPr>
      <w:r w:rsidRPr="005C6AF9">
        <w:rPr>
          <w:noProof/>
        </w:rPr>
        <w:lastRenderedPageBreak/>
        <w:drawing>
          <wp:inline distT="0" distB="0" distL="0" distR="0" wp14:anchorId="4069830F" wp14:editId="2AD5BCF4">
            <wp:extent cx="2879999" cy="216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79999" cy="2160000"/>
                    </a:xfrm>
                    <a:prstGeom prst="rect">
                      <a:avLst/>
                    </a:prstGeom>
                  </pic:spPr>
                </pic:pic>
              </a:graphicData>
            </a:graphic>
          </wp:inline>
        </w:drawing>
      </w:r>
      <w:r w:rsidR="00AE3249">
        <w:t xml:space="preserve">   </w:t>
      </w:r>
      <w:r w:rsidR="00AE3249" w:rsidRPr="005C6AF9">
        <w:rPr>
          <w:noProof/>
        </w:rPr>
        <w:drawing>
          <wp:inline distT="0" distB="0" distL="0" distR="0" wp14:anchorId="64DBF629" wp14:editId="657F7F80">
            <wp:extent cx="2879999" cy="216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8E555B" w:rsidRDefault="008E555B" w:rsidP="0006090F">
      <w:pPr>
        <w:pStyle w:val="Header"/>
      </w:pPr>
    </w:p>
    <w:p w:rsidR="005C6AF9" w:rsidRDefault="005C6AF9" w:rsidP="00AE3249">
      <w:pPr>
        <w:pStyle w:val="Header"/>
        <w:jc w:val="left"/>
      </w:pPr>
      <w:r w:rsidRPr="005C6AF9">
        <w:rPr>
          <w:noProof/>
        </w:rPr>
        <w:drawing>
          <wp:inline distT="0" distB="0" distL="0" distR="0" wp14:anchorId="13EC15BA" wp14:editId="630A3ACA">
            <wp:extent cx="2879999" cy="216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79999" cy="2160000"/>
                    </a:xfrm>
                    <a:prstGeom prst="rect">
                      <a:avLst/>
                    </a:prstGeom>
                  </pic:spPr>
                </pic:pic>
              </a:graphicData>
            </a:graphic>
          </wp:inline>
        </w:drawing>
      </w:r>
      <w:r w:rsidR="008E555B">
        <w:t xml:space="preserve">   </w:t>
      </w:r>
      <w:r w:rsidR="00AE3249" w:rsidRPr="005C6AF9">
        <w:rPr>
          <w:noProof/>
        </w:rPr>
        <w:drawing>
          <wp:inline distT="0" distB="0" distL="0" distR="0" wp14:anchorId="797FF61F" wp14:editId="3D11FE26">
            <wp:extent cx="2879999" cy="216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79999" cy="2160000"/>
                    </a:xfrm>
                    <a:prstGeom prst="rect">
                      <a:avLst/>
                    </a:prstGeom>
                  </pic:spPr>
                </pic:pic>
              </a:graphicData>
            </a:graphic>
          </wp:inline>
        </w:drawing>
      </w:r>
    </w:p>
    <w:p w:rsidR="005C6AF9" w:rsidRDefault="005C6AF9" w:rsidP="0006090F">
      <w:pPr>
        <w:pStyle w:val="Header"/>
      </w:pPr>
    </w:p>
    <w:p w:rsidR="005C6AF9" w:rsidRDefault="005C6AF9" w:rsidP="0006090F">
      <w:pPr>
        <w:pStyle w:val="Header"/>
      </w:pPr>
    </w:p>
    <w:p w:rsidR="006977CF" w:rsidRDefault="005C6AF9" w:rsidP="00AE3249">
      <w:pPr>
        <w:pStyle w:val="Header"/>
        <w:jc w:val="left"/>
      </w:pPr>
      <w:r w:rsidRPr="005C6AF9">
        <w:rPr>
          <w:noProof/>
        </w:rPr>
        <w:drawing>
          <wp:inline distT="0" distB="0" distL="0" distR="0" wp14:anchorId="19B94027" wp14:editId="72DEE292">
            <wp:extent cx="2879999" cy="216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79999" cy="2160000"/>
                    </a:xfrm>
                    <a:prstGeom prst="rect">
                      <a:avLst/>
                    </a:prstGeom>
                  </pic:spPr>
                </pic:pic>
              </a:graphicData>
            </a:graphic>
          </wp:inline>
        </w:drawing>
      </w:r>
      <w:r w:rsidR="00AE3249">
        <w:t xml:space="preserve"> </w:t>
      </w:r>
      <w:r w:rsidR="008E555B">
        <w:t xml:space="preserve"> </w:t>
      </w:r>
      <w:r w:rsidR="00AE3249">
        <w:t xml:space="preserve"> </w:t>
      </w:r>
      <w:r w:rsidR="00AE3249" w:rsidRPr="005C6AF9">
        <w:rPr>
          <w:noProof/>
        </w:rPr>
        <w:drawing>
          <wp:inline distT="0" distB="0" distL="0" distR="0" wp14:anchorId="4DB20F15" wp14:editId="42F9667B">
            <wp:extent cx="2879999" cy="216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5C6AF9" w:rsidRDefault="005C6AF9" w:rsidP="0006090F">
      <w:pPr>
        <w:pStyle w:val="Header"/>
      </w:pPr>
    </w:p>
    <w:p w:rsidR="005C6AF9" w:rsidRDefault="005C6AF9" w:rsidP="0006090F">
      <w:pPr>
        <w:pStyle w:val="Header"/>
      </w:pPr>
    </w:p>
    <w:p w:rsidR="006977CF" w:rsidRDefault="005C6AF9" w:rsidP="00AE3249">
      <w:pPr>
        <w:pStyle w:val="Header"/>
        <w:jc w:val="left"/>
      </w:pPr>
      <w:r w:rsidRPr="005C6AF9">
        <w:rPr>
          <w:noProof/>
        </w:rPr>
        <w:lastRenderedPageBreak/>
        <w:drawing>
          <wp:inline distT="0" distB="0" distL="0" distR="0" wp14:anchorId="0ADA89DA" wp14:editId="7CE72C49">
            <wp:extent cx="2879999" cy="216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879999" cy="2160000"/>
                    </a:xfrm>
                    <a:prstGeom prst="rect">
                      <a:avLst/>
                    </a:prstGeom>
                  </pic:spPr>
                </pic:pic>
              </a:graphicData>
            </a:graphic>
          </wp:inline>
        </w:drawing>
      </w:r>
      <w:r w:rsidR="008E555B">
        <w:t xml:space="preserve">   </w:t>
      </w:r>
      <w:r w:rsidR="00AE3249" w:rsidRPr="005C6AF9">
        <w:rPr>
          <w:noProof/>
        </w:rPr>
        <w:drawing>
          <wp:inline distT="0" distB="0" distL="0" distR="0" wp14:anchorId="024C949B" wp14:editId="4EEDB827">
            <wp:extent cx="2879999" cy="216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879999" cy="2160000"/>
                    </a:xfrm>
                    <a:prstGeom prst="rect">
                      <a:avLst/>
                    </a:prstGeom>
                  </pic:spPr>
                </pic:pic>
              </a:graphicData>
            </a:graphic>
          </wp:inline>
        </w:drawing>
      </w:r>
    </w:p>
    <w:p w:rsidR="005C6AF9" w:rsidRDefault="005C6AF9" w:rsidP="0006090F">
      <w:pPr>
        <w:pStyle w:val="Header"/>
      </w:pPr>
    </w:p>
    <w:p w:rsidR="005C6AF9" w:rsidRDefault="005C6AF9" w:rsidP="0006090F">
      <w:pPr>
        <w:pStyle w:val="Header"/>
      </w:pPr>
    </w:p>
    <w:p w:rsidR="006977CF" w:rsidRDefault="005C6AF9" w:rsidP="0006090F">
      <w:pPr>
        <w:pStyle w:val="Header"/>
      </w:pPr>
      <w:r w:rsidRPr="005C6AF9">
        <w:rPr>
          <w:noProof/>
        </w:rPr>
        <w:drawing>
          <wp:inline distT="0" distB="0" distL="0" distR="0" wp14:anchorId="24337AA8" wp14:editId="65F53401">
            <wp:extent cx="2879999" cy="216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6977CF" w:rsidRDefault="006977CF" w:rsidP="0006090F">
      <w:pPr>
        <w:pStyle w:val="Header"/>
      </w:pPr>
    </w:p>
    <w:p w:rsidR="006977CF" w:rsidRDefault="006977CF" w:rsidP="0006090F">
      <w:pPr>
        <w:pStyle w:val="Header"/>
      </w:pPr>
    </w:p>
    <w:p w:rsidR="006977CF" w:rsidRPr="0006090F" w:rsidRDefault="006977CF" w:rsidP="0006090F">
      <w:pPr>
        <w:pStyle w:val="Header"/>
      </w:pPr>
    </w:p>
    <w:p w:rsidR="00DF474C" w:rsidRPr="00217A43" w:rsidRDefault="00934860" w:rsidP="005A7191">
      <w:pPr>
        <w:pStyle w:val="endofdoc"/>
        <w:rPr>
          <w:snapToGrid w:val="0"/>
        </w:rPr>
      </w:pPr>
      <w:r w:rsidRPr="00217A43">
        <w:rPr>
          <w:snapToGrid w:val="0"/>
        </w:rPr>
        <w:t xml:space="preserve"> </w:t>
      </w:r>
      <w:r w:rsidR="00DF474C" w:rsidRPr="00217A43">
        <w:rPr>
          <w:snapToGrid w:val="0"/>
        </w:rPr>
        <w:t xml:space="preserve">[End of </w:t>
      </w:r>
      <w:r w:rsidR="005D4759">
        <w:rPr>
          <w:snapToGrid w:val="0"/>
        </w:rPr>
        <w:t xml:space="preserve">Annex and of </w:t>
      </w:r>
      <w:r w:rsidR="00DF474C" w:rsidRPr="00217A43">
        <w:rPr>
          <w:snapToGrid w:val="0"/>
        </w:rPr>
        <w:t>document]</w:t>
      </w:r>
    </w:p>
    <w:sectPr w:rsidR="00DF474C" w:rsidRPr="00217A43" w:rsidSect="005D4759">
      <w:headerReference w:type="default" r:id="rId26"/>
      <w:head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C3" w:rsidRDefault="002B24C3" w:rsidP="006655D3">
      <w:r>
        <w:separator/>
      </w:r>
    </w:p>
    <w:p w:rsidR="002B24C3" w:rsidRDefault="002B24C3" w:rsidP="006655D3"/>
    <w:p w:rsidR="002B24C3" w:rsidRDefault="002B24C3" w:rsidP="006655D3"/>
  </w:endnote>
  <w:endnote w:type="continuationSeparator" w:id="0">
    <w:p w:rsidR="002B24C3" w:rsidRDefault="002B24C3" w:rsidP="006655D3">
      <w:r>
        <w:separator/>
      </w:r>
    </w:p>
    <w:p w:rsidR="002B24C3" w:rsidRPr="008065D2" w:rsidRDefault="002B24C3">
      <w:pPr>
        <w:pStyle w:val="Footer"/>
        <w:spacing w:after="60"/>
        <w:rPr>
          <w:sz w:val="18"/>
          <w:lang w:val="fr-FR"/>
        </w:rPr>
      </w:pPr>
      <w:r w:rsidRPr="008065D2">
        <w:rPr>
          <w:sz w:val="18"/>
          <w:lang w:val="fr-FR"/>
        </w:rPr>
        <w:t>[Suite de la note de la page précédente]</w:t>
      </w:r>
    </w:p>
    <w:p w:rsidR="002B24C3" w:rsidRPr="008065D2" w:rsidRDefault="002B24C3" w:rsidP="006655D3">
      <w:pPr>
        <w:rPr>
          <w:lang w:val="fr-FR"/>
        </w:rPr>
      </w:pPr>
    </w:p>
    <w:p w:rsidR="002B24C3" w:rsidRPr="008065D2" w:rsidRDefault="002B24C3" w:rsidP="006655D3">
      <w:pPr>
        <w:rPr>
          <w:lang w:val="fr-FR"/>
        </w:rPr>
      </w:pPr>
    </w:p>
  </w:endnote>
  <w:endnote w:type="continuationNotice" w:id="1">
    <w:p w:rsidR="002B24C3" w:rsidRPr="008065D2" w:rsidRDefault="002B24C3" w:rsidP="006655D3">
      <w:pPr>
        <w:rPr>
          <w:lang w:val="fr-FR"/>
        </w:rPr>
      </w:pPr>
      <w:r w:rsidRPr="008065D2">
        <w:rPr>
          <w:lang w:val="fr-FR"/>
        </w:rPr>
        <w:t>[Suite de la note page suivante]</w:t>
      </w:r>
    </w:p>
    <w:p w:rsidR="002B24C3" w:rsidRPr="008065D2" w:rsidRDefault="002B24C3" w:rsidP="006655D3">
      <w:pPr>
        <w:rPr>
          <w:lang w:val="fr-FR"/>
        </w:rPr>
      </w:pPr>
    </w:p>
    <w:p w:rsidR="002B24C3" w:rsidRPr="008065D2" w:rsidRDefault="002B24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C3" w:rsidRDefault="002B24C3" w:rsidP="006655D3">
      <w:r>
        <w:separator/>
      </w:r>
    </w:p>
  </w:footnote>
  <w:footnote w:type="continuationSeparator" w:id="0">
    <w:p w:rsidR="002B24C3" w:rsidRDefault="002B24C3" w:rsidP="006655D3">
      <w:r>
        <w:separator/>
      </w:r>
    </w:p>
  </w:footnote>
  <w:footnote w:type="continuationNotice" w:id="1">
    <w:p w:rsidR="002B24C3" w:rsidRPr="00AB530F" w:rsidRDefault="002B24C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5556B1">
      <w:t>WF</w:t>
    </w:r>
    <w:r w:rsidR="00BC40A0">
      <w:t>/4</w:t>
    </w:r>
    <w:r w:rsidR="005556B1">
      <w:t>5</w:t>
    </w:r>
    <w:r w:rsidRPr="00832298">
      <w:t>/</w:t>
    </w:r>
    <w:r w:rsidR="00CB1318">
      <w:t>1</w:t>
    </w:r>
    <w:r w:rsidR="00A81F0F">
      <w:t>0</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C3EB5">
      <w:rPr>
        <w:noProof/>
      </w:rPr>
      <w:t>4</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59" w:rsidRPr="00832298" w:rsidRDefault="005D4759" w:rsidP="00832298">
    <w:pPr>
      <w:pStyle w:val="Header"/>
    </w:pPr>
    <w:r w:rsidRPr="00832298">
      <w:t>T</w:t>
    </w:r>
    <w:r>
      <w:t>W</w:t>
    </w:r>
    <w:r w:rsidR="006C13EF">
      <w:t>F</w:t>
    </w:r>
    <w:r>
      <w:t>/4</w:t>
    </w:r>
    <w:r w:rsidR="006C13EF">
      <w:t>5</w:t>
    </w:r>
    <w:r w:rsidRPr="00832298">
      <w:t>/</w:t>
    </w:r>
    <w:r>
      <w:t>10</w:t>
    </w:r>
  </w:p>
  <w:p w:rsidR="005D4759" w:rsidRPr="00C5280D" w:rsidRDefault="005D4759"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DC3EB5">
      <w:rPr>
        <w:noProof/>
      </w:rPr>
      <w:t>3</w:t>
    </w:r>
    <w:r w:rsidRPr="00832298">
      <w:fldChar w:fldCharType="end"/>
    </w:r>
  </w:p>
  <w:p w:rsidR="005D4759" w:rsidRDefault="005D4759" w:rsidP="00832298">
    <w:pPr>
      <w:pStyle w:val="Header"/>
    </w:pPr>
  </w:p>
  <w:p w:rsidR="00366BEB" w:rsidRDefault="00366BEB" w:rsidP="00832298">
    <w:pPr>
      <w:pStyle w:val="Header"/>
    </w:pPr>
  </w:p>
  <w:p w:rsidR="00366BEB" w:rsidRPr="00C5280D" w:rsidRDefault="00366BEB"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85" w:rsidRPr="00832298" w:rsidRDefault="005E7485" w:rsidP="005E7485">
    <w:pPr>
      <w:pStyle w:val="Header"/>
    </w:pPr>
    <w:r w:rsidRPr="00832298">
      <w:t>T</w:t>
    </w:r>
    <w:r>
      <w:t>W</w:t>
    </w:r>
    <w:r w:rsidR="005556B1">
      <w:t>F</w:t>
    </w:r>
    <w:r>
      <w:t>/4</w:t>
    </w:r>
    <w:r w:rsidR="005556B1">
      <w:t>5</w:t>
    </w:r>
    <w:r w:rsidRPr="00832298">
      <w:t>/</w:t>
    </w:r>
    <w:r>
      <w:t>10</w:t>
    </w:r>
  </w:p>
  <w:p w:rsidR="005E7485" w:rsidRDefault="005E7485" w:rsidP="005E7485">
    <w:pPr>
      <w:pStyle w:val="Header"/>
    </w:pPr>
  </w:p>
  <w:p w:rsidR="005E7485" w:rsidRDefault="005E7485" w:rsidP="005E7485">
    <w:pPr>
      <w:pStyle w:val="Header"/>
    </w:pPr>
    <w:r>
      <w:t>ANNEX</w:t>
    </w:r>
  </w:p>
  <w:p w:rsidR="005E7485" w:rsidRPr="00C5280D" w:rsidRDefault="005E7485" w:rsidP="005E7485">
    <w:pPr>
      <w:pStyle w:val="Header"/>
    </w:pPr>
  </w:p>
  <w:p w:rsidR="005E7485" w:rsidRDefault="005E7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B01387D"/>
    <w:multiLevelType w:val="hybridMultilevel"/>
    <w:tmpl w:val="E544FB34"/>
    <w:lvl w:ilvl="0" w:tplc="768688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C3"/>
    <w:rsid w:val="00010CF3"/>
    <w:rsid w:val="00011E27"/>
    <w:rsid w:val="000148BC"/>
    <w:rsid w:val="00024AB8"/>
    <w:rsid w:val="00030854"/>
    <w:rsid w:val="00036028"/>
    <w:rsid w:val="000374FC"/>
    <w:rsid w:val="00044642"/>
    <w:rsid w:val="000446B9"/>
    <w:rsid w:val="00047E21"/>
    <w:rsid w:val="00051BA5"/>
    <w:rsid w:val="0006090F"/>
    <w:rsid w:val="00064BD6"/>
    <w:rsid w:val="00083ADA"/>
    <w:rsid w:val="00085505"/>
    <w:rsid w:val="00091850"/>
    <w:rsid w:val="00091965"/>
    <w:rsid w:val="000C10BB"/>
    <w:rsid w:val="000C7021"/>
    <w:rsid w:val="000D6BBC"/>
    <w:rsid w:val="000D7780"/>
    <w:rsid w:val="0010486A"/>
    <w:rsid w:val="00105929"/>
    <w:rsid w:val="001131D5"/>
    <w:rsid w:val="00117156"/>
    <w:rsid w:val="001322D2"/>
    <w:rsid w:val="001348D7"/>
    <w:rsid w:val="001418C6"/>
    <w:rsid w:val="00141DB8"/>
    <w:rsid w:val="00157CA4"/>
    <w:rsid w:val="0017474A"/>
    <w:rsid w:val="001758C6"/>
    <w:rsid w:val="00182B99"/>
    <w:rsid w:val="0018780B"/>
    <w:rsid w:val="0019051D"/>
    <w:rsid w:val="001D73AF"/>
    <w:rsid w:val="0021332C"/>
    <w:rsid w:val="00213982"/>
    <w:rsid w:val="00217A43"/>
    <w:rsid w:val="00233C06"/>
    <w:rsid w:val="0024416D"/>
    <w:rsid w:val="002444C2"/>
    <w:rsid w:val="00252CA7"/>
    <w:rsid w:val="00273C42"/>
    <w:rsid w:val="002800A0"/>
    <w:rsid w:val="002801B3"/>
    <w:rsid w:val="00281060"/>
    <w:rsid w:val="002940E8"/>
    <w:rsid w:val="002A6E50"/>
    <w:rsid w:val="002B24C3"/>
    <w:rsid w:val="002B4924"/>
    <w:rsid w:val="002C256A"/>
    <w:rsid w:val="002E0512"/>
    <w:rsid w:val="002E2879"/>
    <w:rsid w:val="002F6D15"/>
    <w:rsid w:val="00301338"/>
    <w:rsid w:val="00305A7F"/>
    <w:rsid w:val="003152FE"/>
    <w:rsid w:val="00327436"/>
    <w:rsid w:val="00344BD6"/>
    <w:rsid w:val="0035528D"/>
    <w:rsid w:val="00361821"/>
    <w:rsid w:val="00365C60"/>
    <w:rsid w:val="00366BEB"/>
    <w:rsid w:val="00381323"/>
    <w:rsid w:val="00381571"/>
    <w:rsid w:val="0039149A"/>
    <w:rsid w:val="003B3894"/>
    <w:rsid w:val="003D227C"/>
    <w:rsid w:val="003D2B4D"/>
    <w:rsid w:val="003D799D"/>
    <w:rsid w:val="003E1EEB"/>
    <w:rsid w:val="003F05F3"/>
    <w:rsid w:val="00425802"/>
    <w:rsid w:val="00427D43"/>
    <w:rsid w:val="004330FE"/>
    <w:rsid w:val="00444A88"/>
    <w:rsid w:val="00474531"/>
    <w:rsid w:val="00474DA4"/>
    <w:rsid w:val="00476B4D"/>
    <w:rsid w:val="004805FA"/>
    <w:rsid w:val="004B1163"/>
    <w:rsid w:val="004B63E3"/>
    <w:rsid w:val="004D047D"/>
    <w:rsid w:val="004D7A70"/>
    <w:rsid w:val="004F305A"/>
    <w:rsid w:val="0050043F"/>
    <w:rsid w:val="00510AAB"/>
    <w:rsid w:val="00512164"/>
    <w:rsid w:val="00520297"/>
    <w:rsid w:val="005338F9"/>
    <w:rsid w:val="00533B00"/>
    <w:rsid w:val="0054281C"/>
    <w:rsid w:val="0055268D"/>
    <w:rsid w:val="005556B1"/>
    <w:rsid w:val="00576BE4"/>
    <w:rsid w:val="0057736E"/>
    <w:rsid w:val="00581B6E"/>
    <w:rsid w:val="005951BF"/>
    <w:rsid w:val="005A400A"/>
    <w:rsid w:val="005A4A32"/>
    <w:rsid w:val="005A7191"/>
    <w:rsid w:val="005C6AF9"/>
    <w:rsid w:val="005D4759"/>
    <w:rsid w:val="005E7485"/>
    <w:rsid w:val="005F54CD"/>
    <w:rsid w:val="00612379"/>
    <w:rsid w:val="0061555F"/>
    <w:rsid w:val="0063082C"/>
    <w:rsid w:val="00635FEA"/>
    <w:rsid w:val="00641200"/>
    <w:rsid w:val="00646A8B"/>
    <w:rsid w:val="006655D3"/>
    <w:rsid w:val="00667404"/>
    <w:rsid w:val="00680EFA"/>
    <w:rsid w:val="00685222"/>
    <w:rsid w:val="00686A63"/>
    <w:rsid w:val="00687EB4"/>
    <w:rsid w:val="006977CF"/>
    <w:rsid w:val="006A086E"/>
    <w:rsid w:val="006A51C0"/>
    <w:rsid w:val="006B17D2"/>
    <w:rsid w:val="006B6322"/>
    <w:rsid w:val="006C13EF"/>
    <w:rsid w:val="006C224E"/>
    <w:rsid w:val="006D780A"/>
    <w:rsid w:val="006E1436"/>
    <w:rsid w:val="007001C0"/>
    <w:rsid w:val="007167C2"/>
    <w:rsid w:val="00722632"/>
    <w:rsid w:val="00732DEC"/>
    <w:rsid w:val="00735BD5"/>
    <w:rsid w:val="0075266D"/>
    <w:rsid w:val="007556F6"/>
    <w:rsid w:val="00760EEF"/>
    <w:rsid w:val="00777EE5"/>
    <w:rsid w:val="00784836"/>
    <w:rsid w:val="0079023E"/>
    <w:rsid w:val="00793DEE"/>
    <w:rsid w:val="007A2854"/>
    <w:rsid w:val="007A57C3"/>
    <w:rsid w:val="007A700D"/>
    <w:rsid w:val="007D0B9D"/>
    <w:rsid w:val="007D19B0"/>
    <w:rsid w:val="007F498F"/>
    <w:rsid w:val="00801F36"/>
    <w:rsid w:val="00802CF7"/>
    <w:rsid w:val="008065D2"/>
    <w:rsid w:val="0080679D"/>
    <w:rsid w:val="008108B0"/>
    <w:rsid w:val="00811B20"/>
    <w:rsid w:val="0082296E"/>
    <w:rsid w:val="00824099"/>
    <w:rsid w:val="00830240"/>
    <w:rsid w:val="00832298"/>
    <w:rsid w:val="0085455D"/>
    <w:rsid w:val="00860E55"/>
    <w:rsid w:val="00867AC1"/>
    <w:rsid w:val="0087330B"/>
    <w:rsid w:val="00874D1A"/>
    <w:rsid w:val="00876C58"/>
    <w:rsid w:val="00884918"/>
    <w:rsid w:val="00894F0A"/>
    <w:rsid w:val="008A743F"/>
    <w:rsid w:val="008B3AF2"/>
    <w:rsid w:val="008C0970"/>
    <w:rsid w:val="008D2CF7"/>
    <w:rsid w:val="008E555B"/>
    <w:rsid w:val="008F1EC3"/>
    <w:rsid w:val="008F59F7"/>
    <w:rsid w:val="00900C26"/>
    <w:rsid w:val="0090197F"/>
    <w:rsid w:val="00903656"/>
    <w:rsid w:val="00906DDC"/>
    <w:rsid w:val="0091280C"/>
    <w:rsid w:val="00934860"/>
    <w:rsid w:val="00934A48"/>
    <w:rsid w:val="00934E09"/>
    <w:rsid w:val="00934E40"/>
    <w:rsid w:val="00936253"/>
    <w:rsid w:val="00952DD4"/>
    <w:rsid w:val="00961FAA"/>
    <w:rsid w:val="00970FED"/>
    <w:rsid w:val="00997029"/>
    <w:rsid w:val="009A468A"/>
    <w:rsid w:val="009B2A77"/>
    <w:rsid w:val="009C0A7F"/>
    <w:rsid w:val="009D690D"/>
    <w:rsid w:val="009E1AAC"/>
    <w:rsid w:val="009E65B6"/>
    <w:rsid w:val="009F7094"/>
    <w:rsid w:val="00A150A4"/>
    <w:rsid w:val="00A169FB"/>
    <w:rsid w:val="00A24C10"/>
    <w:rsid w:val="00A34350"/>
    <w:rsid w:val="00A4212D"/>
    <w:rsid w:val="00A42AC3"/>
    <w:rsid w:val="00A430CF"/>
    <w:rsid w:val="00A54309"/>
    <w:rsid w:val="00A81F0F"/>
    <w:rsid w:val="00AA1E65"/>
    <w:rsid w:val="00AB2B93"/>
    <w:rsid w:val="00AB530F"/>
    <w:rsid w:val="00AB7E5B"/>
    <w:rsid w:val="00AC3A3E"/>
    <w:rsid w:val="00AE0EF1"/>
    <w:rsid w:val="00AE2937"/>
    <w:rsid w:val="00AE3249"/>
    <w:rsid w:val="00B044D2"/>
    <w:rsid w:val="00B07301"/>
    <w:rsid w:val="00B224DE"/>
    <w:rsid w:val="00B25FF1"/>
    <w:rsid w:val="00B3707A"/>
    <w:rsid w:val="00B41E6F"/>
    <w:rsid w:val="00B46575"/>
    <w:rsid w:val="00B71144"/>
    <w:rsid w:val="00B765FD"/>
    <w:rsid w:val="00B84BBD"/>
    <w:rsid w:val="00B948DF"/>
    <w:rsid w:val="00BA43FB"/>
    <w:rsid w:val="00BB0967"/>
    <w:rsid w:val="00BC127D"/>
    <w:rsid w:val="00BC1FE6"/>
    <w:rsid w:val="00BC40A0"/>
    <w:rsid w:val="00C061B6"/>
    <w:rsid w:val="00C2446C"/>
    <w:rsid w:val="00C26E1A"/>
    <w:rsid w:val="00C36AE5"/>
    <w:rsid w:val="00C41F17"/>
    <w:rsid w:val="00C4434D"/>
    <w:rsid w:val="00C5280D"/>
    <w:rsid w:val="00C5791C"/>
    <w:rsid w:val="00C66290"/>
    <w:rsid w:val="00C72B7A"/>
    <w:rsid w:val="00C90ACD"/>
    <w:rsid w:val="00C973F2"/>
    <w:rsid w:val="00CA0AB3"/>
    <w:rsid w:val="00CA304C"/>
    <w:rsid w:val="00CA51D3"/>
    <w:rsid w:val="00CA54D8"/>
    <w:rsid w:val="00CA774A"/>
    <w:rsid w:val="00CB1318"/>
    <w:rsid w:val="00CC11B0"/>
    <w:rsid w:val="00CF7E36"/>
    <w:rsid w:val="00D13F02"/>
    <w:rsid w:val="00D16B04"/>
    <w:rsid w:val="00D244BD"/>
    <w:rsid w:val="00D3708D"/>
    <w:rsid w:val="00D40426"/>
    <w:rsid w:val="00D4457E"/>
    <w:rsid w:val="00D57C96"/>
    <w:rsid w:val="00D67E25"/>
    <w:rsid w:val="00D86E26"/>
    <w:rsid w:val="00D9055A"/>
    <w:rsid w:val="00D91203"/>
    <w:rsid w:val="00D931CB"/>
    <w:rsid w:val="00D95174"/>
    <w:rsid w:val="00D95650"/>
    <w:rsid w:val="00DA1C3E"/>
    <w:rsid w:val="00DA6F36"/>
    <w:rsid w:val="00DB596E"/>
    <w:rsid w:val="00DB7773"/>
    <w:rsid w:val="00DC00EA"/>
    <w:rsid w:val="00DC3EB5"/>
    <w:rsid w:val="00DE5EFF"/>
    <w:rsid w:val="00DF474C"/>
    <w:rsid w:val="00E00427"/>
    <w:rsid w:val="00E32F7E"/>
    <w:rsid w:val="00E42351"/>
    <w:rsid w:val="00E4324B"/>
    <w:rsid w:val="00E43D07"/>
    <w:rsid w:val="00E5429C"/>
    <w:rsid w:val="00E72D49"/>
    <w:rsid w:val="00E74B21"/>
    <w:rsid w:val="00E7593C"/>
    <w:rsid w:val="00E7678A"/>
    <w:rsid w:val="00E87EEF"/>
    <w:rsid w:val="00E935F1"/>
    <w:rsid w:val="00E94A81"/>
    <w:rsid w:val="00E9519B"/>
    <w:rsid w:val="00EA1FFB"/>
    <w:rsid w:val="00EA6FD7"/>
    <w:rsid w:val="00EB048E"/>
    <w:rsid w:val="00EB54FD"/>
    <w:rsid w:val="00ED47F1"/>
    <w:rsid w:val="00EE34DF"/>
    <w:rsid w:val="00EF2F89"/>
    <w:rsid w:val="00F01584"/>
    <w:rsid w:val="00F0161E"/>
    <w:rsid w:val="00F1237A"/>
    <w:rsid w:val="00F22CBD"/>
    <w:rsid w:val="00F34F89"/>
    <w:rsid w:val="00F45372"/>
    <w:rsid w:val="00F560F7"/>
    <w:rsid w:val="00F57438"/>
    <w:rsid w:val="00F6334D"/>
    <w:rsid w:val="00F677EF"/>
    <w:rsid w:val="00F85332"/>
    <w:rsid w:val="00F966A9"/>
    <w:rsid w:val="00FA49AB"/>
    <w:rsid w:val="00FD54E2"/>
    <w:rsid w:val="00FE39C7"/>
    <w:rsid w:val="00FE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9F7094"/>
    <w:pPr>
      <w:keepNext/>
      <w:jc w:val="both"/>
      <w:outlineLvl w:val="2"/>
    </w:pPr>
    <w:rPr>
      <w:rFonts w:ascii="Arial" w:hAnsi="Arial"/>
      <w:i/>
    </w:rPr>
  </w:style>
  <w:style w:type="paragraph" w:styleId="Heading4">
    <w:name w:val="heading 4"/>
    <w:next w:val="Normal"/>
    <w:autoRedefine/>
    <w:qFormat/>
    <w:rsid w:val="00E00427"/>
    <w:pPr>
      <w:keepNext/>
      <w:ind w:left="1134" w:right="567"/>
      <w:jc w:val="both"/>
      <w:outlineLvl w:val="3"/>
    </w:pPr>
    <w:rPr>
      <w:rFonts w:ascii="Arial" w:hAnsi="Arial" w:cs="Arial"/>
      <w:u w:val="single"/>
    </w:rPr>
  </w:style>
  <w:style w:type="paragraph" w:styleId="Heading5">
    <w:name w:val="heading 5"/>
    <w:next w:val="Normal"/>
    <w:autoRedefine/>
    <w:qFormat/>
    <w:rsid w:val="00E00427"/>
    <w:pPr>
      <w:keepNext/>
      <w:ind w:left="567" w:right="567" w:firstLine="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5A719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 w:type="character" w:customStyle="1" w:styleId="Heading2Char">
    <w:name w:val="Heading 2 Char"/>
    <w:link w:val="Heading2"/>
    <w:rsid w:val="00F01584"/>
    <w:rPr>
      <w:rFonts w:ascii="Arial" w:hAnsi="Arial"/>
      <w:u w:val="single"/>
    </w:rPr>
  </w:style>
  <w:style w:type="character" w:customStyle="1" w:styleId="DecisionParagraphsChar">
    <w:name w:val="DecisionParagraphs Char"/>
    <w:basedOn w:val="DefaultParagraphFont"/>
    <w:link w:val="DecisionParagraphs"/>
    <w:rsid w:val="0050043F"/>
    <w:rPr>
      <w:rFonts w:ascii="Arial" w:hAnsi="Arial"/>
      <w:i/>
    </w:rPr>
  </w:style>
  <w:style w:type="table" w:styleId="TableGrid">
    <w:name w:val="Table Grid"/>
    <w:basedOn w:val="TableNormal"/>
    <w:rsid w:val="00FE7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9F7094"/>
    <w:pPr>
      <w:keepNext/>
      <w:jc w:val="both"/>
      <w:outlineLvl w:val="2"/>
    </w:pPr>
    <w:rPr>
      <w:rFonts w:ascii="Arial" w:hAnsi="Arial"/>
      <w:i/>
    </w:rPr>
  </w:style>
  <w:style w:type="paragraph" w:styleId="Heading4">
    <w:name w:val="heading 4"/>
    <w:next w:val="Normal"/>
    <w:autoRedefine/>
    <w:qFormat/>
    <w:rsid w:val="00E00427"/>
    <w:pPr>
      <w:keepNext/>
      <w:ind w:left="1134" w:right="567"/>
      <w:jc w:val="both"/>
      <w:outlineLvl w:val="3"/>
    </w:pPr>
    <w:rPr>
      <w:rFonts w:ascii="Arial" w:hAnsi="Arial" w:cs="Arial"/>
      <w:u w:val="single"/>
    </w:rPr>
  </w:style>
  <w:style w:type="paragraph" w:styleId="Heading5">
    <w:name w:val="heading 5"/>
    <w:next w:val="Normal"/>
    <w:autoRedefine/>
    <w:qFormat/>
    <w:rsid w:val="00E00427"/>
    <w:pPr>
      <w:keepNext/>
      <w:ind w:left="567" w:right="567" w:firstLine="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5A719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 w:type="character" w:customStyle="1" w:styleId="Heading2Char">
    <w:name w:val="Heading 2 Char"/>
    <w:link w:val="Heading2"/>
    <w:rsid w:val="00F01584"/>
    <w:rPr>
      <w:rFonts w:ascii="Arial" w:hAnsi="Arial"/>
      <w:u w:val="single"/>
    </w:rPr>
  </w:style>
  <w:style w:type="character" w:customStyle="1" w:styleId="DecisionParagraphsChar">
    <w:name w:val="DecisionParagraphs Char"/>
    <w:basedOn w:val="DefaultParagraphFont"/>
    <w:link w:val="DecisionParagraphs"/>
    <w:rsid w:val="0050043F"/>
    <w:rPr>
      <w:rFonts w:ascii="Arial" w:hAnsi="Arial"/>
      <w:i/>
    </w:rPr>
  </w:style>
  <w:style w:type="table" w:styleId="TableGrid">
    <w:name w:val="Table Grid"/>
    <w:basedOn w:val="TableNormal"/>
    <w:rsid w:val="00FE7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CB78C-7224-4C2F-A5C0-B4264ADF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11</TotalTime>
  <Pages>7</Pages>
  <Words>1926</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8</cp:revision>
  <cp:lastPrinted>2014-05-19T14:37:00Z</cp:lastPrinted>
  <dcterms:created xsi:type="dcterms:W3CDTF">2014-05-14T09:01:00Z</dcterms:created>
  <dcterms:modified xsi:type="dcterms:W3CDTF">2014-05-19T14:38:00Z</dcterms:modified>
</cp:coreProperties>
</file>