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8200EF" w:rsidRPr="00815738" w:rsidTr="00BD6DA1">
        <w:tc>
          <w:tcPr>
            <w:tcW w:w="6522" w:type="dxa"/>
          </w:tcPr>
          <w:p w:rsidR="008200EF" w:rsidRPr="00AC2883" w:rsidRDefault="008200EF" w:rsidP="00BD6DA1">
            <w:bookmarkStart w:id="0" w:name="TitleOfDoc"/>
            <w:bookmarkEnd w:id="0"/>
            <w:r w:rsidRPr="00D250C5">
              <w:rPr>
                <w:noProof/>
              </w:rPr>
              <w:drawing>
                <wp:inline distT="0" distB="0" distL="0" distR="0" wp14:anchorId="7FB63A2C" wp14:editId="0CE2B6C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8200EF" w:rsidRPr="007C1D92" w:rsidRDefault="008200EF" w:rsidP="00BD6DA1">
            <w:pPr>
              <w:pStyle w:val="Lettrine"/>
            </w:pPr>
            <w:r w:rsidRPr="00172084">
              <w:t>E</w:t>
            </w:r>
          </w:p>
        </w:tc>
      </w:tr>
      <w:tr w:rsidR="008200EF" w:rsidRPr="00DA4973" w:rsidTr="00BD6DA1">
        <w:tc>
          <w:tcPr>
            <w:tcW w:w="6522" w:type="dxa"/>
          </w:tcPr>
          <w:p w:rsidR="008200EF" w:rsidRPr="00AC2883" w:rsidRDefault="008200EF" w:rsidP="00BD6DA1">
            <w:pPr>
              <w:pStyle w:val="upove"/>
            </w:pPr>
            <w:r w:rsidRPr="00AC2883">
              <w:t>International Union for the Protection of New Varieties of Plants</w:t>
            </w:r>
          </w:p>
        </w:tc>
        <w:tc>
          <w:tcPr>
            <w:tcW w:w="3117" w:type="dxa"/>
          </w:tcPr>
          <w:p w:rsidR="008200EF" w:rsidRPr="00DA4973" w:rsidRDefault="008200EF" w:rsidP="00BD6DA1"/>
        </w:tc>
      </w:tr>
    </w:tbl>
    <w:p w:rsidR="008200EF" w:rsidRDefault="008200EF" w:rsidP="008200EF"/>
    <w:p w:rsidR="008200EF" w:rsidRPr="00365DC1" w:rsidRDefault="008200EF" w:rsidP="008200EF"/>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200EF" w:rsidRPr="00C5280D" w:rsidTr="00BD6DA1">
        <w:tc>
          <w:tcPr>
            <w:tcW w:w="6512" w:type="dxa"/>
          </w:tcPr>
          <w:p w:rsidR="008200EF" w:rsidRPr="00AC2883" w:rsidRDefault="008200EF" w:rsidP="00BD6DA1">
            <w:pPr>
              <w:pStyle w:val="Sessiontc"/>
            </w:pPr>
            <w:r w:rsidRPr="00E70039">
              <w:t xml:space="preserve">Technical Working Party </w:t>
            </w:r>
            <w:r w:rsidRPr="00501F3C">
              <w:t>on Automation and Computer Programs</w:t>
            </w:r>
          </w:p>
          <w:p w:rsidR="008200EF" w:rsidRPr="00DC3802" w:rsidRDefault="008200EF" w:rsidP="00BD6DA1">
            <w:pPr>
              <w:pStyle w:val="Sessiontcplacedate"/>
              <w:rPr>
                <w:sz w:val="22"/>
              </w:rPr>
            </w:pPr>
            <w:r w:rsidRPr="00501F3C">
              <w:t>Thirty-</w:t>
            </w:r>
            <w:r>
              <w:t>Eigh</w:t>
            </w:r>
            <w:r w:rsidRPr="00501F3C">
              <w:t>th Session</w:t>
            </w:r>
            <w:r w:rsidRPr="00501F3C">
              <w:br/>
            </w:r>
            <w:r>
              <w:t>Alexandria</w:t>
            </w:r>
            <w:r w:rsidRPr="00501F3C">
              <w:t xml:space="preserve">, </w:t>
            </w:r>
            <w:r>
              <w:t>United States of America, September 21 to 23, 2020</w:t>
            </w:r>
          </w:p>
        </w:tc>
        <w:tc>
          <w:tcPr>
            <w:tcW w:w="3127" w:type="dxa"/>
          </w:tcPr>
          <w:p w:rsidR="008200EF" w:rsidRPr="003C7FBE" w:rsidRDefault="008200EF" w:rsidP="00BD6DA1">
            <w:pPr>
              <w:pStyle w:val="Doccode"/>
            </w:pPr>
            <w:r>
              <w:t>TWC/38</w:t>
            </w:r>
            <w:r w:rsidRPr="00AC2883">
              <w:t>/</w:t>
            </w:r>
            <w:r>
              <w:t>4</w:t>
            </w:r>
          </w:p>
          <w:p w:rsidR="008200EF" w:rsidRPr="003C7FBE" w:rsidRDefault="008200EF" w:rsidP="00BD6DA1">
            <w:pPr>
              <w:pStyle w:val="Docoriginal"/>
            </w:pPr>
            <w:r w:rsidRPr="00AC2883">
              <w:t>Original:</w:t>
            </w:r>
            <w:r w:rsidRPr="000E636A">
              <w:rPr>
                <w:b w:val="0"/>
                <w:spacing w:val="0"/>
              </w:rPr>
              <w:t xml:space="preserve">  English</w:t>
            </w:r>
          </w:p>
          <w:p w:rsidR="008200EF" w:rsidRPr="007C1D92" w:rsidRDefault="008200EF" w:rsidP="004B52FC">
            <w:pPr>
              <w:pStyle w:val="Docoriginal"/>
            </w:pPr>
            <w:r w:rsidRPr="00AC2883">
              <w:t>Date:</w:t>
            </w:r>
            <w:r w:rsidRPr="000E636A">
              <w:rPr>
                <w:b w:val="0"/>
                <w:spacing w:val="0"/>
              </w:rPr>
              <w:t xml:space="preserve">  </w:t>
            </w:r>
            <w:bookmarkStart w:id="1" w:name="_GoBack"/>
            <w:bookmarkEnd w:id="1"/>
            <w:r w:rsidRPr="004B52FC">
              <w:rPr>
                <w:b w:val="0"/>
                <w:spacing w:val="0"/>
              </w:rPr>
              <w:t>August 2</w:t>
            </w:r>
            <w:r w:rsidR="004B52FC" w:rsidRPr="004B52FC">
              <w:rPr>
                <w:b w:val="0"/>
                <w:spacing w:val="0"/>
              </w:rPr>
              <w:t>5</w:t>
            </w:r>
            <w:r w:rsidRPr="004B52FC">
              <w:rPr>
                <w:b w:val="0"/>
                <w:spacing w:val="0"/>
              </w:rPr>
              <w:t>, 2020</w:t>
            </w:r>
          </w:p>
        </w:tc>
      </w:tr>
    </w:tbl>
    <w:p w:rsidR="0089096E" w:rsidRPr="00D70149" w:rsidRDefault="0089096E" w:rsidP="0089096E">
      <w:pPr>
        <w:spacing w:before="600" w:after="240"/>
        <w:jc w:val="left"/>
        <w:rPr>
          <w:b/>
          <w:caps/>
        </w:rPr>
      </w:pPr>
      <w:r w:rsidRPr="00D70149">
        <w:rPr>
          <w:b/>
          <w:caps/>
        </w:rPr>
        <w:t>comments on TGP Documents</w:t>
      </w:r>
    </w:p>
    <w:p w:rsidR="0089096E" w:rsidRPr="00D70149" w:rsidRDefault="0089096E" w:rsidP="0089096E">
      <w:pPr>
        <w:spacing w:after="240"/>
        <w:rPr>
          <w:i/>
          <w:iCs/>
        </w:rPr>
      </w:pPr>
      <w:bookmarkStart w:id="2" w:name="Prepared"/>
      <w:bookmarkEnd w:id="2"/>
      <w:r w:rsidRPr="00D70149">
        <w:rPr>
          <w:i/>
          <w:iCs/>
        </w:rPr>
        <w:t>Document prepared by the Office of the Union</w:t>
      </w:r>
    </w:p>
    <w:p w:rsidR="0089096E" w:rsidRPr="00D70149" w:rsidRDefault="0089096E" w:rsidP="0089096E">
      <w:pPr>
        <w:spacing w:after="600"/>
        <w:rPr>
          <w:i/>
          <w:iCs/>
          <w:color w:val="A6A6A6" w:themeColor="background1" w:themeShade="A6"/>
        </w:rPr>
      </w:pPr>
      <w:r w:rsidRPr="00D70149">
        <w:rPr>
          <w:i/>
          <w:iCs/>
          <w:color w:val="A6A6A6" w:themeColor="background1" w:themeShade="A6"/>
        </w:rPr>
        <w:t>Disclaimer:  this document does not represent UPOV policies or guidance</w:t>
      </w:r>
    </w:p>
    <w:p w:rsidR="0089096E" w:rsidRPr="00D70149" w:rsidRDefault="0089096E" w:rsidP="0089096E">
      <w:r w:rsidRPr="00D70149">
        <w:fldChar w:fldCharType="begin"/>
      </w:r>
      <w:r w:rsidRPr="00D70149">
        <w:instrText xml:space="preserve"> AUTONUM  </w:instrText>
      </w:r>
      <w:r w:rsidRPr="00D70149">
        <w:fldChar w:fldCharType="end"/>
      </w:r>
      <w:r w:rsidRPr="00D70149">
        <w:tab/>
        <w:t>The purpose of this document is to report the comments on TGP documents made by the Technical Working Party for Vegetables (TWV)</w:t>
      </w:r>
      <w:r w:rsidR="00B90318">
        <w:rPr>
          <w:rStyle w:val="FootnoteReference"/>
        </w:rPr>
        <w:footnoteReference w:id="2"/>
      </w:r>
      <w:r w:rsidRPr="00D70149">
        <w:t>,</w:t>
      </w:r>
      <w:r w:rsidR="00985326">
        <w:t xml:space="preserve"> Technical Working Party for Ornament</w:t>
      </w:r>
      <w:r w:rsidR="00B90318">
        <w:t>al Crops and Forest Trees (TWO)</w:t>
      </w:r>
      <w:r w:rsidR="00B90318">
        <w:rPr>
          <w:rStyle w:val="FootnoteReference"/>
        </w:rPr>
        <w:footnoteReference w:id="3"/>
      </w:r>
      <w:r w:rsidR="005E5AEE">
        <w:t xml:space="preserve">; </w:t>
      </w:r>
      <w:r w:rsidR="005E5AEE" w:rsidRPr="005E5AEE">
        <w:t>Technical Working Party for Agricultural Crops (TWA)</w:t>
      </w:r>
      <w:r w:rsidR="00B90318">
        <w:rPr>
          <w:rStyle w:val="FootnoteReference"/>
        </w:rPr>
        <w:footnoteReference w:id="4"/>
      </w:r>
      <w:r w:rsidR="00B90318">
        <w:t xml:space="preserve"> and </w:t>
      </w:r>
      <w:r w:rsidR="00B90318" w:rsidRPr="00D70149">
        <w:rPr>
          <w:rFonts w:cs="Arial"/>
          <w:color w:val="000000"/>
        </w:rPr>
        <w:t>Technical Working Party for Fruit Crops</w:t>
      </w:r>
      <w:r w:rsidR="00B90318">
        <w:rPr>
          <w:rFonts w:cs="Arial"/>
          <w:color w:val="000000"/>
        </w:rPr>
        <w:t xml:space="preserve"> (TWF)</w:t>
      </w:r>
      <w:r w:rsidR="00B90318">
        <w:rPr>
          <w:rStyle w:val="FootnoteReference"/>
          <w:rFonts w:cs="Arial"/>
          <w:color w:val="000000"/>
        </w:rPr>
        <w:footnoteReference w:id="5"/>
      </w:r>
      <w:r w:rsidR="00B90318">
        <w:rPr>
          <w:rFonts w:cs="Arial"/>
          <w:color w:val="000000"/>
        </w:rPr>
        <w:t xml:space="preserve"> at their sessions in 2020</w:t>
      </w:r>
      <w:r w:rsidR="00985326">
        <w:t>.</w:t>
      </w:r>
    </w:p>
    <w:p w:rsidR="0089096E" w:rsidRPr="00D70149" w:rsidRDefault="0089096E" w:rsidP="0089096E"/>
    <w:p w:rsidR="0089096E" w:rsidRPr="00D70149" w:rsidRDefault="0089096E" w:rsidP="0089096E">
      <w:r w:rsidRPr="00D70149">
        <w:fldChar w:fldCharType="begin"/>
      </w:r>
      <w:r w:rsidRPr="00D70149">
        <w:instrText xml:space="preserve"> AUTONUM  </w:instrText>
      </w:r>
      <w:r w:rsidRPr="00D70149">
        <w:fldChar w:fldCharType="end"/>
      </w:r>
      <w:r w:rsidRPr="00D70149">
        <w:tab/>
        <w:t>The structure of this document is as follows:</w:t>
      </w:r>
    </w:p>
    <w:p w:rsidR="0089096E" w:rsidRPr="00D70149" w:rsidRDefault="0089096E" w:rsidP="0089096E"/>
    <w:p w:rsidR="00110469" w:rsidRDefault="00110469">
      <w:pPr>
        <w:pStyle w:val="TOC1"/>
        <w:rPr>
          <w:rFonts w:asciiTheme="minorHAnsi" w:eastAsiaTheme="minorEastAsia" w:hAnsiTheme="minorHAnsi" w:cstheme="minorBidi"/>
          <w:caps w:val="0"/>
          <w:noProof/>
          <w:sz w:val="22"/>
          <w:szCs w:val="22"/>
        </w:rPr>
      </w:pPr>
      <w:r>
        <w:rPr>
          <w:caps w:val="0"/>
          <w:snapToGrid w:val="0"/>
        </w:rPr>
        <w:fldChar w:fldCharType="begin"/>
      </w:r>
      <w:r>
        <w:rPr>
          <w:caps w:val="0"/>
          <w:snapToGrid w:val="0"/>
        </w:rPr>
        <w:instrText xml:space="preserve"> TOC \o "1-2" \h \z \u </w:instrText>
      </w:r>
      <w:r>
        <w:rPr>
          <w:caps w:val="0"/>
          <w:snapToGrid w:val="0"/>
        </w:rPr>
        <w:fldChar w:fldCharType="separate"/>
      </w:r>
      <w:hyperlink w:anchor="_Toc49241657" w:history="1">
        <w:r w:rsidRPr="00E862CC">
          <w:rPr>
            <w:rStyle w:val="Hyperlink"/>
            <w:noProof/>
          </w:rPr>
          <w:t>Background</w:t>
        </w:r>
        <w:r>
          <w:rPr>
            <w:noProof/>
            <w:webHidden/>
          </w:rPr>
          <w:tab/>
        </w:r>
        <w:r>
          <w:rPr>
            <w:noProof/>
            <w:webHidden/>
          </w:rPr>
          <w:fldChar w:fldCharType="begin"/>
        </w:r>
        <w:r>
          <w:rPr>
            <w:noProof/>
            <w:webHidden/>
          </w:rPr>
          <w:instrText xml:space="preserve"> PAGEREF _Toc49241657 \h </w:instrText>
        </w:r>
        <w:r>
          <w:rPr>
            <w:noProof/>
            <w:webHidden/>
          </w:rPr>
        </w:r>
        <w:r>
          <w:rPr>
            <w:noProof/>
            <w:webHidden/>
          </w:rPr>
          <w:fldChar w:fldCharType="separate"/>
        </w:r>
        <w:r>
          <w:rPr>
            <w:noProof/>
            <w:webHidden/>
          </w:rPr>
          <w:t>1</w:t>
        </w:r>
        <w:r>
          <w:rPr>
            <w:noProof/>
            <w:webHidden/>
          </w:rPr>
          <w:fldChar w:fldCharType="end"/>
        </w:r>
      </w:hyperlink>
    </w:p>
    <w:p w:rsidR="00110469" w:rsidRDefault="004B52FC">
      <w:pPr>
        <w:pStyle w:val="TOC1"/>
        <w:rPr>
          <w:rFonts w:asciiTheme="minorHAnsi" w:eastAsiaTheme="minorEastAsia" w:hAnsiTheme="minorHAnsi" w:cstheme="minorBidi"/>
          <w:caps w:val="0"/>
          <w:noProof/>
          <w:sz w:val="22"/>
          <w:szCs w:val="22"/>
        </w:rPr>
      </w:pPr>
      <w:hyperlink w:anchor="_Toc49241658" w:history="1">
        <w:r w:rsidR="00110469" w:rsidRPr="00E862CC">
          <w:rPr>
            <w:rStyle w:val="Hyperlink"/>
            <w:noProof/>
          </w:rPr>
          <w:t>Matters for adoption by the Council in 2020</w:t>
        </w:r>
        <w:r w:rsidR="00110469">
          <w:rPr>
            <w:noProof/>
            <w:webHidden/>
          </w:rPr>
          <w:tab/>
        </w:r>
        <w:r w:rsidR="00110469">
          <w:rPr>
            <w:noProof/>
            <w:webHidden/>
          </w:rPr>
          <w:fldChar w:fldCharType="begin"/>
        </w:r>
        <w:r w:rsidR="00110469">
          <w:rPr>
            <w:noProof/>
            <w:webHidden/>
          </w:rPr>
          <w:instrText xml:space="preserve"> PAGEREF _Toc49241658 \h </w:instrText>
        </w:r>
        <w:r w:rsidR="00110469">
          <w:rPr>
            <w:noProof/>
            <w:webHidden/>
          </w:rPr>
        </w:r>
        <w:r w:rsidR="00110469">
          <w:rPr>
            <w:noProof/>
            <w:webHidden/>
          </w:rPr>
          <w:fldChar w:fldCharType="separate"/>
        </w:r>
        <w:r w:rsidR="00110469">
          <w:rPr>
            <w:noProof/>
            <w:webHidden/>
          </w:rPr>
          <w:t>1</w:t>
        </w:r>
        <w:r w:rsidR="00110469">
          <w:rPr>
            <w:noProof/>
            <w:webHidden/>
          </w:rPr>
          <w:fldChar w:fldCharType="end"/>
        </w:r>
      </w:hyperlink>
    </w:p>
    <w:p w:rsidR="00110469" w:rsidRDefault="004B52FC">
      <w:pPr>
        <w:pStyle w:val="TOC1"/>
        <w:rPr>
          <w:rFonts w:asciiTheme="minorHAnsi" w:eastAsiaTheme="minorEastAsia" w:hAnsiTheme="minorHAnsi" w:cstheme="minorBidi"/>
          <w:caps w:val="0"/>
          <w:noProof/>
          <w:sz w:val="22"/>
          <w:szCs w:val="22"/>
        </w:rPr>
      </w:pPr>
      <w:hyperlink w:anchor="_Toc49241659" w:history="1">
        <w:r w:rsidR="00110469" w:rsidRPr="00E862CC">
          <w:rPr>
            <w:rStyle w:val="Hyperlink"/>
            <w:noProof/>
          </w:rPr>
          <w:t>Possible future revisions of TGP documents and information documents</w:t>
        </w:r>
        <w:r w:rsidR="00110469">
          <w:rPr>
            <w:noProof/>
            <w:webHidden/>
          </w:rPr>
          <w:tab/>
        </w:r>
        <w:r w:rsidR="00110469">
          <w:rPr>
            <w:noProof/>
            <w:webHidden/>
          </w:rPr>
          <w:fldChar w:fldCharType="begin"/>
        </w:r>
        <w:r w:rsidR="00110469">
          <w:rPr>
            <w:noProof/>
            <w:webHidden/>
          </w:rPr>
          <w:instrText xml:space="preserve"> PAGEREF _Toc49241659 \h </w:instrText>
        </w:r>
        <w:r w:rsidR="00110469">
          <w:rPr>
            <w:noProof/>
            <w:webHidden/>
          </w:rPr>
        </w:r>
        <w:r w:rsidR="00110469">
          <w:rPr>
            <w:noProof/>
            <w:webHidden/>
          </w:rPr>
          <w:fldChar w:fldCharType="separate"/>
        </w:r>
        <w:r w:rsidR="00110469">
          <w:rPr>
            <w:noProof/>
            <w:webHidden/>
          </w:rPr>
          <w:t>2</w:t>
        </w:r>
        <w:r w:rsidR="00110469">
          <w:rPr>
            <w:noProof/>
            <w:webHidden/>
          </w:rPr>
          <w:fldChar w:fldCharType="end"/>
        </w:r>
      </w:hyperlink>
    </w:p>
    <w:p w:rsidR="00110469" w:rsidRDefault="004B52FC">
      <w:pPr>
        <w:pStyle w:val="TOC2"/>
        <w:rPr>
          <w:rFonts w:asciiTheme="minorHAnsi" w:eastAsiaTheme="minorEastAsia" w:hAnsiTheme="minorHAnsi" w:cstheme="minorBidi"/>
          <w:noProof/>
          <w:sz w:val="22"/>
          <w:szCs w:val="22"/>
        </w:rPr>
      </w:pPr>
      <w:hyperlink w:anchor="_Toc49241660" w:history="1">
        <w:r w:rsidR="00110469" w:rsidRPr="00E862CC">
          <w:rPr>
            <w:rStyle w:val="Hyperlink"/>
            <w:noProof/>
          </w:rPr>
          <w:t>TGP/8: Trial Design and Techniques Used in the Examination of Distinctness, Uniformity and Stability</w:t>
        </w:r>
        <w:r w:rsidR="00110469">
          <w:rPr>
            <w:noProof/>
            <w:webHidden/>
          </w:rPr>
          <w:tab/>
        </w:r>
        <w:r w:rsidR="00110469">
          <w:rPr>
            <w:noProof/>
            <w:webHidden/>
          </w:rPr>
          <w:fldChar w:fldCharType="begin"/>
        </w:r>
        <w:r w:rsidR="00110469">
          <w:rPr>
            <w:noProof/>
            <w:webHidden/>
          </w:rPr>
          <w:instrText xml:space="preserve"> PAGEREF _Toc49241660 \h </w:instrText>
        </w:r>
        <w:r w:rsidR="00110469">
          <w:rPr>
            <w:noProof/>
            <w:webHidden/>
          </w:rPr>
        </w:r>
        <w:r w:rsidR="00110469">
          <w:rPr>
            <w:noProof/>
            <w:webHidden/>
          </w:rPr>
          <w:fldChar w:fldCharType="separate"/>
        </w:r>
        <w:r w:rsidR="00110469">
          <w:rPr>
            <w:noProof/>
            <w:webHidden/>
          </w:rPr>
          <w:t>2</w:t>
        </w:r>
        <w:r w:rsidR="00110469">
          <w:rPr>
            <w:noProof/>
            <w:webHidden/>
          </w:rPr>
          <w:fldChar w:fldCharType="end"/>
        </w:r>
      </w:hyperlink>
    </w:p>
    <w:p w:rsidR="00110469" w:rsidRDefault="004B52FC">
      <w:pPr>
        <w:pStyle w:val="TOC2"/>
        <w:rPr>
          <w:rFonts w:asciiTheme="minorHAnsi" w:eastAsiaTheme="minorEastAsia" w:hAnsiTheme="minorHAnsi" w:cstheme="minorBidi"/>
          <w:noProof/>
          <w:sz w:val="22"/>
          <w:szCs w:val="22"/>
        </w:rPr>
      </w:pPr>
      <w:hyperlink w:anchor="_Toc49241661" w:history="1">
        <w:r w:rsidR="00110469" w:rsidRPr="00E862CC">
          <w:rPr>
            <w:rStyle w:val="Hyperlink"/>
            <w:noProof/>
          </w:rPr>
          <w:t>New proposals for revisions of TGP documents and information documents</w:t>
        </w:r>
        <w:r w:rsidR="00110469">
          <w:rPr>
            <w:noProof/>
            <w:webHidden/>
          </w:rPr>
          <w:tab/>
        </w:r>
        <w:r w:rsidR="00110469">
          <w:rPr>
            <w:noProof/>
            <w:webHidden/>
          </w:rPr>
          <w:fldChar w:fldCharType="begin"/>
        </w:r>
        <w:r w:rsidR="00110469">
          <w:rPr>
            <w:noProof/>
            <w:webHidden/>
          </w:rPr>
          <w:instrText xml:space="preserve"> PAGEREF _Toc49241661 \h </w:instrText>
        </w:r>
        <w:r w:rsidR="00110469">
          <w:rPr>
            <w:noProof/>
            <w:webHidden/>
          </w:rPr>
        </w:r>
        <w:r w:rsidR="00110469">
          <w:rPr>
            <w:noProof/>
            <w:webHidden/>
          </w:rPr>
          <w:fldChar w:fldCharType="separate"/>
        </w:r>
        <w:r w:rsidR="00110469">
          <w:rPr>
            <w:noProof/>
            <w:webHidden/>
          </w:rPr>
          <w:t>3</w:t>
        </w:r>
        <w:r w:rsidR="00110469">
          <w:rPr>
            <w:noProof/>
            <w:webHidden/>
          </w:rPr>
          <w:fldChar w:fldCharType="end"/>
        </w:r>
      </w:hyperlink>
    </w:p>
    <w:p w:rsidR="0089096E" w:rsidRDefault="00110469" w:rsidP="0089096E">
      <w:pPr>
        <w:keepNext/>
        <w:outlineLvl w:val="0"/>
        <w:rPr>
          <w:rFonts w:cs="Arial"/>
          <w:bCs/>
          <w:caps/>
          <w:snapToGrid w:val="0"/>
          <w:sz w:val="18"/>
        </w:rPr>
      </w:pPr>
      <w:r>
        <w:rPr>
          <w:caps/>
          <w:snapToGrid w:val="0"/>
        </w:rPr>
        <w:fldChar w:fldCharType="end"/>
      </w:r>
    </w:p>
    <w:p w:rsidR="0089096E" w:rsidRPr="00D70149" w:rsidRDefault="0089096E" w:rsidP="0089096E">
      <w:pPr>
        <w:keepNext/>
        <w:outlineLvl w:val="0"/>
        <w:rPr>
          <w:rFonts w:cs="Arial"/>
          <w:bCs/>
          <w:caps/>
          <w:snapToGrid w:val="0"/>
          <w:sz w:val="18"/>
        </w:rPr>
      </w:pPr>
    </w:p>
    <w:p w:rsidR="0089096E" w:rsidRPr="00D70149" w:rsidRDefault="0089096E" w:rsidP="0089096E">
      <w:pPr>
        <w:jc w:val="left"/>
        <w:rPr>
          <w:rFonts w:cs="Arial"/>
          <w:color w:val="000000"/>
        </w:rPr>
      </w:pPr>
      <w:r w:rsidRPr="00D70149">
        <w:rPr>
          <w:rFonts w:cs="Arial"/>
          <w:color w:val="000000"/>
        </w:rPr>
        <w:fldChar w:fldCharType="begin"/>
      </w:r>
      <w:r w:rsidRPr="00D70149">
        <w:rPr>
          <w:rFonts w:cs="Arial"/>
          <w:color w:val="000000"/>
        </w:rPr>
        <w:instrText xml:space="preserve"> AUTONUM  </w:instrText>
      </w:r>
      <w:r w:rsidRPr="00D70149">
        <w:rPr>
          <w:rFonts w:cs="Arial"/>
          <w:color w:val="000000"/>
        </w:rPr>
        <w:fldChar w:fldCharType="end"/>
      </w:r>
      <w:r w:rsidRPr="00D70149">
        <w:rPr>
          <w:rFonts w:cs="Arial"/>
          <w:color w:val="000000"/>
        </w:rPr>
        <w:tab/>
        <w:t>The following abbreviations are used in this document:</w:t>
      </w:r>
    </w:p>
    <w:p w:rsidR="0089096E" w:rsidRPr="00D70149" w:rsidRDefault="0089096E" w:rsidP="0089096E">
      <w:pPr>
        <w:jc w:val="left"/>
        <w:rPr>
          <w:rFonts w:cs="Arial"/>
          <w:color w:val="000000"/>
        </w:rPr>
      </w:pPr>
    </w:p>
    <w:p w:rsidR="0089096E" w:rsidRPr="00D70149" w:rsidRDefault="0089096E" w:rsidP="0089096E">
      <w:pPr>
        <w:tabs>
          <w:tab w:val="left" w:pos="1134"/>
        </w:tabs>
        <w:jc w:val="left"/>
        <w:rPr>
          <w:rFonts w:cs="Arial"/>
          <w:color w:val="000000"/>
        </w:rPr>
      </w:pPr>
      <w:r w:rsidRPr="00D70149">
        <w:rPr>
          <w:rFonts w:cs="Arial"/>
          <w:color w:val="000000"/>
        </w:rPr>
        <w:t xml:space="preserve">TC:  </w:t>
      </w:r>
      <w:r w:rsidRPr="00D70149">
        <w:rPr>
          <w:rFonts w:cs="Arial"/>
          <w:color w:val="000000"/>
        </w:rPr>
        <w:tab/>
        <w:t>Technical Committee</w:t>
      </w:r>
    </w:p>
    <w:p w:rsidR="0089096E" w:rsidRPr="00D70149" w:rsidRDefault="0089096E" w:rsidP="0089096E">
      <w:pPr>
        <w:jc w:val="left"/>
        <w:rPr>
          <w:rFonts w:cs="Arial"/>
          <w:color w:val="000000"/>
        </w:rPr>
      </w:pPr>
      <w:r w:rsidRPr="00D70149">
        <w:rPr>
          <w:rFonts w:cs="Arial"/>
          <w:color w:val="000000"/>
        </w:rPr>
        <w:t xml:space="preserve">TC-EDC:  </w:t>
      </w:r>
      <w:r w:rsidRPr="00D70149">
        <w:rPr>
          <w:rFonts w:cs="Arial"/>
          <w:color w:val="000000"/>
        </w:rPr>
        <w:tab/>
        <w:t>Enlarged Editorial Committee</w:t>
      </w:r>
    </w:p>
    <w:p w:rsidR="0089096E" w:rsidRPr="00D70149" w:rsidRDefault="0089096E" w:rsidP="0089096E">
      <w:pPr>
        <w:jc w:val="left"/>
        <w:rPr>
          <w:rFonts w:cs="Arial"/>
          <w:color w:val="000000"/>
        </w:rPr>
      </w:pPr>
      <w:r w:rsidRPr="00D70149">
        <w:rPr>
          <w:rFonts w:cs="Arial"/>
          <w:color w:val="000000"/>
        </w:rPr>
        <w:t xml:space="preserve">TWA:  </w:t>
      </w:r>
      <w:r w:rsidRPr="00D70149">
        <w:rPr>
          <w:rFonts w:cs="Arial"/>
          <w:color w:val="000000"/>
        </w:rPr>
        <w:tab/>
        <w:t>Technical Working Party for Agricultural Crops</w:t>
      </w:r>
    </w:p>
    <w:p w:rsidR="0089096E" w:rsidRPr="00D70149" w:rsidRDefault="0089096E" w:rsidP="0089096E">
      <w:pPr>
        <w:jc w:val="left"/>
        <w:rPr>
          <w:rFonts w:cs="Arial"/>
          <w:color w:val="000000"/>
        </w:rPr>
      </w:pPr>
      <w:r w:rsidRPr="00D70149">
        <w:rPr>
          <w:rFonts w:cs="Arial"/>
          <w:color w:val="000000"/>
        </w:rPr>
        <w:t xml:space="preserve">TWC:  </w:t>
      </w:r>
      <w:r w:rsidRPr="00D70149">
        <w:rPr>
          <w:rFonts w:cs="Arial"/>
          <w:color w:val="000000"/>
        </w:rPr>
        <w:tab/>
        <w:t>Technical Working Party on Automation and Computer Programs</w:t>
      </w:r>
    </w:p>
    <w:p w:rsidR="0089096E" w:rsidRPr="00D70149" w:rsidRDefault="0089096E" w:rsidP="0089096E">
      <w:pPr>
        <w:jc w:val="left"/>
        <w:rPr>
          <w:rFonts w:cs="Arial"/>
          <w:color w:val="000000"/>
        </w:rPr>
      </w:pPr>
      <w:r w:rsidRPr="00D70149">
        <w:rPr>
          <w:rFonts w:cs="Arial"/>
          <w:color w:val="000000"/>
        </w:rPr>
        <w:t xml:space="preserve">TWF:  </w:t>
      </w:r>
      <w:r w:rsidRPr="00D70149">
        <w:rPr>
          <w:rFonts w:cs="Arial"/>
          <w:color w:val="000000"/>
        </w:rPr>
        <w:tab/>
        <w:t xml:space="preserve">Technical Working Party for Fruit Crops </w:t>
      </w:r>
    </w:p>
    <w:p w:rsidR="0089096E" w:rsidRPr="00D70149" w:rsidRDefault="0089096E" w:rsidP="0089096E">
      <w:pPr>
        <w:jc w:val="left"/>
        <w:rPr>
          <w:rFonts w:cs="Arial"/>
          <w:color w:val="000000"/>
        </w:rPr>
      </w:pPr>
      <w:r w:rsidRPr="00D70149">
        <w:rPr>
          <w:rFonts w:cs="Arial"/>
          <w:color w:val="000000"/>
        </w:rPr>
        <w:t xml:space="preserve">TWO:  </w:t>
      </w:r>
      <w:r w:rsidRPr="00D70149">
        <w:rPr>
          <w:rFonts w:cs="Arial"/>
          <w:color w:val="000000"/>
        </w:rPr>
        <w:tab/>
        <w:t xml:space="preserve">Technical Working Party for Ornamental Plants and Forest Trees </w:t>
      </w:r>
    </w:p>
    <w:p w:rsidR="0089096E" w:rsidRPr="00D70149" w:rsidRDefault="0089096E" w:rsidP="0089096E">
      <w:pPr>
        <w:jc w:val="left"/>
        <w:rPr>
          <w:rFonts w:cs="Arial"/>
          <w:color w:val="000000"/>
        </w:rPr>
      </w:pPr>
      <w:r w:rsidRPr="00D70149">
        <w:rPr>
          <w:rFonts w:cs="Arial"/>
          <w:color w:val="000000"/>
        </w:rPr>
        <w:t xml:space="preserve">TWV:  </w:t>
      </w:r>
      <w:r w:rsidRPr="00D70149">
        <w:rPr>
          <w:rFonts w:cs="Arial"/>
          <w:color w:val="000000"/>
        </w:rPr>
        <w:tab/>
        <w:t>Technical Working Party for Vegetables</w:t>
      </w:r>
    </w:p>
    <w:p w:rsidR="0089096E" w:rsidRPr="00D70149" w:rsidRDefault="0089096E" w:rsidP="0089096E">
      <w:pPr>
        <w:jc w:val="left"/>
        <w:rPr>
          <w:rFonts w:cs="Arial"/>
          <w:color w:val="000000"/>
        </w:rPr>
      </w:pPr>
      <w:r w:rsidRPr="00D70149">
        <w:rPr>
          <w:rFonts w:cs="Arial"/>
          <w:color w:val="000000"/>
        </w:rPr>
        <w:t>TWPs:</w:t>
      </w:r>
      <w:r w:rsidRPr="00D70149">
        <w:rPr>
          <w:rFonts w:cs="Arial"/>
          <w:color w:val="000000"/>
        </w:rPr>
        <w:tab/>
        <w:t>Technical Working Parties</w:t>
      </w:r>
    </w:p>
    <w:p w:rsidR="0089096E" w:rsidRPr="00D70149" w:rsidRDefault="0089096E" w:rsidP="0089096E"/>
    <w:p w:rsidR="00240BF6" w:rsidRDefault="00240BF6" w:rsidP="0089096E">
      <w:pPr>
        <w:jc w:val="right"/>
      </w:pPr>
    </w:p>
    <w:p w:rsidR="00240BF6" w:rsidRPr="00240BF6" w:rsidRDefault="00A42483" w:rsidP="00A42483">
      <w:pPr>
        <w:pStyle w:val="Heading1"/>
      </w:pPr>
      <w:bookmarkStart w:id="3" w:name="_Toc49241657"/>
      <w:r>
        <w:t>Background</w:t>
      </w:r>
      <w:bookmarkEnd w:id="3"/>
    </w:p>
    <w:p w:rsidR="00240BF6" w:rsidRPr="00240BF6" w:rsidRDefault="00240BF6" w:rsidP="00A42483"/>
    <w:p w:rsidR="00240BF6" w:rsidRPr="00240BF6" w:rsidRDefault="009D420C" w:rsidP="00717133">
      <w:pPr>
        <w:keepNext/>
      </w:pPr>
      <w:r>
        <w:rPr>
          <w:lang w:eastAsia="ja-JP"/>
        </w:rPr>
        <w:fldChar w:fldCharType="begin"/>
      </w:r>
      <w:r>
        <w:rPr>
          <w:lang w:eastAsia="ja-JP"/>
        </w:rPr>
        <w:instrText xml:space="preserve"> AUTONUM  </w:instrText>
      </w:r>
      <w:r>
        <w:rPr>
          <w:lang w:eastAsia="ja-JP"/>
        </w:rPr>
        <w:fldChar w:fldCharType="end"/>
      </w:r>
      <w:r>
        <w:rPr>
          <w:lang w:eastAsia="ja-JP"/>
        </w:rPr>
        <w:tab/>
        <w:t xml:space="preserve">The TWV considered document </w:t>
      </w:r>
      <w:r w:rsidRPr="00D51750">
        <w:rPr>
          <w:lang w:eastAsia="ja-JP"/>
        </w:rPr>
        <w:t>TWP/4/1</w:t>
      </w:r>
      <w:r>
        <w:rPr>
          <w:lang w:eastAsia="ja-JP"/>
        </w:rPr>
        <w:t xml:space="preserve"> </w:t>
      </w:r>
      <w:r>
        <w:t>(see document</w:t>
      </w:r>
      <w:r w:rsidRPr="00D70149">
        <w:t> TW</w:t>
      </w:r>
      <w:r>
        <w:t>V</w:t>
      </w:r>
      <w:r w:rsidRPr="00D70149">
        <w:t>/5</w:t>
      </w:r>
      <w:r>
        <w:t>4/12 “Report”, paragraphs 30 to 32</w:t>
      </w:r>
      <w:r w:rsidRPr="00D70149">
        <w:t>)</w:t>
      </w:r>
      <w:r>
        <w:rPr>
          <w:lang w:eastAsia="ja-JP"/>
        </w:rPr>
        <w:t>.</w:t>
      </w:r>
      <w:r w:rsidR="00717133">
        <w:rPr>
          <w:lang w:eastAsia="ja-JP"/>
        </w:rPr>
        <w:t xml:space="preserve">  </w:t>
      </w:r>
      <w:r w:rsidR="00240BF6" w:rsidRPr="00240BF6">
        <w:t>The TWO considered documents TWP/4/1 “Development of TGP and information (INF) documents” and TWO/52/10 “Comments on TGP documents”</w:t>
      </w:r>
      <w:r w:rsidR="00AE0ACB">
        <w:t xml:space="preserve"> (see document TWO/52/11 “Report”, paragraphs 8 to 25)</w:t>
      </w:r>
      <w:r w:rsidR="00240BF6" w:rsidRPr="00240BF6">
        <w:t>.</w:t>
      </w:r>
      <w:r>
        <w:t xml:space="preserve"> </w:t>
      </w:r>
      <w:r w:rsidR="0092680E" w:rsidRPr="0092680E">
        <w:t>The TW</w:t>
      </w:r>
      <w:r w:rsidR="00717133">
        <w:t xml:space="preserve">A considered documents TWP/4/1 </w:t>
      </w:r>
      <w:r w:rsidR="0092680E" w:rsidRPr="0092680E">
        <w:t>and TWA/49/6 “Comments on TGP documents”</w:t>
      </w:r>
      <w:r w:rsidR="0092680E">
        <w:t xml:space="preserve"> (see document</w:t>
      </w:r>
      <w:proofErr w:type="gramStart"/>
      <w:r w:rsidR="00717133">
        <w:t> </w:t>
      </w:r>
      <w:r w:rsidR="0092680E">
        <w:t xml:space="preserve"> TWA</w:t>
      </w:r>
      <w:proofErr w:type="gramEnd"/>
      <w:r w:rsidR="0092680E">
        <w:t>/49/7 “Report”, paragraphs 8 to 25)</w:t>
      </w:r>
      <w:r w:rsidR="00717133">
        <w:t xml:space="preserve">.  The TWF considered document TWP/4/1 and </w:t>
      </w:r>
      <w:r w:rsidR="00717133" w:rsidRPr="00E71013">
        <w:t>TWF/51/9</w:t>
      </w:r>
      <w:r w:rsidR="00717133">
        <w:t xml:space="preserve"> </w:t>
      </w:r>
      <w:r w:rsidR="00717133" w:rsidRPr="0092680E">
        <w:t>“Comments on TGP documents”</w:t>
      </w:r>
      <w:r w:rsidR="00717133">
        <w:t xml:space="preserve"> (see document</w:t>
      </w:r>
      <w:proofErr w:type="gramStart"/>
      <w:r w:rsidR="00717133">
        <w:t>  TWF</w:t>
      </w:r>
      <w:proofErr w:type="gramEnd"/>
      <w:r w:rsidR="00717133">
        <w:t>/51/10 “Report”, paragraphs 21 to 38).</w:t>
      </w:r>
    </w:p>
    <w:p w:rsidR="00240BF6" w:rsidRPr="00240BF6" w:rsidRDefault="00240BF6" w:rsidP="00240BF6"/>
    <w:p w:rsidR="00240BF6" w:rsidRPr="00240BF6" w:rsidRDefault="00240BF6" w:rsidP="00A42483">
      <w:pPr>
        <w:pStyle w:val="Heading1"/>
      </w:pPr>
      <w:bookmarkStart w:id="4" w:name="_Toc889243"/>
      <w:bookmarkStart w:id="5" w:name="_Toc37165238"/>
      <w:bookmarkStart w:id="6" w:name="_Toc49241658"/>
      <w:r w:rsidRPr="00240BF6">
        <w:t>Matters for adoption by the Council in 20</w:t>
      </w:r>
      <w:bookmarkEnd w:id="4"/>
      <w:r w:rsidRPr="00240BF6">
        <w:t>20</w:t>
      </w:r>
      <w:bookmarkEnd w:id="5"/>
      <w:bookmarkEnd w:id="6"/>
    </w:p>
    <w:p w:rsidR="00240BF6" w:rsidRPr="00240BF6" w:rsidRDefault="00240BF6" w:rsidP="00240BF6">
      <w:pPr>
        <w:keepNext/>
      </w:pPr>
    </w:p>
    <w:p w:rsidR="00240BF6" w:rsidRDefault="00240BF6" w:rsidP="00240BF6">
      <w:r w:rsidRPr="00240BF6">
        <w:fldChar w:fldCharType="begin"/>
      </w:r>
      <w:r w:rsidRPr="00240BF6">
        <w:instrText xml:space="preserve"> AUTONUM  </w:instrText>
      </w:r>
      <w:r w:rsidRPr="00240BF6">
        <w:fldChar w:fldCharType="end"/>
      </w:r>
      <w:r w:rsidRPr="00240BF6">
        <w:tab/>
        <w:t xml:space="preserve">The </w:t>
      </w:r>
      <w:r w:rsidR="0092680E">
        <w:t xml:space="preserve">TWV, </w:t>
      </w:r>
      <w:r w:rsidRPr="00240BF6">
        <w:t>TWO</w:t>
      </w:r>
      <w:r w:rsidR="00717133">
        <w:t xml:space="preserve">, </w:t>
      </w:r>
      <w:r w:rsidR="0092680E">
        <w:t xml:space="preserve">TWA </w:t>
      </w:r>
      <w:r w:rsidR="00717133">
        <w:t xml:space="preserve">and TWF </w:t>
      </w:r>
      <w:r w:rsidRPr="00240BF6">
        <w:t xml:space="preserve">noted the matters concerning documents TGP/5, TGP/7, TGP/14, TGP/15, UPOV/INF/12, UPOV/INF/16 and UPOV/INF/22 to be proposed for adoption by the Council at its </w:t>
      </w:r>
      <w:r w:rsidRPr="00240BF6">
        <w:lastRenderedPageBreak/>
        <w:t>fifty</w:t>
      </w:r>
      <w:r w:rsidRPr="00240BF6">
        <w:noBreakHyphen/>
        <w:t>fourth ordinary session, to be held in Geneva on October 30, 2020, subject to approval by the CAJ, at its seventy</w:t>
      </w:r>
      <w:r w:rsidRPr="00240BF6">
        <w:noBreakHyphen/>
        <w:t>seventh session, to be held in Geneva on October 28, 2020.</w:t>
      </w:r>
    </w:p>
    <w:p w:rsidR="00240BF6" w:rsidRPr="00240BF6" w:rsidRDefault="00240BF6" w:rsidP="00240BF6"/>
    <w:p w:rsidR="00240BF6" w:rsidRPr="00240BF6" w:rsidRDefault="00240BF6" w:rsidP="00240BF6">
      <w:r w:rsidRPr="00240BF6">
        <w:fldChar w:fldCharType="begin"/>
      </w:r>
      <w:r w:rsidRPr="00240BF6">
        <w:instrText xml:space="preserve"> AUTONUM  </w:instrText>
      </w:r>
      <w:r w:rsidRPr="00240BF6">
        <w:fldChar w:fldCharType="end"/>
      </w:r>
      <w:r w:rsidRPr="00240BF6">
        <w:tab/>
        <w:t>The TWO agreed to propose the following editorial correction to the text of document TGP/5, Section 6:</w:t>
      </w:r>
    </w:p>
    <w:p w:rsidR="00240BF6" w:rsidRPr="00240BF6" w:rsidRDefault="00240BF6" w:rsidP="00240BF6"/>
    <w:p w:rsidR="00240BF6" w:rsidRPr="00742E5D" w:rsidRDefault="00240BF6" w:rsidP="00240BF6">
      <w:pPr>
        <w:numPr>
          <w:ilvl w:val="0"/>
          <w:numId w:val="3"/>
        </w:numPr>
        <w:spacing w:after="200" w:line="276" w:lineRule="auto"/>
        <w:ind w:left="1134" w:hanging="567"/>
        <w:contextualSpacing/>
        <w:jc w:val="left"/>
        <w:rPr>
          <w:rFonts w:eastAsiaTheme="minorEastAsia" w:cstheme="minorBidi"/>
          <w:szCs w:val="22"/>
        </w:rPr>
      </w:pPr>
      <w:r w:rsidRPr="00240BF6">
        <w:rPr>
          <w:rFonts w:eastAsiaTheme="minorEastAsia" w:cs="Arial"/>
          <w:szCs w:val="22"/>
        </w:rPr>
        <w:t>To capitalize first letter and add full stop at end of sentence to read: “(</w:t>
      </w:r>
      <w:r w:rsidRPr="00240BF6">
        <w:rPr>
          <w:rFonts w:eastAsiaTheme="minorEastAsia" w:cs="Arial"/>
          <w:szCs w:val="22"/>
          <w:highlight w:val="lightGray"/>
          <w:u w:val="single"/>
        </w:rPr>
        <w:t>I</w:t>
      </w:r>
      <w:r w:rsidRPr="00240BF6">
        <w:rPr>
          <w:rFonts w:eastAsiaTheme="minorEastAsia" w:cs="Arial"/>
          <w:szCs w:val="22"/>
        </w:rPr>
        <w:t>f the variety is distinct, uniform and stable</w:t>
      </w:r>
      <w:r w:rsidRPr="00240BF6">
        <w:rPr>
          <w:rFonts w:eastAsiaTheme="minorEastAsia" w:cs="Arial"/>
          <w:szCs w:val="22"/>
          <w:highlight w:val="lightGray"/>
          <w:u w:val="single"/>
        </w:rPr>
        <w:t>.</w:t>
      </w:r>
      <w:r w:rsidRPr="00240BF6">
        <w:rPr>
          <w:rFonts w:eastAsiaTheme="minorEastAsia" w:cs="Arial"/>
          <w:szCs w:val="22"/>
        </w:rPr>
        <w:t xml:space="preserve">)”  </w:t>
      </w:r>
    </w:p>
    <w:p w:rsidR="00742E5D" w:rsidRPr="00240BF6" w:rsidRDefault="00742E5D" w:rsidP="00742E5D">
      <w:pPr>
        <w:spacing w:after="200" w:line="276" w:lineRule="auto"/>
        <w:ind w:left="1134"/>
        <w:contextualSpacing/>
        <w:jc w:val="left"/>
        <w:rPr>
          <w:rFonts w:eastAsiaTheme="minorEastAsia" w:cstheme="minorBidi"/>
          <w:szCs w:val="22"/>
        </w:rPr>
      </w:pPr>
    </w:p>
    <w:p w:rsidR="00240BF6" w:rsidRPr="00240BF6" w:rsidRDefault="00240BF6" w:rsidP="00742E5D">
      <w:pPr>
        <w:keepNext/>
      </w:pPr>
      <w:r w:rsidRPr="00240BF6">
        <w:fldChar w:fldCharType="begin"/>
      </w:r>
      <w:r w:rsidRPr="00240BF6">
        <w:instrText xml:space="preserve"> AUTONUM  </w:instrText>
      </w:r>
      <w:r w:rsidRPr="00240BF6">
        <w:fldChar w:fldCharType="end"/>
      </w:r>
      <w:r w:rsidRPr="00240BF6">
        <w:tab/>
        <w:t>The TWO agreed to propose the following editorial correction to the text of document TGP/7, section “Characteristics which only apply to certain varieties”:</w:t>
      </w:r>
    </w:p>
    <w:p w:rsidR="00240BF6" w:rsidRPr="00240BF6" w:rsidRDefault="00240BF6" w:rsidP="00742E5D">
      <w:pPr>
        <w:keepNext/>
      </w:pPr>
    </w:p>
    <w:p w:rsidR="00240BF6" w:rsidRDefault="00240BF6" w:rsidP="00742E5D">
      <w:pPr>
        <w:keepNext/>
        <w:numPr>
          <w:ilvl w:val="0"/>
          <w:numId w:val="3"/>
        </w:numPr>
        <w:spacing w:after="200" w:line="276" w:lineRule="auto"/>
        <w:ind w:left="1134" w:hanging="567"/>
        <w:contextualSpacing/>
        <w:jc w:val="left"/>
        <w:rPr>
          <w:rFonts w:eastAsiaTheme="minorEastAsia" w:cstheme="minorBidi"/>
          <w:szCs w:val="22"/>
        </w:rPr>
      </w:pPr>
      <w:r w:rsidRPr="00240BF6">
        <w:rPr>
          <w:rFonts w:eastAsiaTheme="minorEastAsia" w:cstheme="minorBidi"/>
          <w:szCs w:val="22"/>
        </w:rPr>
        <w:t>To delete quotation marks from state of expression to read: “(PQ) Only varieties with: Presence of hairs: Other than absent or very weak (1): Hair: color”</w:t>
      </w:r>
    </w:p>
    <w:p w:rsidR="0005765E" w:rsidRPr="00240BF6" w:rsidRDefault="0005765E" w:rsidP="0005765E">
      <w:pPr>
        <w:spacing w:after="200" w:line="276" w:lineRule="auto"/>
        <w:ind w:left="1134"/>
        <w:contextualSpacing/>
        <w:jc w:val="left"/>
        <w:rPr>
          <w:rFonts w:eastAsiaTheme="minorEastAsia" w:cstheme="minorBidi"/>
          <w:szCs w:val="22"/>
        </w:rPr>
      </w:pPr>
    </w:p>
    <w:p w:rsidR="00240BF6" w:rsidRPr="00240BF6" w:rsidRDefault="00240BF6" w:rsidP="00240BF6">
      <w:r w:rsidRPr="00240BF6">
        <w:fldChar w:fldCharType="begin"/>
      </w:r>
      <w:r w:rsidRPr="00240BF6">
        <w:instrText xml:space="preserve"> AUTONUM  </w:instrText>
      </w:r>
      <w:r w:rsidRPr="00240BF6">
        <w:fldChar w:fldCharType="end"/>
      </w:r>
      <w:r w:rsidRPr="00240BF6">
        <w:tab/>
        <w:t>The TWO noted that the TC had agreed the proposal for revision of document TGP/5, Section 6, to be proposed for adoption by the Council at its fifty</w:t>
      </w:r>
      <w:r w:rsidRPr="00240BF6">
        <w:noBreakHyphen/>
        <w:t>fourth ordinary session, to be held in 2020.  The TWO agreed to propose that the following changes were considered by the TC for a future revision of document TGP/5, Section 6:</w:t>
      </w:r>
    </w:p>
    <w:p w:rsidR="00240BF6" w:rsidRPr="00240BF6" w:rsidRDefault="00240BF6" w:rsidP="00240BF6"/>
    <w:p w:rsidR="00240BF6" w:rsidRPr="00240BF6" w:rsidRDefault="00240BF6" w:rsidP="00240BF6">
      <w:pPr>
        <w:ind w:left="1134" w:hanging="567"/>
      </w:pPr>
      <w:r w:rsidRPr="00240BF6">
        <w:t>Chapter: UPOV Report on Technical Examination</w:t>
      </w:r>
    </w:p>
    <w:p w:rsidR="00240BF6" w:rsidRPr="00240BF6" w:rsidRDefault="00240BF6" w:rsidP="00240BF6">
      <w:pPr>
        <w:numPr>
          <w:ilvl w:val="0"/>
          <w:numId w:val="3"/>
        </w:numPr>
        <w:spacing w:after="200" w:line="276" w:lineRule="auto"/>
        <w:ind w:left="1134" w:hanging="567"/>
        <w:contextualSpacing/>
        <w:jc w:val="left"/>
        <w:rPr>
          <w:rFonts w:eastAsiaTheme="minorEastAsia" w:cstheme="minorBidi"/>
          <w:szCs w:val="22"/>
        </w:rPr>
      </w:pPr>
      <w:r w:rsidRPr="00240BF6">
        <w:rPr>
          <w:rFonts w:eastAsiaTheme="minorEastAsia" w:cs="Arial"/>
          <w:szCs w:val="22"/>
        </w:rPr>
        <w:t xml:space="preserve">Item 13 to read “Testing </w:t>
      </w:r>
      <w:r w:rsidRPr="00240BF6">
        <w:rPr>
          <w:rFonts w:eastAsiaTheme="minorEastAsia" w:cs="Arial"/>
          <w:strike/>
          <w:szCs w:val="22"/>
          <w:highlight w:val="lightGray"/>
        </w:rPr>
        <w:t>station</w:t>
      </w:r>
      <w:r w:rsidRPr="00240BF6">
        <w:rPr>
          <w:rFonts w:eastAsiaTheme="minorEastAsia" w:cs="Arial"/>
          <w:szCs w:val="22"/>
        </w:rPr>
        <w:t xml:space="preserve"> </w:t>
      </w:r>
      <w:r w:rsidRPr="00240BF6">
        <w:rPr>
          <w:rFonts w:eastAsiaTheme="minorEastAsia" w:cs="Arial"/>
          <w:szCs w:val="22"/>
          <w:highlight w:val="lightGray"/>
          <w:u w:val="single"/>
        </w:rPr>
        <w:t>site</w:t>
      </w:r>
      <w:r w:rsidRPr="00240BF6">
        <w:rPr>
          <w:rFonts w:eastAsiaTheme="minorEastAsia" w:cs="Arial"/>
          <w:szCs w:val="22"/>
        </w:rPr>
        <w:t>(s) and place(s)”</w:t>
      </w:r>
    </w:p>
    <w:p w:rsidR="00240BF6" w:rsidRPr="00240BF6" w:rsidRDefault="00240BF6" w:rsidP="00240BF6">
      <w:pPr>
        <w:numPr>
          <w:ilvl w:val="0"/>
          <w:numId w:val="3"/>
        </w:numPr>
        <w:spacing w:after="200" w:line="276" w:lineRule="auto"/>
        <w:ind w:left="1134" w:hanging="567"/>
        <w:contextualSpacing/>
        <w:jc w:val="left"/>
        <w:rPr>
          <w:rFonts w:eastAsiaTheme="minorEastAsia" w:cs="Arial"/>
          <w:szCs w:val="22"/>
        </w:rPr>
      </w:pPr>
      <w:r w:rsidRPr="00240BF6">
        <w:rPr>
          <w:rFonts w:eastAsiaTheme="minorEastAsia" w:cs="Arial"/>
          <w:szCs w:val="22"/>
        </w:rPr>
        <w:t>New item: Date and document number of UPOV Test Guidelines</w:t>
      </w:r>
    </w:p>
    <w:p w:rsidR="00240BF6" w:rsidRPr="0005765E" w:rsidRDefault="00240BF6" w:rsidP="00240BF6">
      <w:pPr>
        <w:numPr>
          <w:ilvl w:val="0"/>
          <w:numId w:val="3"/>
        </w:numPr>
        <w:spacing w:after="200" w:line="276" w:lineRule="auto"/>
        <w:ind w:left="1134" w:hanging="567"/>
        <w:contextualSpacing/>
        <w:jc w:val="left"/>
        <w:rPr>
          <w:rFonts w:eastAsiaTheme="minorEastAsia" w:cstheme="minorBidi"/>
          <w:szCs w:val="22"/>
        </w:rPr>
      </w:pPr>
      <w:r w:rsidRPr="00240BF6">
        <w:rPr>
          <w:rFonts w:eastAsiaTheme="minorEastAsia" w:cs="Arial"/>
          <w:szCs w:val="22"/>
        </w:rPr>
        <w:t>New item: Date and/or document number of Reporting Authority’s test guidelines</w:t>
      </w:r>
    </w:p>
    <w:p w:rsidR="0005765E" w:rsidRPr="00240BF6" w:rsidRDefault="0005765E" w:rsidP="0005765E">
      <w:pPr>
        <w:spacing w:after="200" w:line="276" w:lineRule="auto"/>
        <w:ind w:left="1134"/>
        <w:contextualSpacing/>
        <w:jc w:val="left"/>
        <w:rPr>
          <w:rFonts w:eastAsiaTheme="minorEastAsia" w:cstheme="minorBidi"/>
          <w:szCs w:val="22"/>
        </w:rPr>
      </w:pPr>
    </w:p>
    <w:p w:rsidR="00240BF6" w:rsidRPr="00240BF6" w:rsidRDefault="00240BF6" w:rsidP="00240BF6">
      <w:pPr>
        <w:ind w:left="1134" w:hanging="567"/>
      </w:pPr>
      <w:r w:rsidRPr="00240BF6">
        <w:t>Chapter: UPOV Variety Description</w:t>
      </w:r>
    </w:p>
    <w:p w:rsidR="00240BF6" w:rsidRPr="00AE0ACB" w:rsidRDefault="00240BF6" w:rsidP="00240BF6">
      <w:pPr>
        <w:numPr>
          <w:ilvl w:val="0"/>
          <w:numId w:val="3"/>
        </w:numPr>
        <w:spacing w:after="200" w:line="276" w:lineRule="auto"/>
        <w:ind w:left="1134" w:hanging="567"/>
        <w:contextualSpacing/>
        <w:jc w:val="left"/>
        <w:rPr>
          <w:rFonts w:eastAsiaTheme="minorEastAsia" w:cstheme="minorBidi"/>
          <w:szCs w:val="22"/>
        </w:rPr>
      </w:pPr>
      <w:r w:rsidRPr="00240BF6">
        <w:rPr>
          <w:rFonts w:eastAsiaTheme="minorEastAsia" w:cs="Arial"/>
          <w:szCs w:val="22"/>
        </w:rPr>
        <w:t xml:space="preserve">Item 11 to read “Testing </w:t>
      </w:r>
      <w:r w:rsidRPr="00240BF6">
        <w:rPr>
          <w:rFonts w:eastAsiaTheme="minorEastAsia" w:cs="Arial"/>
          <w:strike/>
          <w:szCs w:val="22"/>
          <w:highlight w:val="lightGray"/>
        </w:rPr>
        <w:t>station</w:t>
      </w:r>
      <w:r w:rsidRPr="00240BF6">
        <w:rPr>
          <w:rFonts w:eastAsiaTheme="minorEastAsia" w:cs="Arial"/>
          <w:szCs w:val="22"/>
        </w:rPr>
        <w:t xml:space="preserve"> </w:t>
      </w:r>
      <w:r w:rsidRPr="00240BF6">
        <w:rPr>
          <w:rFonts w:eastAsiaTheme="minorEastAsia" w:cs="Arial"/>
          <w:szCs w:val="22"/>
          <w:highlight w:val="lightGray"/>
          <w:u w:val="single"/>
        </w:rPr>
        <w:t>site</w:t>
      </w:r>
      <w:r w:rsidRPr="00240BF6">
        <w:rPr>
          <w:rFonts w:eastAsiaTheme="minorEastAsia" w:cs="Arial"/>
          <w:szCs w:val="22"/>
        </w:rPr>
        <w:t>(s) and place(s)”</w:t>
      </w:r>
    </w:p>
    <w:p w:rsidR="00AE0ACB" w:rsidRDefault="00AE0ACB" w:rsidP="00AE0ACB">
      <w:pPr>
        <w:spacing w:after="200" w:line="276" w:lineRule="auto"/>
        <w:ind w:left="1134"/>
        <w:contextualSpacing/>
        <w:jc w:val="left"/>
        <w:rPr>
          <w:rFonts w:eastAsiaTheme="minorEastAsia" w:cstheme="minorBidi"/>
          <w:szCs w:val="22"/>
        </w:rPr>
      </w:pPr>
    </w:p>
    <w:p w:rsidR="00F23477" w:rsidRPr="00240BF6" w:rsidRDefault="00F23477" w:rsidP="00F23477">
      <w:r w:rsidRPr="00E71013">
        <w:fldChar w:fldCharType="begin"/>
      </w:r>
      <w:r w:rsidRPr="00E71013">
        <w:instrText xml:space="preserve"> AUTONUM  </w:instrText>
      </w:r>
      <w:r w:rsidRPr="00E71013">
        <w:fldChar w:fldCharType="end"/>
      </w:r>
      <w:r w:rsidRPr="00E71013">
        <w:tab/>
        <w:t>The TWF noted the comments made by the TWO, at its fifty-second session, and agreed with the proposal by the TWO to replace “testing station” by “testing site” in a future revision of document TGP/5, Section 6, as follows:</w:t>
      </w:r>
    </w:p>
    <w:p w:rsidR="00F23477" w:rsidRPr="00240BF6" w:rsidRDefault="00F23477" w:rsidP="00F23477"/>
    <w:p w:rsidR="00F23477" w:rsidRPr="00240BF6" w:rsidRDefault="00F23477" w:rsidP="00F23477">
      <w:pPr>
        <w:ind w:left="1134" w:hanging="567"/>
      </w:pPr>
      <w:r w:rsidRPr="00240BF6">
        <w:t>Chapter: UPOV Report on Technical Examination</w:t>
      </w:r>
    </w:p>
    <w:p w:rsidR="00F23477" w:rsidRPr="00240BF6" w:rsidRDefault="00F23477" w:rsidP="00F23477">
      <w:pPr>
        <w:numPr>
          <w:ilvl w:val="0"/>
          <w:numId w:val="3"/>
        </w:numPr>
        <w:spacing w:after="200" w:line="276" w:lineRule="auto"/>
        <w:ind w:left="1134" w:hanging="567"/>
        <w:contextualSpacing/>
        <w:jc w:val="left"/>
        <w:rPr>
          <w:rFonts w:eastAsiaTheme="minorEastAsia" w:cstheme="minorBidi"/>
          <w:szCs w:val="22"/>
        </w:rPr>
      </w:pPr>
      <w:r w:rsidRPr="00240BF6">
        <w:rPr>
          <w:rFonts w:eastAsiaTheme="minorEastAsia" w:cs="Arial"/>
          <w:szCs w:val="22"/>
        </w:rPr>
        <w:t xml:space="preserve">Item 13 to read “Testing </w:t>
      </w:r>
      <w:r w:rsidRPr="00240BF6">
        <w:rPr>
          <w:rFonts w:eastAsiaTheme="minorEastAsia" w:cs="Arial"/>
          <w:strike/>
          <w:szCs w:val="22"/>
          <w:highlight w:val="lightGray"/>
        </w:rPr>
        <w:t>station</w:t>
      </w:r>
      <w:r w:rsidRPr="00240BF6">
        <w:rPr>
          <w:rFonts w:eastAsiaTheme="minorEastAsia" w:cs="Arial"/>
          <w:szCs w:val="22"/>
        </w:rPr>
        <w:t xml:space="preserve"> </w:t>
      </w:r>
      <w:r w:rsidRPr="00240BF6">
        <w:rPr>
          <w:rFonts w:eastAsiaTheme="minorEastAsia" w:cs="Arial"/>
          <w:szCs w:val="22"/>
          <w:highlight w:val="lightGray"/>
          <w:u w:val="single"/>
        </w:rPr>
        <w:t>site</w:t>
      </w:r>
      <w:r w:rsidRPr="00240BF6">
        <w:rPr>
          <w:rFonts w:eastAsiaTheme="minorEastAsia" w:cs="Arial"/>
          <w:szCs w:val="22"/>
        </w:rPr>
        <w:t>(s) and place(s)”</w:t>
      </w:r>
    </w:p>
    <w:p w:rsidR="00F23477" w:rsidRPr="00240BF6" w:rsidRDefault="00F23477" w:rsidP="00F23477">
      <w:pPr>
        <w:spacing w:after="200" w:line="276" w:lineRule="auto"/>
        <w:ind w:left="1134"/>
        <w:contextualSpacing/>
        <w:jc w:val="left"/>
        <w:rPr>
          <w:rFonts w:eastAsiaTheme="minorEastAsia" w:cstheme="minorBidi"/>
          <w:szCs w:val="22"/>
        </w:rPr>
      </w:pPr>
    </w:p>
    <w:p w:rsidR="00F23477" w:rsidRPr="00240BF6" w:rsidRDefault="00F23477" w:rsidP="00F23477">
      <w:pPr>
        <w:ind w:left="1134" w:hanging="567"/>
      </w:pPr>
      <w:r w:rsidRPr="00240BF6">
        <w:t>Chapter: UPOV Variety Description</w:t>
      </w:r>
    </w:p>
    <w:p w:rsidR="00F23477" w:rsidRPr="00AE0ACB" w:rsidRDefault="00F23477" w:rsidP="00F23477">
      <w:pPr>
        <w:numPr>
          <w:ilvl w:val="0"/>
          <w:numId w:val="3"/>
        </w:numPr>
        <w:spacing w:after="200" w:line="276" w:lineRule="auto"/>
        <w:ind w:left="1134" w:hanging="567"/>
        <w:contextualSpacing/>
        <w:jc w:val="left"/>
        <w:rPr>
          <w:rFonts w:eastAsiaTheme="minorEastAsia" w:cstheme="minorBidi"/>
          <w:szCs w:val="22"/>
        </w:rPr>
      </w:pPr>
      <w:r w:rsidRPr="00240BF6">
        <w:rPr>
          <w:rFonts w:eastAsiaTheme="minorEastAsia" w:cs="Arial"/>
          <w:szCs w:val="22"/>
        </w:rPr>
        <w:t xml:space="preserve">Item 11 to read “Testing </w:t>
      </w:r>
      <w:r w:rsidRPr="00240BF6">
        <w:rPr>
          <w:rFonts w:eastAsiaTheme="minorEastAsia" w:cs="Arial"/>
          <w:strike/>
          <w:szCs w:val="22"/>
          <w:highlight w:val="lightGray"/>
        </w:rPr>
        <w:t>station</w:t>
      </w:r>
      <w:r w:rsidRPr="00240BF6">
        <w:rPr>
          <w:rFonts w:eastAsiaTheme="minorEastAsia" w:cs="Arial"/>
          <w:szCs w:val="22"/>
        </w:rPr>
        <w:t xml:space="preserve"> </w:t>
      </w:r>
      <w:r w:rsidRPr="00240BF6">
        <w:rPr>
          <w:rFonts w:eastAsiaTheme="minorEastAsia" w:cs="Arial"/>
          <w:szCs w:val="22"/>
          <w:highlight w:val="lightGray"/>
          <w:u w:val="single"/>
        </w:rPr>
        <w:t>site</w:t>
      </w:r>
      <w:r w:rsidRPr="00240BF6">
        <w:rPr>
          <w:rFonts w:eastAsiaTheme="minorEastAsia" w:cs="Arial"/>
          <w:szCs w:val="22"/>
        </w:rPr>
        <w:t>(s) and place(s)”</w:t>
      </w:r>
    </w:p>
    <w:p w:rsidR="00F23477" w:rsidRPr="00240BF6" w:rsidRDefault="00F23477" w:rsidP="00AE0ACB">
      <w:pPr>
        <w:spacing w:after="200" w:line="276" w:lineRule="auto"/>
        <w:ind w:left="1134"/>
        <w:contextualSpacing/>
        <w:jc w:val="left"/>
        <w:rPr>
          <w:rFonts w:eastAsiaTheme="minorEastAsia" w:cstheme="minorBidi"/>
          <w:szCs w:val="22"/>
        </w:rPr>
      </w:pPr>
    </w:p>
    <w:p w:rsidR="00240BF6" w:rsidRPr="00240BF6" w:rsidRDefault="00240BF6" w:rsidP="00240BF6">
      <w:r w:rsidRPr="00240BF6">
        <w:fldChar w:fldCharType="begin"/>
      </w:r>
      <w:r w:rsidRPr="00240BF6">
        <w:instrText xml:space="preserve"> AUTONUM  </w:instrText>
      </w:r>
      <w:r w:rsidRPr="00240BF6">
        <w:fldChar w:fldCharType="end"/>
      </w:r>
      <w:r w:rsidRPr="00240BF6">
        <w:tab/>
        <w:t>The TWO considered the explanation to item 16 “</w:t>
      </w:r>
      <w:r w:rsidRPr="00240BF6">
        <w:rPr>
          <w:rFonts w:cs="Arial"/>
        </w:rPr>
        <w:t>Similar Varieties and Differences from These Varieties”</w:t>
      </w:r>
      <w:r w:rsidRPr="00240BF6">
        <w:t>, as presented in the Annex to Chapter “UPOV Variety Description”.  The TWO noted there were different interpretations among participants on the sentence: “</w:t>
      </w:r>
      <w:r w:rsidRPr="00240BF6">
        <w:rPr>
          <w:rFonts w:cs="Arial"/>
        </w:rPr>
        <w:t>Only those characteristics that show sufficient differences to establish distinctness should be given.”  Th</w:t>
      </w:r>
      <w:r w:rsidRPr="00240BF6">
        <w:t>e TWO agreed to invite the European Union to make a presentation on “providing information on ‘</w:t>
      </w:r>
      <w:r w:rsidRPr="00240BF6">
        <w:rPr>
          <w:rFonts w:cs="Arial"/>
        </w:rPr>
        <w:t>Similar Varieties and Differences from These Varieties’”</w:t>
      </w:r>
      <w:r w:rsidRPr="00240BF6">
        <w:t xml:space="preserve"> at its fifty</w:t>
      </w:r>
      <w:r w:rsidRPr="00240BF6">
        <w:noBreakHyphen/>
        <w:t xml:space="preserve">third session. </w:t>
      </w:r>
    </w:p>
    <w:p w:rsidR="00240BF6" w:rsidRDefault="00240BF6" w:rsidP="00240BF6"/>
    <w:p w:rsidR="00E54C80" w:rsidRPr="00240BF6" w:rsidRDefault="00E54C80" w:rsidP="00240BF6"/>
    <w:p w:rsidR="00240BF6" w:rsidRPr="00240BF6" w:rsidRDefault="00240BF6" w:rsidP="00A42483">
      <w:pPr>
        <w:pStyle w:val="Heading1"/>
      </w:pPr>
      <w:bookmarkStart w:id="7" w:name="_Toc49241659"/>
      <w:r w:rsidRPr="00240BF6">
        <w:t>Possible future revisions of TGP documents and information documents</w:t>
      </w:r>
      <w:bookmarkEnd w:id="7"/>
    </w:p>
    <w:p w:rsidR="00240BF6" w:rsidRPr="00240BF6" w:rsidRDefault="00240BF6" w:rsidP="00240BF6">
      <w:pPr>
        <w:keepNext/>
        <w:rPr>
          <w:snapToGrid w:val="0"/>
        </w:rPr>
      </w:pPr>
    </w:p>
    <w:p w:rsidR="00240BF6" w:rsidRPr="00240BF6" w:rsidRDefault="00240BF6" w:rsidP="00A42483">
      <w:pPr>
        <w:pStyle w:val="Heading2"/>
        <w:rPr>
          <w:snapToGrid w:val="0"/>
        </w:rPr>
      </w:pPr>
      <w:bookmarkStart w:id="8" w:name="_Toc49241660"/>
      <w:r w:rsidRPr="00240BF6">
        <w:t>TGP/8: Trial Design and Techniques Used in the Examination of Distinctness, Uniformity and Stability</w:t>
      </w:r>
      <w:bookmarkEnd w:id="8"/>
    </w:p>
    <w:p w:rsidR="00240BF6" w:rsidRPr="00240BF6" w:rsidRDefault="00240BF6" w:rsidP="00240BF6">
      <w:pPr>
        <w:keepNext/>
        <w:rPr>
          <w:snapToGrid w:val="0"/>
        </w:rPr>
      </w:pPr>
    </w:p>
    <w:p w:rsidR="00240BF6" w:rsidRPr="00110469" w:rsidRDefault="00240BF6" w:rsidP="00110469">
      <w:pPr>
        <w:pStyle w:val="Heading3"/>
      </w:pPr>
      <w:r w:rsidRPr="00110469">
        <w:t>Data processing for the production of variety descriptions for measured quantitative characteristics</w:t>
      </w:r>
    </w:p>
    <w:p w:rsidR="00240BF6" w:rsidRPr="00240BF6" w:rsidRDefault="00240BF6" w:rsidP="00240BF6">
      <w:pPr>
        <w:keepNext/>
        <w:rPr>
          <w:lang w:eastAsia="ja-JP"/>
        </w:rPr>
      </w:pPr>
    </w:p>
    <w:p w:rsidR="00240BF6" w:rsidRPr="00240BF6" w:rsidRDefault="00240BF6" w:rsidP="00240BF6">
      <w:pPr>
        <w:rPr>
          <w:lang w:eastAsia="ja-JP"/>
        </w:rPr>
      </w:pPr>
      <w:r w:rsidRPr="00240BF6">
        <w:rPr>
          <w:lang w:eastAsia="ja-JP"/>
        </w:rPr>
        <w:fldChar w:fldCharType="begin"/>
      </w:r>
      <w:r w:rsidRPr="00240BF6">
        <w:rPr>
          <w:lang w:eastAsia="ja-JP"/>
        </w:rPr>
        <w:instrText xml:space="preserve"> AUTONUM  </w:instrText>
      </w:r>
      <w:r w:rsidRPr="00240BF6">
        <w:rPr>
          <w:lang w:eastAsia="ja-JP"/>
        </w:rPr>
        <w:fldChar w:fldCharType="end"/>
      </w:r>
      <w:r w:rsidRPr="00240BF6">
        <w:rPr>
          <w:lang w:eastAsia="ja-JP"/>
        </w:rPr>
        <w:tab/>
        <w:t xml:space="preserve">The </w:t>
      </w:r>
      <w:r w:rsidR="0073526E">
        <w:rPr>
          <w:lang w:eastAsia="ja-JP"/>
        </w:rPr>
        <w:t xml:space="preserve">TWV, </w:t>
      </w:r>
      <w:r w:rsidRPr="00240BF6">
        <w:rPr>
          <w:lang w:eastAsia="ja-JP"/>
        </w:rPr>
        <w:t>TWO</w:t>
      </w:r>
      <w:r w:rsidR="00613D75">
        <w:rPr>
          <w:lang w:eastAsia="ja-JP"/>
        </w:rPr>
        <w:t>,</w:t>
      </w:r>
      <w:r w:rsidRPr="00240BF6">
        <w:rPr>
          <w:lang w:eastAsia="ja-JP"/>
        </w:rPr>
        <w:t xml:space="preserve"> </w:t>
      </w:r>
      <w:r w:rsidR="0073526E">
        <w:rPr>
          <w:lang w:eastAsia="ja-JP"/>
        </w:rPr>
        <w:t>TWA</w:t>
      </w:r>
      <w:r w:rsidR="00613D75">
        <w:rPr>
          <w:lang w:eastAsia="ja-JP"/>
        </w:rPr>
        <w:t xml:space="preserve"> and TWF</w:t>
      </w:r>
      <w:r w:rsidR="0073526E">
        <w:rPr>
          <w:lang w:eastAsia="ja-JP"/>
        </w:rPr>
        <w:t xml:space="preserve"> </w:t>
      </w:r>
      <w:r w:rsidRPr="00240BF6">
        <w:rPr>
          <w:lang w:eastAsia="ja-JP"/>
        </w:rPr>
        <w:t>considered document TWP/4/10.</w:t>
      </w:r>
    </w:p>
    <w:p w:rsidR="00240BF6" w:rsidRDefault="00240BF6" w:rsidP="00240BF6">
      <w:pPr>
        <w:rPr>
          <w:lang w:eastAsia="ja-JP"/>
        </w:rPr>
      </w:pPr>
    </w:p>
    <w:p w:rsidR="004C6B94" w:rsidRDefault="004C6B94" w:rsidP="004C6B94">
      <w:r>
        <w:rPr>
          <w:lang w:eastAsia="ja-JP"/>
        </w:rPr>
        <w:fldChar w:fldCharType="begin"/>
      </w:r>
      <w:r>
        <w:rPr>
          <w:lang w:eastAsia="ja-JP"/>
        </w:rPr>
        <w:instrText xml:space="preserve"> AUTONUM  </w:instrText>
      </w:r>
      <w:r>
        <w:rPr>
          <w:lang w:eastAsia="ja-JP"/>
        </w:rPr>
        <w:fldChar w:fldCharType="end"/>
      </w:r>
      <w:r>
        <w:rPr>
          <w:lang w:eastAsia="ja-JP"/>
        </w:rPr>
        <w:tab/>
      </w:r>
      <w:r w:rsidR="00613D75">
        <w:t xml:space="preserve">The TWV, </w:t>
      </w:r>
      <w:r w:rsidR="0073526E">
        <w:t xml:space="preserve">TWA </w:t>
      </w:r>
      <w:r w:rsidR="00613D75">
        <w:t xml:space="preserve">and TWF </w:t>
      </w:r>
      <w:r>
        <w:t>considered the different approaches to convert observations into notes for producing variety descriptions for measured quantitative characteristics, as</w:t>
      </w:r>
      <w:r>
        <w:rPr>
          <w:lang w:eastAsia="ja-JP"/>
        </w:rPr>
        <w:t xml:space="preserve"> </w:t>
      </w:r>
      <w:r>
        <w:t xml:space="preserve">presented in </w:t>
      </w:r>
      <w:r>
        <w:rPr>
          <w:lang w:eastAsia="ja-JP"/>
        </w:rPr>
        <w:t xml:space="preserve">document TWP/4/10, </w:t>
      </w:r>
      <w:r>
        <w:t>Annexes III to VII, and information, if any, that could facilitate their application.</w:t>
      </w:r>
    </w:p>
    <w:p w:rsidR="004C6B94" w:rsidRDefault="004C6B94" w:rsidP="004C6B94"/>
    <w:p w:rsidR="004C6B94" w:rsidRDefault="004C6B94" w:rsidP="004C6B94">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The TWV noted the comments provided by the European Union and Germany on the methods described in the Annexes of document TWP/4/10 and agreed to request the following additional information:</w:t>
      </w:r>
    </w:p>
    <w:p w:rsidR="004C6B94" w:rsidRDefault="004C6B94" w:rsidP="004C6B94">
      <w:pPr>
        <w:rPr>
          <w:lang w:eastAsia="ja-JP"/>
        </w:rPr>
      </w:pPr>
    </w:p>
    <w:p w:rsidR="004C6B94" w:rsidRDefault="004C6B94" w:rsidP="004C6B94">
      <w:pPr>
        <w:ind w:left="567"/>
        <w:rPr>
          <w:rFonts w:cs="Arial"/>
        </w:rPr>
      </w:pPr>
      <w:r>
        <w:rPr>
          <w:lang w:eastAsia="ja-JP"/>
        </w:rPr>
        <w:t xml:space="preserve">Annex III, </w:t>
      </w:r>
      <w:r>
        <w:rPr>
          <w:rFonts w:cs="Arial"/>
        </w:rPr>
        <w:t xml:space="preserve">French Method 2:  </w:t>
      </w:r>
    </w:p>
    <w:p w:rsidR="004C6B94" w:rsidRDefault="004C6B94" w:rsidP="004C6B94">
      <w:pPr>
        <w:pStyle w:val="ListParagraph"/>
        <w:numPr>
          <w:ilvl w:val="0"/>
          <w:numId w:val="1"/>
        </w:numPr>
        <w:ind w:left="1701" w:hanging="567"/>
        <w:rPr>
          <w:rFonts w:cs="Arial"/>
        </w:rPr>
      </w:pPr>
      <w:r>
        <w:rPr>
          <w:rFonts w:cs="Arial"/>
        </w:rPr>
        <w:t xml:space="preserve">Please describe what are the variables “a” and “B” in the regression model “Y = a + </w:t>
      </w:r>
      <w:proofErr w:type="spellStart"/>
      <w:r>
        <w:rPr>
          <w:rFonts w:cs="Arial"/>
        </w:rPr>
        <w:t>Bx</w:t>
      </w:r>
      <w:proofErr w:type="spellEnd"/>
      <w:r>
        <w:rPr>
          <w:rFonts w:cs="Arial"/>
        </w:rPr>
        <w:t>”;</w:t>
      </w:r>
    </w:p>
    <w:p w:rsidR="004C6B94" w:rsidRDefault="004C6B94" w:rsidP="004C6B94">
      <w:pPr>
        <w:pStyle w:val="ListParagraph"/>
        <w:numPr>
          <w:ilvl w:val="0"/>
          <w:numId w:val="1"/>
        </w:numPr>
        <w:ind w:left="1701" w:hanging="567"/>
        <w:rPr>
          <w:rFonts w:cs="Arial"/>
        </w:rPr>
      </w:pPr>
      <w:r>
        <w:rPr>
          <w:rFonts w:cs="Arial"/>
        </w:rPr>
        <w:t xml:space="preserve">Please provide an explanation on the graphic “Example for the characteristic flowering time of sunflower” in particular whether each blue dot in the graphic is an example variety and how the blue dots are calculated (a value per variety but calculated over years?). </w:t>
      </w:r>
    </w:p>
    <w:p w:rsidR="004C6B94" w:rsidRDefault="004C6B94" w:rsidP="004C6B94">
      <w:pPr>
        <w:pStyle w:val="ListParagraph"/>
        <w:numPr>
          <w:ilvl w:val="0"/>
          <w:numId w:val="1"/>
        </w:numPr>
        <w:ind w:left="1701" w:hanging="567"/>
        <w:rPr>
          <w:rFonts w:cs="Arial"/>
        </w:rPr>
      </w:pPr>
      <w:r>
        <w:rPr>
          <w:rFonts w:cs="Arial"/>
        </w:rPr>
        <w:t>Please clarify the scale of the graph. Note 10 should not be possible according to the characteristic</w:t>
      </w:r>
    </w:p>
    <w:p w:rsidR="004C6B94" w:rsidRPr="00E40578" w:rsidRDefault="004C6B94" w:rsidP="004C6B94">
      <w:pPr>
        <w:ind w:left="567"/>
        <w:rPr>
          <w:sz w:val="12"/>
          <w:lang w:eastAsia="ja-JP"/>
        </w:rPr>
      </w:pPr>
    </w:p>
    <w:p w:rsidR="004C6B94" w:rsidRDefault="004C6B94" w:rsidP="004C6B94">
      <w:pPr>
        <w:ind w:left="567"/>
        <w:rPr>
          <w:lang w:eastAsia="ja-JP"/>
        </w:rPr>
      </w:pPr>
      <w:r>
        <w:rPr>
          <w:lang w:eastAsia="ja-JP"/>
        </w:rPr>
        <w:t>Annex IV, Japanese method:</w:t>
      </w:r>
    </w:p>
    <w:p w:rsidR="004C6B94" w:rsidRDefault="004C6B94" w:rsidP="004C6B94">
      <w:pPr>
        <w:pStyle w:val="ListParagraph"/>
        <w:numPr>
          <w:ilvl w:val="0"/>
          <w:numId w:val="1"/>
        </w:numPr>
        <w:ind w:left="1701" w:hanging="567"/>
        <w:rPr>
          <w:rFonts w:cs="Arial"/>
        </w:rPr>
      </w:pPr>
      <w:r>
        <w:rPr>
          <w:rFonts w:cs="Arial"/>
        </w:rPr>
        <w:t>Please clarify whether the word “distance” used in the text means “width of class”</w:t>
      </w:r>
    </w:p>
    <w:p w:rsidR="004C6B94" w:rsidRPr="00E40578" w:rsidRDefault="004C6B94" w:rsidP="004C6B94">
      <w:pPr>
        <w:ind w:left="567"/>
        <w:rPr>
          <w:sz w:val="14"/>
          <w:lang w:eastAsia="ja-JP"/>
        </w:rPr>
      </w:pPr>
    </w:p>
    <w:p w:rsidR="004C6B94" w:rsidRDefault="004C6B94" w:rsidP="004C6B94">
      <w:pPr>
        <w:ind w:left="567"/>
        <w:rPr>
          <w:lang w:eastAsia="ja-JP"/>
        </w:rPr>
      </w:pPr>
      <w:r>
        <w:rPr>
          <w:lang w:eastAsia="ja-JP"/>
        </w:rPr>
        <w:t>Annex VI, German method, slide 16:</w:t>
      </w:r>
    </w:p>
    <w:p w:rsidR="004C6B94" w:rsidRDefault="004C6B94" w:rsidP="004C6B94">
      <w:pPr>
        <w:pStyle w:val="ListParagraph"/>
        <w:numPr>
          <w:ilvl w:val="0"/>
          <w:numId w:val="1"/>
        </w:numPr>
        <w:ind w:left="1701" w:hanging="567"/>
        <w:rPr>
          <w:lang w:eastAsia="ja-JP"/>
        </w:rPr>
      </w:pPr>
      <w:r>
        <w:rPr>
          <w:rFonts w:cs="Arial"/>
        </w:rPr>
        <w:t>Please clarify whether the difference between the states of expression is always the same (6 cm);</w:t>
      </w:r>
    </w:p>
    <w:p w:rsidR="004C6B94" w:rsidRDefault="004C6B94" w:rsidP="004C6B94">
      <w:pPr>
        <w:pStyle w:val="ListParagraph"/>
        <w:numPr>
          <w:ilvl w:val="0"/>
          <w:numId w:val="1"/>
        </w:numPr>
        <w:ind w:left="1701" w:hanging="567"/>
        <w:rPr>
          <w:lang w:eastAsia="ja-JP"/>
        </w:rPr>
      </w:pPr>
      <w:r>
        <w:rPr>
          <w:rFonts w:cs="Arial"/>
        </w:rPr>
        <w:t>Please clarify whether example varieties are taken into account.</w:t>
      </w:r>
    </w:p>
    <w:p w:rsidR="004C6B94" w:rsidRDefault="004C6B94" w:rsidP="004C6B94">
      <w:pPr>
        <w:rPr>
          <w:lang w:eastAsia="ja-JP"/>
        </w:rPr>
      </w:pPr>
    </w:p>
    <w:p w:rsidR="00240BF6" w:rsidRPr="00240BF6" w:rsidRDefault="00240BF6" w:rsidP="00742E5D">
      <w:pPr>
        <w:keepNext/>
        <w:keepLines/>
        <w:rPr>
          <w:lang w:eastAsia="ja-JP"/>
        </w:rPr>
      </w:pPr>
      <w:r w:rsidRPr="00240BF6">
        <w:rPr>
          <w:lang w:eastAsia="ja-JP"/>
        </w:rPr>
        <w:fldChar w:fldCharType="begin"/>
      </w:r>
      <w:r w:rsidRPr="00240BF6">
        <w:rPr>
          <w:lang w:eastAsia="ja-JP"/>
        </w:rPr>
        <w:instrText xml:space="preserve"> AUTONUM  </w:instrText>
      </w:r>
      <w:r w:rsidRPr="00240BF6">
        <w:rPr>
          <w:lang w:eastAsia="ja-JP"/>
        </w:rPr>
        <w:fldChar w:fldCharType="end"/>
      </w:r>
      <w:r w:rsidRPr="00240BF6">
        <w:rPr>
          <w:lang w:eastAsia="ja-JP"/>
        </w:rPr>
        <w:tab/>
      </w:r>
      <w:r w:rsidRPr="00240BF6">
        <w:t>The TWO considered the different approaches to convert observations into notes for producing variety descriptions for measured quantitative characteristics, as</w:t>
      </w:r>
      <w:r w:rsidRPr="00240BF6">
        <w:rPr>
          <w:lang w:eastAsia="ja-JP"/>
        </w:rPr>
        <w:t xml:space="preserve"> </w:t>
      </w:r>
      <w:r w:rsidRPr="00240BF6">
        <w:t xml:space="preserve">presented in </w:t>
      </w:r>
      <w:r w:rsidRPr="00240BF6">
        <w:rPr>
          <w:lang w:eastAsia="ja-JP"/>
        </w:rPr>
        <w:t xml:space="preserve">document TWP/4/10, </w:t>
      </w:r>
      <w:r w:rsidRPr="00240BF6">
        <w:t xml:space="preserve">Annexes III to VII, and agreed </w:t>
      </w:r>
      <w:r w:rsidRPr="00240BF6">
        <w:rPr>
          <w:rFonts w:cs="Arial"/>
        </w:rPr>
        <w:t>that the approaches were primarily aimed at species with larger sample sizes and multi-year data sets, which was not often the case for ornamental species</w:t>
      </w:r>
      <w:r w:rsidRPr="00240BF6">
        <w:t>.</w:t>
      </w:r>
    </w:p>
    <w:p w:rsidR="00FC6E96" w:rsidRPr="00E71013" w:rsidRDefault="00FC6E96" w:rsidP="00FC6E96">
      <w:pPr>
        <w:rPr>
          <w:lang w:eastAsia="ja-JP"/>
        </w:rPr>
      </w:pPr>
    </w:p>
    <w:p w:rsidR="00FC6E96" w:rsidRPr="00E71013" w:rsidRDefault="00E6059A" w:rsidP="00FC6E96">
      <w:pPr>
        <w:keepNext/>
        <w:keepLines/>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r>
      <w:r w:rsidR="00FC6E96" w:rsidRPr="00E71013">
        <w:rPr>
          <w:lang w:eastAsia="ja-JP"/>
        </w:rPr>
        <w:t xml:space="preserve">The TWF agreed with the comment made by the </w:t>
      </w:r>
      <w:r w:rsidR="00FC6E96" w:rsidRPr="00E71013">
        <w:t xml:space="preserve">TWO, at its fifty-second session, that the different approaches to convert observations into notes for measured quantitative characteristics presented in </w:t>
      </w:r>
      <w:r w:rsidR="00FC6E96" w:rsidRPr="00E71013">
        <w:rPr>
          <w:lang w:eastAsia="ja-JP"/>
        </w:rPr>
        <w:t xml:space="preserve">document TWP/4/10 </w:t>
      </w:r>
      <w:r w:rsidR="00FC6E96" w:rsidRPr="00E71013">
        <w:rPr>
          <w:rFonts w:cs="Arial"/>
        </w:rPr>
        <w:t>were primarily aimed at species with larger sample sizes and multi-year data sets.  The TWF agreed that this was not often the case for fruit crops, especially when using small samples sizes</w:t>
      </w:r>
      <w:r w:rsidR="00FC6E96" w:rsidRPr="00E71013">
        <w:t>.</w:t>
      </w:r>
    </w:p>
    <w:p w:rsidR="00240BF6" w:rsidRDefault="00240BF6" w:rsidP="00240BF6">
      <w:pPr>
        <w:rPr>
          <w:lang w:eastAsia="ja-JP"/>
        </w:rPr>
      </w:pPr>
    </w:p>
    <w:p w:rsidR="0073526E" w:rsidRPr="00240BF6" w:rsidRDefault="00E6059A" w:rsidP="00240BF6">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r>
      <w:r w:rsidR="0073526E" w:rsidRPr="0073526E">
        <w:rPr>
          <w:lang w:eastAsia="ja-JP"/>
        </w:rPr>
        <w:t xml:space="preserve">The TWA agreed that all mentions to “Adjusted Full Assessment Table (FAT)” in document TWP/4/10, Annex II, should be amended to read "Adjusted </w:t>
      </w:r>
      <w:r w:rsidR="0073526E" w:rsidRPr="0073526E">
        <w:rPr>
          <w:u w:val="single"/>
          <w:lang w:eastAsia="ja-JP"/>
        </w:rPr>
        <w:t>Fundamental</w:t>
      </w:r>
      <w:r w:rsidR="0073526E" w:rsidRPr="0073526E">
        <w:rPr>
          <w:lang w:eastAsia="ja-JP"/>
        </w:rPr>
        <w:t xml:space="preserve"> Assessment Table (FAT)".</w:t>
      </w:r>
    </w:p>
    <w:p w:rsidR="00240BF6" w:rsidRDefault="00240BF6" w:rsidP="00240BF6"/>
    <w:p w:rsidR="0073526E" w:rsidRDefault="00E6059A" w:rsidP="00240BF6">
      <w:r>
        <w:fldChar w:fldCharType="begin"/>
      </w:r>
      <w:r>
        <w:instrText xml:space="preserve"> AUTONUM  </w:instrText>
      </w:r>
      <w:r>
        <w:fldChar w:fldCharType="end"/>
      </w:r>
      <w:r>
        <w:tab/>
      </w:r>
      <w:r w:rsidR="0073526E" w:rsidRPr="0073526E">
        <w:t>The TWA noted that the document provided a summary of approaches developed for different testing conditions and agreed that it would not be necessary to request further information to facilitate their application at this stage.</w:t>
      </w:r>
    </w:p>
    <w:p w:rsidR="00613D75" w:rsidRPr="00E71013" w:rsidRDefault="00613D75" w:rsidP="00613D75">
      <w:pPr>
        <w:rPr>
          <w:lang w:eastAsia="ja-JP"/>
        </w:rPr>
      </w:pPr>
    </w:p>
    <w:p w:rsidR="00613D75" w:rsidRPr="00E71013" w:rsidRDefault="00613D75" w:rsidP="00613D75">
      <w:pPr>
        <w:rPr>
          <w:lang w:eastAsia="ja-JP"/>
        </w:rPr>
      </w:pPr>
      <w:r w:rsidRPr="00E71013">
        <w:rPr>
          <w:lang w:eastAsia="ja-JP"/>
        </w:rPr>
        <w:fldChar w:fldCharType="begin"/>
      </w:r>
      <w:r w:rsidRPr="00E71013">
        <w:rPr>
          <w:lang w:eastAsia="ja-JP"/>
        </w:rPr>
        <w:instrText xml:space="preserve"> AUTONUM  </w:instrText>
      </w:r>
      <w:r w:rsidRPr="00E71013">
        <w:rPr>
          <w:lang w:eastAsia="ja-JP"/>
        </w:rPr>
        <w:fldChar w:fldCharType="end"/>
      </w:r>
      <w:r w:rsidRPr="00E71013">
        <w:rPr>
          <w:lang w:eastAsia="ja-JP"/>
        </w:rPr>
        <w:tab/>
        <w:t xml:space="preserve">The TWF noted that characteristics assessed on the basis of measurement of a number of individual plants or parts of plants (MS) were being included in Test Guidelines and agreed to invite members to report on the approaches used to convert observations to notes, at its fifty-second session. </w:t>
      </w:r>
    </w:p>
    <w:p w:rsidR="00613D75" w:rsidRDefault="00613D75" w:rsidP="00240BF6"/>
    <w:p w:rsidR="00613D75" w:rsidRDefault="00613D75" w:rsidP="00240BF6"/>
    <w:p w:rsidR="00DD79A9" w:rsidRPr="00DD79A9" w:rsidRDefault="00DD79A9" w:rsidP="00A42483">
      <w:pPr>
        <w:pStyle w:val="Heading3"/>
      </w:pPr>
      <w:r w:rsidRPr="00DD79A9">
        <w:t>The Combined Over Years Uniformity Criterion (COYU)</w:t>
      </w:r>
    </w:p>
    <w:p w:rsidR="00DD79A9" w:rsidRDefault="00DD79A9" w:rsidP="00DD79A9"/>
    <w:p w:rsidR="00DD79A9" w:rsidRPr="00012E0E" w:rsidRDefault="00DD79A9" w:rsidP="00DD79A9">
      <w:pPr>
        <w:rPr>
          <w:lang w:eastAsia="ja-JP"/>
        </w:rPr>
      </w:pPr>
      <w:r>
        <w:fldChar w:fldCharType="begin"/>
      </w:r>
      <w:r>
        <w:instrText xml:space="preserve"> AUTONUM  </w:instrText>
      </w:r>
      <w:r>
        <w:fldChar w:fldCharType="end"/>
      </w:r>
      <w:r>
        <w:tab/>
      </w:r>
      <w:r w:rsidRPr="00012E0E">
        <w:rPr>
          <w:lang w:eastAsia="ja-JP"/>
        </w:rPr>
        <w:t xml:space="preserve">The </w:t>
      </w:r>
      <w:r w:rsidR="0009291A">
        <w:rPr>
          <w:lang w:eastAsia="ja-JP"/>
        </w:rPr>
        <w:t xml:space="preserve">TWV, </w:t>
      </w:r>
      <w:r w:rsidR="0009291A" w:rsidRPr="00240BF6">
        <w:rPr>
          <w:lang w:eastAsia="ja-JP"/>
        </w:rPr>
        <w:t xml:space="preserve">TWO </w:t>
      </w:r>
      <w:r w:rsidR="0009291A">
        <w:rPr>
          <w:lang w:eastAsia="ja-JP"/>
        </w:rPr>
        <w:t xml:space="preserve">and TWA </w:t>
      </w:r>
      <w:r w:rsidRPr="00012E0E">
        <w:rPr>
          <w:lang w:eastAsia="ja-JP"/>
        </w:rPr>
        <w:t>considered document TWP/4/11.</w:t>
      </w:r>
    </w:p>
    <w:p w:rsidR="00DD79A9" w:rsidRDefault="00DD79A9" w:rsidP="00DD79A9">
      <w:pPr>
        <w:rPr>
          <w:lang w:eastAsia="ja-JP"/>
        </w:rPr>
      </w:pPr>
    </w:p>
    <w:p w:rsidR="00DD79A9" w:rsidRDefault="00DD79A9" w:rsidP="00DD79A9">
      <w:pPr>
        <w:rPr>
          <w:lang w:eastAsia="ja-JP"/>
        </w:rPr>
      </w:pPr>
      <w:r w:rsidRPr="00AF4DC3">
        <w:rPr>
          <w:lang w:eastAsia="ja-JP"/>
        </w:rPr>
        <w:fldChar w:fldCharType="begin"/>
      </w:r>
      <w:r w:rsidRPr="00AF4DC3">
        <w:rPr>
          <w:lang w:eastAsia="ja-JP"/>
        </w:rPr>
        <w:instrText xml:space="preserve"> AUTONUM  </w:instrText>
      </w:r>
      <w:r w:rsidRPr="00AF4DC3">
        <w:rPr>
          <w:lang w:eastAsia="ja-JP"/>
        </w:rPr>
        <w:fldChar w:fldCharType="end"/>
      </w:r>
      <w:r w:rsidRPr="00AF4DC3">
        <w:rPr>
          <w:lang w:eastAsia="ja-JP"/>
        </w:rPr>
        <w:tab/>
        <w:t xml:space="preserve">The TWA agreed that the COYU </w:t>
      </w:r>
      <w:r>
        <w:rPr>
          <w:lang w:eastAsia="ja-JP"/>
        </w:rPr>
        <w:t>method</w:t>
      </w:r>
      <w:r w:rsidRPr="00AF4DC3">
        <w:rPr>
          <w:lang w:eastAsia="ja-JP"/>
        </w:rPr>
        <w:t xml:space="preserve"> was frequently used in the examination of agricultural crops and thanked the experts from the United Kingdom for the improvements to </w:t>
      </w:r>
      <w:r>
        <w:rPr>
          <w:lang w:eastAsia="ja-JP"/>
        </w:rPr>
        <w:t>the</w:t>
      </w:r>
      <w:r w:rsidRPr="00AF4DC3">
        <w:rPr>
          <w:lang w:eastAsia="ja-JP"/>
        </w:rPr>
        <w:t xml:space="preserve"> method of calculation</w:t>
      </w:r>
      <w:r>
        <w:rPr>
          <w:lang w:eastAsia="ja-JP"/>
        </w:rPr>
        <w:t xml:space="preserve"> </w:t>
      </w:r>
      <w:r w:rsidRPr="004B399E">
        <w:rPr>
          <w:lang w:eastAsia="ja-JP"/>
        </w:rPr>
        <w:t>and its implementation in a new COYU package</w:t>
      </w:r>
      <w:r w:rsidRPr="00AF4DC3">
        <w:rPr>
          <w:lang w:eastAsia="ja-JP"/>
        </w:rPr>
        <w:t>.</w:t>
      </w:r>
    </w:p>
    <w:p w:rsidR="00DD79A9" w:rsidRDefault="00DD79A9" w:rsidP="00DD79A9">
      <w:pPr>
        <w:rPr>
          <w:lang w:eastAsia="ja-JP"/>
        </w:rPr>
      </w:pPr>
    </w:p>
    <w:p w:rsidR="00A42483" w:rsidRPr="00012E0E" w:rsidRDefault="00A42483" w:rsidP="00DD79A9">
      <w:pPr>
        <w:rPr>
          <w:lang w:eastAsia="ja-JP"/>
        </w:rPr>
      </w:pPr>
    </w:p>
    <w:p w:rsidR="00240BF6" w:rsidRPr="00240BF6" w:rsidRDefault="00240BF6" w:rsidP="00A42483">
      <w:pPr>
        <w:pStyle w:val="Heading2"/>
      </w:pPr>
      <w:bookmarkStart w:id="9" w:name="_Toc37165255"/>
      <w:bookmarkStart w:id="10" w:name="_Toc49241661"/>
      <w:r w:rsidRPr="00240BF6">
        <w:t>New proposals for revisions of TGP documents and information documents</w:t>
      </w:r>
      <w:bookmarkEnd w:id="9"/>
      <w:bookmarkEnd w:id="10"/>
    </w:p>
    <w:p w:rsidR="00240BF6" w:rsidRPr="00240BF6" w:rsidRDefault="00240BF6" w:rsidP="00240BF6">
      <w:pPr>
        <w:keepNext/>
      </w:pPr>
    </w:p>
    <w:p w:rsidR="00240BF6" w:rsidRPr="00240BF6" w:rsidRDefault="00240BF6" w:rsidP="00A42483">
      <w:pPr>
        <w:pStyle w:val="Heading3"/>
      </w:pPr>
      <w:bookmarkStart w:id="11" w:name="_Toc37165256"/>
      <w:r w:rsidRPr="00240BF6">
        <w:t>TGP/7: Development of Test Guidelines</w:t>
      </w:r>
      <w:bookmarkEnd w:id="11"/>
    </w:p>
    <w:p w:rsidR="00240BF6" w:rsidRPr="00240BF6" w:rsidRDefault="00240BF6" w:rsidP="00240BF6">
      <w:pPr>
        <w:keepNext/>
      </w:pPr>
    </w:p>
    <w:p w:rsidR="00240BF6" w:rsidRPr="00E6059A" w:rsidRDefault="00240BF6" w:rsidP="00A42483">
      <w:pPr>
        <w:pStyle w:val="Heading4"/>
        <w:rPr>
          <w:lang w:val="en-US"/>
        </w:rPr>
      </w:pPr>
      <w:bookmarkStart w:id="12" w:name="_Toc37165257"/>
      <w:r w:rsidRPr="00E6059A">
        <w:rPr>
          <w:lang w:val="en-US"/>
        </w:rPr>
        <w:t>Links to relevant TGP documents guidance in Test Guidelines</w:t>
      </w:r>
      <w:bookmarkEnd w:id="12"/>
    </w:p>
    <w:p w:rsidR="00240BF6" w:rsidRPr="00240BF6" w:rsidRDefault="00240BF6" w:rsidP="00240BF6">
      <w:pPr>
        <w:keepNext/>
      </w:pPr>
    </w:p>
    <w:p w:rsidR="00240BF6" w:rsidRPr="00240BF6" w:rsidRDefault="00240BF6" w:rsidP="00240BF6">
      <w:r w:rsidRPr="00240BF6">
        <w:fldChar w:fldCharType="begin"/>
      </w:r>
      <w:r w:rsidRPr="00240BF6">
        <w:instrText xml:space="preserve"> AUTONUM  </w:instrText>
      </w:r>
      <w:r w:rsidRPr="00240BF6">
        <w:fldChar w:fldCharType="end"/>
      </w:r>
      <w:r w:rsidRPr="00240BF6">
        <w:tab/>
        <w:t xml:space="preserve">The TWO </w:t>
      </w:r>
      <w:r w:rsidR="0092680E">
        <w:t xml:space="preserve">and the TWA </w:t>
      </w:r>
      <w:r w:rsidRPr="00240BF6">
        <w:t>noted the invitation to the TWPs to propose relevant guidance in TGP documents that could have links displayed in Test Guidelines.</w:t>
      </w:r>
    </w:p>
    <w:p w:rsidR="00240BF6" w:rsidRPr="00240BF6" w:rsidRDefault="00240BF6" w:rsidP="00240BF6"/>
    <w:p w:rsidR="00240BF6" w:rsidRPr="00240BF6" w:rsidRDefault="00240BF6" w:rsidP="00240BF6">
      <w:r w:rsidRPr="00240BF6">
        <w:fldChar w:fldCharType="begin"/>
      </w:r>
      <w:r w:rsidRPr="00240BF6">
        <w:instrText xml:space="preserve"> AUTONUM  </w:instrText>
      </w:r>
      <w:r w:rsidRPr="00240BF6">
        <w:fldChar w:fldCharType="end"/>
      </w:r>
      <w:r w:rsidRPr="00240BF6">
        <w:tab/>
        <w:t>The TWO</w:t>
      </w:r>
      <w:r w:rsidR="0092680E">
        <w:t xml:space="preserve"> and the TWA</w:t>
      </w:r>
      <w:r w:rsidRPr="00240BF6">
        <w:t xml:space="preserve"> agreed that the following links should be considered for inclusion in Test Guidelines:</w:t>
      </w:r>
    </w:p>
    <w:p w:rsidR="00240BF6" w:rsidRPr="00240BF6" w:rsidRDefault="00240BF6" w:rsidP="00240BF6"/>
    <w:p w:rsidR="00240BF6" w:rsidRPr="00240BF6" w:rsidRDefault="00240BF6" w:rsidP="00240BF6">
      <w:pPr>
        <w:keepNext/>
        <w:numPr>
          <w:ilvl w:val="0"/>
          <w:numId w:val="2"/>
        </w:numPr>
        <w:spacing w:line="276" w:lineRule="auto"/>
        <w:ind w:left="1134" w:hanging="567"/>
        <w:contextualSpacing/>
        <w:rPr>
          <w:rFonts w:eastAsiaTheme="minorEastAsia" w:cstheme="minorBidi"/>
          <w:szCs w:val="22"/>
        </w:rPr>
      </w:pPr>
      <w:r w:rsidRPr="00240BF6">
        <w:rPr>
          <w:rFonts w:eastAsiaTheme="minorEastAsia" w:cstheme="minorBidi"/>
          <w:szCs w:val="22"/>
        </w:rPr>
        <w:t>Chapter 4.1.3 “Clear Differences” - link to document “General Introduction” (document TG/1/3);</w:t>
      </w:r>
    </w:p>
    <w:p w:rsidR="00240BF6" w:rsidRPr="00240BF6" w:rsidRDefault="00240BF6" w:rsidP="00240BF6">
      <w:pPr>
        <w:keepNext/>
        <w:spacing w:line="276" w:lineRule="auto"/>
        <w:ind w:left="1134"/>
        <w:contextualSpacing/>
        <w:rPr>
          <w:rFonts w:eastAsiaTheme="minorEastAsia" w:cstheme="minorBidi"/>
          <w:szCs w:val="22"/>
        </w:rPr>
      </w:pPr>
    </w:p>
    <w:p w:rsidR="00240BF6" w:rsidRPr="00240BF6" w:rsidRDefault="00240BF6" w:rsidP="00240BF6">
      <w:pPr>
        <w:keepNext/>
        <w:numPr>
          <w:ilvl w:val="0"/>
          <w:numId w:val="2"/>
        </w:numPr>
        <w:spacing w:line="276" w:lineRule="auto"/>
        <w:ind w:left="1134" w:hanging="567"/>
        <w:contextualSpacing/>
        <w:rPr>
          <w:rFonts w:eastAsiaTheme="minorEastAsia" w:cstheme="minorBidi"/>
          <w:szCs w:val="22"/>
        </w:rPr>
      </w:pPr>
      <w:r w:rsidRPr="00240BF6">
        <w:rPr>
          <w:rFonts w:eastAsiaTheme="minorEastAsia" w:cstheme="minorBidi"/>
          <w:szCs w:val="22"/>
        </w:rPr>
        <w:t>Chapter 4.2 “Uniformity” – links to documents “General Introduction” (document TG/1/3) and TGP/13 “Guidance for new types and species” for advice on using the Test Guidelines for varieties with other types of propagation;</w:t>
      </w:r>
    </w:p>
    <w:p w:rsidR="00240BF6" w:rsidRPr="00240BF6" w:rsidRDefault="00240BF6" w:rsidP="00240BF6">
      <w:pPr>
        <w:keepNext/>
        <w:spacing w:line="276" w:lineRule="auto"/>
        <w:ind w:left="1134"/>
        <w:contextualSpacing/>
        <w:rPr>
          <w:rFonts w:eastAsiaTheme="minorEastAsia" w:cstheme="minorBidi"/>
          <w:szCs w:val="22"/>
        </w:rPr>
      </w:pPr>
    </w:p>
    <w:p w:rsidR="00240BF6" w:rsidRPr="00240BF6" w:rsidRDefault="00240BF6" w:rsidP="00240BF6">
      <w:pPr>
        <w:keepNext/>
        <w:numPr>
          <w:ilvl w:val="0"/>
          <w:numId w:val="2"/>
        </w:numPr>
        <w:spacing w:line="276" w:lineRule="auto"/>
        <w:ind w:left="1134" w:hanging="567"/>
        <w:contextualSpacing/>
        <w:rPr>
          <w:rFonts w:eastAsiaTheme="minorEastAsia" w:cstheme="minorBidi"/>
          <w:szCs w:val="22"/>
        </w:rPr>
      </w:pPr>
      <w:r w:rsidRPr="00240BF6">
        <w:rPr>
          <w:rFonts w:eastAsiaTheme="minorEastAsia" w:cstheme="minorBidi"/>
          <w:szCs w:val="22"/>
        </w:rPr>
        <w:t xml:space="preserve">Chapter 5.4 “Guidance for the use of grouping characteristics” - links to documents “General Introduction” (document TG/1/3) and TGP 9 “Examining Distinctness”. </w:t>
      </w:r>
    </w:p>
    <w:p w:rsidR="00240BF6" w:rsidRPr="00240BF6" w:rsidRDefault="00240BF6" w:rsidP="00240BF6">
      <w:pPr>
        <w:keepNext/>
        <w:spacing w:line="276" w:lineRule="auto"/>
        <w:ind w:left="1134"/>
        <w:contextualSpacing/>
        <w:rPr>
          <w:rFonts w:eastAsiaTheme="minorEastAsia" w:cstheme="minorBidi"/>
          <w:szCs w:val="22"/>
        </w:rPr>
      </w:pPr>
    </w:p>
    <w:p w:rsidR="00240BF6" w:rsidRDefault="00240BF6" w:rsidP="00240BF6">
      <w:pPr>
        <w:numPr>
          <w:ilvl w:val="0"/>
          <w:numId w:val="2"/>
        </w:numPr>
        <w:spacing w:line="276" w:lineRule="auto"/>
        <w:ind w:left="1134" w:hanging="567"/>
        <w:contextualSpacing/>
        <w:rPr>
          <w:rFonts w:eastAsiaTheme="minorEastAsia" w:cstheme="minorBidi"/>
          <w:szCs w:val="22"/>
        </w:rPr>
      </w:pPr>
      <w:r w:rsidRPr="00240BF6">
        <w:rPr>
          <w:rFonts w:eastAsiaTheme="minorEastAsia" w:cstheme="minorBidi"/>
          <w:szCs w:val="22"/>
        </w:rPr>
        <w:t>Chapter 8.2 “Explanations for individual characteristics” - link to document TGP 14 “Glossary of terms used in UPOV documents”, section 2: Botanical terms, to avoid inconsistencies between Test Guidelines in relation to explanations for simple characteristics.</w:t>
      </w:r>
    </w:p>
    <w:p w:rsidR="0092680E" w:rsidRDefault="0092680E" w:rsidP="0092680E">
      <w:pPr>
        <w:pStyle w:val="ListParagraph"/>
        <w:rPr>
          <w:rFonts w:eastAsiaTheme="minorEastAsia" w:cstheme="minorBidi"/>
          <w:szCs w:val="22"/>
        </w:rPr>
      </w:pPr>
    </w:p>
    <w:p w:rsidR="0092680E" w:rsidRDefault="0092680E" w:rsidP="0092680E">
      <w:pPr>
        <w:spacing w:line="276" w:lineRule="auto"/>
        <w:contextualSpacing/>
      </w:pPr>
      <w:r w:rsidRPr="00240BF6">
        <w:fldChar w:fldCharType="begin"/>
      </w:r>
      <w:r w:rsidRPr="00240BF6">
        <w:instrText xml:space="preserve"> AUTONUM  </w:instrText>
      </w:r>
      <w:r w:rsidRPr="00240BF6">
        <w:fldChar w:fldCharType="end"/>
      </w:r>
      <w:r>
        <w:tab/>
        <w:t>In re</w:t>
      </w:r>
      <w:r w:rsidR="0073526E">
        <w:t>l</w:t>
      </w:r>
      <w:r>
        <w:t xml:space="preserve">ation to the link provided for Chapter 4.2, the TWA agreed </w:t>
      </w:r>
      <w:r w:rsidRPr="0092680E">
        <w:t>that the following links should be considered for inclusion in Test Guidelines:</w:t>
      </w:r>
    </w:p>
    <w:p w:rsidR="0092680E" w:rsidRDefault="0092680E" w:rsidP="0092680E">
      <w:pPr>
        <w:spacing w:line="276" w:lineRule="auto"/>
        <w:contextualSpacing/>
        <w:rPr>
          <w:rFonts w:eastAsiaTheme="minorEastAsia" w:cstheme="minorBidi"/>
          <w:szCs w:val="22"/>
        </w:rPr>
      </w:pPr>
    </w:p>
    <w:p w:rsidR="0092680E" w:rsidRPr="0073526E" w:rsidRDefault="0092680E" w:rsidP="0073526E">
      <w:pPr>
        <w:pStyle w:val="ListParagraph"/>
        <w:numPr>
          <w:ilvl w:val="0"/>
          <w:numId w:val="6"/>
        </w:numPr>
        <w:spacing w:line="276" w:lineRule="auto"/>
        <w:ind w:left="1134" w:hanging="567"/>
        <w:rPr>
          <w:rFonts w:eastAsiaTheme="minorEastAsia" w:cstheme="minorBidi"/>
          <w:szCs w:val="22"/>
        </w:rPr>
      </w:pPr>
      <w:r w:rsidRPr="0073526E">
        <w:rPr>
          <w:rFonts w:eastAsiaTheme="minorEastAsia" w:cstheme="minorBidi"/>
          <w:szCs w:val="22"/>
        </w:rPr>
        <w:t>Chapter 4.2 “Uniformity” – links to documents “General Introduction” (document TG/1/3</w:t>
      </w:r>
      <w:r w:rsidR="0073526E" w:rsidRPr="0073526E">
        <w:rPr>
          <w:rFonts w:eastAsiaTheme="minorEastAsia" w:cstheme="minorBidi"/>
          <w:szCs w:val="22"/>
        </w:rPr>
        <w:t>)</w:t>
      </w:r>
      <w:r w:rsidRPr="0073526E">
        <w:rPr>
          <w:rFonts w:eastAsiaTheme="minorEastAsia" w:cstheme="minorBidi"/>
          <w:szCs w:val="22"/>
        </w:rPr>
        <w:t xml:space="preserve">; TGP/13 “Guidance for new types and species” for advice on using the Test Guidelines for varieties with other types of propagation; </w:t>
      </w:r>
      <w:r w:rsidRPr="0073526E">
        <w:rPr>
          <w:rFonts w:eastAsiaTheme="minorEastAsia" w:cstheme="minorBidi"/>
          <w:szCs w:val="22"/>
          <w:highlight w:val="lightGray"/>
        </w:rPr>
        <w:t>and to document TGP/8, Part II, relevant to the specific Test Guidelines</w:t>
      </w:r>
      <w:r w:rsidR="0073526E" w:rsidRPr="0073526E">
        <w:rPr>
          <w:rFonts w:eastAsiaTheme="minorEastAsia" w:cstheme="minorBidi"/>
          <w:szCs w:val="22"/>
          <w:highlight w:val="lightGray"/>
        </w:rPr>
        <w:t>.</w:t>
      </w:r>
    </w:p>
    <w:p w:rsidR="00964046" w:rsidRDefault="00964046" w:rsidP="00964046"/>
    <w:p w:rsidR="00A42483" w:rsidRPr="00E71013" w:rsidRDefault="00A42483" w:rsidP="00964046"/>
    <w:p w:rsidR="00964046" w:rsidRPr="00A42483" w:rsidRDefault="00964046" w:rsidP="00A42483">
      <w:pPr>
        <w:pStyle w:val="Heading4"/>
        <w:rPr>
          <w:rFonts w:eastAsia="MS Mincho"/>
          <w:lang w:val="en-US"/>
        </w:rPr>
      </w:pPr>
      <w:bookmarkStart w:id="13" w:name="_Toc527377896"/>
      <w:bookmarkStart w:id="14" w:name="_Toc37165258"/>
      <w:r w:rsidRPr="00A42483">
        <w:rPr>
          <w:rFonts w:eastAsia="MS Mincho"/>
          <w:lang w:val="en-US"/>
        </w:rPr>
        <w:t>Procedure for partial revision of UPOV Test Guidelines</w:t>
      </w:r>
      <w:bookmarkEnd w:id="13"/>
      <w:bookmarkEnd w:id="14"/>
    </w:p>
    <w:p w:rsidR="00964046" w:rsidRPr="00E71013" w:rsidRDefault="00964046" w:rsidP="00964046"/>
    <w:p w:rsidR="00964046" w:rsidRPr="00E71013" w:rsidRDefault="00964046" w:rsidP="00964046">
      <w:pPr>
        <w:rPr>
          <w:snapToGrid w:val="0"/>
        </w:rPr>
      </w:pPr>
      <w:r w:rsidRPr="00E71013">
        <w:fldChar w:fldCharType="begin"/>
      </w:r>
      <w:r w:rsidRPr="00E71013">
        <w:instrText xml:space="preserve"> AUTONUM  </w:instrText>
      </w:r>
      <w:r w:rsidRPr="00E71013">
        <w:fldChar w:fldCharType="end"/>
      </w:r>
      <w:r w:rsidRPr="00E71013">
        <w:tab/>
      </w:r>
      <w:r w:rsidRPr="00E71013">
        <w:rPr>
          <w:snapToGrid w:val="0"/>
        </w:rPr>
        <w:t>The TWF considered whether an accelerated procedure for partial revision of Test Guidelines would be required and noted the amount of time required to provide advance notice about new proposals. The TWF agreed that existing possibilities to propose partial revision of Test Guidelines during TWF meetings and TC meetings should be used by members, as appropriate.</w:t>
      </w:r>
    </w:p>
    <w:p w:rsidR="00964046" w:rsidRPr="00E71013" w:rsidRDefault="00964046" w:rsidP="00964046">
      <w:pPr>
        <w:rPr>
          <w:snapToGrid w:val="0"/>
        </w:rPr>
      </w:pPr>
    </w:p>
    <w:p w:rsidR="00964046" w:rsidRPr="00E71013" w:rsidRDefault="00964046" w:rsidP="00964046">
      <w:pPr>
        <w:rPr>
          <w:snapToGrid w:val="0"/>
        </w:rPr>
      </w:pPr>
      <w:r w:rsidRPr="00E71013">
        <w:rPr>
          <w:snapToGrid w:val="0"/>
        </w:rPr>
        <w:fldChar w:fldCharType="begin"/>
      </w:r>
      <w:r w:rsidRPr="00E71013">
        <w:rPr>
          <w:snapToGrid w:val="0"/>
        </w:rPr>
        <w:instrText xml:space="preserve"> AUTONUM  </w:instrText>
      </w:r>
      <w:r w:rsidRPr="00E71013">
        <w:rPr>
          <w:snapToGrid w:val="0"/>
        </w:rPr>
        <w:fldChar w:fldCharType="end"/>
      </w:r>
      <w:r w:rsidRPr="00E71013">
        <w:rPr>
          <w:snapToGrid w:val="0"/>
        </w:rPr>
        <w:tab/>
        <w:t>The TWF agreed to propose that meetings via electronic means were considered for advancing discussions on Test Guidelines during the period between TWPs sessions.</w:t>
      </w:r>
    </w:p>
    <w:p w:rsidR="00964046" w:rsidRPr="00240BF6" w:rsidRDefault="00964046" w:rsidP="00240BF6"/>
    <w:p w:rsidR="00240BF6" w:rsidRDefault="00240BF6" w:rsidP="0089096E">
      <w:pPr>
        <w:jc w:val="right"/>
      </w:pPr>
    </w:p>
    <w:p w:rsidR="00022810" w:rsidRDefault="00022810" w:rsidP="0089096E">
      <w:pPr>
        <w:jc w:val="right"/>
      </w:pPr>
    </w:p>
    <w:p w:rsidR="009B440E" w:rsidRDefault="00050E16" w:rsidP="00050E16">
      <w:pPr>
        <w:jc w:val="right"/>
      </w:pPr>
      <w:r w:rsidRPr="00C5280D">
        <w:t>[End of document]</w:t>
      </w:r>
    </w:p>
    <w:p w:rsidR="00E70039" w:rsidRDefault="00E70039">
      <w:pPr>
        <w:jc w:val="left"/>
      </w:pPr>
    </w:p>
    <w:p w:rsidR="00050E16" w:rsidRPr="00C5280D" w:rsidRDefault="00050E16" w:rsidP="009B440E">
      <w:pPr>
        <w:jc w:val="left"/>
      </w:pPr>
    </w:p>
    <w:sectPr w:rsidR="00050E16"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069" w:rsidRDefault="00422069" w:rsidP="006655D3">
      <w:r>
        <w:separator/>
      </w:r>
    </w:p>
    <w:p w:rsidR="00422069" w:rsidRDefault="00422069" w:rsidP="006655D3"/>
    <w:p w:rsidR="00422069" w:rsidRDefault="00422069" w:rsidP="006655D3"/>
    <w:p w:rsidR="00120F99" w:rsidRDefault="00120F99"/>
  </w:endnote>
  <w:endnote w:type="continuationSeparator" w:id="0">
    <w:p w:rsidR="00422069" w:rsidRDefault="00422069" w:rsidP="006655D3">
      <w:r>
        <w:separator/>
      </w:r>
    </w:p>
    <w:p w:rsidR="00422069" w:rsidRPr="00294751" w:rsidRDefault="00422069">
      <w:pPr>
        <w:pStyle w:val="Footer"/>
        <w:spacing w:after="60"/>
        <w:rPr>
          <w:sz w:val="18"/>
          <w:lang w:val="fr-FR"/>
        </w:rPr>
      </w:pPr>
      <w:r w:rsidRPr="00294751">
        <w:rPr>
          <w:sz w:val="18"/>
          <w:lang w:val="fr-FR"/>
        </w:rPr>
        <w:t>[Suite de la note de la page précédente]</w:t>
      </w:r>
    </w:p>
    <w:p w:rsidR="00422069" w:rsidRPr="00294751" w:rsidRDefault="00422069" w:rsidP="006655D3">
      <w:pPr>
        <w:rPr>
          <w:lang w:val="fr-FR"/>
        </w:rPr>
      </w:pPr>
    </w:p>
    <w:p w:rsidR="00422069" w:rsidRPr="00294751" w:rsidRDefault="00422069" w:rsidP="006655D3">
      <w:pPr>
        <w:rPr>
          <w:lang w:val="fr-FR"/>
        </w:rPr>
      </w:pPr>
    </w:p>
    <w:p w:rsidR="00120F99" w:rsidRPr="004B52FC" w:rsidRDefault="00120F99">
      <w:pPr>
        <w:rPr>
          <w:lang w:val="fr-CH"/>
        </w:rPr>
      </w:pPr>
    </w:p>
  </w:endnote>
  <w:endnote w:type="continuationNotice" w:id="1">
    <w:p w:rsidR="00422069" w:rsidRPr="00294751" w:rsidRDefault="00422069" w:rsidP="006655D3">
      <w:pPr>
        <w:rPr>
          <w:lang w:val="fr-FR"/>
        </w:rPr>
      </w:pPr>
      <w:r w:rsidRPr="00294751">
        <w:rPr>
          <w:lang w:val="fr-FR"/>
        </w:rPr>
        <w:t>[Suite de la note page suivante]</w:t>
      </w:r>
    </w:p>
    <w:p w:rsidR="00422069" w:rsidRPr="00294751" w:rsidRDefault="00422069" w:rsidP="006655D3">
      <w:pPr>
        <w:rPr>
          <w:lang w:val="fr-FR"/>
        </w:rPr>
      </w:pPr>
    </w:p>
    <w:p w:rsidR="00422069" w:rsidRPr="00294751" w:rsidRDefault="00422069" w:rsidP="006655D3">
      <w:pPr>
        <w:rPr>
          <w:lang w:val="fr-FR"/>
        </w:rPr>
      </w:pPr>
    </w:p>
    <w:p w:rsidR="00120F99" w:rsidRPr="00110469" w:rsidRDefault="00120F99">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069" w:rsidRDefault="00422069" w:rsidP="006655D3">
      <w:r>
        <w:separator/>
      </w:r>
    </w:p>
    <w:p w:rsidR="00120F99" w:rsidRDefault="00120F99"/>
  </w:footnote>
  <w:footnote w:type="continuationSeparator" w:id="0">
    <w:p w:rsidR="00422069" w:rsidRDefault="00422069" w:rsidP="006655D3">
      <w:r>
        <w:separator/>
      </w:r>
    </w:p>
    <w:p w:rsidR="00120F99" w:rsidRDefault="00120F99"/>
  </w:footnote>
  <w:footnote w:type="continuationNotice" w:id="1">
    <w:p w:rsidR="00422069" w:rsidRPr="00AB530F" w:rsidRDefault="00422069" w:rsidP="00AB530F">
      <w:pPr>
        <w:pStyle w:val="Footer"/>
      </w:pPr>
    </w:p>
    <w:p w:rsidR="00120F99" w:rsidRDefault="00120F99"/>
  </w:footnote>
  <w:footnote w:id="2">
    <w:p w:rsidR="00B90318" w:rsidRDefault="00B90318">
      <w:pPr>
        <w:pStyle w:val="FootnoteText"/>
      </w:pPr>
      <w:r>
        <w:rPr>
          <w:rStyle w:val="FootnoteReference"/>
        </w:rPr>
        <w:footnoteRef/>
      </w:r>
      <w:r>
        <w:t xml:space="preserve"> </w:t>
      </w:r>
      <w:r w:rsidRPr="00D70149">
        <w:t>at its fifty-</w:t>
      </w:r>
      <w:r>
        <w:t>fourth</w:t>
      </w:r>
      <w:r w:rsidRPr="00D70149">
        <w:t xml:space="preserve"> session, </w:t>
      </w:r>
      <w:r>
        <w:t xml:space="preserve">hosted by Brazil and held via electronic means, from May 11 to 15, 2020 </w:t>
      </w:r>
    </w:p>
  </w:footnote>
  <w:footnote w:id="3">
    <w:p w:rsidR="00B90318" w:rsidRDefault="00B90318">
      <w:pPr>
        <w:pStyle w:val="FootnoteText"/>
      </w:pPr>
      <w:r>
        <w:rPr>
          <w:rStyle w:val="FootnoteReference"/>
        </w:rPr>
        <w:footnoteRef/>
      </w:r>
      <w:r>
        <w:t xml:space="preserve"> at its fifty-second session, hosted by the Netherlands and held via electronic means, from June 8 to 12, 2020</w:t>
      </w:r>
    </w:p>
  </w:footnote>
  <w:footnote w:id="4">
    <w:p w:rsidR="00B90318" w:rsidRDefault="00B90318">
      <w:pPr>
        <w:pStyle w:val="FootnoteText"/>
      </w:pPr>
      <w:r>
        <w:rPr>
          <w:rStyle w:val="FootnoteReference"/>
        </w:rPr>
        <w:footnoteRef/>
      </w:r>
      <w:r>
        <w:t xml:space="preserve"> at its </w:t>
      </w:r>
      <w:r w:rsidRPr="005E5AEE">
        <w:t>forty-ninth session, hosted by Canada</w:t>
      </w:r>
      <w:r>
        <w:t xml:space="preserve"> and held via electronic means, from </w:t>
      </w:r>
      <w:r w:rsidRPr="005E5AEE">
        <w:t>June 22 to 26, 2020</w:t>
      </w:r>
    </w:p>
  </w:footnote>
  <w:footnote w:id="5">
    <w:p w:rsidR="00B90318" w:rsidRDefault="00B90318">
      <w:pPr>
        <w:pStyle w:val="FootnoteText"/>
      </w:pPr>
      <w:r>
        <w:rPr>
          <w:rStyle w:val="FootnoteReference"/>
        </w:rPr>
        <w:footnoteRef/>
      </w:r>
      <w:r>
        <w:t xml:space="preserve"> at its fifty-first session, hosted by France and organized by electronic means, from July 6 to 10,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717133" w:rsidP="00EB048E">
    <w:pPr>
      <w:pStyle w:val="Header"/>
      <w:rPr>
        <w:rStyle w:val="PageNumber"/>
        <w:lang w:val="en-US"/>
      </w:rPr>
    </w:pPr>
    <w:r>
      <w:rPr>
        <w:rStyle w:val="PageNumber"/>
        <w:lang w:val="en-US"/>
      </w:rPr>
      <w:t>TWC/38/4</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B52FC">
      <w:rPr>
        <w:rStyle w:val="PageNumber"/>
        <w:noProof/>
        <w:lang w:val="en-US"/>
      </w:rPr>
      <w:t>4</w:t>
    </w:r>
    <w:r w:rsidRPr="00C5280D">
      <w:rPr>
        <w:rStyle w:val="PageNumber"/>
        <w:lang w:val="en-US"/>
      </w:rPr>
      <w:fldChar w:fldCharType="end"/>
    </w:r>
  </w:p>
  <w:p w:rsidR="00182B99" w:rsidRPr="00C5280D" w:rsidRDefault="00182B99" w:rsidP="006655D3"/>
  <w:p w:rsidR="00120F99" w:rsidRDefault="00120F9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77F87"/>
    <w:multiLevelType w:val="hybridMultilevel"/>
    <w:tmpl w:val="A19A4028"/>
    <w:lvl w:ilvl="0" w:tplc="9BFC9716">
      <w:numFmt w:val="bullet"/>
      <w:lvlText w:val="•"/>
      <w:lvlJc w:val="left"/>
      <w:pPr>
        <w:ind w:left="1127" w:hanging="560"/>
      </w:pPr>
      <w:rPr>
        <w:rFonts w:ascii="Arial" w:eastAsiaTheme="minorEastAsia" w:hAnsi="Arial" w:cs="Arial" w:hint="default"/>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D576B66"/>
    <w:multiLevelType w:val="hybridMultilevel"/>
    <w:tmpl w:val="B532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72B49"/>
    <w:multiLevelType w:val="hybridMultilevel"/>
    <w:tmpl w:val="A844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76A73"/>
    <w:multiLevelType w:val="hybridMultilevel"/>
    <w:tmpl w:val="320658E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B760CA2"/>
    <w:multiLevelType w:val="hybridMultilevel"/>
    <w:tmpl w:val="86329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48B3A08"/>
    <w:multiLevelType w:val="hybridMultilevel"/>
    <w:tmpl w:val="EAB0E644"/>
    <w:lvl w:ilvl="0" w:tplc="9BFC9716">
      <w:numFmt w:val="bullet"/>
      <w:lvlText w:val="•"/>
      <w:lvlJc w:val="left"/>
      <w:pPr>
        <w:ind w:left="1287" w:hanging="360"/>
      </w:pPr>
      <w:rPr>
        <w:rFonts w:ascii="Arial" w:eastAsiaTheme="minorEastAsia" w:hAnsi="Arial" w:cs="Arial" w:hint="default"/>
        <w:sz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activeWritingStyle w:appName="MSWord" w:lang="fr-FR" w:vendorID="64" w:dllVersion="131078" w:nlCheck="1" w:checkStyle="0"/>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25"/>
    <w:rsid w:val="00010CF3"/>
    <w:rsid w:val="00011E27"/>
    <w:rsid w:val="000148BC"/>
    <w:rsid w:val="00022810"/>
    <w:rsid w:val="00024AB8"/>
    <w:rsid w:val="00030854"/>
    <w:rsid w:val="00036028"/>
    <w:rsid w:val="00044642"/>
    <w:rsid w:val="000446B9"/>
    <w:rsid w:val="00047E21"/>
    <w:rsid w:val="00050E16"/>
    <w:rsid w:val="0005765E"/>
    <w:rsid w:val="00085505"/>
    <w:rsid w:val="0009291A"/>
    <w:rsid w:val="000A1D6B"/>
    <w:rsid w:val="000C4E25"/>
    <w:rsid w:val="000C7021"/>
    <w:rsid w:val="000D6BBC"/>
    <w:rsid w:val="000D7780"/>
    <w:rsid w:val="000E636A"/>
    <w:rsid w:val="000F2F11"/>
    <w:rsid w:val="00105929"/>
    <w:rsid w:val="00110469"/>
    <w:rsid w:val="00110C36"/>
    <w:rsid w:val="001131D5"/>
    <w:rsid w:val="001132F2"/>
    <w:rsid w:val="00120F99"/>
    <w:rsid w:val="00141DB8"/>
    <w:rsid w:val="00172084"/>
    <w:rsid w:val="0017474A"/>
    <w:rsid w:val="001758C6"/>
    <w:rsid w:val="00182B99"/>
    <w:rsid w:val="001D6303"/>
    <w:rsid w:val="0021332C"/>
    <w:rsid w:val="00213982"/>
    <w:rsid w:val="00240BF6"/>
    <w:rsid w:val="0024416D"/>
    <w:rsid w:val="00271911"/>
    <w:rsid w:val="002800A0"/>
    <w:rsid w:val="002801B3"/>
    <w:rsid w:val="00281060"/>
    <w:rsid w:val="002940E8"/>
    <w:rsid w:val="00294751"/>
    <w:rsid w:val="002A6E50"/>
    <w:rsid w:val="002B4298"/>
    <w:rsid w:val="002C256A"/>
    <w:rsid w:val="00305A7F"/>
    <w:rsid w:val="003152FE"/>
    <w:rsid w:val="00327436"/>
    <w:rsid w:val="00335389"/>
    <w:rsid w:val="00344BD6"/>
    <w:rsid w:val="0035528D"/>
    <w:rsid w:val="00361821"/>
    <w:rsid w:val="00361E9E"/>
    <w:rsid w:val="00370BF0"/>
    <w:rsid w:val="003A3C54"/>
    <w:rsid w:val="003C7FBE"/>
    <w:rsid w:val="003D227C"/>
    <w:rsid w:val="003D2B4D"/>
    <w:rsid w:val="00422069"/>
    <w:rsid w:val="00444A88"/>
    <w:rsid w:val="00474DA4"/>
    <w:rsid w:val="00476B4D"/>
    <w:rsid w:val="004805FA"/>
    <w:rsid w:val="004935D2"/>
    <w:rsid w:val="0049744F"/>
    <w:rsid w:val="004B1215"/>
    <w:rsid w:val="004B52FC"/>
    <w:rsid w:val="004C39C2"/>
    <w:rsid w:val="004C6B94"/>
    <w:rsid w:val="004D047D"/>
    <w:rsid w:val="004D30E6"/>
    <w:rsid w:val="004F1E9E"/>
    <w:rsid w:val="004F305A"/>
    <w:rsid w:val="004F55B0"/>
    <w:rsid w:val="00512164"/>
    <w:rsid w:val="00520297"/>
    <w:rsid w:val="005338F9"/>
    <w:rsid w:val="0054281C"/>
    <w:rsid w:val="00544581"/>
    <w:rsid w:val="0055268D"/>
    <w:rsid w:val="00564225"/>
    <w:rsid w:val="00576BE4"/>
    <w:rsid w:val="005A400A"/>
    <w:rsid w:val="005B5F35"/>
    <w:rsid w:val="005E5AEE"/>
    <w:rsid w:val="005F7B92"/>
    <w:rsid w:val="006018AB"/>
    <w:rsid w:val="00612379"/>
    <w:rsid w:val="00613D75"/>
    <w:rsid w:val="006153B6"/>
    <w:rsid w:val="0061555F"/>
    <w:rsid w:val="00621302"/>
    <w:rsid w:val="00627190"/>
    <w:rsid w:val="00636CA6"/>
    <w:rsid w:val="00641200"/>
    <w:rsid w:val="006655D3"/>
    <w:rsid w:val="00667404"/>
    <w:rsid w:val="00687EB4"/>
    <w:rsid w:val="00695C56"/>
    <w:rsid w:val="006A5CDE"/>
    <w:rsid w:val="006A644A"/>
    <w:rsid w:val="006B17D2"/>
    <w:rsid w:val="006C224E"/>
    <w:rsid w:val="006D780A"/>
    <w:rsid w:val="006D7A71"/>
    <w:rsid w:val="0071271E"/>
    <w:rsid w:val="00717133"/>
    <w:rsid w:val="00722EB0"/>
    <w:rsid w:val="007233F8"/>
    <w:rsid w:val="00732DEC"/>
    <w:rsid w:val="0073526E"/>
    <w:rsid w:val="00735BD5"/>
    <w:rsid w:val="00742E5D"/>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00EF"/>
    <w:rsid w:val="008211B5"/>
    <w:rsid w:val="0082296E"/>
    <w:rsid w:val="00824099"/>
    <w:rsid w:val="00846D7C"/>
    <w:rsid w:val="00851B40"/>
    <w:rsid w:val="00860A1D"/>
    <w:rsid w:val="00867AC1"/>
    <w:rsid w:val="0089096E"/>
    <w:rsid w:val="00890DF8"/>
    <w:rsid w:val="008A743F"/>
    <w:rsid w:val="008C0970"/>
    <w:rsid w:val="008D0BC5"/>
    <w:rsid w:val="008D2CF7"/>
    <w:rsid w:val="00900C26"/>
    <w:rsid w:val="0090197F"/>
    <w:rsid w:val="00904025"/>
    <w:rsid w:val="00906DDC"/>
    <w:rsid w:val="0092680E"/>
    <w:rsid w:val="00934E09"/>
    <w:rsid w:val="00936253"/>
    <w:rsid w:val="00940D46"/>
    <w:rsid w:val="00952DD4"/>
    <w:rsid w:val="00964046"/>
    <w:rsid w:val="00965AE7"/>
    <w:rsid w:val="00970FED"/>
    <w:rsid w:val="00985326"/>
    <w:rsid w:val="00992D82"/>
    <w:rsid w:val="00997029"/>
    <w:rsid w:val="009A7339"/>
    <w:rsid w:val="009B440E"/>
    <w:rsid w:val="009D420C"/>
    <w:rsid w:val="009D690D"/>
    <w:rsid w:val="009E65B6"/>
    <w:rsid w:val="00A03F72"/>
    <w:rsid w:val="00A24C10"/>
    <w:rsid w:val="00A42483"/>
    <w:rsid w:val="00A42AC3"/>
    <w:rsid w:val="00A430CF"/>
    <w:rsid w:val="00A505AC"/>
    <w:rsid w:val="00A54309"/>
    <w:rsid w:val="00AB2B93"/>
    <w:rsid w:val="00AB530F"/>
    <w:rsid w:val="00AB7E5B"/>
    <w:rsid w:val="00AC2883"/>
    <w:rsid w:val="00AE0ACB"/>
    <w:rsid w:val="00AE0EF1"/>
    <w:rsid w:val="00AE2937"/>
    <w:rsid w:val="00B07301"/>
    <w:rsid w:val="00B11F3E"/>
    <w:rsid w:val="00B224DE"/>
    <w:rsid w:val="00B324D4"/>
    <w:rsid w:val="00B46575"/>
    <w:rsid w:val="00B61777"/>
    <w:rsid w:val="00B84BBD"/>
    <w:rsid w:val="00B90318"/>
    <w:rsid w:val="00BA43FB"/>
    <w:rsid w:val="00BC127D"/>
    <w:rsid w:val="00BC1FE6"/>
    <w:rsid w:val="00C061B6"/>
    <w:rsid w:val="00C2446C"/>
    <w:rsid w:val="00C36AE5"/>
    <w:rsid w:val="00C40AF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1750"/>
    <w:rsid w:val="00D57C96"/>
    <w:rsid w:val="00D57D18"/>
    <w:rsid w:val="00D91203"/>
    <w:rsid w:val="00D91662"/>
    <w:rsid w:val="00D95174"/>
    <w:rsid w:val="00DA1712"/>
    <w:rsid w:val="00DA4499"/>
    <w:rsid w:val="00DA4973"/>
    <w:rsid w:val="00DA6F36"/>
    <w:rsid w:val="00DB596E"/>
    <w:rsid w:val="00DB7773"/>
    <w:rsid w:val="00DC00EA"/>
    <w:rsid w:val="00DC3802"/>
    <w:rsid w:val="00DD79A9"/>
    <w:rsid w:val="00E07D87"/>
    <w:rsid w:val="00E32F7E"/>
    <w:rsid w:val="00E40578"/>
    <w:rsid w:val="00E5267B"/>
    <w:rsid w:val="00E54C80"/>
    <w:rsid w:val="00E6059A"/>
    <w:rsid w:val="00E70039"/>
    <w:rsid w:val="00E72D49"/>
    <w:rsid w:val="00E7593C"/>
    <w:rsid w:val="00E7678A"/>
    <w:rsid w:val="00E87FBC"/>
    <w:rsid w:val="00E935F1"/>
    <w:rsid w:val="00E94A81"/>
    <w:rsid w:val="00EA1FFB"/>
    <w:rsid w:val="00EB048E"/>
    <w:rsid w:val="00EB4E9C"/>
    <w:rsid w:val="00EC447B"/>
    <w:rsid w:val="00EC481C"/>
    <w:rsid w:val="00EE1AFA"/>
    <w:rsid w:val="00EE34DF"/>
    <w:rsid w:val="00EF2F89"/>
    <w:rsid w:val="00F03E98"/>
    <w:rsid w:val="00F1237A"/>
    <w:rsid w:val="00F22CBD"/>
    <w:rsid w:val="00F23477"/>
    <w:rsid w:val="00F272F1"/>
    <w:rsid w:val="00F45372"/>
    <w:rsid w:val="00F560F7"/>
    <w:rsid w:val="00F6334D"/>
    <w:rsid w:val="00FA49AB"/>
    <w:rsid w:val="00FC6E96"/>
    <w:rsid w:val="00FE39C7"/>
    <w:rsid w:val="00FE543B"/>
    <w:rsid w:val="00FF4D07"/>
    <w:rsid w:val="00FF6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BB62DF1"/>
  <w15:docId w15:val="{86E85687-F05F-4E95-B37A-09AAE87F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110469"/>
    <w:pPr>
      <w:keepNext/>
      <w:jc w:val="both"/>
      <w:outlineLvl w:val="2"/>
    </w:pPr>
    <w:rPr>
      <w:rFonts w:ascii="Arial" w:hAnsi="Arial"/>
      <w:i/>
      <w:lang w:eastAsia="ja-JP"/>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851B40"/>
    <w:pPr>
      <w:tabs>
        <w:tab w:val="right" w:leader="dot" w:pos="9639"/>
      </w:tabs>
      <w:spacing w:before="60"/>
      <w:ind w:left="568" w:right="851" w:hanging="284"/>
      <w:contextualSpacing/>
    </w:pPr>
    <w:rPr>
      <w:sz w:val="18"/>
    </w:rPr>
  </w:style>
  <w:style w:type="paragraph" w:styleId="TOC3">
    <w:name w:val="toc 3"/>
    <w:basedOn w:val="Normal"/>
    <w:next w:val="Normal"/>
    <w:autoRedefine/>
    <w:uiPriority w:val="39"/>
    <w:rsid w:val="00110469"/>
    <w:pPr>
      <w:tabs>
        <w:tab w:val="right" w:leader="dot" w:pos="9639"/>
      </w:tabs>
      <w:spacing w:after="60"/>
      <w:ind w:left="851" w:right="1418" w:hanging="284"/>
      <w:contextualSpacing/>
      <w:jc w:val="left"/>
    </w:pPr>
    <w:rPr>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851B40"/>
    <w:pPr>
      <w:tabs>
        <w:tab w:val="right" w:leader="dot" w:pos="9639"/>
      </w:tabs>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ing3Char">
    <w:name w:val="Heading 3 Char"/>
    <w:basedOn w:val="DefaultParagraphFont"/>
    <w:link w:val="Heading3"/>
    <w:rsid w:val="00110469"/>
    <w:rPr>
      <w:rFonts w:ascii="Arial" w:hAnsi="Arial"/>
      <w:i/>
      <w:lang w:eastAsia="ja-JP"/>
    </w:rPr>
  </w:style>
  <w:style w:type="character" w:customStyle="1" w:styleId="Heading4Char">
    <w:name w:val="Heading 4 Char"/>
    <w:basedOn w:val="DefaultParagraphFont"/>
    <w:link w:val="Heading4"/>
    <w:rsid w:val="0089096E"/>
    <w:rPr>
      <w:rFonts w:ascii="Arial" w:hAnsi="Arial"/>
      <w:u w:val="single"/>
      <w:lang w:val="fr-FR"/>
    </w:rPr>
  </w:style>
  <w:style w:type="paragraph" w:styleId="ListParagraph">
    <w:name w:val="List Paragraph"/>
    <w:basedOn w:val="Normal"/>
    <w:uiPriority w:val="34"/>
    <w:qFormat/>
    <w:rsid w:val="0089096E"/>
    <w:pPr>
      <w:ind w:left="720"/>
      <w:contextualSpacing/>
    </w:pPr>
    <w:rPr>
      <w:rFonts w:eastAsia="MS Mincho"/>
    </w:rPr>
  </w:style>
  <w:style w:type="character" w:customStyle="1" w:styleId="Heading5Char">
    <w:name w:val="Heading 5 Char"/>
    <w:link w:val="Heading5"/>
    <w:locked/>
    <w:rsid w:val="00964046"/>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9475D-95F1-49F6-BDFB-F78604E32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9427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TWA/49</vt:lpstr>
    </vt:vector>
  </TitlesOfParts>
  <Company>UPOV</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TWC/38</dc:title>
  <dc:creator>REZENDE TAVEIRA Leontino</dc:creator>
  <cp:lastModifiedBy>MAY Jessica</cp:lastModifiedBy>
  <cp:revision>15</cp:revision>
  <cp:lastPrinted>2016-11-22T16:03:00Z</cp:lastPrinted>
  <dcterms:created xsi:type="dcterms:W3CDTF">2020-08-24T09:06:00Z</dcterms:created>
  <dcterms:modified xsi:type="dcterms:W3CDTF">2020-08-25T14:21:00Z</dcterms:modified>
</cp:coreProperties>
</file>