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w:t>
            </w:r>
            <w:r w:rsidR="00501F3C" w:rsidRPr="00501F3C">
              <w:t>on Automation and Computer Programs</w:t>
            </w:r>
          </w:p>
          <w:p w:rsidR="00EB4E9C" w:rsidRPr="00DC3802" w:rsidRDefault="00501F3C" w:rsidP="0016315A">
            <w:pPr>
              <w:pStyle w:val="Sessiontcplacedate"/>
              <w:rPr>
                <w:sz w:val="22"/>
              </w:rPr>
            </w:pPr>
            <w:r w:rsidRPr="00501F3C">
              <w:t>Thirty-S</w:t>
            </w:r>
            <w:r w:rsidR="0016315A">
              <w:t>even</w:t>
            </w:r>
            <w:r w:rsidRPr="00501F3C">
              <w:t>th Session</w:t>
            </w:r>
            <w:r w:rsidRPr="00501F3C">
              <w:br/>
            </w:r>
            <w:r w:rsidR="0016315A">
              <w:t>Hangzhou, China</w:t>
            </w:r>
            <w:r w:rsidRPr="00501F3C">
              <w:t xml:space="preserve">, </w:t>
            </w:r>
            <w:r w:rsidR="0016315A">
              <w:t>October 14 to 16, 2019</w:t>
            </w:r>
          </w:p>
        </w:tc>
        <w:tc>
          <w:tcPr>
            <w:tcW w:w="3127" w:type="dxa"/>
          </w:tcPr>
          <w:p w:rsidR="00DA4499" w:rsidRPr="003C7FBE" w:rsidRDefault="0016315A" w:rsidP="003C7FBE">
            <w:pPr>
              <w:pStyle w:val="Doccode"/>
            </w:pPr>
            <w:r>
              <w:t>TWC/37</w:t>
            </w:r>
            <w:r w:rsidR="00EB4E9C" w:rsidRPr="00AC2883">
              <w:t>/</w:t>
            </w:r>
            <w:r w:rsidR="002B2D42">
              <w:t>5</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5C7B63">
            <w:pPr>
              <w:pStyle w:val="Docoriginal"/>
            </w:pPr>
            <w:r w:rsidRPr="00AC2883">
              <w:t>Date:</w:t>
            </w:r>
            <w:r w:rsidRPr="000E636A">
              <w:rPr>
                <w:b w:val="0"/>
                <w:spacing w:val="0"/>
              </w:rPr>
              <w:t xml:space="preserve">  </w:t>
            </w:r>
            <w:bookmarkStart w:id="0" w:name="_GoBack"/>
            <w:bookmarkEnd w:id="0"/>
            <w:r w:rsidR="005C7B63" w:rsidRPr="00FE54BE">
              <w:rPr>
                <w:b w:val="0"/>
                <w:spacing w:val="0"/>
              </w:rPr>
              <w:t>September</w:t>
            </w:r>
            <w:r w:rsidR="002B2D42" w:rsidRPr="00FE54BE">
              <w:rPr>
                <w:b w:val="0"/>
                <w:spacing w:val="0"/>
              </w:rPr>
              <w:t xml:space="preserve"> </w:t>
            </w:r>
            <w:r w:rsidR="005C7B63" w:rsidRPr="00FE54BE">
              <w:rPr>
                <w:b w:val="0"/>
                <w:spacing w:val="0"/>
              </w:rPr>
              <w:t>30</w:t>
            </w:r>
            <w:r w:rsidRPr="00FE54BE">
              <w:rPr>
                <w:b w:val="0"/>
                <w:spacing w:val="0"/>
              </w:rPr>
              <w:t>, 201</w:t>
            </w:r>
            <w:r w:rsidR="0016315A" w:rsidRPr="00FE54BE">
              <w:rPr>
                <w:b w:val="0"/>
                <w:spacing w:val="0"/>
              </w:rPr>
              <w:t>9</w:t>
            </w:r>
          </w:p>
        </w:tc>
      </w:tr>
    </w:tbl>
    <w:p w:rsidR="000D7780" w:rsidRPr="006A644A" w:rsidRDefault="002B2D42" w:rsidP="006A644A">
      <w:pPr>
        <w:pStyle w:val="Titleofdoc0"/>
      </w:pPr>
      <w:bookmarkStart w:id="1" w:name="TitleOfDoc"/>
      <w:bookmarkEnd w:id="1"/>
      <w:r w:rsidRPr="002B2D42">
        <w:t>Risks associated with assessment of uniformity by off-types on the basis of more than one growing cycle</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AB5FBE">
        <w:t>experts from the United Kingdom</w:t>
      </w:r>
    </w:p>
    <w:p w:rsidR="00050E16" w:rsidRPr="006A644A" w:rsidRDefault="00050E16" w:rsidP="006A644A">
      <w:pPr>
        <w:pStyle w:val="Disclaimer"/>
      </w:pPr>
      <w:r w:rsidRPr="006A644A">
        <w:t>Disclaimer:  this document does not represent UPOV policies or guidance</w:t>
      </w:r>
    </w:p>
    <w:p w:rsidR="00AB5FBE" w:rsidRPr="00C5280D" w:rsidRDefault="00AB5FBE" w:rsidP="00AB5FBE">
      <w:pPr>
        <w:pStyle w:val="Heading1"/>
        <w:rPr>
          <w:snapToGrid w:val="0"/>
        </w:rPr>
      </w:pPr>
      <w:r w:rsidRPr="00B772C1">
        <w:t>Introduction</w:t>
      </w:r>
    </w:p>
    <w:p w:rsidR="00AB5FBE" w:rsidRDefault="00AB5FBE" w:rsidP="00AB5FBE"/>
    <w:p w:rsidR="00AB5FBE" w:rsidRPr="00D65F94" w:rsidRDefault="00AB5FBE" w:rsidP="00AB5FBE">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t xml:space="preserve">The report of the </w:t>
      </w:r>
      <w:r w:rsidRPr="00D65F94">
        <w:t>Technical Working Party on Automation and Computer Programs</w:t>
      </w:r>
      <w:r w:rsidRPr="00FD6BBA">
        <w:t xml:space="preserve"> </w:t>
      </w:r>
      <w:r>
        <w:t>(TWC) at its</w:t>
      </w:r>
      <w:r w:rsidRPr="00FD6BBA">
        <w:t xml:space="preserve"> </w:t>
      </w:r>
      <w:r w:rsidR="00907F1C">
        <w:t>thirty</w:t>
      </w:r>
      <w:r w:rsidR="00907F1C">
        <w:noBreakHyphen/>
      </w:r>
      <w:r>
        <w:t xml:space="preserve">sixth session (see document </w:t>
      </w:r>
      <w:r w:rsidRPr="002B2C77">
        <w:t>TWC/3</w:t>
      </w:r>
      <w:r w:rsidR="005C7B63" w:rsidRPr="002B2C77">
        <w:t>6</w:t>
      </w:r>
      <w:r w:rsidRPr="002B2C77">
        <w:t>/1</w:t>
      </w:r>
      <w:r w:rsidR="005C7B63" w:rsidRPr="002B2C77">
        <w:t>5</w:t>
      </w:r>
      <w:r w:rsidR="0083231E">
        <w:t xml:space="preserve"> “Report”</w:t>
      </w:r>
      <w:r>
        <w:t xml:space="preserve">) </w:t>
      </w:r>
      <w:r w:rsidR="0083231E">
        <w:t>concluded</w:t>
      </w:r>
      <w:r>
        <w:t>:</w:t>
      </w:r>
    </w:p>
    <w:p w:rsidR="00AB5FBE" w:rsidRDefault="00AB5FBE" w:rsidP="00AB5FBE"/>
    <w:p w:rsidR="00AB5FBE" w:rsidRPr="00BB5AC8" w:rsidRDefault="00AB5FBE" w:rsidP="00AB5FBE">
      <w:pPr>
        <w:spacing w:after="160" w:line="259" w:lineRule="auto"/>
        <w:ind w:left="567" w:right="567"/>
        <w:rPr>
          <w:rFonts w:eastAsia="Calibri" w:cs="Arial"/>
          <w:bCs/>
          <w:sz w:val="18"/>
          <w:szCs w:val="18"/>
          <w:lang w:val="en-GB"/>
        </w:rPr>
      </w:pPr>
      <w:r>
        <w:rPr>
          <w:rFonts w:eastAsia="Calibri" w:cs="Arial"/>
          <w:bCs/>
          <w:sz w:val="18"/>
          <w:szCs w:val="18"/>
          <w:lang w:val="en-GB"/>
        </w:rPr>
        <w:t>“</w:t>
      </w:r>
      <w:r w:rsidRPr="00BB5AC8">
        <w:rPr>
          <w:rFonts w:eastAsia="Calibri" w:cs="Arial"/>
          <w:bCs/>
          <w:sz w:val="18"/>
          <w:szCs w:val="18"/>
          <w:lang w:val="en-GB"/>
        </w:rPr>
        <w:t>54.</w:t>
      </w:r>
      <w:r w:rsidRPr="00BB5AC8">
        <w:rPr>
          <w:rFonts w:eastAsia="Calibri" w:cs="Arial"/>
          <w:bCs/>
          <w:sz w:val="18"/>
          <w:szCs w:val="18"/>
          <w:lang w:val="en-GB"/>
        </w:rPr>
        <w:tab/>
        <w:t xml:space="preserve">The TWC considered document TWC/36/7 </w:t>
      </w:r>
      <w:r w:rsidR="004E1B3D">
        <w:rPr>
          <w:rFonts w:eastAsia="Calibri" w:cs="Arial"/>
          <w:bCs/>
          <w:sz w:val="18"/>
          <w:szCs w:val="18"/>
          <w:lang w:val="en-GB"/>
        </w:rPr>
        <w:t>‘</w:t>
      </w:r>
      <w:r w:rsidRPr="00BB5AC8">
        <w:rPr>
          <w:rFonts w:eastAsia="Calibri" w:cs="Arial"/>
          <w:bCs/>
          <w:sz w:val="18"/>
          <w:szCs w:val="18"/>
          <w:lang w:val="en-GB"/>
        </w:rPr>
        <w:t>Risks associated with assessment of uniformity by off-types on the basis of more than one growing cycle</w:t>
      </w:r>
      <w:r w:rsidR="004E1B3D">
        <w:rPr>
          <w:rFonts w:eastAsia="Calibri" w:cs="Arial"/>
          <w:bCs/>
          <w:sz w:val="18"/>
          <w:szCs w:val="18"/>
          <w:lang w:val="en-GB"/>
        </w:rPr>
        <w:t>’</w:t>
      </w:r>
      <w:r w:rsidRPr="00BB5AC8">
        <w:rPr>
          <w:rFonts w:eastAsia="Calibri" w:cs="Arial"/>
          <w:bCs/>
          <w:sz w:val="18"/>
          <w:szCs w:val="18"/>
          <w:lang w:val="en-GB"/>
        </w:rPr>
        <w:t xml:space="preserve"> and received a presentation by experts from Germany and the United Kingdom, a copy of which would be provided as document TWC/36/7 </w:t>
      </w:r>
      <w:proofErr w:type="gramStart"/>
      <w:r w:rsidRPr="00BB5AC8">
        <w:rPr>
          <w:rFonts w:eastAsia="Calibri" w:cs="Arial"/>
          <w:bCs/>
          <w:sz w:val="18"/>
          <w:szCs w:val="18"/>
          <w:lang w:val="en-GB"/>
        </w:rPr>
        <w:t>Add..</w:t>
      </w:r>
      <w:proofErr w:type="gramEnd"/>
    </w:p>
    <w:p w:rsidR="00AB5FBE" w:rsidRPr="00BB5AC8" w:rsidRDefault="004E1B3D" w:rsidP="00AB5FBE">
      <w:pPr>
        <w:spacing w:after="160" w:line="259" w:lineRule="auto"/>
        <w:ind w:left="567" w:right="567"/>
        <w:rPr>
          <w:rFonts w:eastAsia="Calibri" w:cs="Arial"/>
          <w:bCs/>
          <w:sz w:val="18"/>
          <w:szCs w:val="18"/>
          <w:lang w:val="en-GB"/>
        </w:rPr>
      </w:pPr>
      <w:r>
        <w:rPr>
          <w:rFonts w:eastAsia="Calibri" w:cs="Arial"/>
          <w:bCs/>
          <w:sz w:val="18"/>
          <w:szCs w:val="18"/>
          <w:lang w:val="en-GB"/>
        </w:rPr>
        <w:t>“</w:t>
      </w:r>
      <w:r w:rsidR="00AB5FBE" w:rsidRPr="00BB5AC8">
        <w:rPr>
          <w:rFonts w:eastAsia="Calibri" w:cs="Arial"/>
          <w:bCs/>
          <w:sz w:val="18"/>
          <w:szCs w:val="18"/>
          <w:lang w:val="en-GB"/>
        </w:rPr>
        <w:t>55.</w:t>
      </w:r>
      <w:r w:rsidR="00AB5FBE" w:rsidRPr="00BB5AC8">
        <w:rPr>
          <w:rFonts w:eastAsia="Calibri" w:cs="Arial"/>
          <w:bCs/>
          <w:sz w:val="18"/>
          <w:szCs w:val="18"/>
          <w:lang w:val="en-GB"/>
        </w:rPr>
        <w:tab/>
        <w:t>The TWC agreed to invite the experts from Germany and the United Kingdom to develop examples demonstrating the risks and consequences for decisions on uniformity to be presented at its next session.</w:t>
      </w:r>
    </w:p>
    <w:p w:rsidR="00AB5FBE" w:rsidRDefault="004E1B3D" w:rsidP="00AB5FBE">
      <w:pPr>
        <w:spacing w:after="160" w:line="259" w:lineRule="auto"/>
        <w:ind w:left="567" w:right="567"/>
        <w:rPr>
          <w:rFonts w:eastAsia="Calibri" w:cs="Arial"/>
          <w:bCs/>
          <w:sz w:val="18"/>
          <w:szCs w:val="18"/>
          <w:lang w:val="en-GB"/>
        </w:rPr>
      </w:pPr>
      <w:r>
        <w:rPr>
          <w:rFonts w:eastAsia="Calibri" w:cs="Arial"/>
          <w:bCs/>
          <w:sz w:val="18"/>
          <w:szCs w:val="18"/>
          <w:lang w:val="en-GB"/>
        </w:rPr>
        <w:t>“</w:t>
      </w:r>
      <w:r w:rsidR="00AB5FBE" w:rsidRPr="00BB5AC8">
        <w:rPr>
          <w:rFonts w:eastAsia="Calibri" w:cs="Arial"/>
          <w:bCs/>
          <w:sz w:val="18"/>
          <w:szCs w:val="18"/>
          <w:lang w:val="en-GB"/>
        </w:rPr>
        <w:t>56.</w:t>
      </w:r>
      <w:r w:rsidR="00AB5FBE" w:rsidRPr="00BB5AC8">
        <w:rPr>
          <w:rFonts w:eastAsia="Calibri" w:cs="Arial"/>
          <w:bCs/>
          <w:sz w:val="18"/>
          <w:szCs w:val="18"/>
          <w:lang w:val="en-GB"/>
        </w:rPr>
        <w:tab/>
        <w:t>The TWC noted the importance of considering the risks associated with assessment of uniformity by off-types on the basis of more than one growing cycle and agreed that it would not be practical to develop tables with the allowed number of off-types for such cases.  The TWC noted that, in future, software might be needed to calculate such risks.</w:t>
      </w:r>
      <w:r w:rsidR="00AB5FBE">
        <w:rPr>
          <w:rFonts w:eastAsia="Calibri" w:cs="Arial"/>
          <w:bCs/>
          <w:sz w:val="18"/>
          <w:szCs w:val="18"/>
          <w:lang w:val="en-GB"/>
        </w:rPr>
        <w:t>”</w:t>
      </w:r>
    </w:p>
    <w:p w:rsidR="00AB5FBE" w:rsidRPr="00C16021" w:rsidRDefault="00AB5FBE" w:rsidP="00AB5FBE">
      <w:pPr>
        <w:rPr>
          <w:rFonts w:eastAsia="Calibri"/>
          <w:lang w:val="en-GB"/>
        </w:rPr>
      </w:pPr>
    </w:p>
    <w:p w:rsidR="00AB5FBE" w:rsidRDefault="00AB5FBE" w:rsidP="00AB5FBE">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t xml:space="preserve">A calculator based in Excel </w:t>
      </w:r>
      <w:proofErr w:type="gramStart"/>
      <w:r>
        <w:t>is presented</w:t>
      </w:r>
      <w:proofErr w:type="gramEnd"/>
      <w:r>
        <w:t>. This enables the calculation of both appropriate thresholds in terms maximum allowable numbers of off-types as well as statistical risks. It works for both singl</w:t>
      </w:r>
      <w:r w:rsidR="00E17796">
        <w:t>e and two</w:t>
      </w:r>
      <w:r w:rsidR="00E17796">
        <w:noBreakHyphen/>
      </w:r>
      <w:r>
        <w:t xml:space="preserve">cycle systems for off-type assessment. At this </w:t>
      </w:r>
      <w:proofErr w:type="gramStart"/>
      <w:r>
        <w:t>stage</w:t>
      </w:r>
      <w:proofErr w:type="gramEnd"/>
      <w:r>
        <w:t xml:space="preserve"> it does not work for seq</w:t>
      </w:r>
      <w:r w:rsidR="00E17796">
        <w:t>uential approaches based on sub</w:t>
      </w:r>
      <w:r w:rsidR="00E17796">
        <w:noBreakHyphen/>
      </w:r>
      <w:r>
        <w:t>samples within a single test or trial.</w:t>
      </w:r>
    </w:p>
    <w:p w:rsidR="00AB5FBE" w:rsidRDefault="00AB5FBE" w:rsidP="00AB5FBE"/>
    <w:p w:rsidR="00AB5FBE" w:rsidRPr="004E1D51" w:rsidRDefault="00AB5FBE" w:rsidP="00AB5FBE">
      <w:r>
        <w:t>3.</w:t>
      </w:r>
      <w:r>
        <w:tab/>
        <w:t xml:space="preserve">The text below and the software assumes that there is only one submission of plant material, even when uniformity </w:t>
      </w:r>
      <w:proofErr w:type="gramStart"/>
      <w:r>
        <w:t>is assessed</w:t>
      </w:r>
      <w:proofErr w:type="gramEnd"/>
      <w:r>
        <w:t xml:space="preserve"> over two cycles.</w:t>
      </w:r>
    </w:p>
    <w:p w:rsidR="00AB5FBE" w:rsidRDefault="00AB5FBE" w:rsidP="00AB5FBE">
      <w:pPr>
        <w:jc w:val="left"/>
      </w:pPr>
    </w:p>
    <w:p w:rsidR="00AB5FBE" w:rsidRDefault="00AB5FBE" w:rsidP="00AB5FBE">
      <w:pPr>
        <w:jc w:val="left"/>
      </w:pPr>
    </w:p>
    <w:p w:rsidR="00AB5FBE" w:rsidRPr="001832E7" w:rsidRDefault="00AB5FBE" w:rsidP="00AB5FBE">
      <w:pPr>
        <w:pStyle w:val="Heading1"/>
      </w:pPr>
      <w:r w:rsidRPr="001832E7">
        <w:t>The importance of considering risks when assessing uniformity by off-types</w:t>
      </w:r>
    </w:p>
    <w:p w:rsidR="00AB5FBE" w:rsidRDefault="00AB5FBE" w:rsidP="00AB5FBE">
      <w:pPr>
        <w:jc w:val="left"/>
      </w:pPr>
    </w:p>
    <w:p w:rsidR="00AB5FBE" w:rsidRDefault="00AB5FBE" w:rsidP="00AB5FBE">
      <w:r>
        <w:rPr>
          <w:rFonts w:cs="Arial"/>
          <w:color w:val="000000"/>
        </w:rPr>
        <w:t>4</w:t>
      </w:r>
      <w:r w:rsidRPr="004E2894">
        <w:rPr>
          <w:rFonts w:cs="Arial"/>
          <w:color w:val="000000"/>
        </w:rPr>
        <w:tab/>
      </w:r>
      <w:r>
        <w:t xml:space="preserve">Population standards for off-types </w:t>
      </w:r>
      <w:proofErr w:type="gramStart"/>
      <w:r>
        <w:t>are given</w:t>
      </w:r>
      <w:proofErr w:type="gramEnd"/>
      <w:r>
        <w:t xml:space="preserve"> in Test Guidelines, defining the maximum allowable proportions of off-types.</w:t>
      </w:r>
    </w:p>
    <w:p w:rsidR="00AB5FBE" w:rsidRDefault="00AB5FBE" w:rsidP="00AB5FBE"/>
    <w:p w:rsidR="00AB5FBE" w:rsidRDefault="00AB5FBE" w:rsidP="00AB5FBE">
      <w:r>
        <w:rPr>
          <w:rFonts w:cs="Arial"/>
          <w:color w:val="000000"/>
        </w:rPr>
        <w:t>5</w:t>
      </w:r>
      <w:r w:rsidRPr="004E2894">
        <w:rPr>
          <w:rFonts w:cs="Arial"/>
          <w:color w:val="000000"/>
        </w:rPr>
        <w:tab/>
      </w:r>
      <w:r>
        <w:t xml:space="preserve">The population standard is the maximum level of off-types in all individuals of variety. This is a hypothetical concept since we cannot assess all individuals. </w:t>
      </w:r>
      <w:proofErr w:type="gramStart"/>
      <w:r>
        <w:t>Instead, we examine a sample of individuals, with the number depending on circumstances and indicated in the Test Guidelines.</w:t>
      </w:r>
      <w:proofErr w:type="gramEnd"/>
    </w:p>
    <w:p w:rsidR="00AB5FBE" w:rsidRDefault="00AB5FBE" w:rsidP="00AB5FBE"/>
    <w:p w:rsidR="00AB5FBE" w:rsidRDefault="00AB5FBE" w:rsidP="00AB5FBE">
      <w:r>
        <w:rPr>
          <w:rFonts w:cs="Arial"/>
          <w:color w:val="000000"/>
        </w:rPr>
        <w:t>6.</w:t>
      </w:r>
      <w:r w:rsidRPr="004E2894">
        <w:rPr>
          <w:rFonts w:cs="Arial"/>
          <w:color w:val="000000"/>
        </w:rPr>
        <w:tab/>
      </w:r>
      <w:r>
        <w:t xml:space="preserve">As we only look at a relatively small number of individuals, the proportion of off-types we see may not reflect perfectly the proportion in the variety. </w:t>
      </w:r>
    </w:p>
    <w:p w:rsidR="00AB5FBE" w:rsidRDefault="00AB5FBE" w:rsidP="00AB5FBE"/>
    <w:p w:rsidR="00AB5FBE" w:rsidRDefault="00AB5FBE" w:rsidP="00AB5FBE">
      <w:r>
        <w:rPr>
          <w:rFonts w:cs="Arial"/>
          <w:color w:val="000000"/>
        </w:rPr>
        <w:t>7.</w:t>
      </w:r>
      <w:r w:rsidRPr="004E2894">
        <w:rPr>
          <w:rFonts w:cs="Arial"/>
          <w:color w:val="000000"/>
        </w:rPr>
        <w:tab/>
      </w:r>
      <w:r>
        <w:t xml:space="preserve">For example, if the proportion of off-types in the variety is 5% and the sample size is 500 plants, we might find the following numbers of off-types on different occasions (random simulation): </w:t>
      </w:r>
      <w:r w:rsidRPr="00E97C0F">
        <w:t>29</w:t>
      </w:r>
      <w:r>
        <w:t>,</w:t>
      </w:r>
      <w:r w:rsidRPr="00E97C0F">
        <w:t xml:space="preserve"> 19</w:t>
      </w:r>
      <w:r>
        <w:t>,</w:t>
      </w:r>
      <w:r w:rsidRPr="00E97C0F">
        <w:t xml:space="preserve"> 21</w:t>
      </w:r>
      <w:r>
        <w:t>,</w:t>
      </w:r>
      <w:r w:rsidRPr="00E97C0F">
        <w:t xml:space="preserve"> 27</w:t>
      </w:r>
      <w:r>
        <w:t>,</w:t>
      </w:r>
      <w:r w:rsidRPr="00E97C0F">
        <w:t xml:space="preserve"> 30</w:t>
      </w:r>
      <w:r>
        <w:t>,</w:t>
      </w:r>
      <w:r w:rsidRPr="00E97C0F">
        <w:t xml:space="preserve"> 29</w:t>
      </w:r>
      <w:r>
        <w:t>,</w:t>
      </w:r>
      <w:r w:rsidRPr="00E97C0F">
        <w:t xml:space="preserve"> 32</w:t>
      </w:r>
      <w:r>
        <w:t>,</w:t>
      </w:r>
      <w:r w:rsidRPr="00E97C0F">
        <w:t xml:space="preserve"> 28</w:t>
      </w:r>
      <w:r>
        <w:t>,</w:t>
      </w:r>
      <w:r w:rsidRPr="00E97C0F">
        <w:t xml:space="preserve"> 21</w:t>
      </w:r>
      <w:r>
        <w:t xml:space="preserve"> or</w:t>
      </w:r>
      <w:r w:rsidRPr="00E97C0F">
        <w:t xml:space="preserve"> 22</w:t>
      </w:r>
      <w:r>
        <w:t>.</w:t>
      </w:r>
    </w:p>
    <w:p w:rsidR="00AB5FBE" w:rsidRDefault="00AB5FBE" w:rsidP="00AB5FBE"/>
    <w:p w:rsidR="00AB5FBE" w:rsidRDefault="00AB5FBE" w:rsidP="00AB5FBE">
      <w:r>
        <w:rPr>
          <w:rFonts w:cs="Arial"/>
          <w:color w:val="000000"/>
        </w:rPr>
        <w:lastRenderedPageBreak/>
        <w:t>8.</w:t>
      </w:r>
      <w:r w:rsidRPr="004E2894">
        <w:rPr>
          <w:rFonts w:cs="Arial"/>
          <w:color w:val="000000"/>
        </w:rPr>
        <w:tab/>
      </w:r>
      <w:r>
        <w:t>Some of these numbers are more than 5% of 500 plants, others less. If we were to set the maximum number of off-types to 25 (5% of 500), approximately half the time we would expect a variety with 5% off-types to fail this uniformity criterion.</w:t>
      </w:r>
    </w:p>
    <w:p w:rsidR="00AB5FBE" w:rsidRDefault="00AB5FBE" w:rsidP="00AB5FBE"/>
    <w:p w:rsidR="00AB5FBE" w:rsidRDefault="00AB5FBE" w:rsidP="00AB5FBE">
      <w:r>
        <w:rPr>
          <w:rFonts w:cs="Arial"/>
          <w:color w:val="000000"/>
        </w:rPr>
        <w:t>9.</w:t>
      </w:r>
      <w:r w:rsidRPr="004E2894">
        <w:rPr>
          <w:rFonts w:cs="Arial"/>
          <w:color w:val="000000"/>
        </w:rPr>
        <w:tab/>
      </w:r>
      <w:r>
        <w:t>We should allow for this natural sampling variability in the way that we assess varieties for off-types. We can do this by understanding the risks associated with the decisions.</w:t>
      </w:r>
    </w:p>
    <w:p w:rsidR="00AB5FBE" w:rsidRDefault="00AB5FBE" w:rsidP="00AB5FBE"/>
    <w:p w:rsidR="00AB5FBE" w:rsidRDefault="00AB5FBE" w:rsidP="00AB5FBE"/>
    <w:p w:rsidR="00AB5FBE" w:rsidRDefault="00AB5FBE" w:rsidP="00AB5FBE">
      <w:pPr>
        <w:pStyle w:val="Heading1"/>
      </w:pPr>
      <w:r w:rsidRPr="00580421">
        <w:t>Type of risks to consider</w:t>
      </w:r>
    </w:p>
    <w:p w:rsidR="00AB5FBE" w:rsidRDefault="00AB5FBE" w:rsidP="00AB5FBE">
      <w:pPr>
        <w:keepNext/>
      </w:pPr>
    </w:p>
    <w:p w:rsidR="00AB5FBE" w:rsidRDefault="00AB5FBE" w:rsidP="00AB5FBE">
      <w:pPr>
        <w:keepNext/>
      </w:pPr>
      <w:r>
        <w:rPr>
          <w:rFonts w:cs="Arial"/>
          <w:color w:val="000000"/>
        </w:rPr>
        <w:t>10.</w:t>
      </w:r>
      <w:r w:rsidRPr="004E2894">
        <w:rPr>
          <w:rFonts w:cs="Arial"/>
          <w:color w:val="000000"/>
        </w:rPr>
        <w:tab/>
      </w:r>
      <w:r w:rsidRPr="00580421">
        <w:t xml:space="preserve">From </w:t>
      </w:r>
      <w:r>
        <w:t>a statistical viewpoint, we should consider two types of risks in particular:</w:t>
      </w:r>
    </w:p>
    <w:p w:rsidR="00AB5FBE" w:rsidRDefault="00AB5FBE" w:rsidP="00AB5FBE">
      <w:pPr>
        <w:keepNext/>
      </w:pPr>
    </w:p>
    <w:p w:rsidR="00AB5FBE" w:rsidRDefault="00AB5FBE" w:rsidP="00AB5FBE">
      <w:pPr>
        <w:keepNext/>
        <w:ind w:left="1276" w:hanging="556"/>
      </w:pPr>
      <w:r w:rsidRPr="00580421">
        <w:rPr>
          <w:u w:val="single"/>
        </w:rPr>
        <w:t>Type I error</w:t>
      </w:r>
      <w:r w:rsidRPr="00580421">
        <w:t xml:space="preserve">: </w:t>
      </w:r>
      <w:r>
        <w:t xml:space="preserve">The conclusion based on the test statistic, i.e. from the DUS trial, is that a variety is not uniform, when it would be uniform if the trial </w:t>
      </w:r>
      <w:proofErr w:type="gramStart"/>
      <w:r>
        <w:t>could be repeated</w:t>
      </w:r>
      <w:proofErr w:type="gramEnd"/>
      <w:r>
        <w:t xml:space="preserve"> indefinitely.</w:t>
      </w:r>
    </w:p>
    <w:p w:rsidR="00AB5FBE" w:rsidRDefault="00AB5FBE" w:rsidP="00AB5FBE">
      <w:pPr>
        <w:ind w:left="720"/>
      </w:pPr>
    </w:p>
    <w:p w:rsidR="00AB5FBE" w:rsidRDefault="00AB5FBE" w:rsidP="00AB5FBE">
      <w:pPr>
        <w:ind w:left="1276" w:hanging="556"/>
      </w:pPr>
      <w:r w:rsidRPr="00580421">
        <w:rPr>
          <w:u w:val="single"/>
        </w:rPr>
        <w:t>Type I</w:t>
      </w:r>
      <w:r>
        <w:rPr>
          <w:u w:val="single"/>
        </w:rPr>
        <w:t>I</w:t>
      </w:r>
      <w:r w:rsidRPr="00580421">
        <w:rPr>
          <w:u w:val="single"/>
        </w:rPr>
        <w:t xml:space="preserve"> error</w:t>
      </w:r>
      <w:r w:rsidRPr="00580421">
        <w:t xml:space="preserve">: </w:t>
      </w:r>
      <w:r>
        <w:t xml:space="preserve">The conclusion based on the test statistic, i.e. from the DUS trial, is that a variety is uniform, </w:t>
      </w:r>
      <w:r w:rsidRPr="00CE076C">
        <w:t xml:space="preserve">when it would be non-uniform if the trial </w:t>
      </w:r>
      <w:proofErr w:type="gramStart"/>
      <w:r w:rsidRPr="00CE076C">
        <w:t>could be repeated</w:t>
      </w:r>
      <w:proofErr w:type="gramEnd"/>
      <w:r w:rsidRPr="00CE076C">
        <w:t xml:space="preserve"> indefinitely.</w:t>
      </w:r>
    </w:p>
    <w:p w:rsidR="00AB5FBE" w:rsidRDefault="00AB5FBE" w:rsidP="00AB5FBE">
      <w:pPr>
        <w:ind w:left="720"/>
      </w:pPr>
    </w:p>
    <w:p w:rsidR="00AB5FBE" w:rsidRDefault="00AB5FBE" w:rsidP="00AB5FBE">
      <w:r>
        <w:rPr>
          <w:rFonts w:cs="Arial"/>
          <w:color w:val="000000"/>
        </w:rPr>
        <w:t>11.</w:t>
      </w:r>
      <w:r w:rsidRPr="004E2894">
        <w:rPr>
          <w:rFonts w:cs="Arial"/>
          <w:color w:val="000000"/>
        </w:rPr>
        <w:tab/>
      </w:r>
      <w:r>
        <w:t>We can alter the chances of these two types of errors by the way we assess off-types. For a single cycle assessment, we can do this by changing the maximum number of off-types that is acceptable or by changing the sample size. The probabilities of these types of errors can be calculated using mathematical formulae.</w:t>
      </w:r>
    </w:p>
    <w:p w:rsidR="00AB5FBE" w:rsidRDefault="00AB5FBE" w:rsidP="00AB5FBE"/>
    <w:p w:rsidR="00AB5FBE" w:rsidRDefault="00AB5FBE" w:rsidP="00AB5FBE">
      <w:r>
        <w:rPr>
          <w:rFonts w:cs="Arial"/>
          <w:color w:val="000000"/>
        </w:rPr>
        <w:t>12.</w:t>
      </w:r>
      <w:r w:rsidRPr="004E2894">
        <w:rPr>
          <w:rFonts w:cs="Arial"/>
          <w:color w:val="000000"/>
        </w:rPr>
        <w:tab/>
      </w:r>
      <w:r>
        <w:t xml:space="preserve">In general, the maximum number of off-types is set to ensure that chance of type I errors is sufficiently low. In most cases, we aim to have the chance of type I errors being less than 5%. As the chance of type I errors is </w:t>
      </w:r>
      <w:proofErr w:type="gramStart"/>
      <w:r>
        <w:t>1</w:t>
      </w:r>
      <w:proofErr w:type="gramEnd"/>
      <w:r>
        <w:t xml:space="preserve"> minus the acceptance probability, this equates to an acceptance probability of 95%.</w:t>
      </w:r>
    </w:p>
    <w:p w:rsidR="00AB5FBE" w:rsidRDefault="00AB5FBE" w:rsidP="00AB5FBE"/>
    <w:p w:rsidR="00AB5FBE" w:rsidRDefault="00AB5FBE" w:rsidP="00AB5FBE">
      <w:r>
        <w:rPr>
          <w:rFonts w:cs="Arial"/>
          <w:color w:val="000000"/>
        </w:rPr>
        <w:t>13.</w:t>
      </w:r>
      <w:r w:rsidRPr="004E2894">
        <w:rPr>
          <w:rFonts w:cs="Arial"/>
          <w:color w:val="000000"/>
        </w:rPr>
        <w:tab/>
      </w:r>
      <w:r>
        <w:t xml:space="preserve">Given the sample size, the population standard and the acceptance probability, for a single cycle assessment we can identify the maximum number of off-types. These can be found in tables in document TGP/8/3 “Trial Design and Techniques used in the Examination of Distinctness, Uniformity and Stability” Part II Section 8. For example, the maximum number of off-types with a sample size of 500, a population standard of 5% and an acceptance probability of 95% is 33. Note that 33 off-types in 500 plants is 6.6%, a proportion that is larger than the population standard. </w:t>
      </w:r>
      <w:proofErr w:type="gramStart"/>
      <w:r>
        <w:t>So</w:t>
      </w:r>
      <w:proofErr w:type="gramEnd"/>
      <w:r>
        <w:t xml:space="preserve"> the approach gives a margin of safety for the candidate variety according to the sample size.</w:t>
      </w:r>
    </w:p>
    <w:p w:rsidR="00AB5FBE" w:rsidRDefault="00AB5FBE" w:rsidP="00AB5FBE"/>
    <w:p w:rsidR="00AB5FBE" w:rsidRDefault="00AB5FBE" w:rsidP="00AB5FBE">
      <w:r>
        <w:rPr>
          <w:rFonts w:cs="Arial"/>
          <w:color w:val="000000"/>
        </w:rPr>
        <w:t>14.</w:t>
      </w:r>
      <w:r w:rsidRPr="004E2894">
        <w:rPr>
          <w:rFonts w:cs="Arial"/>
          <w:color w:val="000000"/>
        </w:rPr>
        <w:tab/>
      </w:r>
      <w:r>
        <w:t>If the test is set up this way, increasing the sample size tends to reduce the chance of type II errors.  For example, with a sample size of 500, a population standard of 5% and an acceptance probability of 95%, the chance of a variety with 10% off-types having an acceptable number of off-types (type II error rate) is just 0.5%. However if the sample size is reduced to 50 plants so that the maximum acceptable number is now 5, then the type II error rate increases to 63%.</w:t>
      </w:r>
    </w:p>
    <w:p w:rsidR="00AB5FBE" w:rsidRDefault="00AB5FBE" w:rsidP="00AB5FBE"/>
    <w:p w:rsidR="00AB5FBE" w:rsidRDefault="00AB5FBE" w:rsidP="00AB5FBE">
      <w:r>
        <w:rPr>
          <w:rFonts w:cs="Arial"/>
          <w:color w:val="000000"/>
        </w:rPr>
        <w:t>15.</w:t>
      </w:r>
      <w:r w:rsidRPr="004E2894">
        <w:rPr>
          <w:rFonts w:cs="Arial"/>
          <w:color w:val="000000"/>
        </w:rPr>
        <w:tab/>
      </w:r>
      <w:r>
        <w:t xml:space="preserve">Guidance on sample sizes </w:t>
      </w:r>
      <w:proofErr w:type="gramStart"/>
      <w:r>
        <w:t>can be found</w:t>
      </w:r>
      <w:proofErr w:type="gramEnd"/>
      <w:r>
        <w:t xml:space="preserve"> in Test Guidelines. General guidance </w:t>
      </w:r>
      <w:proofErr w:type="gramStart"/>
      <w:r>
        <w:t>can be found</w:t>
      </w:r>
      <w:proofErr w:type="gramEnd"/>
      <w:r>
        <w:t xml:space="preserve"> in TGP/8/3 on statistical aspects of assessment of uniformity by off-types.</w:t>
      </w:r>
    </w:p>
    <w:p w:rsidR="00AB5FBE" w:rsidRDefault="00AB5FBE" w:rsidP="00AB5FBE"/>
    <w:p w:rsidR="00AB5FBE" w:rsidRDefault="00AB5FBE" w:rsidP="00AB5FBE">
      <w:pPr>
        <w:jc w:val="left"/>
      </w:pPr>
    </w:p>
    <w:p w:rsidR="00AB5FBE" w:rsidRPr="002B523C" w:rsidRDefault="00AB5FBE" w:rsidP="00AB5FBE">
      <w:pPr>
        <w:pStyle w:val="Heading1"/>
      </w:pPr>
      <w:r w:rsidRPr="002B523C">
        <w:t>Considering risks when uniformity by off-types is assessed on basis of more than one growing cycle</w:t>
      </w:r>
    </w:p>
    <w:p w:rsidR="00AB5FBE" w:rsidRDefault="00AB5FBE" w:rsidP="00AB5FBE">
      <w:pPr>
        <w:jc w:val="left"/>
      </w:pPr>
    </w:p>
    <w:p w:rsidR="00AB5FBE" w:rsidRDefault="00AB5FBE" w:rsidP="00AB5FBE">
      <w:pPr>
        <w:rPr>
          <w:rFonts w:eastAsiaTheme="minorHAnsi"/>
        </w:rPr>
      </w:pPr>
      <w:r>
        <w:rPr>
          <w:rFonts w:cs="Arial"/>
          <w:color w:val="000000"/>
        </w:rPr>
        <w:t>16.</w:t>
      </w:r>
      <w:r w:rsidRPr="004E2894">
        <w:rPr>
          <w:rFonts w:cs="Arial"/>
          <w:color w:val="000000"/>
        </w:rPr>
        <w:tab/>
      </w:r>
      <w:r w:rsidRPr="00C247A6">
        <w:rPr>
          <w:rFonts w:eastAsiaTheme="minorHAnsi"/>
        </w:rPr>
        <w:t xml:space="preserve">When </w:t>
      </w:r>
      <w:r>
        <w:rPr>
          <w:rFonts w:eastAsiaTheme="minorHAnsi"/>
        </w:rPr>
        <w:t xml:space="preserve">examining off-types over two or more cycles, it is necessary to consider which risks are most important when setting thresholds in each cycle. This is particularly true for approaches 1 and 2 as set out in Annex I of </w:t>
      </w:r>
      <w:r w:rsidRPr="00481204">
        <w:rPr>
          <w:rFonts w:eastAsiaTheme="minorHAnsi"/>
        </w:rPr>
        <w:t>document TWP/1/17 Rev</w:t>
      </w:r>
      <w:proofErr w:type="gramStart"/>
      <w:r w:rsidRPr="00481204">
        <w:rPr>
          <w:rFonts w:eastAsiaTheme="minorHAnsi"/>
        </w:rPr>
        <w:t>..</w:t>
      </w:r>
      <w:proofErr w:type="gramEnd"/>
      <w:r>
        <w:rPr>
          <w:rFonts w:eastAsiaTheme="minorHAnsi"/>
        </w:rPr>
        <w:t xml:space="preserve"> There are two key choices:</w:t>
      </w:r>
    </w:p>
    <w:p w:rsidR="00AB5FBE" w:rsidRDefault="00AB5FBE" w:rsidP="00AB5FBE">
      <w:pPr>
        <w:rPr>
          <w:rFonts w:eastAsiaTheme="minorHAnsi"/>
        </w:rPr>
      </w:pPr>
    </w:p>
    <w:p w:rsidR="00AB5FBE" w:rsidRDefault="00AB5FBE" w:rsidP="00AB5FBE">
      <w:pPr>
        <w:ind w:left="709"/>
        <w:rPr>
          <w:rFonts w:eastAsiaTheme="minorHAnsi"/>
        </w:rPr>
      </w:pPr>
      <w:r>
        <w:rPr>
          <w:rFonts w:eastAsiaTheme="minorHAnsi"/>
        </w:rPr>
        <w:t>a)</w:t>
      </w:r>
      <w:r>
        <w:rPr>
          <w:rFonts w:eastAsiaTheme="minorHAnsi"/>
        </w:rPr>
        <w:tab/>
        <w:t>To consider risks in each cycle separately</w:t>
      </w:r>
      <w:proofErr w:type="gramStart"/>
      <w:r>
        <w:rPr>
          <w:rFonts w:eastAsiaTheme="minorHAnsi"/>
        </w:rPr>
        <w:t>;</w:t>
      </w:r>
      <w:proofErr w:type="gramEnd"/>
    </w:p>
    <w:p w:rsidR="00AB5FBE" w:rsidRDefault="00AB5FBE" w:rsidP="00AB5FBE">
      <w:pPr>
        <w:ind w:left="709"/>
        <w:rPr>
          <w:rFonts w:eastAsiaTheme="minorHAnsi"/>
        </w:rPr>
      </w:pPr>
      <w:r>
        <w:rPr>
          <w:rFonts w:eastAsiaTheme="minorHAnsi"/>
        </w:rPr>
        <w:t>b)</w:t>
      </w:r>
      <w:r>
        <w:rPr>
          <w:rFonts w:eastAsiaTheme="minorHAnsi"/>
        </w:rPr>
        <w:tab/>
        <w:t>To consider risks for the complete decision process over multiple cycles.</w:t>
      </w:r>
    </w:p>
    <w:p w:rsidR="00AB5FBE" w:rsidRDefault="00AB5FBE" w:rsidP="00AB5FBE">
      <w:pPr>
        <w:rPr>
          <w:rFonts w:eastAsiaTheme="minorHAnsi"/>
        </w:rPr>
      </w:pPr>
    </w:p>
    <w:p w:rsidR="00AB5FBE" w:rsidRDefault="00AB5FBE" w:rsidP="00AB5FBE">
      <w:pPr>
        <w:rPr>
          <w:rFonts w:eastAsiaTheme="minorHAnsi"/>
        </w:rPr>
      </w:pPr>
      <w:r>
        <w:rPr>
          <w:rFonts w:cs="Arial"/>
          <w:color w:val="000000"/>
        </w:rPr>
        <w:t>17.</w:t>
      </w:r>
      <w:r w:rsidRPr="004E2894">
        <w:rPr>
          <w:rFonts w:cs="Arial"/>
          <w:color w:val="000000"/>
        </w:rPr>
        <w:tab/>
      </w:r>
      <w:r>
        <w:rPr>
          <w:rFonts w:eastAsiaTheme="minorHAnsi"/>
        </w:rPr>
        <w:t xml:space="preserve">The advantage of following a) is that it is easier to work out the maximum number of off-types required for each cycle to achieve the required acceptance probability; tables in TGP/8/3 will give these. For b), tables </w:t>
      </w:r>
      <w:proofErr w:type="gramStart"/>
      <w:r>
        <w:rPr>
          <w:rFonts w:eastAsiaTheme="minorHAnsi"/>
        </w:rPr>
        <w:t>have not yet been produced</w:t>
      </w:r>
      <w:proofErr w:type="gramEnd"/>
      <w:r>
        <w:rPr>
          <w:rFonts w:eastAsiaTheme="minorHAnsi"/>
        </w:rPr>
        <w:t>.</w:t>
      </w:r>
    </w:p>
    <w:p w:rsidR="00AB5FBE" w:rsidRDefault="00AB5FBE" w:rsidP="00AB5FBE">
      <w:pPr>
        <w:rPr>
          <w:rFonts w:eastAsiaTheme="minorHAnsi"/>
        </w:rPr>
      </w:pPr>
    </w:p>
    <w:p w:rsidR="00AB5FBE" w:rsidRDefault="00AB5FBE" w:rsidP="00AB5FBE">
      <w:pPr>
        <w:rPr>
          <w:rFonts w:eastAsiaTheme="minorHAnsi"/>
        </w:rPr>
      </w:pPr>
      <w:r>
        <w:rPr>
          <w:rFonts w:cs="Arial"/>
          <w:color w:val="000000"/>
        </w:rPr>
        <w:t>18.</w:t>
      </w:r>
      <w:r w:rsidRPr="004E2894">
        <w:rPr>
          <w:rFonts w:cs="Arial"/>
          <w:color w:val="000000"/>
        </w:rPr>
        <w:tab/>
      </w:r>
      <w:r w:rsidRPr="003C2EDB">
        <w:rPr>
          <w:rFonts w:eastAsiaTheme="minorHAnsi"/>
        </w:rPr>
        <w:t>However, b) has the advantage that the selected acceptance probability will be achieved for the whole test</w:t>
      </w:r>
      <w:r>
        <w:rPr>
          <w:rFonts w:eastAsiaTheme="minorHAnsi"/>
        </w:rPr>
        <w:t>,</w:t>
      </w:r>
      <w:r w:rsidRPr="003C2EDB">
        <w:rPr>
          <w:rFonts w:eastAsiaTheme="minorHAnsi"/>
        </w:rPr>
        <w:t xml:space="preserve"> which will have the effect of reducing the chance of type II errors. The choice should lead to greater </w:t>
      </w:r>
      <w:proofErr w:type="spellStart"/>
      <w:r>
        <w:rPr>
          <w:rFonts w:eastAsiaTheme="minorHAnsi"/>
        </w:rPr>
        <w:t>harmonisation</w:t>
      </w:r>
      <w:proofErr w:type="spellEnd"/>
      <w:r w:rsidRPr="003C2EDB">
        <w:rPr>
          <w:rFonts w:eastAsiaTheme="minorHAnsi"/>
        </w:rPr>
        <w:t xml:space="preserve"> in standards </w:t>
      </w:r>
      <w:r>
        <w:rPr>
          <w:rFonts w:eastAsiaTheme="minorHAnsi"/>
        </w:rPr>
        <w:t xml:space="preserve">of off-types testing across member states.  This would be irrespective </w:t>
      </w:r>
      <w:r w:rsidRPr="003C2EDB">
        <w:rPr>
          <w:rFonts w:eastAsiaTheme="minorHAnsi"/>
        </w:rPr>
        <w:t xml:space="preserve">of whether off-types </w:t>
      </w:r>
      <w:proofErr w:type="gramStart"/>
      <w:r w:rsidRPr="003C2EDB">
        <w:rPr>
          <w:rFonts w:eastAsiaTheme="minorHAnsi"/>
        </w:rPr>
        <w:t>are assessed</w:t>
      </w:r>
      <w:proofErr w:type="gramEnd"/>
      <w:r w:rsidRPr="003C2EDB">
        <w:rPr>
          <w:rFonts w:eastAsiaTheme="minorHAnsi"/>
        </w:rPr>
        <w:t xml:space="preserve"> in one cycle or more than one cycle</w:t>
      </w:r>
      <w:r>
        <w:rPr>
          <w:rFonts w:eastAsiaTheme="minorHAnsi"/>
        </w:rPr>
        <w:t>,</w:t>
      </w:r>
      <w:r w:rsidRPr="003C2EDB">
        <w:rPr>
          <w:rFonts w:eastAsiaTheme="minorHAnsi"/>
        </w:rPr>
        <w:t xml:space="preserve"> and </w:t>
      </w:r>
      <w:r>
        <w:rPr>
          <w:rFonts w:eastAsiaTheme="minorHAnsi"/>
        </w:rPr>
        <w:t xml:space="preserve">is </w:t>
      </w:r>
      <w:r w:rsidRPr="003C2EDB">
        <w:rPr>
          <w:rFonts w:eastAsiaTheme="minorHAnsi"/>
        </w:rPr>
        <w:t>independent of approach</w:t>
      </w:r>
      <w:r>
        <w:rPr>
          <w:rFonts w:eastAsiaTheme="minorHAnsi"/>
        </w:rPr>
        <w:t>.   This is because r</w:t>
      </w:r>
      <w:r w:rsidRPr="003C2EDB">
        <w:rPr>
          <w:rFonts w:eastAsiaTheme="minorHAnsi"/>
        </w:rPr>
        <w:t xml:space="preserve">isks </w:t>
      </w:r>
      <w:proofErr w:type="gramStart"/>
      <w:r w:rsidRPr="003C2EDB">
        <w:rPr>
          <w:rFonts w:eastAsiaTheme="minorHAnsi"/>
        </w:rPr>
        <w:t>are balanced</w:t>
      </w:r>
      <w:proofErr w:type="gramEnd"/>
      <w:r w:rsidRPr="003C2EDB">
        <w:rPr>
          <w:rFonts w:eastAsiaTheme="minorHAnsi"/>
        </w:rPr>
        <w:t xml:space="preserve"> appropriate</w:t>
      </w:r>
      <w:r>
        <w:rPr>
          <w:rFonts w:eastAsiaTheme="minorHAnsi"/>
        </w:rPr>
        <w:t>ly</w:t>
      </w:r>
      <w:r w:rsidRPr="003C2EDB">
        <w:rPr>
          <w:rFonts w:eastAsiaTheme="minorHAnsi"/>
        </w:rPr>
        <w:t xml:space="preserve"> </w:t>
      </w:r>
      <w:r>
        <w:rPr>
          <w:rFonts w:eastAsiaTheme="minorHAnsi"/>
        </w:rPr>
        <w:t xml:space="preserve">for </w:t>
      </w:r>
      <w:r w:rsidRPr="003C2EDB">
        <w:rPr>
          <w:rFonts w:eastAsiaTheme="minorHAnsi"/>
        </w:rPr>
        <w:t>the overall decision on uniformity.</w:t>
      </w:r>
    </w:p>
    <w:p w:rsidR="00AB5FBE" w:rsidRDefault="00AB5FBE" w:rsidP="00AB5FBE">
      <w:pPr>
        <w:rPr>
          <w:rFonts w:eastAsiaTheme="minorHAnsi"/>
        </w:rPr>
      </w:pPr>
    </w:p>
    <w:p w:rsidR="00AB5FBE" w:rsidRDefault="00AB5FBE" w:rsidP="00AB5FBE">
      <w:pPr>
        <w:keepLines/>
        <w:rPr>
          <w:rFonts w:eastAsiaTheme="minorHAnsi"/>
        </w:rPr>
      </w:pPr>
      <w:r>
        <w:rPr>
          <w:rFonts w:cs="Arial"/>
          <w:color w:val="000000"/>
        </w:rPr>
        <w:t>19.</w:t>
      </w:r>
      <w:r w:rsidRPr="004E2894">
        <w:rPr>
          <w:rFonts w:cs="Arial"/>
          <w:color w:val="000000"/>
        </w:rPr>
        <w:tab/>
      </w:r>
      <w:r>
        <w:rPr>
          <w:rFonts w:eastAsiaTheme="minorHAnsi"/>
        </w:rPr>
        <w:t xml:space="preserve">For example, let consider approach 1 with 50 plants in each cycle, a 1% population standard with acceptable probability of 95%. [In approach 1, the two cycles </w:t>
      </w:r>
      <w:proofErr w:type="gramStart"/>
      <w:r>
        <w:rPr>
          <w:rFonts w:eastAsiaTheme="minorHAnsi"/>
        </w:rPr>
        <w:t>are assessed</w:t>
      </w:r>
      <w:proofErr w:type="gramEnd"/>
      <w:r>
        <w:rPr>
          <w:rFonts w:eastAsiaTheme="minorHAnsi"/>
        </w:rPr>
        <w:t xml:space="preserve"> separately. If there is inconsistency in the verdicts for the two cycles, a third cycle </w:t>
      </w:r>
      <w:proofErr w:type="gramStart"/>
      <w:r>
        <w:rPr>
          <w:rFonts w:eastAsiaTheme="minorHAnsi"/>
        </w:rPr>
        <w:t>is assessed</w:t>
      </w:r>
      <w:proofErr w:type="gramEnd"/>
      <w:r>
        <w:rPr>
          <w:rFonts w:eastAsiaTheme="minorHAnsi"/>
        </w:rPr>
        <w:t xml:space="preserve">].  If the risks </w:t>
      </w:r>
      <w:proofErr w:type="gramStart"/>
      <w:r>
        <w:rPr>
          <w:rFonts w:eastAsiaTheme="minorHAnsi"/>
        </w:rPr>
        <w:t>are</w:t>
      </w:r>
      <w:proofErr w:type="gramEnd"/>
      <w:r>
        <w:rPr>
          <w:rFonts w:eastAsiaTheme="minorHAnsi"/>
        </w:rPr>
        <w:t xml:space="preserve"> considered separately for each cycle then the maximum number of off-types in each cycle would be set at 2. If the overall risks are considered, the maximum number is </w:t>
      </w:r>
      <w:proofErr w:type="gramStart"/>
      <w:r>
        <w:rPr>
          <w:rFonts w:eastAsiaTheme="minorHAnsi"/>
        </w:rPr>
        <w:t>1</w:t>
      </w:r>
      <w:proofErr w:type="gramEnd"/>
      <w:r>
        <w:rPr>
          <w:rFonts w:eastAsiaTheme="minorHAnsi"/>
        </w:rPr>
        <w:t xml:space="preserve">. The overall chance of declaring a variety with 5% off-types as uniform is 56% when the maximum number is 2 and 19% when it is </w:t>
      </w:r>
      <w:proofErr w:type="gramStart"/>
      <w:r>
        <w:rPr>
          <w:rFonts w:eastAsiaTheme="minorHAnsi"/>
        </w:rPr>
        <w:t>1</w:t>
      </w:r>
      <w:proofErr w:type="gramEnd"/>
      <w:r>
        <w:rPr>
          <w:rFonts w:eastAsiaTheme="minorHAnsi"/>
        </w:rPr>
        <w:t>. So setting the number of off-types allowed based on the acceptance probability for a single cycle results in a much higher overall chance of type II errors.</w:t>
      </w:r>
    </w:p>
    <w:p w:rsidR="00AB5FBE" w:rsidRDefault="00AB5FBE" w:rsidP="00AB5FBE">
      <w:pPr>
        <w:keepLines/>
        <w:rPr>
          <w:rFonts w:eastAsiaTheme="minorHAnsi"/>
        </w:rPr>
      </w:pPr>
    </w:p>
    <w:p w:rsidR="00AB5FBE" w:rsidRDefault="00AB5FBE" w:rsidP="00AB5FBE">
      <w:pPr>
        <w:keepLines/>
        <w:rPr>
          <w:rFonts w:eastAsiaTheme="minorHAnsi"/>
        </w:rPr>
      </w:pPr>
      <w:r>
        <w:rPr>
          <w:rFonts w:eastAsiaTheme="minorHAnsi"/>
        </w:rPr>
        <w:t>20.</w:t>
      </w:r>
      <w:r>
        <w:rPr>
          <w:rFonts w:eastAsiaTheme="minorHAnsi"/>
        </w:rPr>
        <w:tab/>
        <w:t xml:space="preserve">Software </w:t>
      </w:r>
      <w:proofErr w:type="gramStart"/>
      <w:r>
        <w:rPr>
          <w:rFonts w:eastAsiaTheme="minorHAnsi"/>
        </w:rPr>
        <w:t>has now been developed</w:t>
      </w:r>
      <w:proofErr w:type="gramEnd"/>
      <w:r>
        <w:rPr>
          <w:rFonts w:eastAsiaTheme="minorHAnsi"/>
        </w:rPr>
        <w:t xml:space="preserve"> in Excel that enables examination of risks </w:t>
      </w:r>
      <w:r w:rsidR="00E17796">
        <w:rPr>
          <w:rFonts w:eastAsiaTheme="minorHAnsi"/>
        </w:rPr>
        <w:t>as provided in the Annex II to this document</w:t>
      </w:r>
      <w:r>
        <w:rPr>
          <w:rFonts w:eastAsiaTheme="minorHAnsi"/>
        </w:rPr>
        <w:t>.</w:t>
      </w:r>
    </w:p>
    <w:p w:rsidR="00AB5FBE" w:rsidRDefault="00AB5FBE" w:rsidP="00AB5FBE">
      <w:pPr>
        <w:keepLines/>
        <w:rPr>
          <w:lang w:val="en-GB"/>
        </w:rPr>
      </w:pPr>
    </w:p>
    <w:p w:rsidR="00AB5FBE" w:rsidRDefault="00AB5FBE" w:rsidP="00AB5FBE">
      <w:pPr>
        <w:jc w:val="left"/>
      </w:pPr>
    </w:p>
    <w:p w:rsidR="00AB5FBE" w:rsidRPr="007A5795" w:rsidRDefault="00256F3F" w:rsidP="00AB5FBE">
      <w:pPr>
        <w:pStyle w:val="Heading1"/>
        <w:rPr>
          <w:rFonts w:eastAsiaTheme="minorHAnsi"/>
        </w:rPr>
      </w:pPr>
      <w:r>
        <w:rPr>
          <w:rFonts w:eastAsiaTheme="minorHAnsi"/>
        </w:rPr>
        <w:t>PROPOSAL</w:t>
      </w:r>
    </w:p>
    <w:p w:rsidR="00AB5FBE" w:rsidRDefault="00AB5FBE" w:rsidP="00AB5FBE">
      <w:pPr>
        <w:jc w:val="left"/>
      </w:pPr>
    </w:p>
    <w:p w:rsidR="00AB5FBE" w:rsidRDefault="00AB5FBE" w:rsidP="00AB5FBE">
      <w:pPr>
        <w:rPr>
          <w:rFonts w:eastAsiaTheme="minorHAnsi"/>
        </w:rPr>
      </w:pPr>
      <w:r>
        <w:rPr>
          <w:rFonts w:cs="Arial"/>
          <w:color w:val="000000"/>
        </w:rPr>
        <w:t>21.</w:t>
      </w:r>
      <w:r w:rsidRPr="004E2894">
        <w:rPr>
          <w:rFonts w:cs="Arial"/>
          <w:color w:val="000000"/>
        </w:rPr>
        <w:tab/>
      </w:r>
      <w:r>
        <w:rPr>
          <w:rFonts w:eastAsiaTheme="minorHAnsi"/>
        </w:rPr>
        <w:t xml:space="preserve">Whichever approach is used, when uniformity is assessed over two or more cycles, </w:t>
      </w:r>
      <w:r w:rsidR="00256F3F">
        <w:rPr>
          <w:rFonts w:eastAsiaTheme="minorHAnsi"/>
        </w:rPr>
        <w:t xml:space="preserve">it is proposed that </w:t>
      </w:r>
      <w:r>
        <w:rPr>
          <w:rFonts w:eastAsiaTheme="minorHAnsi"/>
        </w:rPr>
        <w:t xml:space="preserve">the thresholds for the acceptable number of off-types should be chosen to give the required </w:t>
      </w:r>
      <w:r>
        <w:rPr>
          <w:rFonts w:cs="Arial"/>
          <w:color w:val="000000"/>
        </w:rPr>
        <w:t xml:space="preserve">overall acceptance probability (or equivalently, </w:t>
      </w:r>
      <w:r>
        <w:rPr>
          <w:rFonts w:eastAsiaTheme="minorHAnsi"/>
        </w:rPr>
        <w:t xml:space="preserve">the required type I error over all cycles as this is 1 minus the acceptance probability). This will lead to greater </w:t>
      </w:r>
      <w:proofErr w:type="spellStart"/>
      <w:r>
        <w:rPr>
          <w:rFonts w:eastAsiaTheme="minorHAnsi"/>
        </w:rPr>
        <w:t>harmonisation</w:t>
      </w:r>
      <w:proofErr w:type="spellEnd"/>
      <w:r>
        <w:rPr>
          <w:rFonts w:eastAsiaTheme="minorHAnsi"/>
        </w:rPr>
        <w:t xml:space="preserve"> of standards, whatever approach is used.</w:t>
      </w:r>
    </w:p>
    <w:p w:rsidR="00AB5FBE" w:rsidRDefault="00AB5FBE" w:rsidP="00AB5FBE">
      <w:pPr>
        <w:rPr>
          <w:rFonts w:eastAsiaTheme="minorHAnsi"/>
        </w:rPr>
      </w:pPr>
    </w:p>
    <w:p w:rsidR="00AB5FBE" w:rsidRDefault="00AB5FBE" w:rsidP="00AB5FBE">
      <w:pPr>
        <w:rPr>
          <w:rFonts w:eastAsiaTheme="minorHAnsi"/>
        </w:rPr>
      </w:pPr>
    </w:p>
    <w:p w:rsidR="00AB5FBE" w:rsidRDefault="00AB5FBE" w:rsidP="00AB5FBE">
      <w:pPr>
        <w:rPr>
          <w:rFonts w:cs="Arial"/>
          <w:color w:val="000000"/>
        </w:rPr>
      </w:pPr>
      <w:r>
        <w:rPr>
          <w:rFonts w:cs="Arial"/>
          <w:color w:val="000000"/>
        </w:rPr>
        <w:t>SOFTWARE</w:t>
      </w:r>
    </w:p>
    <w:p w:rsidR="00AB5FBE" w:rsidRDefault="00AB5FBE" w:rsidP="00AB5FBE">
      <w:pPr>
        <w:rPr>
          <w:rFonts w:cs="Arial"/>
          <w:color w:val="000000"/>
        </w:rPr>
      </w:pPr>
    </w:p>
    <w:p w:rsidR="00AB5FBE" w:rsidRDefault="00AB5FBE" w:rsidP="00AB5FBE">
      <w:pPr>
        <w:rPr>
          <w:rFonts w:cs="Arial"/>
          <w:color w:val="000000"/>
        </w:rPr>
      </w:pPr>
      <w:r>
        <w:rPr>
          <w:rFonts w:cs="Arial"/>
          <w:color w:val="000000"/>
        </w:rPr>
        <w:t>22.</w:t>
      </w:r>
      <w:r>
        <w:rPr>
          <w:rFonts w:cs="Arial"/>
          <w:color w:val="000000"/>
        </w:rPr>
        <w:tab/>
      </w:r>
      <w:r w:rsidRPr="00B61666">
        <w:rPr>
          <w:rFonts w:cs="Arial"/>
          <w:color w:val="000000"/>
        </w:rPr>
        <w:t xml:space="preserve">Software </w:t>
      </w:r>
      <w:proofErr w:type="gramStart"/>
      <w:r w:rsidRPr="00B61666">
        <w:rPr>
          <w:rFonts w:cs="Arial"/>
          <w:color w:val="000000"/>
        </w:rPr>
        <w:t>has been developed</w:t>
      </w:r>
      <w:proofErr w:type="gramEnd"/>
      <w:r w:rsidRPr="00B61666">
        <w:rPr>
          <w:rFonts w:cs="Arial"/>
          <w:color w:val="000000"/>
        </w:rPr>
        <w:t xml:space="preserve"> in Excel. The Excel workbook uses no macros so should be eas</w:t>
      </w:r>
      <w:r>
        <w:rPr>
          <w:rFonts w:cs="Arial"/>
          <w:color w:val="000000"/>
        </w:rPr>
        <w:t>y</w:t>
      </w:r>
      <w:r w:rsidRPr="00B61666">
        <w:rPr>
          <w:rFonts w:cs="Arial"/>
          <w:color w:val="000000"/>
        </w:rPr>
        <w:t xml:space="preserve"> to distribute with</w:t>
      </w:r>
      <w:r>
        <w:rPr>
          <w:rFonts w:cs="Arial"/>
          <w:color w:val="000000"/>
        </w:rPr>
        <w:t xml:space="preserve"> low</w:t>
      </w:r>
      <w:r w:rsidRPr="00B61666">
        <w:rPr>
          <w:rFonts w:cs="Arial"/>
          <w:color w:val="000000"/>
        </w:rPr>
        <w:t xml:space="preserve"> security concerns.</w:t>
      </w:r>
    </w:p>
    <w:p w:rsidR="00AB5FBE" w:rsidRDefault="00AB5FBE" w:rsidP="00AB5FBE">
      <w:pPr>
        <w:rPr>
          <w:rFonts w:cs="Arial"/>
          <w:color w:val="000000"/>
        </w:rPr>
      </w:pPr>
    </w:p>
    <w:p w:rsidR="00AB5FBE" w:rsidRDefault="00AB5FBE" w:rsidP="00AB5FBE">
      <w:pPr>
        <w:rPr>
          <w:rFonts w:cs="Arial"/>
          <w:color w:val="000000"/>
        </w:rPr>
      </w:pPr>
      <w:r>
        <w:rPr>
          <w:rFonts w:cs="Arial"/>
          <w:color w:val="000000"/>
        </w:rPr>
        <w:t>23.</w:t>
      </w:r>
      <w:r>
        <w:rPr>
          <w:rFonts w:cs="Arial"/>
          <w:color w:val="000000"/>
        </w:rPr>
        <w:tab/>
        <w:t>The software can calculate the two types of statistical risk for either a one-cycle or a two-cycle situation. For this, it requires the acceptance probability, the population standard, the sample size (number of individuals examined) in each cycle, and the maximum allowable numbers of off-types (for two-cycles, this is per cycle and possibly for the combined sample depending on the approach).</w:t>
      </w:r>
    </w:p>
    <w:p w:rsidR="00AB5FBE" w:rsidRDefault="00AB5FBE" w:rsidP="00AB5FBE">
      <w:pPr>
        <w:rPr>
          <w:rFonts w:cs="Arial"/>
          <w:color w:val="000000"/>
        </w:rPr>
      </w:pPr>
    </w:p>
    <w:p w:rsidR="00AB5FBE" w:rsidRDefault="00AB5FBE" w:rsidP="00AB5FBE">
      <w:pPr>
        <w:rPr>
          <w:rFonts w:cs="Arial"/>
          <w:color w:val="000000"/>
        </w:rPr>
      </w:pPr>
      <w:r>
        <w:rPr>
          <w:rFonts w:cs="Arial"/>
          <w:color w:val="000000"/>
        </w:rPr>
        <w:t>24.</w:t>
      </w:r>
      <w:r>
        <w:rPr>
          <w:rFonts w:cs="Arial"/>
          <w:color w:val="000000"/>
        </w:rPr>
        <w:tab/>
        <w:t xml:space="preserve">The software can also suggest the thresholds in terms of maximum allowable numbers of off-types. This requires the acceptance probability, the population standard and the sample size in each cycle. In the case of two-cycles, the thresholds </w:t>
      </w:r>
      <w:proofErr w:type="gramStart"/>
      <w:r>
        <w:rPr>
          <w:rFonts w:cs="Arial"/>
          <w:color w:val="000000"/>
        </w:rPr>
        <w:t>are calculated</w:t>
      </w:r>
      <w:proofErr w:type="gramEnd"/>
      <w:r>
        <w:rPr>
          <w:rFonts w:cs="Arial"/>
          <w:color w:val="000000"/>
        </w:rPr>
        <w:t xml:space="preserve"> to achieve </w:t>
      </w:r>
      <w:r w:rsidRPr="00040AB6">
        <w:rPr>
          <w:rFonts w:cs="Arial"/>
          <w:b/>
          <w:color w:val="000000"/>
        </w:rPr>
        <w:t>either</w:t>
      </w:r>
      <w:r>
        <w:rPr>
          <w:rFonts w:cs="Arial"/>
          <w:color w:val="000000"/>
        </w:rPr>
        <w:t xml:space="preserve"> the overall acceptance probability </w:t>
      </w:r>
      <w:r w:rsidRPr="00040AB6">
        <w:rPr>
          <w:rFonts w:cs="Arial"/>
          <w:b/>
          <w:color w:val="000000"/>
        </w:rPr>
        <w:t>or</w:t>
      </w:r>
      <w:r>
        <w:rPr>
          <w:rFonts w:cs="Arial"/>
          <w:color w:val="000000"/>
        </w:rPr>
        <w:t xml:space="preserve"> the acceptance probability for individual cycles.</w:t>
      </w:r>
    </w:p>
    <w:p w:rsidR="00AB5FBE" w:rsidRDefault="00AB5FBE" w:rsidP="00AB5FBE">
      <w:pPr>
        <w:rPr>
          <w:rFonts w:cs="Arial"/>
          <w:color w:val="000000"/>
        </w:rPr>
      </w:pPr>
    </w:p>
    <w:p w:rsidR="00AB5FBE" w:rsidRDefault="00AB5FBE" w:rsidP="00AB5FBE">
      <w:pPr>
        <w:rPr>
          <w:rFonts w:cs="Arial"/>
          <w:color w:val="000000"/>
        </w:rPr>
      </w:pPr>
      <w:r>
        <w:rPr>
          <w:rFonts w:cs="Arial"/>
          <w:color w:val="000000"/>
        </w:rPr>
        <w:t>25.</w:t>
      </w:r>
      <w:r>
        <w:rPr>
          <w:rFonts w:cs="Arial"/>
          <w:color w:val="000000"/>
        </w:rPr>
        <w:tab/>
        <w:t xml:space="preserve">The software </w:t>
      </w:r>
      <w:proofErr w:type="gramStart"/>
      <w:r>
        <w:rPr>
          <w:rFonts w:cs="Arial"/>
          <w:color w:val="000000"/>
        </w:rPr>
        <w:t>is meant</w:t>
      </w:r>
      <w:proofErr w:type="gramEnd"/>
      <w:r>
        <w:rPr>
          <w:rFonts w:cs="Arial"/>
          <w:color w:val="000000"/>
        </w:rPr>
        <w:t xml:space="preserve"> to facilitate discussion on setting up of off-type tests, either using overall cycles or individual cycle acceptance probabilities. It should also be a useful tool for crop experts.</w:t>
      </w:r>
    </w:p>
    <w:p w:rsidR="00AB5FBE" w:rsidRDefault="00AB5FBE" w:rsidP="00AB5FBE">
      <w:pPr>
        <w:rPr>
          <w:rFonts w:cs="Arial"/>
          <w:color w:val="000000"/>
        </w:rPr>
      </w:pPr>
    </w:p>
    <w:p w:rsidR="00AB5FBE" w:rsidRPr="00B61666" w:rsidRDefault="00AB5FBE" w:rsidP="00AB5FBE">
      <w:pPr>
        <w:rPr>
          <w:rFonts w:cs="Arial"/>
          <w:color w:val="000000"/>
        </w:rPr>
      </w:pPr>
      <w:r>
        <w:rPr>
          <w:rFonts w:cs="Arial"/>
          <w:color w:val="000000"/>
        </w:rPr>
        <w:t xml:space="preserve">26. </w:t>
      </w:r>
      <w:r>
        <w:rPr>
          <w:rFonts w:cs="Arial"/>
          <w:color w:val="000000"/>
        </w:rPr>
        <w:tab/>
        <w:t xml:space="preserve">The authors would be happy for the software to be freely distributed. However, it would be prudent for it to </w:t>
      </w:r>
      <w:proofErr w:type="gramStart"/>
      <w:r>
        <w:rPr>
          <w:rFonts w:cs="Arial"/>
          <w:color w:val="000000"/>
        </w:rPr>
        <w:t>be tested</w:t>
      </w:r>
      <w:proofErr w:type="gramEnd"/>
      <w:r>
        <w:rPr>
          <w:rFonts w:cs="Arial"/>
          <w:color w:val="000000"/>
        </w:rPr>
        <w:t xml:space="preserve"> by an independent party.</w:t>
      </w:r>
    </w:p>
    <w:p w:rsidR="00AB5FBE" w:rsidRDefault="00AB5FBE" w:rsidP="00AB5FBE">
      <w:pPr>
        <w:rPr>
          <w:rFonts w:cs="Arial"/>
          <w:color w:val="000000"/>
        </w:rPr>
      </w:pPr>
    </w:p>
    <w:p w:rsidR="00AB5FBE" w:rsidRPr="002B2C77" w:rsidRDefault="00AB5FBE" w:rsidP="00AB5FBE">
      <w:pPr>
        <w:rPr>
          <w:rFonts w:cs="Arial"/>
          <w:color w:val="000000"/>
        </w:rPr>
      </w:pPr>
      <w:r>
        <w:rPr>
          <w:rFonts w:cs="Arial"/>
          <w:color w:val="000000"/>
        </w:rPr>
        <w:t>27.</w:t>
      </w:r>
      <w:r>
        <w:rPr>
          <w:rFonts w:cs="Arial"/>
          <w:color w:val="000000"/>
        </w:rPr>
        <w:tab/>
        <w:t xml:space="preserve">A demonstration of the software </w:t>
      </w:r>
      <w:proofErr w:type="gramStart"/>
      <w:r>
        <w:rPr>
          <w:rFonts w:cs="Arial"/>
          <w:color w:val="000000"/>
        </w:rPr>
        <w:t xml:space="preserve">will be </w:t>
      </w:r>
      <w:r w:rsidRPr="002B2C77">
        <w:rPr>
          <w:rFonts w:cs="Arial"/>
          <w:color w:val="000000"/>
        </w:rPr>
        <w:t>presented</w:t>
      </w:r>
      <w:proofErr w:type="gramEnd"/>
      <w:r w:rsidRPr="002B2C77">
        <w:rPr>
          <w:rFonts w:cs="Arial"/>
          <w:color w:val="000000"/>
        </w:rPr>
        <w:t xml:space="preserve"> at the thirty-seventh session of the </w:t>
      </w:r>
      <w:r w:rsidR="00E17796" w:rsidRPr="002B2C77">
        <w:t>TWC</w:t>
      </w:r>
      <w:r w:rsidRPr="002B2C77">
        <w:t>.</w:t>
      </w:r>
    </w:p>
    <w:p w:rsidR="005C7B63" w:rsidRPr="002B2C77" w:rsidRDefault="005C7B63" w:rsidP="005C7B63"/>
    <w:p w:rsidR="005C7B63" w:rsidRPr="002B2C77" w:rsidRDefault="005C7B63" w:rsidP="005C7B63">
      <w:pPr>
        <w:keepNext/>
        <w:tabs>
          <w:tab w:val="left" w:pos="5387"/>
          <w:tab w:val="left" w:pos="5954"/>
        </w:tabs>
        <w:ind w:left="4824"/>
        <w:rPr>
          <w:i/>
          <w:snapToGrid w:val="0"/>
        </w:rPr>
      </w:pPr>
      <w:r w:rsidRPr="002B2C77">
        <w:rPr>
          <w:rFonts w:cs="Arial"/>
          <w:i/>
        </w:rPr>
        <w:t>28.</w:t>
      </w:r>
      <w:r w:rsidRPr="002B2C77">
        <w:rPr>
          <w:rFonts w:cs="Arial"/>
          <w:i/>
        </w:rPr>
        <w:tab/>
      </w:r>
      <w:r w:rsidRPr="002B2C77">
        <w:rPr>
          <w:i/>
          <w:snapToGrid w:val="0"/>
        </w:rPr>
        <w:t>The TWC is invited to:</w:t>
      </w:r>
    </w:p>
    <w:p w:rsidR="005C7B63" w:rsidRPr="002B2C77" w:rsidRDefault="005C7B63" w:rsidP="005C7B63">
      <w:pPr>
        <w:keepNext/>
        <w:tabs>
          <w:tab w:val="left" w:pos="5387"/>
        </w:tabs>
        <w:ind w:left="4820"/>
        <w:rPr>
          <w:rFonts w:eastAsia="MS Mincho"/>
          <w:i/>
        </w:rPr>
      </w:pPr>
    </w:p>
    <w:p w:rsidR="005C7B63" w:rsidRPr="002B2C77" w:rsidRDefault="005C7B63" w:rsidP="005C7B63">
      <w:pPr>
        <w:keepNext/>
        <w:keepLines/>
        <w:tabs>
          <w:tab w:val="left" w:pos="5387"/>
          <w:tab w:val="left" w:pos="5954"/>
        </w:tabs>
        <w:ind w:left="4820"/>
        <w:rPr>
          <w:rFonts w:eastAsia="MS Mincho"/>
          <w:i/>
        </w:rPr>
      </w:pPr>
      <w:r w:rsidRPr="002B2C77">
        <w:rPr>
          <w:rFonts w:eastAsia="MS Mincho"/>
          <w:i/>
        </w:rPr>
        <w:tab/>
        <w:t>(a)</w:t>
      </w:r>
      <w:r w:rsidRPr="002B2C77">
        <w:rPr>
          <w:rFonts w:eastAsia="MS Mincho"/>
          <w:i/>
        </w:rPr>
        <w:tab/>
        <w:t>note that a software was developed in Excel that enables examination of risks</w:t>
      </w:r>
      <w:r w:rsidR="00D528F7" w:rsidRPr="002B2C77">
        <w:rPr>
          <w:rFonts w:eastAsia="MS Mincho"/>
          <w:i/>
        </w:rPr>
        <w:t>,</w:t>
      </w:r>
      <w:r w:rsidRPr="002B2C77">
        <w:rPr>
          <w:rFonts w:eastAsia="MS Mincho"/>
          <w:i/>
        </w:rPr>
        <w:t xml:space="preserve"> as provided in Annex II to this document; and</w:t>
      </w:r>
    </w:p>
    <w:p w:rsidR="005C7B63" w:rsidRPr="002B2C77" w:rsidRDefault="005C7B63" w:rsidP="005C7B63">
      <w:pPr>
        <w:keepNext/>
        <w:tabs>
          <w:tab w:val="left" w:pos="5387"/>
        </w:tabs>
        <w:ind w:left="4820"/>
        <w:rPr>
          <w:rFonts w:eastAsia="MS Mincho"/>
          <w:i/>
        </w:rPr>
      </w:pPr>
    </w:p>
    <w:p w:rsidR="005C7B63" w:rsidRPr="005C7B63" w:rsidRDefault="005C7B63" w:rsidP="005C7B63">
      <w:pPr>
        <w:keepNext/>
        <w:tabs>
          <w:tab w:val="left" w:pos="5387"/>
          <w:tab w:val="left" w:pos="5954"/>
        </w:tabs>
        <w:ind w:left="4820"/>
        <w:rPr>
          <w:rFonts w:eastAsia="MS Mincho"/>
          <w:i/>
        </w:rPr>
      </w:pPr>
      <w:r w:rsidRPr="002B2C77">
        <w:rPr>
          <w:rFonts w:eastAsia="MS Mincho"/>
          <w:i/>
        </w:rPr>
        <w:tab/>
        <w:t>(b)</w:t>
      </w:r>
      <w:r w:rsidRPr="002B2C77">
        <w:rPr>
          <w:rFonts w:eastAsia="MS Mincho"/>
          <w:i/>
        </w:rPr>
        <w:tab/>
      </w:r>
      <w:proofErr w:type="gramStart"/>
      <w:r w:rsidRPr="002B2C77">
        <w:rPr>
          <w:rFonts w:eastAsia="MS Mincho"/>
          <w:i/>
        </w:rPr>
        <w:t>consider</w:t>
      </w:r>
      <w:proofErr w:type="gramEnd"/>
      <w:r w:rsidRPr="002B2C77">
        <w:rPr>
          <w:rFonts w:eastAsia="MS Mincho"/>
          <w:i/>
        </w:rPr>
        <w:t xml:space="preserve"> the proposal that the thresholds for the acceptable number of off-types should be chosen to give the required overall acceptance probability, when uniformity is assessed over two or more cycles</w:t>
      </w:r>
      <w:r w:rsidR="00D528F7" w:rsidRPr="002B2C77">
        <w:rPr>
          <w:rFonts w:eastAsia="MS Mincho"/>
          <w:i/>
        </w:rPr>
        <w:t>, as set out in paragraph 21 of this document</w:t>
      </w:r>
      <w:r w:rsidRPr="002B2C77">
        <w:rPr>
          <w:rFonts w:eastAsia="MS Mincho"/>
          <w:i/>
          <w:lang w:eastAsia="ja-JP"/>
        </w:rPr>
        <w:t>.</w:t>
      </w:r>
    </w:p>
    <w:p w:rsidR="00AB5FBE" w:rsidRDefault="00AB5FBE" w:rsidP="00AB5FBE">
      <w:pPr>
        <w:rPr>
          <w:rFonts w:cs="Arial"/>
          <w:color w:val="000000"/>
        </w:rPr>
      </w:pPr>
    </w:p>
    <w:p w:rsidR="00AB5FBE" w:rsidRDefault="00AB5FBE" w:rsidP="00AB5FBE">
      <w:pPr>
        <w:rPr>
          <w:rFonts w:cs="Arial"/>
          <w:color w:val="000000"/>
        </w:rPr>
      </w:pPr>
    </w:p>
    <w:p w:rsidR="00AB5FBE" w:rsidRDefault="00AB5FBE" w:rsidP="00AB5FBE">
      <w:pPr>
        <w:rPr>
          <w:rFonts w:cs="Arial"/>
          <w:color w:val="000000"/>
        </w:rPr>
      </w:pPr>
      <w:r>
        <w:rPr>
          <w:rFonts w:cs="Arial"/>
          <w:color w:val="000000"/>
        </w:rPr>
        <w:t>Adrian Roberts, BioSS, United Kingdom</w:t>
      </w:r>
    </w:p>
    <w:p w:rsidR="00AB5FBE" w:rsidRPr="00580421" w:rsidRDefault="00AB5FBE" w:rsidP="00AB5FBE">
      <w:r>
        <w:rPr>
          <w:rFonts w:cs="Arial"/>
          <w:color w:val="000000"/>
        </w:rPr>
        <w:t>Sally Watson, AFBI, United Kingdom</w:t>
      </w:r>
    </w:p>
    <w:p w:rsidR="00544581" w:rsidRDefault="00544581">
      <w:pPr>
        <w:jc w:val="left"/>
      </w:pPr>
    </w:p>
    <w:p w:rsidR="00050E16" w:rsidRPr="00C651CE" w:rsidRDefault="00050E16" w:rsidP="00050E16"/>
    <w:p w:rsidR="00AB5FBE" w:rsidRDefault="00050E16" w:rsidP="00050E16">
      <w:pPr>
        <w:jc w:val="right"/>
      </w:pPr>
      <w:r w:rsidRPr="00C5280D">
        <w:t xml:space="preserve"> [</w:t>
      </w:r>
      <w:r w:rsidR="00AB5FBE">
        <w:t>Annex I follows]</w:t>
      </w:r>
    </w:p>
    <w:p w:rsidR="004D42CA" w:rsidRDefault="004D42CA" w:rsidP="00AB5FBE">
      <w:pPr>
        <w:sectPr w:rsidR="004D42CA" w:rsidSect="00906DDC">
          <w:headerReference w:type="default" r:id="rId7"/>
          <w:pgSz w:w="11907" w:h="16840" w:code="9"/>
          <w:pgMar w:top="510" w:right="1134" w:bottom="1134" w:left="1134" w:header="510" w:footer="680" w:gutter="0"/>
          <w:cols w:space="720"/>
          <w:titlePg/>
        </w:sectPr>
      </w:pPr>
    </w:p>
    <w:p w:rsidR="00AB5FBE" w:rsidRDefault="00AB5FBE" w:rsidP="006C7F9F">
      <w:pPr>
        <w:jc w:val="center"/>
      </w:pPr>
    </w:p>
    <w:p w:rsidR="007A5E96" w:rsidRDefault="007A5E96" w:rsidP="006C7F9F">
      <w:pPr>
        <w:jc w:val="center"/>
      </w:pPr>
      <w:r w:rsidRPr="007A5E96">
        <w:rPr>
          <w:noProof/>
        </w:rPr>
        <w:drawing>
          <wp:inline distT="0" distB="0" distL="0" distR="0" wp14:anchorId="2BBB171C" wp14:editId="15C45CD4">
            <wp:extent cx="4572638" cy="3429479"/>
            <wp:effectExtent l="19050" t="19050" r="1841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638" cy="3429479"/>
                    </a:xfrm>
                    <a:prstGeom prst="rect">
                      <a:avLst/>
                    </a:prstGeom>
                    <a:ln w="3175">
                      <a:solidFill>
                        <a:schemeClr val="tx1"/>
                      </a:solidFill>
                    </a:ln>
                  </pic:spPr>
                </pic:pic>
              </a:graphicData>
            </a:graphic>
          </wp:inline>
        </w:drawing>
      </w:r>
    </w:p>
    <w:p w:rsidR="00E70039" w:rsidRDefault="00E70039" w:rsidP="006C7F9F">
      <w:pPr>
        <w:jc w:val="center"/>
      </w:pPr>
    </w:p>
    <w:p w:rsidR="006C7F9F" w:rsidRDefault="006C7F9F" w:rsidP="006C7F9F">
      <w:pPr>
        <w:jc w:val="center"/>
      </w:pPr>
    </w:p>
    <w:p w:rsidR="00B2790A" w:rsidRDefault="00B2790A" w:rsidP="006C7F9F">
      <w:pPr>
        <w:jc w:val="center"/>
      </w:pPr>
    </w:p>
    <w:p w:rsidR="007A5E96" w:rsidRDefault="007A5E96" w:rsidP="006C7F9F">
      <w:pPr>
        <w:jc w:val="center"/>
      </w:pPr>
      <w:r w:rsidRPr="007A5E96">
        <w:rPr>
          <w:noProof/>
        </w:rPr>
        <w:drawing>
          <wp:inline distT="0" distB="0" distL="0" distR="0" wp14:anchorId="44E74A9C" wp14:editId="6B48866E">
            <wp:extent cx="4572638" cy="3429479"/>
            <wp:effectExtent l="19050" t="19050" r="1841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638" cy="3429479"/>
                    </a:xfrm>
                    <a:prstGeom prst="rect">
                      <a:avLst/>
                    </a:prstGeom>
                    <a:ln w="3175">
                      <a:solidFill>
                        <a:schemeClr val="tx1"/>
                      </a:solidFill>
                    </a:ln>
                  </pic:spPr>
                </pic:pic>
              </a:graphicData>
            </a:graphic>
          </wp:inline>
        </w:drawing>
      </w:r>
    </w:p>
    <w:p w:rsidR="007A5E96" w:rsidRDefault="007A5E96" w:rsidP="006C7F9F">
      <w:pPr>
        <w:jc w:val="center"/>
      </w:pPr>
    </w:p>
    <w:p w:rsidR="007A5E96" w:rsidRDefault="007A5E96" w:rsidP="006C7F9F">
      <w:pPr>
        <w:jc w:val="center"/>
      </w:pPr>
    </w:p>
    <w:p w:rsidR="007A5E96" w:rsidRDefault="007A5E96" w:rsidP="006C7F9F">
      <w:pPr>
        <w:jc w:val="center"/>
      </w:pPr>
      <w:r w:rsidRPr="007A5E96">
        <w:rPr>
          <w:noProof/>
        </w:rPr>
        <w:lastRenderedPageBreak/>
        <w:drawing>
          <wp:inline distT="0" distB="0" distL="0" distR="0" wp14:anchorId="7B2FC69D" wp14:editId="178EDF85">
            <wp:extent cx="4572638" cy="3429479"/>
            <wp:effectExtent l="19050" t="19050" r="1841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638" cy="3429479"/>
                    </a:xfrm>
                    <a:prstGeom prst="rect">
                      <a:avLst/>
                    </a:prstGeom>
                    <a:ln w="3175">
                      <a:solidFill>
                        <a:schemeClr val="tx1"/>
                      </a:solidFill>
                    </a:ln>
                  </pic:spPr>
                </pic:pic>
              </a:graphicData>
            </a:graphic>
          </wp:inline>
        </w:drawing>
      </w:r>
    </w:p>
    <w:p w:rsidR="007A5E96" w:rsidRDefault="007A5E96" w:rsidP="006C7F9F">
      <w:pPr>
        <w:jc w:val="center"/>
      </w:pPr>
    </w:p>
    <w:p w:rsidR="006C7F9F" w:rsidRDefault="006C7F9F" w:rsidP="006C7F9F">
      <w:pPr>
        <w:jc w:val="center"/>
      </w:pPr>
    </w:p>
    <w:p w:rsidR="007A5E96" w:rsidRDefault="007A5E96" w:rsidP="006C7F9F">
      <w:pPr>
        <w:jc w:val="center"/>
      </w:pPr>
    </w:p>
    <w:p w:rsidR="007A5E96" w:rsidRDefault="007A5E96" w:rsidP="006C7F9F">
      <w:pPr>
        <w:jc w:val="center"/>
      </w:pPr>
      <w:r w:rsidRPr="007A5E96">
        <w:rPr>
          <w:noProof/>
        </w:rPr>
        <w:drawing>
          <wp:inline distT="0" distB="0" distL="0" distR="0" wp14:anchorId="2CFD616E" wp14:editId="0D87879F">
            <wp:extent cx="4572638" cy="3429479"/>
            <wp:effectExtent l="19050" t="19050" r="1841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638" cy="3429479"/>
                    </a:xfrm>
                    <a:prstGeom prst="rect">
                      <a:avLst/>
                    </a:prstGeom>
                    <a:ln w="3175">
                      <a:solidFill>
                        <a:schemeClr val="tx1"/>
                      </a:solidFill>
                    </a:ln>
                  </pic:spPr>
                </pic:pic>
              </a:graphicData>
            </a:graphic>
          </wp:inline>
        </w:drawing>
      </w:r>
    </w:p>
    <w:p w:rsidR="007A5E96" w:rsidRDefault="007A5E96" w:rsidP="006C7F9F">
      <w:pPr>
        <w:jc w:val="center"/>
      </w:pPr>
    </w:p>
    <w:p w:rsidR="007A5E96" w:rsidRDefault="007A5E96" w:rsidP="006C7F9F">
      <w:pPr>
        <w:jc w:val="center"/>
      </w:pPr>
    </w:p>
    <w:p w:rsidR="007A5E96" w:rsidRDefault="007A5E96" w:rsidP="006C7F9F">
      <w:pPr>
        <w:jc w:val="center"/>
      </w:pPr>
      <w:r w:rsidRPr="007A5E96">
        <w:rPr>
          <w:noProof/>
        </w:rPr>
        <w:lastRenderedPageBreak/>
        <w:drawing>
          <wp:inline distT="0" distB="0" distL="0" distR="0" wp14:anchorId="7A6F6406" wp14:editId="7825A3E6">
            <wp:extent cx="4572638" cy="3429479"/>
            <wp:effectExtent l="19050" t="19050" r="1841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638" cy="3429479"/>
                    </a:xfrm>
                    <a:prstGeom prst="rect">
                      <a:avLst/>
                    </a:prstGeom>
                    <a:ln w="3175">
                      <a:solidFill>
                        <a:schemeClr val="tx1"/>
                      </a:solidFill>
                    </a:ln>
                  </pic:spPr>
                </pic:pic>
              </a:graphicData>
            </a:graphic>
          </wp:inline>
        </w:drawing>
      </w:r>
    </w:p>
    <w:p w:rsidR="007A5E96" w:rsidRDefault="007A5E96" w:rsidP="006C7F9F">
      <w:pPr>
        <w:jc w:val="center"/>
      </w:pPr>
    </w:p>
    <w:p w:rsidR="007A5E96" w:rsidRDefault="007A5E96" w:rsidP="006C7F9F">
      <w:pPr>
        <w:jc w:val="center"/>
      </w:pPr>
    </w:p>
    <w:p w:rsidR="006C7F9F" w:rsidRDefault="006C7F9F" w:rsidP="006C7F9F">
      <w:pPr>
        <w:jc w:val="center"/>
      </w:pPr>
    </w:p>
    <w:p w:rsidR="007A5E96" w:rsidRDefault="007A5E96" w:rsidP="006C7F9F">
      <w:pPr>
        <w:jc w:val="center"/>
      </w:pPr>
      <w:r w:rsidRPr="007A5E96">
        <w:rPr>
          <w:noProof/>
        </w:rPr>
        <w:drawing>
          <wp:inline distT="0" distB="0" distL="0" distR="0" wp14:anchorId="313330DC" wp14:editId="001A2E2F">
            <wp:extent cx="4572638" cy="3429479"/>
            <wp:effectExtent l="19050" t="19050" r="1841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638" cy="3429479"/>
                    </a:xfrm>
                    <a:prstGeom prst="rect">
                      <a:avLst/>
                    </a:prstGeom>
                    <a:ln w="3175">
                      <a:solidFill>
                        <a:schemeClr val="tx1"/>
                      </a:solidFill>
                    </a:ln>
                  </pic:spPr>
                </pic:pic>
              </a:graphicData>
            </a:graphic>
          </wp:inline>
        </w:drawing>
      </w:r>
    </w:p>
    <w:p w:rsidR="007A5E96" w:rsidRDefault="007A5E96" w:rsidP="006C7F9F">
      <w:pPr>
        <w:jc w:val="center"/>
      </w:pPr>
    </w:p>
    <w:p w:rsidR="007A5E96" w:rsidRDefault="007A5E96" w:rsidP="006C7F9F">
      <w:pPr>
        <w:jc w:val="center"/>
      </w:pPr>
    </w:p>
    <w:p w:rsidR="007A5E96" w:rsidRDefault="007A5E96" w:rsidP="006C7F9F">
      <w:pPr>
        <w:jc w:val="center"/>
      </w:pPr>
      <w:r w:rsidRPr="007A5E96">
        <w:rPr>
          <w:noProof/>
        </w:rPr>
        <w:lastRenderedPageBreak/>
        <w:drawing>
          <wp:inline distT="0" distB="0" distL="0" distR="0" wp14:anchorId="0A1370B4" wp14:editId="31EB318A">
            <wp:extent cx="4572638" cy="3429479"/>
            <wp:effectExtent l="19050" t="19050" r="18415"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638" cy="3429479"/>
                    </a:xfrm>
                    <a:prstGeom prst="rect">
                      <a:avLst/>
                    </a:prstGeom>
                    <a:ln w="3175">
                      <a:solidFill>
                        <a:schemeClr val="tx1"/>
                      </a:solidFill>
                    </a:ln>
                  </pic:spPr>
                </pic:pic>
              </a:graphicData>
            </a:graphic>
          </wp:inline>
        </w:drawing>
      </w:r>
    </w:p>
    <w:p w:rsidR="007A5E96" w:rsidRDefault="007A5E96" w:rsidP="006C7F9F">
      <w:pPr>
        <w:jc w:val="center"/>
      </w:pPr>
    </w:p>
    <w:p w:rsidR="006C7F9F" w:rsidRDefault="006C7F9F" w:rsidP="006C7F9F">
      <w:pPr>
        <w:jc w:val="center"/>
      </w:pPr>
    </w:p>
    <w:p w:rsidR="007A5E96" w:rsidRDefault="007A5E96" w:rsidP="006C7F9F">
      <w:pPr>
        <w:jc w:val="center"/>
      </w:pPr>
    </w:p>
    <w:p w:rsidR="007A5E96" w:rsidRDefault="007A5E96" w:rsidP="006C7F9F">
      <w:pPr>
        <w:jc w:val="center"/>
      </w:pPr>
      <w:r w:rsidRPr="007A5E96">
        <w:rPr>
          <w:noProof/>
        </w:rPr>
        <w:drawing>
          <wp:inline distT="0" distB="0" distL="0" distR="0" wp14:anchorId="2917375A" wp14:editId="476C3E92">
            <wp:extent cx="4572638" cy="3429479"/>
            <wp:effectExtent l="19050" t="19050" r="18415"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638" cy="3429479"/>
                    </a:xfrm>
                    <a:prstGeom prst="rect">
                      <a:avLst/>
                    </a:prstGeom>
                    <a:ln w="3175">
                      <a:solidFill>
                        <a:schemeClr val="tx1"/>
                      </a:solidFill>
                    </a:ln>
                  </pic:spPr>
                </pic:pic>
              </a:graphicData>
            </a:graphic>
          </wp:inline>
        </w:drawing>
      </w:r>
    </w:p>
    <w:p w:rsidR="007A5E96" w:rsidRDefault="007A5E96" w:rsidP="006C7F9F">
      <w:pPr>
        <w:jc w:val="center"/>
      </w:pPr>
    </w:p>
    <w:p w:rsidR="007A5E96" w:rsidRDefault="007A5E96" w:rsidP="006C7F9F">
      <w:pPr>
        <w:jc w:val="center"/>
      </w:pPr>
    </w:p>
    <w:p w:rsidR="007A5E96" w:rsidRDefault="007A5E96" w:rsidP="006C7F9F">
      <w:pPr>
        <w:jc w:val="center"/>
      </w:pPr>
      <w:r w:rsidRPr="007A5E96">
        <w:rPr>
          <w:noProof/>
        </w:rPr>
        <w:lastRenderedPageBreak/>
        <w:drawing>
          <wp:inline distT="0" distB="0" distL="0" distR="0" wp14:anchorId="1BFF9F72" wp14:editId="35BBFC05">
            <wp:extent cx="4572638" cy="3429479"/>
            <wp:effectExtent l="19050" t="19050" r="18415"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2638" cy="3429479"/>
                    </a:xfrm>
                    <a:prstGeom prst="rect">
                      <a:avLst/>
                    </a:prstGeom>
                    <a:ln w="3175">
                      <a:solidFill>
                        <a:schemeClr val="tx1"/>
                      </a:solidFill>
                    </a:ln>
                  </pic:spPr>
                </pic:pic>
              </a:graphicData>
            </a:graphic>
          </wp:inline>
        </w:drawing>
      </w:r>
    </w:p>
    <w:p w:rsidR="007A5E96" w:rsidRDefault="007A5E96" w:rsidP="006C7F9F">
      <w:pPr>
        <w:jc w:val="center"/>
      </w:pPr>
    </w:p>
    <w:p w:rsidR="006C7F9F" w:rsidRDefault="006C7F9F" w:rsidP="006C7F9F">
      <w:pPr>
        <w:jc w:val="center"/>
      </w:pPr>
    </w:p>
    <w:p w:rsidR="007A5E96" w:rsidRDefault="007A5E96" w:rsidP="006C7F9F">
      <w:pPr>
        <w:jc w:val="center"/>
      </w:pPr>
    </w:p>
    <w:p w:rsidR="007A5E96" w:rsidRDefault="007A5E96" w:rsidP="006C7F9F">
      <w:pPr>
        <w:jc w:val="center"/>
      </w:pPr>
      <w:r w:rsidRPr="007A5E96">
        <w:rPr>
          <w:noProof/>
        </w:rPr>
        <w:drawing>
          <wp:inline distT="0" distB="0" distL="0" distR="0" wp14:anchorId="2CFBDB89" wp14:editId="0D52B950">
            <wp:extent cx="4572638" cy="3429479"/>
            <wp:effectExtent l="19050" t="19050" r="18415"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2638" cy="3429479"/>
                    </a:xfrm>
                    <a:prstGeom prst="rect">
                      <a:avLst/>
                    </a:prstGeom>
                    <a:ln w="3175">
                      <a:solidFill>
                        <a:schemeClr val="tx1"/>
                      </a:solidFill>
                    </a:ln>
                  </pic:spPr>
                </pic:pic>
              </a:graphicData>
            </a:graphic>
          </wp:inline>
        </w:drawing>
      </w:r>
    </w:p>
    <w:p w:rsidR="007A5E96" w:rsidRDefault="007A5E96" w:rsidP="006C7F9F">
      <w:pPr>
        <w:jc w:val="center"/>
      </w:pPr>
    </w:p>
    <w:p w:rsidR="007A5E96" w:rsidRDefault="007A5E96" w:rsidP="006C7F9F">
      <w:pPr>
        <w:jc w:val="center"/>
      </w:pPr>
    </w:p>
    <w:p w:rsidR="007A5E96" w:rsidRDefault="007A5E96" w:rsidP="006C7F9F">
      <w:pPr>
        <w:jc w:val="center"/>
      </w:pPr>
      <w:r w:rsidRPr="007A5E96">
        <w:rPr>
          <w:noProof/>
        </w:rPr>
        <w:lastRenderedPageBreak/>
        <w:drawing>
          <wp:inline distT="0" distB="0" distL="0" distR="0" wp14:anchorId="0EBD3231" wp14:editId="7BF2F9E1">
            <wp:extent cx="4572638" cy="3429479"/>
            <wp:effectExtent l="19050" t="19050" r="18415"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2638" cy="3429479"/>
                    </a:xfrm>
                    <a:prstGeom prst="rect">
                      <a:avLst/>
                    </a:prstGeom>
                    <a:ln w="3175">
                      <a:solidFill>
                        <a:schemeClr val="tx1"/>
                      </a:solidFill>
                    </a:ln>
                  </pic:spPr>
                </pic:pic>
              </a:graphicData>
            </a:graphic>
          </wp:inline>
        </w:drawing>
      </w:r>
    </w:p>
    <w:p w:rsidR="007A5E96" w:rsidRDefault="007A5E96" w:rsidP="006C7F9F">
      <w:pPr>
        <w:jc w:val="center"/>
      </w:pPr>
    </w:p>
    <w:p w:rsidR="006C7F9F" w:rsidRDefault="006C7F9F" w:rsidP="006C7F9F">
      <w:pPr>
        <w:jc w:val="center"/>
      </w:pPr>
    </w:p>
    <w:p w:rsidR="007A5E96" w:rsidRDefault="007A5E96" w:rsidP="006C7F9F">
      <w:pPr>
        <w:jc w:val="center"/>
      </w:pPr>
    </w:p>
    <w:p w:rsidR="007A5E96" w:rsidRDefault="007A5E96" w:rsidP="006C7F9F">
      <w:pPr>
        <w:jc w:val="center"/>
      </w:pPr>
      <w:r w:rsidRPr="007A5E96">
        <w:rPr>
          <w:noProof/>
        </w:rPr>
        <w:drawing>
          <wp:inline distT="0" distB="0" distL="0" distR="0" wp14:anchorId="586301D7" wp14:editId="67866BF9">
            <wp:extent cx="4572638" cy="3429479"/>
            <wp:effectExtent l="19050" t="19050" r="18415"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638" cy="3429479"/>
                    </a:xfrm>
                    <a:prstGeom prst="rect">
                      <a:avLst/>
                    </a:prstGeom>
                    <a:ln w="3175">
                      <a:solidFill>
                        <a:schemeClr val="tx1"/>
                      </a:solidFill>
                    </a:ln>
                  </pic:spPr>
                </pic:pic>
              </a:graphicData>
            </a:graphic>
          </wp:inline>
        </w:drawing>
      </w:r>
    </w:p>
    <w:p w:rsidR="007A5E96" w:rsidRDefault="007A5E96" w:rsidP="006C7F9F">
      <w:pPr>
        <w:jc w:val="center"/>
      </w:pPr>
    </w:p>
    <w:p w:rsidR="007A5E96" w:rsidRDefault="007A5E96" w:rsidP="006C7F9F">
      <w:pPr>
        <w:jc w:val="center"/>
      </w:pPr>
    </w:p>
    <w:p w:rsidR="007A5E96" w:rsidRDefault="007A5E96" w:rsidP="006C7F9F">
      <w:pPr>
        <w:jc w:val="center"/>
      </w:pPr>
      <w:r w:rsidRPr="007A5E96">
        <w:rPr>
          <w:noProof/>
        </w:rPr>
        <w:lastRenderedPageBreak/>
        <w:drawing>
          <wp:inline distT="0" distB="0" distL="0" distR="0" wp14:anchorId="02079A54" wp14:editId="4F1BCE5C">
            <wp:extent cx="4572638" cy="3429479"/>
            <wp:effectExtent l="19050" t="19050" r="18415" b="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72638" cy="3429479"/>
                    </a:xfrm>
                    <a:prstGeom prst="rect">
                      <a:avLst/>
                    </a:prstGeom>
                    <a:ln w="3175">
                      <a:solidFill>
                        <a:schemeClr val="tx1"/>
                      </a:solidFill>
                    </a:ln>
                  </pic:spPr>
                </pic:pic>
              </a:graphicData>
            </a:graphic>
          </wp:inline>
        </w:drawing>
      </w:r>
    </w:p>
    <w:p w:rsidR="007A5E96" w:rsidRDefault="007A5E96" w:rsidP="006C7F9F">
      <w:pPr>
        <w:jc w:val="center"/>
      </w:pPr>
    </w:p>
    <w:p w:rsidR="007A5E96" w:rsidRDefault="007A5E96" w:rsidP="006C7F9F">
      <w:pPr>
        <w:jc w:val="center"/>
      </w:pPr>
    </w:p>
    <w:p w:rsidR="006C7F9F" w:rsidRDefault="006C7F9F" w:rsidP="006C7F9F">
      <w:pPr>
        <w:jc w:val="center"/>
      </w:pPr>
    </w:p>
    <w:p w:rsidR="007A5E96" w:rsidRDefault="007A5E96" w:rsidP="006C7F9F">
      <w:pPr>
        <w:jc w:val="center"/>
      </w:pPr>
      <w:r w:rsidRPr="007A5E96">
        <w:rPr>
          <w:noProof/>
        </w:rPr>
        <w:drawing>
          <wp:inline distT="0" distB="0" distL="0" distR="0" wp14:anchorId="506BBFBC" wp14:editId="40D27CE3">
            <wp:extent cx="4572638" cy="3429479"/>
            <wp:effectExtent l="19050" t="19050" r="18415"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72638" cy="3429479"/>
                    </a:xfrm>
                    <a:prstGeom prst="rect">
                      <a:avLst/>
                    </a:prstGeom>
                    <a:ln w="3175">
                      <a:solidFill>
                        <a:schemeClr val="tx1"/>
                      </a:solidFill>
                    </a:ln>
                  </pic:spPr>
                </pic:pic>
              </a:graphicData>
            </a:graphic>
          </wp:inline>
        </w:drawing>
      </w:r>
    </w:p>
    <w:p w:rsidR="007A5E96" w:rsidRDefault="007A5E96" w:rsidP="006C7F9F">
      <w:pPr>
        <w:jc w:val="center"/>
      </w:pPr>
    </w:p>
    <w:p w:rsidR="007A5E96" w:rsidRDefault="007A5E96" w:rsidP="006C7F9F">
      <w:pPr>
        <w:jc w:val="center"/>
      </w:pPr>
    </w:p>
    <w:p w:rsidR="007A5E96" w:rsidRDefault="007A5E96" w:rsidP="006C7F9F">
      <w:pPr>
        <w:jc w:val="center"/>
      </w:pPr>
      <w:r w:rsidRPr="007A5E96">
        <w:rPr>
          <w:noProof/>
        </w:rPr>
        <w:lastRenderedPageBreak/>
        <w:drawing>
          <wp:inline distT="0" distB="0" distL="0" distR="0" wp14:anchorId="6B2CD5D5" wp14:editId="4C106CD0">
            <wp:extent cx="4572638" cy="3429479"/>
            <wp:effectExtent l="19050" t="19050" r="18415" b="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72638" cy="3429479"/>
                    </a:xfrm>
                    <a:prstGeom prst="rect">
                      <a:avLst/>
                    </a:prstGeom>
                    <a:ln w="3175">
                      <a:solidFill>
                        <a:schemeClr val="tx1"/>
                      </a:solidFill>
                    </a:ln>
                  </pic:spPr>
                </pic:pic>
              </a:graphicData>
            </a:graphic>
          </wp:inline>
        </w:drawing>
      </w:r>
    </w:p>
    <w:p w:rsidR="007A5E96" w:rsidRDefault="007A5E96" w:rsidP="006C7F9F">
      <w:pPr>
        <w:jc w:val="center"/>
      </w:pPr>
    </w:p>
    <w:p w:rsidR="007A5E96" w:rsidRDefault="007A5E96" w:rsidP="006C7F9F">
      <w:pPr>
        <w:jc w:val="center"/>
      </w:pPr>
    </w:p>
    <w:p w:rsidR="006C7F9F" w:rsidRDefault="006C7F9F" w:rsidP="006C7F9F">
      <w:pPr>
        <w:jc w:val="center"/>
      </w:pPr>
    </w:p>
    <w:p w:rsidR="007A5E96" w:rsidRDefault="007A5E96" w:rsidP="006C7F9F">
      <w:pPr>
        <w:jc w:val="center"/>
      </w:pPr>
      <w:r w:rsidRPr="007A5E96">
        <w:rPr>
          <w:noProof/>
        </w:rPr>
        <w:drawing>
          <wp:inline distT="0" distB="0" distL="0" distR="0" wp14:anchorId="26AC5961" wp14:editId="037FCE30">
            <wp:extent cx="4572638" cy="3429479"/>
            <wp:effectExtent l="19050" t="19050" r="18415" b="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72638" cy="3429479"/>
                    </a:xfrm>
                    <a:prstGeom prst="rect">
                      <a:avLst/>
                    </a:prstGeom>
                    <a:ln w="3175">
                      <a:solidFill>
                        <a:schemeClr val="tx1"/>
                      </a:solidFill>
                    </a:ln>
                  </pic:spPr>
                </pic:pic>
              </a:graphicData>
            </a:graphic>
          </wp:inline>
        </w:drawing>
      </w:r>
    </w:p>
    <w:p w:rsidR="007A5E96" w:rsidRDefault="007A5E96" w:rsidP="006C7F9F">
      <w:pPr>
        <w:jc w:val="center"/>
      </w:pPr>
    </w:p>
    <w:p w:rsidR="007A5E96" w:rsidRDefault="007A5E96" w:rsidP="006C7F9F">
      <w:pPr>
        <w:jc w:val="center"/>
      </w:pPr>
    </w:p>
    <w:p w:rsidR="007A5E96" w:rsidRDefault="007A5E96" w:rsidP="006C7F9F">
      <w:pPr>
        <w:jc w:val="center"/>
      </w:pPr>
      <w:r w:rsidRPr="007A5E96">
        <w:rPr>
          <w:noProof/>
        </w:rPr>
        <w:lastRenderedPageBreak/>
        <w:drawing>
          <wp:inline distT="0" distB="0" distL="0" distR="0" wp14:anchorId="172ACA78" wp14:editId="01A1A8F0">
            <wp:extent cx="4572638" cy="3429479"/>
            <wp:effectExtent l="19050" t="19050" r="18415"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72638" cy="3429479"/>
                    </a:xfrm>
                    <a:prstGeom prst="rect">
                      <a:avLst/>
                    </a:prstGeom>
                    <a:ln w="3175">
                      <a:solidFill>
                        <a:schemeClr val="tx1"/>
                      </a:solidFill>
                    </a:ln>
                  </pic:spPr>
                </pic:pic>
              </a:graphicData>
            </a:graphic>
          </wp:inline>
        </w:drawing>
      </w:r>
    </w:p>
    <w:p w:rsidR="007A5E96" w:rsidRDefault="007A5E96" w:rsidP="006C7F9F">
      <w:pPr>
        <w:jc w:val="center"/>
      </w:pPr>
    </w:p>
    <w:p w:rsidR="007A5E96" w:rsidRDefault="007A5E96" w:rsidP="006C7F9F">
      <w:pPr>
        <w:jc w:val="center"/>
      </w:pPr>
    </w:p>
    <w:p w:rsidR="00B2790A" w:rsidRDefault="00B2790A" w:rsidP="00B2790A">
      <w:pPr>
        <w:jc w:val="right"/>
      </w:pPr>
    </w:p>
    <w:p w:rsidR="00B2790A" w:rsidRDefault="00B2790A" w:rsidP="00B2790A">
      <w:pPr>
        <w:jc w:val="right"/>
      </w:pPr>
    </w:p>
    <w:p w:rsidR="00B2790A" w:rsidRDefault="00B2790A" w:rsidP="00B2790A">
      <w:pPr>
        <w:jc w:val="right"/>
      </w:pPr>
    </w:p>
    <w:p w:rsidR="00521BF2" w:rsidRDefault="00521BF2" w:rsidP="00521BF2">
      <w:pPr>
        <w:jc w:val="right"/>
      </w:pPr>
      <w:r w:rsidRPr="00C5280D">
        <w:t>[</w:t>
      </w:r>
      <w:r>
        <w:t>Annex II follows]</w:t>
      </w:r>
    </w:p>
    <w:p w:rsidR="00B2790A" w:rsidRDefault="00B2790A" w:rsidP="00B2790A">
      <w:pPr>
        <w:jc w:val="right"/>
      </w:pPr>
    </w:p>
    <w:p w:rsidR="00521BF2" w:rsidRDefault="00521BF2" w:rsidP="00521BF2">
      <w:pPr>
        <w:sectPr w:rsidR="00521BF2" w:rsidSect="006C7F9F">
          <w:headerReference w:type="default" r:id="rId25"/>
          <w:headerReference w:type="first" r:id="rId26"/>
          <w:pgSz w:w="11907" w:h="16840" w:code="9"/>
          <w:pgMar w:top="510" w:right="1134" w:bottom="1134" w:left="1134" w:header="510" w:footer="680" w:gutter="0"/>
          <w:pgNumType w:start="1"/>
          <w:cols w:space="720"/>
          <w:titlePg/>
        </w:sectPr>
      </w:pPr>
    </w:p>
    <w:p w:rsidR="00B2790A" w:rsidRDefault="00B2790A" w:rsidP="00521BF2"/>
    <w:p w:rsidR="00B2790A" w:rsidRDefault="00B2790A" w:rsidP="00B2790A">
      <w:pPr>
        <w:jc w:val="right"/>
      </w:pPr>
    </w:p>
    <w:p w:rsidR="00B2790A" w:rsidRDefault="00B2790A" w:rsidP="00B2790A">
      <w:pPr>
        <w:jc w:val="center"/>
      </w:pPr>
    </w:p>
    <w:p w:rsidR="00521BF2" w:rsidRDefault="00521BF2" w:rsidP="00B2790A">
      <w:pPr>
        <w:jc w:val="center"/>
      </w:pPr>
    </w:p>
    <w:p w:rsidR="00B2790A" w:rsidRDefault="00B2790A" w:rsidP="00B2790A">
      <w:pPr>
        <w:jc w:val="center"/>
      </w:pPr>
    </w:p>
    <w:p w:rsidR="00B2790A" w:rsidRDefault="00B2790A" w:rsidP="00B2790A">
      <w:pPr>
        <w:jc w:val="center"/>
      </w:pPr>
    </w:p>
    <w:p w:rsidR="00B2790A" w:rsidRDefault="00B2790A" w:rsidP="00B2790A">
      <w:pPr>
        <w:jc w:val="center"/>
      </w:pPr>
    </w:p>
    <w:p w:rsidR="00B2790A" w:rsidRDefault="00B2790A" w:rsidP="00B2790A">
      <w:pPr>
        <w:jc w:val="center"/>
      </w:pPr>
    </w:p>
    <w:p w:rsidR="00B2790A" w:rsidRPr="00D302CA" w:rsidRDefault="00B2790A" w:rsidP="00B2790A">
      <w:pPr>
        <w:jc w:val="center"/>
        <w:rPr>
          <w:rFonts w:cs="Arial"/>
          <w:i/>
        </w:rPr>
      </w:pPr>
      <w:r w:rsidRPr="00D302CA">
        <w:rPr>
          <w:rFonts w:cs="Arial"/>
          <w:i/>
        </w:rPr>
        <w:t xml:space="preserve">Please see the </w:t>
      </w:r>
      <w:r>
        <w:rPr>
          <w:rFonts w:cs="Arial"/>
          <w:i/>
        </w:rPr>
        <w:t>Excel file</w:t>
      </w:r>
    </w:p>
    <w:p w:rsidR="00B2790A" w:rsidRDefault="00B2790A" w:rsidP="00B2790A">
      <w:pPr>
        <w:jc w:val="center"/>
      </w:pPr>
    </w:p>
    <w:p w:rsidR="00B2790A" w:rsidRDefault="00B2790A" w:rsidP="00B2790A">
      <w:pPr>
        <w:jc w:val="right"/>
      </w:pPr>
    </w:p>
    <w:p w:rsidR="00B2790A" w:rsidRDefault="00B2790A" w:rsidP="00B2790A">
      <w:pPr>
        <w:jc w:val="right"/>
      </w:pPr>
    </w:p>
    <w:p w:rsidR="00B2790A" w:rsidRDefault="00B2790A" w:rsidP="00B2790A">
      <w:pPr>
        <w:jc w:val="right"/>
      </w:pPr>
    </w:p>
    <w:p w:rsidR="00B2790A" w:rsidRDefault="00B2790A" w:rsidP="00B2790A">
      <w:pPr>
        <w:jc w:val="right"/>
      </w:pPr>
      <w:r w:rsidRPr="00C5280D">
        <w:t>[</w:t>
      </w:r>
      <w:r>
        <w:t>End of Annex II and of document]</w:t>
      </w:r>
    </w:p>
    <w:p w:rsidR="00B2790A" w:rsidRDefault="00B2790A" w:rsidP="00B2790A">
      <w:pPr>
        <w:jc w:val="right"/>
      </w:pPr>
    </w:p>
    <w:p w:rsidR="00B2790A" w:rsidRDefault="00B2790A" w:rsidP="00B2790A">
      <w:pPr>
        <w:jc w:val="right"/>
      </w:pPr>
    </w:p>
    <w:p w:rsidR="00B2790A" w:rsidRDefault="00B2790A" w:rsidP="00B2790A">
      <w:pPr>
        <w:jc w:val="right"/>
      </w:pPr>
    </w:p>
    <w:p w:rsidR="00050E16" w:rsidRPr="00C5280D" w:rsidRDefault="00050E16" w:rsidP="009B440E">
      <w:pPr>
        <w:jc w:val="left"/>
      </w:pPr>
    </w:p>
    <w:sectPr w:rsidR="00050E16" w:rsidRPr="00C5280D" w:rsidSect="00906DDC">
      <w:headerReference w:type="first" r:id="rId2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A1A" w:rsidRDefault="00036A1A" w:rsidP="006655D3">
      <w:r>
        <w:separator/>
      </w:r>
    </w:p>
    <w:p w:rsidR="00036A1A" w:rsidRDefault="00036A1A" w:rsidP="006655D3"/>
    <w:p w:rsidR="00036A1A" w:rsidRDefault="00036A1A" w:rsidP="006655D3"/>
  </w:endnote>
  <w:endnote w:type="continuationSeparator" w:id="0">
    <w:p w:rsidR="00036A1A" w:rsidRDefault="00036A1A" w:rsidP="006655D3">
      <w:r>
        <w:separator/>
      </w:r>
    </w:p>
    <w:p w:rsidR="00036A1A" w:rsidRPr="00294751" w:rsidRDefault="00036A1A">
      <w:pPr>
        <w:pStyle w:val="Footer"/>
        <w:spacing w:after="60"/>
        <w:rPr>
          <w:sz w:val="18"/>
          <w:lang w:val="fr-FR"/>
        </w:rPr>
      </w:pPr>
      <w:r w:rsidRPr="00294751">
        <w:rPr>
          <w:sz w:val="18"/>
          <w:lang w:val="fr-FR"/>
        </w:rPr>
        <w:t>[Suite de la note de la page précédente]</w:t>
      </w:r>
    </w:p>
    <w:p w:rsidR="00036A1A" w:rsidRPr="00294751" w:rsidRDefault="00036A1A" w:rsidP="006655D3">
      <w:pPr>
        <w:rPr>
          <w:lang w:val="fr-FR"/>
        </w:rPr>
      </w:pPr>
    </w:p>
    <w:p w:rsidR="00036A1A" w:rsidRPr="00294751" w:rsidRDefault="00036A1A" w:rsidP="006655D3">
      <w:pPr>
        <w:rPr>
          <w:lang w:val="fr-FR"/>
        </w:rPr>
      </w:pPr>
    </w:p>
  </w:endnote>
  <w:endnote w:type="continuationNotice" w:id="1">
    <w:p w:rsidR="00036A1A" w:rsidRPr="00294751" w:rsidRDefault="00036A1A" w:rsidP="006655D3">
      <w:pPr>
        <w:rPr>
          <w:lang w:val="fr-FR"/>
        </w:rPr>
      </w:pPr>
      <w:r w:rsidRPr="00294751">
        <w:rPr>
          <w:lang w:val="fr-FR"/>
        </w:rPr>
        <w:t>[Suite de la note page suivante]</w:t>
      </w:r>
    </w:p>
    <w:p w:rsidR="00036A1A" w:rsidRPr="00294751" w:rsidRDefault="00036A1A" w:rsidP="006655D3">
      <w:pPr>
        <w:rPr>
          <w:lang w:val="fr-FR"/>
        </w:rPr>
      </w:pPr>
    </w:p>
    <w:p w:rsidR="00036A1A" w:rsidRPr="00294751" w:rsidRDefault="00036A1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A1A" w:rsidRDefault="00036A1A" w:rsidP="006655D3">
      <w:r>
        <w:separator/>
      </w:r>
    </w:p>
  </w:footnote>
  <w:footnote w:type="continuationSeparator" w:id="0">
    <w:p w:rsidR="00036A1A" w:rsidRDefault="00036A1A" w:rsidP="006655D3">
      <w:r>
        <w:separator/>
      </w:r>
    </w:p>
  </w:footnote>
  <w:footnote w:type="continuationNotice" w:id="1">
    <w:p w:rsidR="00036A1A" w:rsidRPr="00AB530F" w:rsidRDefault="00036A1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16315A" w:rsidP="00EB048E">
    <w:pPr>
      <w:pStyle w:val="Header"/>
      <w:rPr>
        <w:rStyle w:val="PageNumber"/>
        <w:lang w:val="en-US"/>
      </w:rPr>
    </w:pPr>
    <w:r>
      <w:rPr>
        <w:rStyle w:val="PageNumber"/>
        <w:lang w:val="en-US"/>
      </w:rPr>
      <w:t>TWC/37</w:t>
    </w:r>
    <w:r w:rsidR="00667404">
      <w:rPr>
        <w:rStyle w:val="PageNumber"/>
        <w:lang w:val="en-US"/>
      </w:rPr>
      <w:t>/</w:t>
    </w:r>
    <w:r w:rsidR="000C60F0">
      <w:rPr>
        <w:rStyle w:val="PageNumber"/>
        <w:lang w:val="en-US"/>
      </w:rPr>
      <w:t>5</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E54BE">
      <w:rPr>
        <w:rStyle w:val="PageNumber"/>
        <w:noProof/>
        <w:lang w:val="en-US"/>
      </w:rPr>
      <w:t>3</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F9F" w:rsidRPr="00C5280D" w:rsidRDefault="006C7F9F" w:rsidP="00EB048E">
    <w:pPr>
      <w:pStyle w:val="Header"/>
      <w:rPr>
        <w:rStyle w:val="PageNumber"/>
        <w:lang w:val="en-US"/>
      </w:rPr>
    </w:pPr>
    <w:r>
      <w:rPr>
        <w:rStyle w:val="PageNumber"/>
        <w:lang w:val="en-US"/>
      </w:rPr>
      <w:t>TWC/37/5</w:t>
    </w:r>
  </w:p>
  <w:p w:rsidR="006C7F9F" w:rsidRPr="00C5280D" w:rsidRDefault="006C7F9F"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E54BE">
      <w:rPr>
        <w:rStyle w:val="PageNumber"/>
        <w:noProof/>
        <w:lang w:val="en-US"/>
      </w:rPr>
      <w:t>9</w:t>
    </w:r>
    <w:r w:rsidRPr="00C5280D">
      <w:rPr>
        <w:rStyle w:val="PageNumber"/>
        <w:lang w:val="en-US"/>
      </w:rPr>
      <w:fldChar w:fldCharType="end"/>
    </w:r>
  </w:p>
  <w:p w:rsidR="006C7F9F" w:rsidRPr="00C5280D" w:rsidRDefault="006C7F9F"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CA" w:rsidRPr="00C5280D" w:rsidRDefault="004D42CA" w:rsidP="004D42CA">
    <w:pPr>
      <w:pStyle w:val="Header"/>
      <w:rPr>
        <w:rStyle w:val="PageNumber"/>
        <w:lang w:val="en-US"/>
      </w:rPr>
    </w:pPr>
    <w:r>
      <w:rPr>
        <w:rStyle w:val="PageNumber"/>
        <w:lang w:val="en-US"/>
      </w:rPr>
      <w:t>TWC/37/5</w:t>
    </w:r>
  </w:p>
  <w:p w:rsidR="004D42CA" w:rsidRDefault="004D42CA">
    <w:pPr>
      <w:pStyle w:val="Header"/>
    </w:pPr>
  </w:p>
  <w:p w:rsidR="004D42CA" w:rsidRDefault="004D42CA">
    <w:pPr>
      <w:pStyle w:val="Header"/>
    </w:pPr>
    <w:r>
      <w:t>ANNEX I</w:t>
    </w:r>
  </w:p>
  <w:p w:rsidR="004D42CA" w:rsidRDefault="004D42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BF2" w:rsidRPr="00C5280D" w:rsidRDefault="00521BF2" w:rsidP="004D42CA">
    <w:pPr>
      <w:pStyle w:val="Header"/>
      <w:rPr>
        <w:rStyle w:val="PageNumber"/>
        <w:lang w:val="en-US"/>
      </w:rPr>
    </w:pPr>
    <w:r>
      <w:rPr>
        <w:rStyle w:val="PageNumber"/>
        <w:lang w:val="en-US"/>
      </w:rPr>
      <w:t>TWC/37/5</w:t>
    </w:r>
  </w:p>
  <w:p w:rsidR="00521BF2" w:rsidRDefault="00521BF2">
    <w:pPr>
      <w:pStyle w:val="Header"/>
    </w:pPr>
  </w:p>
  <w:p w:rsidR="00521BF2" w:rsidRDefault="00521BF2">
    <w:pPr>
      <w:pStyle w:val="Header"/>
    </w:pPr>
    <w:r>
      <w:t>ANNEX II</w:t>
    </w:r>
  </w:p>
  <w:p w:rsidR="00521BF2" w:rsidRDefault="00521B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1A"/>
    <w:rsid w:val="00010CF3"/>
    <w:rsid w:val="00011E27"/>
    <w:rsid w:val="000148BC"/>
    <w:rsid w:val="00024AB8"/>
    <w:rsid w:val="00030854"/>
    <w:rsid w:val="00036028"/>
    <w:rsid w:val="00036A1A"/>
    <w:rsid w:val="00044642"/>
    <w:rsid w:val="000446B9"/>
    <w:rsid w:val="00047E21"/>
    <w:rsid w:val="00050E16"/>
    <w:rsid w:val="00085505"/>
    <w:rsid w:val="000C4E25"/>
    <w:rsid w:val="000C60F0"/>
    <w:rsid w:val="000C7021"/>
    <w:rsid w:val="000D6BBC"/>
    <w:rsid w:val="000D7780"/>
    <w:rsid w:val="000E636A"/>
    <w:rsid w:val="000F2F11"/>
    <w:rsid w:val="00105929"/>
    <w:rsid w:val="00110C36"/>
    <w:rsid w:val="001131D5"/>
    <w:rsid w:val="001132F2"/>
    <w:rsid w:val="00141DB8"/>
    <w:rsid w:val="0016315A"/>
    <w:rsid w:val="00172084"/>
    <w:rsid w:val="0017474A"/>
    <w:rsid w:val="001758C6"/>
    <w:rsid w:val="00182B99"/>
    <w:rsid w:val="001D6303"/>
    <w:rsid w:val="0021332C"/>
    <w:rsid w:val="00213982"/>
    <w:rsid w:val="0024416D"/>
    <w:rsid w:val="002475DC"/>
    <w:rsid w:val="00255F95"/>
    <w:rsid w:val="00256F3F"/>
    <w:rsid w:val="00271911"/>
    <w:rsid w:val="002800A0"/>
    <w:rsid w:val="002801B3"/>
    <w:rsid w:val="00281060"/>
    <w:rsid w:val="002940E8"/>
    <w:rsid w:val="00294751"/>
    <w:rsid w:val="002A6E50"/>
    <w:rsid w:val="002B2C77"/>
    <w:rsid w:val="002B2D42"/>
    <w:rsid w:val="002B4298"/>
    <w:rsid w:val="002C256A"/>
    <w:rsid w:val="002F6041"/>
    <w:rsid w:val="00305A7F"/>
    <w:rsid w:val="003152FE"/>
    <w:rsid w:val="00327436"/>
    <w:rsid w:val="00335389"/>
    <w:rsid w:val="00344BD6"/>
    <w:rsid w:val="0035528D"/>
    <w:rsid w:val="00361821"/>
    <w:rsid w:val="00361E9E"/>
    <w:rsid w:val="00370BF0"/>
    <w:rsid w:val="003C7FBE"/>
    <w:rsid w:val="003D227C"/>
    <w:rsid w:val="003D2B4D"/>
    <w:rsid w:val="00444A88"/>
    <w:rsid w:val="0045607F"/>
    <w:rsid w:val="00474DA4"/>
    <w:rsid w:val="00476B4D"/>
    <w:rsid w:val="004805FA"/>
    <w:rsid w:val="004935D2"/>
    <w:rsid w:val="0049744F"/>
    <w:rsid w:val="004B1215"/>
    <w:rsid w:val="004C39C2"/>
    <w:rsid w:val="004D047D"/>
    <w:rsid w:val="004D42CA"/>
    <w:rsid w:val="004E1B3D"/>
    <w:rsid w:val="004F1E9E"/>
    <w:rsid w:val="004F305A"/>
    <w:rsid w:val="00501F3C"/>
    <w:rsid w:val="00512164"/>
    <w:rsid w:val="00520297"/>
    <w:rsid w:val="00521BF2"/>
    <w:rsid w:val="005338F9"/>
    <w:rsid w:val="0054281C"/>
    <w:rsid w:val="00544581"/>
    <w:rsid w:val="0055268D"/>
    <w:rsid w:val="00576BE4"/>
    <w:rsid w:val="005A400A"/>
    <w:rsid w:val="005C7B63"/>
    <w:rsid w:val="005F7B92"/>
    <w:rsid w:val="00612379"/>
    <w:rsid w:val="006153B6"/>
    <w:rsid w:val="0061555F"/>
    <w:rsid w:val="00621302"/>
    <w:rsid w:val="00636CA6"/>
    <w:rsid w:val="00641200"/>
    <w:rsid w:val="006655D3"/>
    <w:rsid w:val="00667404"/>
    <w:rsid w:val="00687EB4"/>
    <w:rsid w:val="00695C56"/>
    <w:rsid w:val="006A5CDE"/>
    <w:rsid w:val="006A644A"/>
    <w:rsid w:val="006B17D2"/>
    <w:rsid w:val="006C224E"/>
    <w:rsid w:val="006C7F9F"/>
    <w:rsid w:val="006D780A"/>
    <w:rsid w:val="006D7A71"/>
    <w:rsid w:val="0071271E"/>
    <w:rsid w:val="00732DEC"/>
    <w:rsid w:val="00735BD5"/>
    <w:rsid w:val="00751613"/>
    <w:rsid w:val="007556F6"/>
    <w:rsid w:val="00760EEF"/>
    <w:rsid w:val="00777EE5"/>
    <w:rsid w:val="00784836"/>
    <w:rsid w:val="0079023E"/>
    <w:rsid w:val="007A2854"/>
    <w:rsid w:val="007A5E96"/>
    <w:rsid w:val="007C1D92"/>
    <w:rsid w:val="007C4CB9"/>
    <w:rsid w:val="007C55AD"/>
    <w:rsid w:val="007D0B9D"/>
    <w:rsid w:val="007D19B0"/>
    <w:rsid w:val="007F498F"/>
    <w:rsid w:val="0080679D"/>
    <w:rsid w:val="008108B0"/>
    <w:rsid w:val="00811B20"/>
    <w:rsid w:val="008211B5"/>
    <w:rsid w:val="0082296E"/>
    <w:rsid w:val="00824099"/>
    <w:rsid w:val="0083231E"/>
    <w:rsid w:val="00846D7C"/>
    <w:rsid w:val="00860A1D"/>
    <w:rsid w:val="00867AC1"/>
    <w:rsid w:val="00890DF8"/>
    <w:rsid w:val="008A743F"/>
    <w:rsid w:val="008C0970"/>
    <w:rsid w:val="008D0BC5"/>
    <w:rsid w:val="008D2CF7"/>
    <w:rsid w:val="00900C26"/>
    <w:rsid w:val="0090197F"/>
    <w:rsid w:val="00906DDC"/>
    <w:rsid w:val="00907F1C"/>
    <w:rsid w:val="00934E09"/>
    <w:rsid w:val="00936253"/>
    <w:rsid w:val="00940D46"/>
    <w:rsid w:val="00952DD4"/>
    <w:rsid w:val="00965AE7"/>
    <w:rsid w:val="00970FED"/>
    <w:rsid w:val="00992D82"/>
    <w:rsid w:val="00997029"/>
    <w:rsid w:val="009A7339"/>
    <w:rsid w:val="009B440E"/>
    <w:rsid w:val="009D690D"/>
    <w:rsid w:val="009E65B6"/>
    <w:rsid w:val="00A17FB7"/>
    <w:rsid w:val="00A24C10"/>
    <w:rsid w:val="00A42AC3"/>
    <w:rsid w:val="00A430CF"/>
    <w:rsid w:val="00A54309"/>
    <w:rsid w:val="00AB2B93"/>
    <w:rsid w:val="00AB530F"/>
    <w:rsid w:val="00AB5FBE"/>
    <w:rsid w:val="00AB7E5B"/>
    <w:rsid w:val="00AC2883"/>
    <w:rsid w:val="00AE0EF1"/>
    <w:rsid w:val="00AE2937"/>
    <w:rsid w:val="00B07301"/>
    <w:rsid w:val="00B11F3E"/>
    <w:rsid w:val="00B224DE"/>
    <w:rsid w:val="00B2790A"/>
    <w:rsid w:val="00B324D4"/>
    <w:rsid w:val="00B46575"/>
    <w:rsid w:val="00B55ABC"/>
    <w:rsid w:val="00B61777"/>
    <w:rsid w:val="00B84BBD"/>
    <w:rsid w:val="00BA43FB"/>
    <w:rsid w:val="00BC127D"/>
    <w:rsid w:val="00BC1FE6"/>
    <w:rsid w:val="00BF0543"/>
    <w:rsid w:val="00C061B6"/>
    <w:rsid w:val="00C2446C"/>
    <w:rsid w:val="00C36AE5"/>
    <w:rsid w:val="00C40AF5"/>
    <w:rsid w:val="00C41F17"/>
    <w:rsid w:val="00C527FA"/>
    <w:rsid w:val="00C5280D"/>
    <w:rsid w:val="00C53EB3"/>
    <w:rsid w:val="00C5791C"/>
    <w:rsid w:val="00C66290"/>
    <w:rsid w:val="00C72B7A"/>
    <w:rsid w:val="00C973F2"/>
    <w:rsid w:val="00CA304C"/>
    <w:rsid w:val="00CA774A"/>
    <w:rsid w:val="00CC11B0"/>
    <w:rsid w:val="00CC2841"/>
    <w:rsid w:val="00CE7F8C"/>
    <w:rsid w:val="00CF1330"/>
    <w:rsid w:val="00CF7E36"/>
    <w:rsid w:val="00D3708D"/>
    <w:rsid w:val="00D40426"/>
    <w:rsid w:val="00D528F7"/>
    <w:rsid w:val="00D57C96"/>
    <w:rsid w:val="00D57D18"/>
    <w:rsid w:val="00D91203"/>
    <w:rsid w:val="00D95174"/>
    <w:rsid w:val="00DA1712"/>
    <w:rsid w:val="00DA4499"/>
    <w:rsid w:val="00DA4973"/>
    <w:rsid w:val="00DA6F36"/>
    <w:rsid w:val="00DB596E"/>
    <w:rsid w:val="00DB7773"/>
    <w:rsid w:val="00DC00EA"/>
    <w:rsid w:val="00DC3802"/>
    <w:rsid w:val="00E07C4A"/>
    <w:rsid w:val="00E07D87"/>
    <w:rsid w:val="00E17796"/>
    <w:rsid w:val="00E32F7E"/>
    <w:rsid w:val="00E5267B"/>
    <w:rsid w:val="00E70039"/>
    <w:rsid w:val="00E72D49"/>
    <w:rsid w:val="00E7593C"/>
    <w:rsid w:val="00E7678A"/>
    <w:rsid w:val="00E935F1"/>
    <w:rsid w:val="00E94A81"/>
    <w:rsid w:val="00EA1FFB"/>
    <w:rsid w:val="00EB048E"/>
    <w:rsid w:val="00EB4E9C"/>
    <w:rsid w:val="00EC481C"/>
    <w:rsid w:val="00EE1AFA"/>
    <w:rsid w:val="00EE34DF"/>
    <w:rsid w:val="00EF2F89"/>
    <w:rsid w:val="00F03E98"/>
    <w:rsid w:val="00F1237A"/>
    <w:rsid w:val="00F22CBD"/>
    <w:rsid w:val="00F272F1"/>
    <w:rsid w:val="00F45372"/>
    <w:rsid w:val="00F560F7"/>
    <w:rsid w:val="00F6334D"/>
    <w:rsid w:val="00FA49AB"/>
    <w:rsid w:val="00FE39C7"/>
    <w:rsid w:val="00FE54BE"/>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49E2F2C-FD83-400B-AE11-75F73D11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erChar">
    <w:name w:val="Header Char"/>
    <w:basedOn w:val="DefaultParagraphFont"/>
    <w:link w:val="Header"/>
    <w:uiPriority w:val="99"/>
    <w:rsid w:val="004D42CA"/>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7\template\TWC_3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TWC_37</Template>
  <TotalTime>0</TotalTime>
  <Pages>13</Pages>
  <Words>1711</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TWA/46</vt:lpstr>
    </vt:vector>
  </TitlesOfParts>
  <Company>UPOV</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TWA/46</dc:title>
  <dc:creator>MAY Jessica</dc:creator>
  <cp:lastModifiedBy>MAY Jessica</cp:lastModifiedBy>
  <cp:revision>5</cp:revision>
  <cp:lastPrinted>2019-08-19T09:06:00Z</cp:lastPrinted>
  <dcterms:created xsi:type="dcterms:W3CDTF">2019-09-30T08:15:00Z</dcterms:created>
  <dcterms:modified xsi:type="dcterms:W3CDTF">2019-10-02T14:17:00Z</dcterms:modified>
</cp:coreProperties>
</file>