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3B400AF" w14:textId="77777777" w:rsidTr="00EB4E9C">
        <w:tc>
          <w:tcPr>
            <w:tcW w:w="6522" w:type="dxa"/>
          </w:tcPr>
          <w:p w14:paraId="0AE7B71A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6A37A00" wp14:editId="788C4FC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682082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74EAB04A" w14:textId="77777777" w:rsidTr="00EB4E9C">
        <w:tc>
          <w:tcPr>
            <w:tcW w:w="6522" w:type="dxa"/>
          </w:tcPr>
          <w:p w14:paraId="7B8AEAF3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B646105" w14:textId="77777777" w:rsidR="00DC3802" w:rsidRPr="00DA4973" w:rsidRDefault="00DC3802" w:rsidP="00DA4973"/>
        </w:tc>
      </w:tr>
    </w:tbl>
    <w:p w14:paraId="6A79FEEA" w14:textId="77777777" w:rsidR="00DC3802" w:rsidRDefault="00DC3802" w:rsidP="00DC3802"/>
    <w:p w14:paraId="653556E9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F9F6BE7" w14:textId="77777777" w:rsidTr="00EB4E9C">
        <w:tc>
          <w:tcPr>
            <w:tcW w:w="6512" w:type="dxa"/>
          </w:tcPr>
          <w:p w14:paraId="4A5404CE" w14:textId="77777777"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501F3C" w:rsidRPr="00501F3C">
              <w:t>on Automation and Computer Programs</w:t>
            </w:r>
          </w:p>
          <w:p w14:paraId="14493CB6" w14:textId="77777777" w:rsidR="00EB4E9C" w:rsidRPr="00DC3802" w:rsidRDefault="00501F3C" w:rsidP="0016315A">
            <w:pPr>
              <w:pStyle w:val="Sessiontcplacedate"/>
              <w:rPr>
                <w:sz w:val="22"/>
              </w:rPr>
            </w:pPr>
            <w:r w:rsidRPr="00501F3C">
              <w:t>Thirty-S</w:t>
            </w:r>
            <w:r w:rsidR="0016315A">
              <w:t>even</w:t>
            </w:r>
            <w:r w:rsidRPr="00501F3C">
              <w:t>th Session</w:t>
            </w:r>
            <w:r w:rsidRPr="00501F3C">
              <w:br/>
            </w:r>
            <w:r w:rsidR="0016315A">
              <w:t>Hangzhou, China</w:t>
            </w:r>
            <w:r w:rsidRPr="00501F3C">
              <w:t xml:space="preserve">, </w:t>
            </w:r>
            <w:r w:rsidR="0016315A">
              <w:t>October 14 to 16, 2019</w:t>
            </w:r>
          </w:p>
        </w:tc>
        <w:tc>
          <w:tcPr>
            <w:tcW w:w="3127" w:type="dxa"/>
          </w:tcPr>
          <w:p w14:paraId="58AADED8" w14:textId="77777777" w:rsidR="00DA4499" w:rsidRPr="003C7FBE" w:rsidRDefault="0016315A" w:rsidP="003C7FBE">
            <w:pPr>
              <w:pStyle w:val="Doccode"/>
            </w:pPr>
            <w:r>
              <w:t>TWC/37</w:t>
            </w:r>
            <w:r w:rsidR="00EB4E9C" w:rsidRPr="00AC2883">
              <w:t>/</w:t>
            </w:r>
            <w:r w:rsidR="000041C4">
              <w:t>1</w:t>
            </w:r>
            <w:r w:rsidR="0083109D">
              <w:t xml:space="preserve"> Rev.</w:t>
            </w:r>
          </w:p>
          <w:p w14:paraId="2E33DE4F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6E44E60" w14:textId="5EC1E0F8" w:rsidR="00EB4E9C" w:rsidRPr="007C1D92" w:rsidRDefault="00EB4E9C" w:rsidP="00BA7006">
            <w:pPr>
              <w:pStyle w:val="Docoriginal"/>
            </w:pPr>
            <w:r w:rsidRPr="00AC2883">
              <w:t>Date</w:t>
            </w:r>
            <w:bookmarkStart w:id="0" w:name="_GoBack"/>
            <w:bookmarkEnd w:id="0"/>
            <w:r w:rsidRPr="00BA7006">
              <w:t>:</w:t>
            </w:r>
            <w:r w:rsidRPr="00BA7006">
              <w:rPr>
                <w:b w:val="0"/>
                <w:spacing w:val="0"/>
              </w:rPr>
              <w:t xml:space="preserve">  </w:t>
            </w:r>
            <w:r w:rsidR="003B1651" w:rsidRPr="00BA7006">
              <w:rPr>
                <w:b w:val="0"/>
                <w:spacing w:val="0"/>
              </w:rPr>
              <w:t>October</w:t>
            </w:r>
            <w:r w:rsidR="00FE3C3E" w:rsidRPr="00BA7006">
              <w:rPr>
                <w:b w:val="0"/>
                <w:spacing w:val="0"/>
              </w:rPr>
              <w:t xml:space="preserve"> </w:t>
            </w:r>
            <w:r w:rsidR="00BA7006">
              <w:rPr>
                <w:b w:val="0"/>
                <w:spacing w:val="0"/>
              </w:rPr>
              <w:t>4</w:t>
            </w:r>
            <w:r w:rsidRPr="000041C4">
              <w:rPr>
                <w:b w:val="0"/>
                <w:spacing w:val="0"/>
              </w:rPr>
              <w:t>, 201</w:t>
            </w:r>
            <w:r w:rsidR="0016315A" w:rsidRPr="000041C4">
              <w:rPr>
                <w:b w:val="0"/>
                <w:spacing w:val="0"/>
              </w:rPr>
              <w:t>9</w:t>
            </w:r>
          </w:p>
        </w:tc>
      </w:tr>
    </w:tbl>
    <w:p w14:paraId="31FB4B25" w14:textId="4D9790C1" w:rsidR="000D7780" w:rsidRPr="006A644A" w:rsidRDefault="00E93909" w:rsidP="006A644A">
      <w:pPr>
        <w:pStyle w:val="Titleofdoc0"/>
      </w:pPr>
      <w:bookmarkStart w:id="1" w:name="TitleOfDoc"/>
      <w:bookmarkEnd w:id="1"/>
      <w:r>
        <w:t xml:space="preserve">revised </w:t>
      </w:r>
      <w:r w:rsidR="000041C4">
        <w:t>Draft agenda</w:t>
      </w:r>
    </w:p>
    <w:p w14:paraId="107E9632" w14:textId="77777777" w:rsidR="006A644A" w:rsidRPr="006A644A" w:rsidRDefault="0061555F" w:rsidP="006A644A">
      <w:pPr>
        <w:pStyle w:val="preparedby1"/>
        <w:jc w:val="left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14:paraId="6354C824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468EEDF6" w14:textId="77777777" w:rsidR="00704F95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Opening of the s</w:t>
      </w:r>
      <w:r w:rsidR="002F2F31" w:rsidRPr="002F2F31">
        <w:rPr>
          <w:snapToGrid w:val="0"/>
        </w:rPr>
        <w:t>ession</w:t>
      </w:r>
    </w:p>
    <w:p w14:paraId="744BCAE2" w14:textId="765F17AC" w:rsidR="002F2F31" w:rsidRPr="002F2F31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Adoption of the agenda</w:t>
      </w:r>
      <w:r w:rsidR="00A73C7F" w:rsidRPr="007E7685">
        <w:t xml:space="preserve"> </w:t>
      </w:r>
      <w:r w:rsidR="00A73C7F">
        <w:t>(document TWC/37/1 Rev.)</w:t>
      </w:r>
    </w:p>
    <w:p w14:paraId="1AB33C1C" w14:textId="77777777" w:rsidR="002F2F31" w:rsidRPr="002F2F31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Short reports on developments in plant variety protection</w:t>
      </w:r>
    </w:p>
    <w:p w14:paraId="6915C953" w14:textId="11EBEBC7" w:rsidR="002F2F31" w:rsidRPr="002F2F31" w:rsidRDefault="002F2F31" w:rsidP="00704F95">
      <w:pPr>
        <w:spacing w:after="240"/>
        <w:ind w:left="567"/>
        <w:rPr>
          <w:snapToGrid w:val="0"/>
        </w:rPr>
      </w:pPr>
      <w:r w:rsidRPr="002F2F31">
        <w:rPr>
          <w:snapToGrid w:val="0"/>
        </w:rPr>
        <w:t>(a)</w:t>
      </w:r>
      <w:r w:rsidRPr="002F2F31">
        <w:rPr>
          <w:snapToGrid w:val="0"/>
        </w:rPr>
        <w:tab/>
        <w:t>Reports from members and observers (</w:t>
      </w:r>
      <w:r w:rsidR="00FE3C3E">
        <w:rPr>
          <w:snapToGrid w:val="0"/>
        </w:rPr>
        <w:t>document TWC/37/3</w:t>
      </w:r>
      <w:r w:rsidRPr="002F2F31">
        <w:rPr>
          <w:snapToGrid w:val="0"/>
        </w:rPr>
        <w:t>)</w:t>
      </w:r>
    </w:p>
    <w:p w14:paraId="03D9561D" w14:textId="2E041B80" w:rsidR="002F2F31" w:rsidRPr="002F2F31" w:rsidRDefault="002F2F31" w:rsidP="00704F95">
      <w:pPr>
        <w:spacing w:after="240"/>
        <w:ind w:left="567"/>
        <w:rPr>
          <w:snapToGrid w:val="0"/>
        </w:rPr>
      </w:pPr>
      <w:r w:rsidRPr="002F2F31">
        <w:rPr>
          <w:snapToGrid w:val="0"/>
        </w:rPr>
        <w:t>(b)</w:t>
      </w:r>
      <w:r w:rsidRPr="002F2F31">
        <w:rPr>
          <w:snapToGrid w:val="0"/>
        </w:rPr>
        <w:tab/>
        <w:t xml:space="preserve">Report on developments within UPOV (document </w:t>
      </w:r>
      <w:r w:rsidR="00FE3C3E">
        <w:rPr>
          <w:snapToGrid w:val="0"/>
        </w:rPr>
        <w:t>TWC/37/2</w:t>
      </w:r>
      <w:r w:rsidRPr="002F2F31">
        <w:rPr>
          <w:snapToGrid w:val="0"/>
        </w:rPr>
        <w:t>)</w:t>
      </w:r>
    </w:p>
    <w:p w14:paraId="43C94BA9" w14:textId="77777777" w:rsidR="002F2F31" w:rsidRPr="002F2F31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 xml:space="preserve">Variety denominations (document </w:t>
      </w:r>
      <w:r w:rsidR="006748F1">
        <w:rPr>
          <w:snapToGrid w:val="0"/>
        </w:rPr>
        <w:t>TWP/3/6</w:t>
      </w:r>
      <w:r w:rsidR="002F2F31" w:rsidRPr="002F2F31">
        <w:rPr>
          <w:snapToGrid w:val="0"/>
        </w:rPr>
        <w:t>)</w:t>
      </w:r>
    </w:p>
    <w:p w14:paraId="1C6863EB" w14:textId="3F08E433" w:rsidR="002F2F31" w:rsidRPr="00BA7006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 w:rsidRPr="00BA7006"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BA7006">
        <w:rPr>
          <w:snapToGrid w:val="0"/>
        </w:rPr>
        <w:tab/>
      </w:r>
      <w:r w:rsidR="002F2F31" w:rsidRPr="00BA7006">
        <w:rPr>
          <w:snapToGrid w:val="0"/>
        </w:rPr>
        <w:t>TGP documents (document</w:t>
      </w:r>
      <w:r w:rsidR="00416F2B" w:rsidRPr="00BA7006">
        <w:rPr>
          <w:snapToGrid w:val="0"/>
        </w:rPr>
        <w:t>s</w:t>
      </w:r>
      <w:r w:rsidR="006748F1" w:rsidRPr="00BA7006">
        <w:rPr>
          <w:snapToGrid w:val="0"/>
        </w:rPr>
        <w:t xml:space="preserve"> TWP/3/1</w:t>
      </w:r>
      <w:r w:rsidR="0041579C" w:rsidRPr="00BA7006">
        <w:rPr>
          <w:snapToGrid w:val="0"/>
        </w:rPr>
        <w:t xml:space="preserve"> Rev.</w:t>
      </w:r>
      <w:r w:rsidR="00416F2B" w:rsidRPr="00BA7006">
        <w:rPr>
          <w:snapToGrid w:val="0"/>
        </w:rPr>
        <w:t xml:space="preserve"> and TWC/37/11</w:t>
      </w:r>
      <w:r w:rsidR="002F2F31" w:rsidRPr="00BA7006">
        <w:rPr>
          <w:snapToGrid w:val="0"/>
        </w:rPr>
        <w:t>)</w:t>
      </w:r>
    </w:p>
    <w:p w14:paraId="6BCDF9D2" w14:textId="77777777" w:rsidR="006748F1" w:rsidRPr="00FB571F" w:rsidRDefault="006748F1" w:rsidP="006748F1">
      <w:pPr>
        <w:spacing w:after="120"/>
        <w:ind w:left="567"/>
        <w:rPr>
          <w:i/>
        </w:rPr>
      </w:pPr>
      <w:bookmarkStart w:id="3" w:name="_Toc512250116"/>
      <w:bookmarkStart w:id="4" w:name="_Toc533581076"/>
      <w:r w:rsidRPr="00FB571F">
        <w:rPr>
          <w:i/>
        </w:rPr>
        <w:t>TGP/7: Development of Test Guidelines</w:t>
      </w:r>
      <w:bookmarkEnd w:id="3"/>
      <w:bookmarkEnd w:id="4"/>
    </w:p>
    <w:p w14:paraId="57F5EA1E" w14:textId="77777777" w:rsidR="006748F1" w:rsidRPr="00FB571F" w:rsidRDefault="006748F1" w:rsidP="006748F1">
      <w:pPr>
        <w:ind w:left="567" w:firstLine="567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Characteristics which only apply to certain varieties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TWP/3/9</w:t>
      </w:r>
      <w:r w:rsidRPr="00D05654">
        <w:rPr>
          <w:rFonts w:cs="Arial"/>
          <w:color w:val="000000" w:themeColor="text1"/>
        </w:rPr>
        <w:t>)</w:t>
      </w:r>
    </w:p>
    <w:p w14:paraId="1023726B" w14:textId="77777777" w:rsidR="006748F1" w:rsidRDefault="006748F1" w:rsidP="006748F1">
      <w:pPr>
        <w:ind w:left="567"/>
        <w:rPr>
          <w:i/>
        </w:rPr>
      </w:pPr>
      <w:bookmarkStart w:id="5" w:name="_Toc533581078"/>
    </w:p>
    <w:p w14:paraId="3AE92D77" w14:textId="77777777" w:rsidR="006748F1" w:rsidRPr="00FB571F" w:rsidRDefault="006748F1" w:rsidP="006748F1">
      <w:pPr>
        <w:spacing w:after="120"/>
        <w:ind w:left="567"/>
        <w:rPr>
          <w:i/>
        </w:rPr>
      </w:pPr>
      <w:r w:rsidRPr="00FB571F">
        <w:rPr>
          <w:i/>
        </w:rPr>
        <w:t>TGP/8: Trial Design and Techniques Used in the Examination of Distinctness, Uniformity and Stability</w:t>
      </w:r>
      <w:bookmarkEnd w:id="5"/>
    </w:p>
    <w:p w14:paraId="1E8209B8" w14:textId="25F27B02" w:rsidR="006748F1" w:rsidRDefault="006748F1" w:rsidP="006748F1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Data Processing for the Assessment of Distinctness and for Producing Variety Descriptions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documents TWP/3/10</w:t>
      </w:r>
      <w:r w:rsidRPr="00441DF7">
        <w:rPr>
          <w:rFonts w:cs="Arial"/>
          <w:color w:val="000000" w:themeColor="text1"/>
        </w:rPr>
        <w:t>)</w:t>
      </w:r>
    </w:p>
    <w:p w14:paraId="7DBBA95D" w14:textId="77777777" w:rsidR="006748F1" w:rsidRPr="00FB571F" w:rsidRDefault="006748F1" w:rsidP="006748F1">
      <w:pPr>
        <w:ind w:left="1134"/>
        <w:rPr>
          <w:rFonts w:cs="Arial"/>
          <w:color w:val="000000" w:themeColor="text1"/>
        </w:rPr>
      </w:pPr>
    </w:p>
    <w:p w14:paraId="235D469A" w14:textId="77777777" w:rsidR="006748F1" w:rsidRPr="00FB571F" w:rsidRDefault="006748F1" w:rsidP="006748F1">
      <w:pPr>
        <w:spacing w:after="120"/>
        <w:ind w:left="567"/>
        <w:rPr>
          <w:i/>
        </w:rPr>
      </w:pPr>
      <w:bookmarkStart w:id="6" w:name="_Toc533581081"/>
      <w:r w:rsidRPr="00FB571F">
        <w:rPr>
          <w:i/>
        </w:rPr>
        <w:t>TGP/14: Glossary of Terms Used in UPOV Documents</w:t>
      </w:r>
      <w:bookmarkEnd w:id="6"/>
    </w:p>
    <w:p w14:paraId="4C6A587D" w14:textId="77777777" w:rsidR="006748F1" w:rsidRPr="00FB571F" w:rsidRDefault="006748F1" w:rsidP="006748F1">
      <w:pPr>
        <w:ind w:left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Color names for the RHS </w:t>
      </w:r>
      <w:proofErr w:type="spellStart"/>
      <w:r>
        <w:rPr>
          <w:rFonts w:cs="Arial"/>
          <w:color w:val="000000" w:themeColor="text1"/>
        </w:rPr>
        <w:t>Colour</w:t>
      </w:r>
      <w:proofErr w:type="spellEnd"/>
      <w:r>
        <w:rPr>
          <w:rFonts w:cs="Arial"/>
          <w:color w:val="000000" w:themeColor="text1"/>
        </w:rPr>
        <w:t xml:space="preserve"> Chart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TWP/3/11</w:t>
      </w:r>
      <w:r w:rsidRPr="00D05654">
        <w:rPr>
          <w:rFonts w:cs="Arial"/>
          <w:color w:val="000000" w:themeColor="text1"/>
        </w:rPr>
        <w:t>)</w:t>
      </w:r>
    </w:p>
    <w:p w14:paraId="26D18562" w14:textId="77777777" w:rsidR="006748F1" w:rsidRPr="00FB571F" w:rsidRDefault="006748F1" w:rsidP="006748F1">
      <w:pPr>
        <w:ind w:left="567"/>
        <w:rPr>
          <w:rFonts w:cs="Arial"/>
          <w:color w:val="000000" w:themeColor="text1"/>
        </w:rPr>
      </w:pPr>
    </w:p>
    <w:p w14:paraId="4EF6CF80" w14:textId="77777777" w:rsidR="006748F1" w:rsidRPr="00FB571F" w:rsidRDefault="006748F1" w:rsidP="006748F1">
      <w:pPr>
        <w:spacing w:after="120"/>
        <w:ind w:left="567"/>
        <w:rPr>
          <w:i/>
        </w:rPr>
      </w:pPr>
      <w:bookmarkStart w:id="7" w:name="_Toc533581083"/>
      <w:r w:rsidRPr="00FB571F">
        <w:rPr>
          <w:i/>
        </w:rPr>
        <w:t>TGP/15: Guidance on the Use of Biochemical and Molecular Markers in the Examination of Distinctness, Uniformity and Stability (DUS)</w:t>
      </w:r>
      <w:bookmarkEnd w:id="7"/>
      <w:r w:rsidRPr="00FB571F">
        <w:rPr>
          <w:i/>
        </w:rPr>
        <w:t xml:space="preserve"> </w:t>
      </w:r>
    </w:p>
    <w:p w14:paraId="6D83459A" w14:textId="77777777" w:rsidR="006748F1" w:rsidRDefault="006748F1" w:rsidP="006748F1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New example: Characteristic-specific marker with incomplete information on state of expression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TWP/3/12</w:t>
      </w:r>
      <w:r w:rsidRPr="00D05654">
        <w:rPr>
          <w:rFonts w:cs="Arial"/>
          <w:color w:val="000000" w:themeColor="text1"/>
        </w:rPr>
        <w:t>)</w:t>
      </w:r>
    </w:p>
    <w:p w14:paraId="6012188F" w14:textId="77777777" w:rsidR="00521888" w:rsidRPr="001F4F7C" w:rsidRDefault="00521888" w:rsidP="00521888"/>
    <w:p w14:paraId="31450A48" w14:textId="77777777" w:rsidR="002F2F31" w:rsidRPr="002F2F31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 xml:space="preserve">Assessing Uniformity by Off-Types: </w:t>
      </w:r>
    </w:p>
    <w:p w14:paraId="40A827F3" w14:textId="4CAD29D5" w:rsidR="002F2F31" w:rsidRPr="002F2F31" w:rsidRDefault="002F2F31" w:rsidP="00704F95">
      <w:pPr>
        <w:spacing w:after="240"/>
        <w:ind w:left="1134" w:hanging="567"/>
        <w:rPr>
          <w:snapToGrid w:val="0"/>
        </w:rPr>
      </w:pPr>
      <w:r w:rsidRPr="002F2F31">
        <w:rPr>
          <w:snapToGrid w:val="0"/>
        </w:rPr>
        <w:t>-</w:t>
      </w:r>
      <w:r w:rsidRPr="002F2F31">
        <w:rPr>
          <w:snapToGrid w:val="0"/>
        </w:rPr>
        <w:tab/>
        <w:t>Risks associated with assessment of uniformity by off-type</w:t>
      </w:r>
      <w:r w:rsidR="006E6141">
        <w:rPr>
          <w:snapToGrid w:val="0"/>
        </w:rPr>
        <w:t>s on the basis of more than one </w:t>
      </w:r>
      <w:r w:rsidRPr="002F2F31">
        <w:rPr>
          <w:snapToGrid w:val="0"/>
        </w:rPr>
        <w:t xml:space="preserve">growing cycle (document </w:t>
      </w:r>
      <w:r w:rsidR="00FE3C3E">
        <w:rPr>
          <w:snapToGrid w:val="0"/>
        </w:rPr>
        <w:t>TWC/37/</w:t>
      </w:r>
      <w:r w:rsidR="003329FE">
        <w:rPr>
          <w:snapToGrid w:val="0"/>
        </w:rPr>
        <w:t>5</w:t>
      </w:r>
      <w:r w:rsidRPr="002F2F31">
        <w:rPr>
          <w:snapToGrid w:val="0"/>
        </w:rPr>
        <w:t>)</w:t>
      </w:r>
      <w:r w:rsidRPr="002F2F31">
        <w:rPr>
          <w:i/>
          <w:snapToGrid w:val="0"/>
        </w:rPr>
        <w:t xml:space="preserve"> </w:t>
      </w:r>
    </w:p>
    <w:p w14:paraId="4D95E6EF" w14:textId="055C4C72" w:rsidR="002F2F31" w:rsidRPr="002F2F31" w:rsidRDefault="00707BFA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Software, Information and databases</w:t>
      </w:r>
    </w:p>
    <w:p w14:paraId="0AC93046" w14:textId="77777777" w:rsidR="002F2F31" w:rsidRPr="002F2F31" w:rsidRDefault="002F2F31" w:rsidP="00704F95">
      <w:pPr>
        <w:spacing w:after="240"/>
        <w:ind w:left="1134" w:hanging="567"/>
        <w:rPr>
          <w:snapToGrid w:val="0"/>
        </w:rPr>
      </w:pPr>
      <w:r w:rsidRPr="002F2F31">
        <w:rPr>
          <w:snapToGrid w:val="0"/>
        </w:rPr>
        <w:t>(a)</w:t>
      </w:r>
      <w:r w:rsidRPr="002F2F31">
        <w:rPr>
          <w:snapToGrid w:val="0"/>
        </w:rPr>
        <w:tab/>
        <w:t>UPOV information databases (</w:t>
      </w:r>
      <w:r w:rsidR="006748F1" w:rsidRPr="008D0FB7">
        <w:rPr>
          <w:rFonts w:cs="Arial"/>
          <w:color w:val="000000" w:themeColor="text1"/>
        </w:rPr>
        <w:t>documents TWP/3/4 and TWP/3/4 Add.</w:t>
      </w:r>
      <w:r w:rsidRPr="002F2F31">
        <w:rPr>
          <w:snapToGrid w:val="0"/>
        </w:rPr>
        <w:t>)</w:t>
      </w:r>
    </w:p>
    <w:p w14:paraId="634DB1EA" w14:textId="2F524F9B" w:rsidR="002F2F31" w:rsidRPr="002F2F31" w:rsidRDefault="002F2F31" w:rsidP="00704F95">
      <w:pPr>
        <w:spacing w:after="240"/>
        <w:ind w:left="1134" w:hanging="567"/>
        <w:rPr>
          <w:snapToGrid w:val="0"/>
        </w:rPr>
      </w:pPr>
      <w:r w:rsidRPr="002F2F31">
        <w:rPr>
          <w:snapToGrid w:val="0"/>
        </w:rPr>
        <w:t>(b)</w:t>
      </w:r>
      <w:r w:rsidRPr="002F2F31">
        <w:rPr>
          <w:snapToGrid w:val="0"/>
        </w:rPr>
        <w:tab/>
        <w:t>Variety description databases</w:t>
      </w:r>
      <w:r w:rsidR="009572C1">
        <w:rPr>
          <w:snapToGrid w:val="0"/>
          <w:vertAlign w:val="superscript"/>
        </w:rPr>
        <w:t>1</w:t>
      </w:r>
      <w:r w:rsidRPr="002F2F31">
        <w:rPr>
          <w:snapToGrid w:val="0"/>
        </w:rPr>
        <w:t xml:space="preserve"> (</w:t>
      </w:r>
      <w:r w:rsidR="006748F1">
        <w:rPr>
          <w:rFonts w:cs="Arial"/>
          <w:color w:val="000000" w:themeColor="text1"/>
        </w:rPr>
        <w:t>document</w:t>
      </w:r>
      <w:r w:rsidR="00CE64C3">
        <w:rPr>
          <w:rFonts w:cs="Arial"/>
          <w:color w:val="000000" w:themeColor="text1"/>
        </w:rPr>
        <w:t>s</w:t>
      </w:r>
      <w:r w:rsidR="006748F1">
        <w:rPr>
          <w:rFonts w:cs="Arial"/>
          <w:color w:val="000000" w:themeColor="text1"/>
        </w:rPr>
        <w:t xml:space="preserve"> TWP/3/2</w:t>
      </w:r>
      <w:r w:rsidR="00CE64C3">
        <w:rPr>
          <w:rFonts w:cs="Arial"/>
          <w:color w:val="000000" w:themeColor="text1"/>
        </w:rPr>
        <w:t xml:space="preserve"> and TWC/37/8</w:t>
      </w:r>
      <w:r w:rsidRPr="002F2F31">
        <w:rPr>
          <w:snapToGrid w:val="0"/>
        </w:rPr>
        <w:t>)</w:t>
      </w:r>
    </w:p>
    <w:p w14:paraId="36AF3899" w14:textId="77777777" w:rsidR="002F2F31" w:rsidRPr="002F2F31" w:rsidRDefault="002F2F31" w:rsidP="00704F95">
      <w:pPr>
        <w:spacing w:after="240"/>
        <w:ind w:left="1134" w:hanging="567"/>
        <w:rPr>
          <w:snapToGrid w:val="0"/>
        </w:rPr>
      </w:pPr>
      <w:r w:rsidRPr="002F2F31">
        <w:rPr>
          <w:snapToGrid w:val="0"/>
        </w:rPr>
        <w:t>(c)</w:t>
      </w:r>
      <w:r w:rsidRPr="002F2F31">
        <w:rPr>
          <w:snapToGrid w:val="0"/>
        </w:rPr>
        <w:tab/>
        <w:t>Exchange and use of software and equipment</w:t>
      </w:r>
      <w:r w:rsidR="00A92C74">
        <w:rPr>
          <w:snapToGrid w:val="0"/>
          <w:vertAlign w:val="superscript"/>
        </w:rPr>
        <w:t>1</w:t>
      </w:r>
      <w:r w:rsidRPr="002F2F31">
        <w:rPr>
          <w:snapToGrid w:val="0"/>
        </w:rPr>
        <w:t xml:space="preserve"> (document</w:t>
      </w:r>
      <w:r w:rsidR="008A17F9" w:rsidRPr="00F1509A">
        <w:rPr>
          <w:rFonts w:cs="Arial"/>
          <w:color w:val="000000" w:themeColor="text1"/>
        </w:rPr>
        <w:t xml:space="preserve"> TWP/3/5</w:t>
      </w:r>
      <w:r w:rsidRPr="002F2F31">
        <w:rPr>
          <w:snapToGrid w:val="0"/>
        </w:rPr>
        <w:t>)</w:t>
      </w:r>
    </w:p>
    <w:p w14:paraId="7B1B1035" w14:textId="77777777" w:rsidR="002F2F31" w:rsidRPr="006E6141" w:rsidRDefault="002F2F31" w:rsidP="00704F95">
      <w:pPr>
        <w:spacing w:after="240"/>
        <w:ind w:left="1134" w:hanging="567"/>
        <w:rPr>
          <w:snapToGrid w:val="0"/>
        </w:rPr>
      </w:pPr>
      <w:r w:rsidRPr="006E6141">
        <w:rPr>
          <w:snapToGrid w:val="0"/>
        </w:rPr>
        <w:lastRenderedPageBreak/>
        <w:t>(d)</w:t>
      </w:r>
      <w:r w:rsidRPr="006E6141">
        <w:rPr>
          <w:snapToGrid w:val="0"/>
        </w:rPr>
        <w:tab/>
      </w:r>
      <w:r w:rsidR="008A17F9" w:rsidRPr="006E6141">
        <w:t xml:space="preserve">UPOV PRISMA </w:t>
      </w:r>
      <w:r w:rsidR="008A17F9" w:rsidRPr="006E6141">
        <w:rPr>
          <w:rFonts w:cs="Arial"/>
        </w:rPr>
        <w:t>(</w:t>
      </w:r>
      <w:r w:rsidR="008A17F9" w:rsidRPr="006E6141">
        <w:rPr>
          <w:rFonts w:cs="Arial"/>
          <w:color w:val="000000" w:themeColor="text1"/>
        </w:rPr>
        <w:t>document TWP/3/3</w:t>
      </w:r>
      <w:r w:rsidR="008A17F9" w:rsidRPr="006E6141">
        <w:rPr>
          <w:rFonts w:cs="Arial"/>
        </w:rPr>
        <w:t>)</w:t>
      </w:r>
    </w:p>
    <w:p w14:paraId="46C47F6B" w14:textId="271EE895" w:rsidR="002F2F31" w:rsidRPr="002F2F31" w:rsidRDefault="002F2F31" w:rsidP="00704F95">
      <w:pPr>
        <w:spacing w:after="240"/>
        <w:ind w:left="1134" w:hanging="567"/>
        <w:rPr>
          <w:snapToGrid w:val="0"/>
        </w:rPr>
      </w:pPr>
      <w:r w:rsidRPr="002F2F31">
        <w:rPr>
          <w:snapToGrid w:val="0"/>
        </w:rPr>
        <w:t>(</w:t>
      </w:r>
      <w:r w:rsidR="00CE64C3">
        <w:rPr>
          <w:snapToGrid w:val="0"/>
        </w:rPr>
        <w:t>e</w:t>
      </w:r>
      <w:r w:rsidRPr="002F2F31">
        <w:rPr>
          <w:snapToGrid w:val="0"/>
        </w:rPr>
        <w:t>)</w:t>
      </w:r>
      <w:r w:rsidRPr="002F2F31">
        <w:rPr>
          <w:snapToGrid w:val="0"/>
        </w:rPr>
        <w:tab/>
        <w:t>Building a database with molecular marker information for the management of variety collections</w:t>
      </w:r>
      <w:r w:rsidR="00932AF1">
        <w:rPr>
          <w:rStyle w:val="FootnoteReference"/>
          <w:snapToGrid w:val="0"/>
        </w:rPr>
        <w:footnoteReference w:id="2"/>
      </w:r>
      <w:r w:rsidRPr="002F2F31">
        <w:rPr>
          <w:snapToGrid w:val="0"/>
        </w:rPr>
        <w:t xml:space="preserve"> (document</w:t>
      </w:r>
      <w:r w:rsidR="007F3D00">
        <w:rPr>
          <w:snapToGrid w:val="0"/>
        </w:rPr>
        <w:t xml:space="preserve"> TWC/37/6</w:t>
      </w:r>
      <w:r w:rsidRPr="002F2F31">
        <w:rPr>
          <w:snapToGrid w:val="0"/>
        </w:rPr>
        <w:t>)</w:t>
      </w:r>
    </w:p>
    <w:p w14:paraId="7B590BDA" w14:textId="4AB53639" w:rsidR="002F2F31" w:rsidRPr="002F2F31" w:rsidRDefault="002F2F31" w:rsidP="00704F95">
      <w:pPr>
        <w:spacing w:after="240"/>
        <w:ind w:left="1134" w:hanging="567"/>
        <w:rPr>
          <w:snapToGrid w:val="0"/>
        </w:rPr>
      </w:pPr>
      <w:r w:rsidRPr="002F2F31">
        <w:rPr>
          <w:snapToGrid w:val="0"/>
        </w:rPr>
        <w:t>(</w:t>
      </w:r>
      <w:r w:rsidR="00CE64C3">
        <w:rPr>
          <w:snapToGrid w:val="0"/>
        </w:rPr>
        <w:t>f</w:t>
      </w:r>
      <w:r w:rsidRPr="002F2F31">
        <w:rPr>
          <w:snapToGrid w:val="0"/>
        </w:rPr>
        <w:t>)</w:t>
      </w:r>
      <w:r w:rsidRPr="002F2F31">
        <w:rPr>
          <w:snapToGrid w:val="0"/>
        </w:rPr>
        <w:tab/>
        <w:t xml:space="preserve">Web services provided by UPOV and members of the Union (document </w:t>
      </w:r>
      <w:r w:rsidR="003329FE">
        <w:rPr>
          <w:snapToGrid w:val="0"/>
        </w:rPr>
        <w:t>TWC/37/4</w:t>
      </w:r>
      <w:r w:rsidRPr="002F2F31">
        <w:rPr>
          <w:snapToGrid w:val="0"/>
        </w:rPr>
        <w:t>)</w:t>
      </w:r>
    </w:p>
    <w:p w14:paraId="22289E30" w14:textId="77777777" w:rsidR="002F2F31" w:rsidRPr="002F2F31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Statistical methods</w:t>
      </w:r>
    </w:p>
    <w:p w14:paraId="16D438C9" w14:textId="1F14F896" w:rsidR="002F2F31" w:rsidRPr="002F2F31" w:rsidRDefault="003329FE" w:rsidP="00704F95">
      <w:pPr>
        <w:spacing w:after="240"/>
        <w:ind w:left="1134" w:hanging="567"/>
        <w:rPr>
          <w:snapToGrid w:val="0"/>
        </w:rPr>
      </w:pPr>
      <w:r w:rsidRPr="002F2F31" w:rsidDel="003329FE">
        <w:rPr>
          <w:snapToGrid w:val="0"/>
        </w:rPr>
        <w:t xml:space="preserve"> </w:t>
      </w:r>
      <w:r w:rsidR="007E6419" w:rsidRPr="002F2F31">
        <w:rPr>
          <w:snapToGrid w:val="0"/>
        </w:rPr>
        <w:t>-</w:t>
      </w:r>
      <w:r w:rsidR="007E6419" w:rsidRPr="002F2F31">
        <w:rPr>
          <w:snapToGrid w:val="0"/>
        </w:rPr>
        <w:tab/>
      </w:r>
      <w:r w:rsidR="002F2F31" w:rsidRPr="002F2F31">
        <w:rPr>
          <w:snapToGrid w:val="0"/>
        </w:rPr>
        <w:t>The Combined-Over-Years Uniformity Criterion (COYU) (document</w:t>
      </w:r>
      <w:r w:rsidR="00EB501C">
        <w:rPr>
          <w:snapToGrid w:val="0"/>
        </w:rPr>
        <w:t xml:space="preserve"> TWC/37/7</w:t>
      </w:r>
      <w:r w:rsidR="002F2F31" w:rsidRPr="002F2F31">
        <w:rPr>
          <w:snapToGrid w:val="0"/>
        </w:rPr>
        <w:t>)</w:t>
      </w:r>
    </w:p>
    <w:p w14:paraId="376D54D3" w14:textId="63E84C70" w:rsidR="002F2F31" w:rsidRDefault="00704F95" w:rsidP="003B1651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Image analysis</w:t>
      </w:r>
    </w:p>
    <w:p w14:paraId="280C02CC" w14:textId="36D085A3" w:rsidR="00AA147C" w:rsidRPr="002F2F31" w:rsidRDefault="007E6419" w:rsidP="00AA147C">
      <w:pPr>
        <w:spacing w:after="240"/>
        <w:ind w:left="1134" w:hanging="567"/>
        <w:rPr>
          <w:snapToGrid w:val="0"/>
        </w:rPr>
      </w:pPr>
      <w:r w:rsidRPr="002F2F31">
        <w:rPr>
          <w:snapToGrid w:val="0"/>
        </w:rPr>
        <w:t>-</w:t>
      </w:r>
      <w:r w:rsidRPr="002F2F31">
        <w:rPr>
          <w:snapToGrid w:val="0"/>
        </w:rPr>
        <w:tab/>
      </w:r>
      <w:r w:rsidR="00AA147C">
        <w:rPr>
          <w:snapToGrid w:val="0"/>
        </w:rPr>
        <w:t>Development and innovation of DUS tools</w:t>
      </w:r>
      <w:r w:rsidR="00AA147C" w:rsidRPr="002F2F31">
        <w:rPr>
          <w:snapToGrid w:val="0"/>
        </w:rPr>
        <w:t xml:space="preserve"> (</w:t>
      </w:r>
      <w:r w:rsidR="00AA147C" w:rsidRPr="008D0FB7">
        <w:rPr>
          <w:rFonts w:cs="Arial"/>
          <w:color w:val="000000" w:themeColor="text1"/>
        </w:rPr>
        <w:t>document TW</w:t>
      </w:r>
      <w:r w:rsidR="002E5CED">
        <w:rPr>
          <w:rFonts w:cs="Arial"/>
          <w:color w:val="000000" w:themeColor="text1"/>
        </w:rPr>
        <w:t>C</w:t>
      </w:r>
      <w:r w:rsidR="00AA147C" w:rsidRPr="008D0FB7">
        <w:rPr>
          <w:rFonts w:cs="Arial"/>
          <w:color w:val="000000" w:themeColor="text1"/>
        </w:rPr>
        <w:t>/</w:t>
      </w:r>
      <w:r w:rsidR="002E5CED">
        <w:rPr>
          <w:rFonts w:cs="Arial"/>
          <w:color w:val="000000" w:themeColor="text1"/>
        </w:rPr>
        <w:t>37</w:t>
      </w:r>
      <w:r w:rsidR="00AA147C" w:rsidRPr="008D0FB7">
        <w:rPr>
          <w:rFonts w:cs="Arial"/>
          <w:color w:val="000000" w:themeColor="text1"/>
        </w:rPr>
        <w:t>/</w:t>
      </w:r>
      <w:r w:rsidR="00AA147C">
        <w:rPr>
          <w:rFonts w:cs="Arial"/>
          <w:color w:val="000000" w:themeColor="text1"/>
        </w:rPr>
        <w:t>9</w:t>
      </w:r>
      <w:r w:rsidR="00AA147C" w:rsidRPr="002F2F31">
        <w:rPr>
          <w:snapToGrid w:val="0"/>
        </w:rPr>
        <w:t>)</w:t>
      </w:r>
    </w:p>
    <w:p w14:paraId="785C03AE" w14:textId="77777777" w:rsidR="008A17F9" w:rsidRPr="00A92C74" w:rsidRDefault="008A17F9" w:rsidP="008A17F9">
      <w:pPr>
        <w:spacing w:after="240"/>
        <w:rPr>
          <w:rFonts w:cs="Arial"/>
          <w:color w:val="333333"/>
          <w:shd w:val="clear" w:color="auto" w:fill="FFFFFF"/>
        </w:rPr>
      </w:pPr>
      <w:r>
        <w:rPr>
          <w:snapToGrid w:val="0"/>
        </w:rPr>
        <w:fldChar w:fldCharType="begin"/>
      </w:r>
      <w:r w:rsidRPr="008A17F9"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8A17F9">
        <w:rPr>
          <w:snapToGrid w:val="0"/>
        </w:rPr>
        <w:tab/>
      </w:r>
      <w:r w:rsidRPr="008D0FB7">
        <w:rPr>
          <w:rFonts w:cs="Arial"/>
          <w:color w:val="333333"/>
          <w:shd w:val="clear" w:color="auto" w:fill="FFFFFF"/>
        </w:rPr>
        <w:t>Differences in notes for the assessment of distinctness</w:t>
      </w:r>
      <w:r w:rsidRPr="008A17F9">
        <w:rPr>
          <w:snapToGrid w:val="0"/>
          <w:vertAlign w:val="superscript"/>
        </w:rPr>
        <w:t xml:space="preserve"> </w:t>
      </w:r>
      <w:r w:rsidRPr="008A17F9">
        <w:rPr>
          <w:snapToGrid w:val="0"/>
        </w:rPr>
        <w:t>(document</w:t>
      </w:r>
      <w:r w:rsidRPr="008A17F9">
        <w:rPr>
          <w:rFonts w:cs="Arial"/>
          <w:color w:val="333333"/>
          <w:shd w:val="clear" w:color="auto" w:fill="FFFFFF"/>
        </w:rPr>
        <w:t xml:space="preserve"> TWP/3/13</w:t>
      </w:r>
      <w:r w:rsidRPr="008A17F9">
        <w:rPr>
          <w:snapToGrid w:val="0"/>
        </w:rPr>
        <w:t>)</w:t>
      </w:r>
    </w:p>
    <w:p w14:paraId="7D063307" w14:textId="55494FE2" w:rsidR="002F2F31" w:rsidRPr="002F2F31" w:rsidRDefault="00704F95" w:rsidP="00704F95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 xml:space="preserve">Experience with using two locations by one year for DUS decisions (document </w:t>
      </w:r>
      <w:r w:rsidR="002E5CED">
        <w:rPr>
          <w:snapToGrid w:val="0"/>
        </w:rPr>
        <w:t>TWC/37/10</w:t>
      </w:r>
      <w:r w:rsidR="002F2F31" w:rsidRPr="002F2F31">
        <w:rPr>
          <w:snapToGrid w:val="0"/>
        </w:rPr>
        <w:t>)</w:t>
      </w:r>
    </w:p>
    <w:p w14:paraId="5DA49AB7" w14:textId="59FDFA85" w:rsidR="002F2F31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Molecular Techniques (</w:t>
      </w:r>
      <w:r w:rsidR="008A17F9" w:rsidRPr="002F2F31">
        <w:rPr>
          <w:snapToGrid w:val="0"/>
        </w:rPr>
        <w:t xml:space="preserve">document </w:t>
      </w:r>
      <w:r w:rsidR="008A17F9">
        <w:rPr>
          <w:rFonts w:cs="Arial"/>
        </w:rPr>
        <w:t>TWP/3/7</w:t>
      </w:r>
      <w:r w:rsidR="002F2F31" w:rsidRPr="002F2F31">
        <w:rPr>
          <w:snapToGrid w:val="0"/>
        </w:rPr>
        <w:t>)</w:t>
      </w:r>
    </w:p>
    <w:p w14:paraId="0ED03ED7" w14:textId="77777777" w:rsidR="00FF25F6" w:rsidRPr="002F2F31" w:rsidRDefault="00FF25F6" w:rsidP="00FF25F6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8D0FB7">
        <w:rPr>
          <w:rFonts w:cs="Arial"/>
          <w:color w:val="333333"/>
          <w:shd w:val="clear" w:color="auto" w:fill="FFFFFF"/>
        </w:rPr>
        <w:t>Cooperation in examination</w:t>
      </w:r>
      <w:r w:rsidRPr="002F2F31">
        <w:rPr>
          <w:snapToGrid w:val="0"/>
        </w:rPr>
        <w:t xml:space="preserve"> (document </w:t>
      </w:r>
      <w:r>
        <w:rPr>
          <w:rFonts w:cs="Arial"/>
        </w:rPr>
        <w:t>TWP/3/14</w:t>
      </w:r>
      <w:r w:rsidRPr="002F2F31">
        <w:rPr>
          <w:snapToGrid w:val="0"/>
        </w:rPr>
        <w:t>)</w:t>
      </w:r>
    </w:p>
    <w:p w14:paraId="66078835" w14:textId="77777777" w:rsidR="00FF25F6" w:rsidRPr="002F2F31" w:rsidRDefault="00FF25F6" w:rsidP="00FF25F6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7E7685">
        <w:t>Guidance for drafters of Test Guidelines</w:t>
      </w:r>
      <w:r w:rsidRPr="002F2F31">
        <w:rPr>
          <w:snapToGrid w:val="0"/>
        </w:rPr>
        <w:t xml:space="preserve"> (document </w:t>
      </w:r>
      <w:r>
        <w:rPr>
          <w:rFonts w:cs="Arial"/>
        </w:rPr>
        <w:t>TWP/3/8</w:t>
      </w:r>
      <w:r w:rsidRPr="002F2F31">
        <w:rPr>
          <w:snapToGrid w:val="0"/>
        </w:rPr>
        <w:t>)</w:t>
      </w:r>
    </w:p>
    <w:p w14:paraId="4A014BBE" w14:textId="77777777" w:rsidR="002F2F31" w:rsidRPr="002F2F31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Date and place of the next session</w:t>
      </w:r>
    </w:p>
    <w:p w14:paraId="2EC3A6D8" w14:textId="77777777" w:rsidR="002F2F31" w:rsidRPr="002F2F31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Future program</w:t>
      </w:r>
    </w:p>
    <w:p w14:paraId="22E478BF" w14:textId="77777777" w:rsidR="002F2F31" w:rsidRPr="0041579C" w:rsidRDefault="00704F95" w:rsidP="00704F95">
      <w:pPr>
        <w:spacing w:after="240"/>
        <w:rPr>
          <w:rFonts w:eastAsiaTheme="minorEastAsia"/>
          <w:snapToGrid w:val="0"/>
          <w:lang w:eastAsia="ja-JP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Adoption of the Report on the session (if time permits)</w:t>
      </w:r>
    </w:p>
    <w:p w14:paraId="31F90DC8" w14:textId="77777777" w:rsidR="00050E16" w:rsidRPr="00C5280D" w:rsidRDefault="00704F95" w:rsidP="00704F95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2F2F31" w:rsidRPr="002F2F31">
        <w:rPr>
          <w:snapToGrid w:val="0"/>
        </w:rPr>
        <w:t>Closing of the session</w:t>
      </w:r>
    </w:p>
    <w:p w14:paraId="3A9275B1" w14:textId="77777777" w:rsidR="00050E16" w:rsidRDefault="00050E16" w:rsidP="00050E16"/>
    <w:p w14:paraId="1FB9DE72" w14:textId="77777777" w:rsidR="00A92C74" w:rsidRDefault="00A92C74" w:rsidP="00050E16"/>
    <w:p w14:paraId="38977868" w14:textId="77777777" w:rsidR="00A92C74" w:rsidRDefault="00A92C74" w:rsidP="00050E16"/>
    <w:p w14:paraId="25F30214" w14:textId="77777777" w:rsidR="00050E16" w:rsidRPr="00C5280D" w:rsidRDefault="00050E16" w:rsidP="00FF25F6">
      <w:pPr>
        <w:jc w:val="right"/>
      </w:pPr>
      <w:r w:rsidRPr="00C5280D">
        <w:t xml:space="preserve"> [End of document]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7CAD5" w14:textId="77777777" w:rsidR="00CB08B1" w:rsidRDefault="00CB08B1" w:rsidP="006655D3">
      <w:r>
        <w:separator/>
      </w:r>
    </w:p>
    <w:p w14:paraId="573D2292" w14:textId="77777777" w:rsidR="00CB08B1" w:rsidRDefault="00CB08B1" w:rsidP="006655D3"/>
    <w:p w14:paraId="5F642908" w14:textId="77777777" w:rsidR="00CB08B1" w:rsidRDefault="00CB08B1" w:rsidP="006655D3"/>
  </w:endnote>
  <w:endnote w:type="continuationSeparator" w:id="0">
    <w:p w14:paraId="77AF531F" w14:textId="77777777" w:rsidR="00CB08B1" w:rsidRDefault="00CB08B1" w:rsidP="006655D3">
      <w:r>
        <w:separator/>
      </w:r>
    </w:p>
    <w:p w14:paraId="1C14B28B" w14:textId="77777777" w:rsidR="00CB08B1" w:rsidRPr="00294751" w:rsidRDefault="00CB08B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1122FB9" w14:textId="77777777" w:rsidR="00CB08B1" w:rsidRPr="00294751" w:rsidRDefault="00CB08B1" w:rsidP="006655D3">
      <w:pPr>
        <w:rPr>
          <w:lang w:val="fr-FR"/>
        </w:rPr>
      </w:pPr>
    </w:p>
    <w:p w14:paraId="11BDB303" w14:textId="77777777" w:rsidR="00CB08B1" w:rsidRPr="00294751" w:rsidRDefault="00CB08B1" w:rsidP="006655D3">
      <w:pPr>
        <w:rPr>
          <w:lang w:val="fr-FR"/>
        </w:rPr>
      </w:pPr>
    </w:p>
  </w:endnote>
  <w:endnote w:type="continuationNotice" w:id="1">
    <w:p w14:paraId="6BDC5761" w14:textId="77777777" w:rsidR="00CB08B1" w:rsidRPr="00294751" w:rsidRDefault="00CB08B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F110CE9" w14:textId="77777777" w:rsidR="00CB08B1" w:rsidRPr="00294751" w:rsidRDefault="00CB08B1" w:rsidP="006655D3">
      <w:pPr>
        <w:rPr>
          <w:lang w:val="fr-FR"/>
        </w:rPr>
      </w:pPr>
    </w:p>
    <w:p w14:paraId="4C293D68" w14:textId="77777777" w:rsidR="00CB08B1" w:rsidRPr="00294751" w:rsidRDefault="00CB08B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6F94E" w14:textId="77777777" w:rsidR="00CB08B1" w:rsidRDefault="00CB08B1" w:rsidP="006655D3">
      <w:r>
        <w:separator/>
      </w:r>
    </w:p>
  </w:footnote>
  <w:footnote w:type="continuationSeparator" w:id="0">
    <w:p w14:paraId="02A32BBA" w14:textId="77777777" w:rsidR="00CB08B1" w:rsidRDefault="00CB08B1" w:rsidP="006655D3">
      <w:r>
        <w:separator/>
      </w:r>
    </w:p>
  </w:footnote>
  <w:footnote w:type="continuationNotice" w:id="1">
    <w:p w14:paraId="19A288C1" w14:textId="77777777" w:rsidR="00CB08B1" w:rsidRPr="00AB530F" w:rsidRDefault="00CB08B1" w:rsidP="00AB530F">
      <w:pPr>
        <w:pStyle w:val="Footer"/>
      </w:pPr>
    </w:p>
  </w:footnote>
  <w:footnote w:id="2">
    <w:p w14:paraId="774A707D" w14:textId="1C3935B7" w:rsidR="00932AF1" w:rsidRPr="00932AF1" w:rsidRDefault="00932AF1" w:rsidP="00932A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572C1">
        <w:t xml:space="preserve">The Technical Committee, at its fifty-fourth session, agreed that these agenda items should be considered on Wednesday, </w:t>
      </w:r>
      <w:r>
        <w:t>October 16,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A8F02" w14:textId="4CC30861" w:rsidR="00182B99" w:rsidRPr="00C5280D" w:rsidRDefault="001631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TWC/37</w:t>
    </w:r>
    <w:r w:rsidR="00667404">
      <w:rPr>
        <w:rStyle w:val="PageNumber"/>
        <w:lang w:val="en-US"/>
      </w:rPr>
      <w:t>/</w:t>
    </w:r>
    <w:r w:rsidR="002F2F31">
      <w:rPr>
        <w:rStyle w:val="PageNumber"/>
        <w:lang w:val="en-US"/>
      </w:rPr>
      <w:t>1</w:t>
    </w:r>
    <w:r w:rsidR="003B1651">
      <w:rPr>
        <w:rStyle w:val="PageNumber"/>
        <w:lang w:val="en-US"/>
      </w:rPr>
      <w:t xml:space="preserve"> Rev.</w:t>
    </w:r>
  </w:p>
  <w:p w14:paraId="0F0D0736" w14:textId="71313C50"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A700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1DA6109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C6"/>
    <w:rsid w:val="000041C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CB7"/>
    <w:rsid w:val="000C4E25"/>
    <w:rsid w:val="000C7021"/>
    <w:rsid w:val="000D6BBC"/>
    <w:rsid w:val="000D7780"/>
    <w:rsid w:val="000E636A"/>
    <w:rsid w:val="000F0366"/>
    <w:rsid w:val="000F219F"/>
    <w:rsid w:val="000F2F11"/>
    <w:rsid w:val="00105929"/>
    <w:rsid w:val="00110C36"/>
    <w:rsid w:val="001131D5"/>
    <w:rsid w:val="001132F2"/>
    <w:rsid w:val="00141DB8"/>
    <w:rsid w:val="0016315A"/>
    <w:rsid w:val="00172084"/>
    <w:rsid w:val="0017474A"/>
    <w:rsid w:val="001758C6"/>
    <w:rsid w:val="00182B99"/>
    <w:rsid w:val="001D6303"/>
    <w:rsid w:val="0021332C"/>
    <w:rsid w:val="00213982"/>
    <w:rsid w:val="0024416D"/>
    <w:rsid w:val="00255F95"/>
    <w:rsid w:val="00271911"/>
    <w:rsid w:val="002800A0"/>
    <w:rsid w:val="002801B3"/>
    <w:rsid w:val="00281060"/>
    <w:rsid w:val="002940E8"/>
    <w:rsid w:val="00294751"/>
    <w:rsid w:val="002A60E9"/>
    <w:rsid w:val="002A6E50"/>
    <w:rsid w:val="002B4298"/>
    <w:rsid w:val="002C256A"/>
    <w:rsid w:val="002E5CED"/>
    <w:rsid w:val="002F2F31"/>
    <w:rsid w:val="0030571C"/>
    <w:rsid w:val="00305A7F"/>
    <w:rsid w:val="003152FE"/>
    <w:rsid w:val="00327436"/>
    <w:rsid w:val="003329FE"/>
    <w:rsid w:val="00335389"/>
    <w:rsid w:val="00344BD6"/>
    <w:rsid w:val="00351473"/>
    <w:rsid w:val="0035528D"/>
    <w:rsid w:val="00361821"/>
    <w:rsid w:val="00361E9E"/>
    <w:rsid w:val="00370BF0"/>
    <w:rsid w:val="00386B7F"/>
    <w:rsid w:val="003B1651"/>
    <w:rsid w:val="003C7FBE"/>
    <w:rsid w:val="003D227C"/>
    <w:rsid w:val="003D2B4D"/>
    <w:rsid w:val="0041579C"/>
    <w:rsid w:val="00416F2B"/>
    <w:rsid w:val="004343F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01F3C"/>
    <w:rsid w:val="00512164"/>
    <w:rsid w:val="00520297"/>
    <w:rsid w:val="00521888"/>
    <w:rsid w:val="005338F9"/>
    <w:rsid w:val="0054281C"/>
    <w:rsid w:val="00544581"/>
    <w:rsid w:val="0055268D"/>
    <w:rsid w:val="00576BE4"/>
    <w:rsid w:val="00581296"/>
    <w:rsid w:val="005A400A"/>
    <w:rsid w:val="005F7B92"/>
    <w:rsid w:val="006066DA"/>
    <w:rsid w:val="00612379"/>
    <w:rsid w:val="006153B6"/>
    <w:rsid w:val="0061555F"/>
    <w:rsid w:val="00621302"/>
    <w:rsid w:val="00636CA6"/>
    <w:rsid w:val="00641200"/>
    <w:rsid w:val="006655D3"/>
    <w:rsid w:val="00667404"/>
    <w:rsid w:val="006748F1"/>
    <w:rsid w:val="00687EB4"/>
    <w:rsid w:val="00695C56"/>
    <w:rsid w:val="00696621"/>
    <w:rsid w:val="006A5CDE"/>
    <w:rsid w:val="006A644A"/>
    <w:rsid w:val="006B17D2"/>
    <w:rsid w:val="006C224E"/>
    <w:rsid w:val="006D780A"/>
    <w:rsid w:val="006D7A71"/>
    <w:rsid w:val="006E6141"/>
    <w:rsid w:val="00704F95"/>
    <w:rsid w:val="00707BFA"/>
    <w:rsid w:val="0071271E"/>
    <w:rsid w:val="007208A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6419"/>
    <w:rsid w:val="007F3D00"/>
    <w:rsid w:val="007F498F"/>
    <w:rsid w:val="0080679D"/>
    <w:rsid w:val="008108B0"/>
    <w:rsid w:val="00811B20"/>
    <w:rsid w:val="008211B5"/>
    <w:rsid w:val="0082296E"/>
    <w:rsid w:val="00824099"/>
    <w:rsid w:val="0083109D"/>
    <w:rsid w:val="00846D7C"/>
    <w:rsid w:val="00860A1D"/>
    <w:rsid w:val="00867AC1"/>
    <w:rsid w:val="008843FD"/>
    <w:rsid w:val="00890DF8"/>
    <w:rsid w:val="008A17F9"/>
    <w:rsid w:val="008A743F"/>
    <w:rsid w:val="008C0970"/>
    <w:rsid w:val="008D0BC5"/>
    <w:rsid w:val="008D2CF7"/>
    <w:rsid w:val="00900C26"/>
    <w:rsid w:val="0090197F"/>
    <w:rsid w:val="00906DDC"/>
    <w:rsid w:val="0090737C"/>
    <w:rsid w:val="00932AF1"/>
    <w:rsid w:val="00934E09"/>
    <w:rsid w:val="00936253"/>
    <w:rsid w:val="00940D46"/>
    <w:rsid w:val="00952DD4"/>
    <w:rsid w:val="009572C1"/>
    <w:rsid w:val="00965AE7"/>
    <w:rsid w:val="00970FED"/>
    <w:rsid w:val="00992D82"/>
    <w:rsid w:val="00997029"/>
    <w:rsid w:val="009A7339"/>
    <w:rsid w:val="009B440E"/>
    <w:rsid w:val="009D690D"/>
    <w:rsid w:val="009E65B6"/>
    <w:rsid w:val="00A17FB7"/>
    <w:rsid w:val="00A20E54"/>
    <w:rsid w:val="00A24C10"/>
    <w:rsid w:val="00A25735"/>
    <w:rsid w:val="00A42AC3"/>
    <w:rsid w:val="00A430CF"/>
    <w:rsid w:val="00A54309"/>
    <w:rsid w:val="00A73C7F"/>
    <w:rsid w:val="00A92C74"/>
    <w:rsid w:val="00AA147C"/>
    <w:rsid w:val="00AB0D96"/>
    <w:rsid w:val="00AB2B93"/>
    <w:rsid w:val="00AB530F"/>
    <w:rsid w:val="00AB7E5B"/>
    <w:rsid w:val="00AC2883"/>
    <w:rsid w:val="00AC45C6"/>
    <w:rsid w:val="00AC614C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7006"/>
    <w:rsid w:val="00BC127D"/>
    <w:rsid w:val="00BC1FE6"/>
    <w:rsid w:val="00BC4E22"/>
    <w:rsid w:val="00C061B6"/>
    <w:rsid w:val="00C2446C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922A5"/>
    <w:rsid w:val="00C973F2"/>
    <w:rsid w:val="00CA304C"/>
    <w:rsid w:val="00CA774A"/>
    <w:rsid w:val="00CB08B1"/>
    <w:rsid w:val="00CC11B0"/>
    <w:rsid w:val="00CC2841"/>
    <w:rsid w:val="00CD3822"/>
    <w:rsid w:val="00CE64C3"/>
    <w:rsid w:val="00CF1330"/>
    <w:rsid w:val="00CF49AB"/>
    <w:rsid w:val="00CF7E36"/>
    <w:rsid w:val="00D3708D"/>
    <w:rsid w:val="00D40426"/>
    <w:rsid w:val="00D57C96"/>
    <w:rsid w:val="00D57D18"/>
    <w:rsid w:val="00D72D2E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6D61"/>
    <w:rsid w:val="00DD0019"/>
    <w:rsid w:val="00E07D87"/>
    <w:rsid w:val="00E32F7E"/>
    <w:rsid w:val="00E5267B"/>
    <w:rsid w:val="00E70039"/>
    <w:rsid w:val="00E72D49"/>
    <w:rsid w:val="00E7593C"/>
    <w:rsid w:val="00E7678A"/>
    <w:rsid w:val="00E935F1"/>
    <w:rsid w:val="00E93909"/>
    <w:rsid w:val="00E94A81"/>
    <w:rsid w:val="00E95140"/>
    <w:rsid w:val="00EA1FFB"/>
    <w:rsid w:val="00EB048E"/>
    <w:rsid w:val="00EB4E9C"/>
    <w:rsid w:val="00EB501C"/>
    <w:rsid w:val="00EC481C"/>
    <w:rsid w:val="00EE1AFA"/>
    <w:rsid w:val="00EE34DF"/>
    <w:rsid w:val="00EF2F89"/>
    <w:rsid w:val="00F03E98"/>
    <w:rsid w:val="00F1237A"/>
    <w:rsid w:val="00F22CBD"/>
    <w:rsid w:val="00F272F1"/>
    <w:rsid w:val="00F3599F"/>
    <w:rsid w:val="00F45372"/>
    <w:rsid w:val="00F560F7"/>
    <w:rsid w:val="00F6334D"/>
    <w:rsid w:val="00F85B69"/>
    <w:rsid w:val="00FA49AB"/>
    <w:rsid w:val="00FE1286"/>
    <w:rsid w:val="00FE39C7"/>
    <w:rsid w:val="00FE3C3E"/>
    <w:rsid w:val="00FF25F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EAB564"/>
  <w15:docId w15:val="{0B371466-59ED-4AE6-8872-C4D43791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32A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932AF1"/>
    <w:rPr>
      <w:rFonts w:ascii="Arial" w:hAnsi="Arial"/>
      <w:sz w:val="16"/>
    </w:rPr>
  </w:style>
  <w:style w:type="paragraph" w:customStyle="1" w:styleId="indentpara">
    <w:name w:val="indentpara"/>
    <w:basedOn w:val="Normal"/>
    <w:rsid w:val="008A17F9"/>
    <w:pPr>
      <w:numPr>
        <w:numId w:val="1"/>
      </w:numPr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FE3C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3C3E"/>
  </w:style>
  <w:style w:type="character" w:customStyle="1" w:styleId="CommentTextChar">
    <w:name w:val="Comment Text Char"/>
    <w:basedOn w:val="DefaultParagraphFont"/>
    <w:link w:val="CommentText"/>
    <w:semiHidden/>
    <w:rsid w:val="00FE3C3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C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7\template\TWC_3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31F7-4265-40EC-9417-7BDEBB90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TWC_37</Template>
  <TotalTime>0</TotalTime>
  <Pages>2</Pages>
  <Words>387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MOTOMURA Tomochika</dc:creator>
  <cp:lastModifiedBy>MAY Jessica</cp:lastModifiedBy>
  <cp:revision>9</cp:revision>
  <cp:lastPrinted>2019-10-02T07:04:00Z</cp:lastPrinted>
  <dcterms:created xsi:type="dcterms:W3CDTF">2019-10-01T18:12:00Z</dcterms:created>
  <dcterms:modified xsi:type="dcterms:W3CDTF">2019-10-07T08:56:00Z</dcterms:modified>
</cp:coreProperties>
</file>