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0041C4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343F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343FD">
              <w:rPr>
                <w:b w:val="0"/>
                <w:spacing w:val="0"/>
              </w:rPr>
              <w:t>June</w:t>
            </w:r>
            <w:r w:rsidR="000041C4">
              <w:rPr>
                <w:b w:val="0"/>
                <w:spacing w:val="0"/>
              </w:rPr>
              <w:t xml:space="preserve"> </w:t>
            </w:r>
            <w:r w:rsidR="004343FD">
              <w:rPr>
                <w:b w:val="0"/>
                <w:spacing w:val="0"/>
              </w:rPr>
              <w:t>4</w:t>
            </w:r>
            <w:r w:rsidRPr="000041C4">
              <w:rPr>
                <w:b w:val="0"/>
                <w:spacing w:val="0"/>
              </w:rPr>
              <w:t>, 201</w:t>
            </w:r>
            <w:r w:rsidR="0016315A" w:rsidRPr="000041C4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0041C4" w:rsidP="006A644A">
      <w:pPr>
        <w:pStyle w:val="Titleofdoc0"/>
      </w:pPr>
      <w:bookmarkStart w:id="0" w:name="TitleOfDoc"/>
      <w:bookmarkEnd w:id="0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04F95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Opening of the s</w:t>
      </w:r>
      <w:r w:rsidR="002F2F31" w:rsidRPr="002F2F31">
        <w:rPr>
          <w:snapToGrid w:val="0"/>
        </w:rPr>
        <w:t>ession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Adoption of the agenda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Short reports on developments in plant variety protection</w:t>
      </w:r>
    </w:p>
    <w:p w:rsidR="002F2F31" w:rsidRPr="002F2F31" w:rsidRDefault="002F2F31" w:rsidP="00704F95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>Reports from members and observers (written reports to be prepared by members and observers)</w:t>
      </w:r>
    </w:p>
    <w:p w:rsidR="002F2F31" w:rsidRPr="002F2F31" w:rsidRDefault="002F2F31" w:rsidP="00704F95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>Report on developments within UPOV (document to be prepared by the Office of the Union)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 xml:space="preserve">Variety denominations (document </w:t>
      </w:r>
      <w:r w:rsidR="006748F1">
        <w:rPr>
          <w:snapToGrid w:val="0"/>
        </w:rPr>
        <w:t>TWP/3/6</w:t>
      </w:r>
      <w:r w:rsidR="002F2F31" w:rsidRPr="002F2F31">
        <w:rPr>
          <w:snapToGrid w:val="0"/>
        </w:rPr>
        <w:t>)</w:t>
      </w:r>
    </w:p>
    <w:p w:rsid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TGP documents (document</w:t>
      </w:r>
      <w:r w:rsidR="006748F1" w:rsidRPr="002F2F31">
        <w:rPr>
          <w:snapToGrid w:val="0"/>
        </w:rPr>
        <w:t xml:space="preserve"> </w:t>
      </w:r>
      <w:r w:rsidR="006748F1">
        <w:rPr>
          <w:snapToGrid w:val="0"/>
        </w:rPr>
        <w:t>TWP/3/1</w:t>
      </w:r>
      <w:r w:rsidR="0041579C">
        <w:rPr>
          <w:snapToGrid w:val="0"/>
        </w:rPr>
        <w:t xml:space="preserve"> Rev.</w:t>
      </w:r>
      <w:r w:rsidR="002F2F31" w:rsidRPr="002F2F31">
        <w:rPr>
          <w:snapToGrid w:val="0"/>
        </w:rPr>
        <w:t>)</w:t>
      </w:r>
    </w:p>
    <w:p w:rsidR="006748F1" w:rsidRPr="00FB571F" w:rsidRDefault="006748F1" w:rsidP="006748F1">
      <w:pPr>
        <w:spacing w:after="120"/>
        <w:ind w:left="567"/>
        <w:rPr>
          <w:i/>
        </w:rPr>
      </w:pPr>
      <w:bookmarkStart w:id="2" w:name="_Toc512250116"/>
      <w:bookmarkStart w:id="3" w:name="_Toc533581076"/>
      <w:r w:rsidRPr="00FB571F">
        <w:rPr>
          <w:i/>
        </w:rPr>
        <w:t>TGP/7: Development of Test Guidelines</w:t>
      </w:r>
      <w:bookmarkEnd w:id="2"/>
      <w:bookmarkEnd w:id="3"/>
    </w:p>
    <w:p w:rsidR="006748F1" w:rsidRPr="00FB571F" w:rsidRDefault="006748F1" w:rsidP="006748F1">
      <w:pPr>
        <w:ind w:left="567" w:firstLine="567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Characteristics which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:rsidR="006748F1" w:rsidRDefault="006748F1" w:rsidP="006748F1">
      <w:pPr>
        <w:ind w:left="567"/>
        <w:rPr>
          <w:i/>
        </w:rPr>
      </w:pPr>
      <w:bookmarkStart w:id="4" w:name="_Toc533581078"/>
    </w:p>
    <w:p w:rsidR="006748F1" w:rsidRPr="00FB571F" w:rsidRDefault="006748F1" w:rsidP="006748F1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4"/>
    </w:p>
    <w:p w:rsidR="006748F1" w:rsidRDefault="006748F1" w:rsidP="006748F1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Data Processing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documents TWP/3/10</w:t>
      </w:r>
      <w:r w:rsidRPr="00441DF7">
        <w:rPr>
          <w:rFonts w:cs="Arial"/>
          <w:color w:val="000000" w:themeColor="text1"/>
        </w:rPr>
        <w:t>)</w:t>
      </w:r>
    </w:p>
    <w:p w:rsidR="006748F1" w:rsidRPr="00FB571F" w:rsidRDefault="006748F1" w:rsidP="006748F1">
      <w:pPr>
        <w:ind w:left="1134"/>
        <w:rPr>
          <w:rFonts w:cs="Arial"/>
          <w:color w:val="000000" w:themeColor="text1"/>
        </w:rPr>
      </w:pPr>
    </w:p>
    <w:p w:rsidR="006748F1" w:rsidRPr="00FB571F" w:rsidRDefault="006748F1" w:rsidP="006748F1">
      <w:pPr>
        <w:spacing w:after="120"/>
        <w:ind w:left="567"/>
        <w:rPr>
          <w:i/>
        </w:rPr>
      </w:pPr>
      <w:bookmarkStart w:id="5" w:name="_Toc533581081"/>
      <w:r w:rsidRPr="00FB571F">
        <w:rPr>
          <w:i/>
        </w:rPr>
        <w:t>TGP/14: Glossary of Terms Used in UPOV Documents</w:t>
      </w:r>
      <w:bookmarkEnd w:id="5"/>
    </w:p>
    <w:p w:rsidR="006748F1" w:rsidRPr="00FB571F" w:rsidRDefault="006748F1" w:rsidP="006748F1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</w:t>
      </w:r>
      <w:proofErr w:type="spellStart"/>
      <w:r>
        <w:rPr>
          <w:rFonts w:cs="Arial"/>
          <w:color w:val="000000" w:themeColor="text1"/>
        </w:rPr>
        <w:t>Colour</w:t>
      </w:r>
      <w:proofErr w:type="spellEnd"/>
      <w:r>
        <w:rPr>
          <w:rFonts w:cs="Arial"/>
          <w:color w:val="000000" w:themeColor="text1"/>
        </w:rPr>
        <w:t xml:space="preserve">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6748F1" w:rsidRPr="00FB571F" w:rsidRDefault="006748F1" w:rsidP="006748F1">
      <w:pPr>
        <w:ind w:left="567"/>
        <w:rPr>
          <w:rFonts w:cs="Arial"/>
          <w:color w:val="000000" w:themeColor="text1"/>
        </w:rPr>
      </w:pPr>
    </w:p>
    <w:p w:rsidR="006748F1" w:rsidRPr="00FB571F" w:rsidRDefault="006748F1" w:rsidP="006748F1">
      <w:pPr>
        <w:spacing w:after="120"/>
        <w:ind w:left="567"/>
        <w:rPr>
          <w:i/>
        </w:rPr>
      </w:pPr>
      <w:bookmarkStart w:id="6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6"/>
      <w:r w:rsidRPr="00FB571F">
        <w:rPr>
          <w:i/>
        </w:rPr>
        <w:t xml:space="preserve"> </w:t>
      </w:r>
    </w:p>
    <w:p w:rsidR="006748F1" w:rsidRDefault="006748F1" w:rsidP="006748F1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:rsidR="00521888" w:rsidRPr="001F4F7C" w:rsidRDefault="00521888" w:rsidP="00521888"/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 xml:space="preserve">Assessing Uniformity by Off-Types: 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-</w:t>
      </w:r>
      <w:r w:rsidRPr="002F2F31">
        <w:rPr>
          <w:snapToGrid w:val="0"/>
        </w:rPr>
        <w:tab/>
        <w:t>Risks associated with assessment of uniformity by off-types on the basis of more than one growing cycle (document to be prepared by Germany and the United Kingdom)</w:t>
      </w:r>
      <w:r w:rsidRPr="002F2F31">
        <w:rPr>
          <w:i/>
          <w:snapToGrid w:val="0"/>
        </w:rPr>
        <w:t xml:space="preserve"> </w:t>
      </w:r>
    </w:p>
    <w:p w:rsidR="002F2F31" w:rsidRDefault="00704F95" w:rsidP="00704F95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Effect of genotype-by-environment interaction in the production of variety descriptions (document to be prepared by Italy and Finland and documents invited)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Software, Information and databases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>UPOV information databases (</w:t>
      </w:r>
      <w:r w:rsidR="006748F1" w:rsidRPr="008D0FB7">
        <w:rPr>
          <w:rFonts w:cs="Arial"/>
          <w:color w:val="000000" w:themeColor="text1"/>
        </w:rPr>
        <w:t>documents TWP/3/4 and TWP/3/4 Add.</w:t>
      </w:r>
      <w:r w:rsidRPr="002F2F31">
        <w:rPr>
          <w:snapToGrid w:val="0"/>
        </w:rPr>
        <w:t>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>Variety description databases</w:t>
      </w:r>
      <w:r w:rsidR="009572C1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</w:t>
      </w:r>
      <w:r w:rsidR="006748F1">
        <w:rPr>
          <w:rFonts w:cs="Arial"/>
          <w:color w:val="000000" w:themeColor="text1"/>
        </w:rPr>
        <w:t>document TWP/3/2</w:t>
      </w:r>
      <w:r w:rsidR="006748F1" w:rsidRPr="007E7685">
        <w:rPr>
          <w:rFonts w:cs="Arial"/>
        </w:rPr>
        <w:t xml:space="preserve"> </w:t>
      </w:r>
      <w:r w:rsidRPr="002F2F31">
        <w:rPr>
          <w:snapToGrid w:val="0"/>
        </w:rPr>
        <w:t>and documents invited)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lastRenderedPageBreak/>
        <w:t>(c)</w:t>
      </w:r>
      <w:r w:rsidRPr="002F2F31">
        <w:rPr>
          <w:snapToGrid w:val="0"/>
        </w:rPr>
        <w:tab/>
        <w:t>Exchange and use of software and equipment</w:t>
      </w:r>
      <w:r w:rsidR="00A92C74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(document</w:t>
      </w:r>
      <w:r w:rsidR="008A17F9" w:rsidRPr="00F1509A">
        <w:rPr>
          <w:rFonts w:cs="Arial"/>
          <w:color w:val="000000" w:themeColor="text1"/>
        </w:rPr>
        <w:t xml:space="preserve"> TWP/3/5</w:t>
      </w:r>
      <w:r w:rsidRPr="002F2F31">
        <w:rPr>
          <w:snapToGrid w:val="0"/>
        </w:rPr>
        <w:t>)</w:t>
      </w:r>
    </w:p>
    <w:p w:rsidR="002F2F31" w:rsidRPr="00F85B69" w:rsidRDefault="002F2F31" w:rsidP="00704F95">
      <w:pPr>
        <w:spacing w:after="240"/>
        <w:ind w:left="1134" w:hanging="567"/>
        <w:rPr>
          <w:snapToGrid w:val="0"/>
        </w:rPr>
      </w:pPr>
      <w:r w:rsidRPr="00F85B69">
        <w:rPr>
          <w:snapToGrid w:val="0"/>
        </w:rPr>
        <w:t>(d)</w:t>
      </w:r>
      <w:r w:rsidRPr="00F85B69">
        <w:rPr>
          <w:snapToGrid w:val="0"/>
        </w:rPr>
        <w:tab/>
      </w:r>
      <w:r w:rsidR="008A17F9" w:rsidRPr="00F85B69">
        <w:t xml:space="preserve">UPOV PRISMA </w:t>
      </w:r>
      <w:r w:rsidR="008A17F9" w:rsidRPr="00F85B69">
        <w:rPr>
          <w:rFonts w:cs="Arial"/>
        </w:rPr>
        <w:t>(</w:t>
      </w:r>
      <w:r w:rsidR="008A17F9" w:rsidRPr="00F85B69">
        <w:rPr>
          <w:rFonts w:cs="Arial"/>
          <w:color w:val="000000" w:themeColor="text1"/>
        </w:rPr>
        <w:t>document TWP/3/3</w:t>
      </w:r>
      <w:r w:rsidR="008A17F9" w:rsidRPr="00F85B69">
        <w:rPr>
          <w:rFonts w:cs="Arial"/>
        </w:rPr>
        <w:t>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(e)</w:t>
      </w:r>
      <w:r w:rsidRPr="002F2F31">
        <w:rPr>
          <w:snapToGrid w:val="0"/>
        </w:rPr>
        <w:tab/>
        <w:t>A single tool for DUS computation process</w:t>
      </w:r>
      <w:r w:rsidR="00A92C74" w:rsidRPr="000C4E25">
        <w:rPr>
          <w:rStyle w:val="FootnoteReference"/>
          <w:snapToGrid w:val="0"/>
        </w:rPr>
        <w:footnoteReference w:id="2"/>
      </w:r>
      <w:r w:rsidRPr="002F2F31">
        <w:rPr>
          <w:snapToGrid w:val="0"/>
        </w:rPr>
        <w:t xml:space="preserve"> (document to be prepared by France)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(f)</w:t>
      </w:r>
      <w:r w:rsidRPr="002F2F31">
        <w:rPr>
          <w:snapToGrid w:val="0"/>
        </w:rPr>
        <w:tab/>
        <w:t>Management of databases</w:t>
      </w:r>
      <w:r w:rsidR="00A92C74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(documents invited)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(g)</w:t>
      </w:r>
      <w:r w:rsidRPr="002F2F31">
        <w:rPr>
          <w:snapToGrid w:val="0"/>
        </w:rPr>
        <w:tab/>
        <w:t>Building a database with molecular marker information for the management of variety collections</w:t>
      </w:r>
      <w:r w:rsidR="00A92C74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(documents invited)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(h)</w:t>
      </w:r>
      <w:r w:rsidRPr="002F2F31">
        <w:rPr>
          <w:snapToGrid w:val="0"/>
        </w:rPr>
        <w:tab/>
        <w:t>Web services provided by UPOV and members of the Union (document to be prepared by the Office of the Union)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Statistical methods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 xml:space="preserve">Statistical methods and software for visually observed characteristics (document to be prepared by </w:t>
      </w:r>
      <w:bookmarkStart w:id="7" w:name="_GoBack"/>
      <w:bookmarkEnd w:id="7"/>
      <w:r w:rsidRPr="002F2F31">
        <w:rPr>
          <w:snapToGrid w:val="0"/>
        </w:rPr>
        <w:t>the United Kingdom and documents invited)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>The Combined-Over-Years Uniformity Criterion (COYU) (document to be prepared by the United Kingdom)</w:t>
      </w:r>
    </w:p>
    <w:p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(c)</w:t>
      </w:r>
      <w:r w:rsidRPr="002F2F31">
        <w:rPr>
          <w:snapToGrid w:val="0"/>
        </w:rPr>
        <w:tab/>
        <w:t>Calculated thresholds for excluding varieties of common knowledge from second growing cycle when COYD is used (document to be prepared by the United Kingdom)</w:t>
      </w:r>
    </w:p>
    <w:p w:rsid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Image analysis (documents invited)</w:t>
      </w:r>
    </w:p>
    <w:p w:rsidR="008A17F9" w:rsidRPr="00A92C74" w:rsidRDefault="008A17F9" w:rsidP="008A17F9">
      <w:pPr>
        <w:spacing w:after="240"/>
        <w:rPr>
          <w:rFonts w:cs="Arial"/>
          <w:color w:val="333333"/>
          <w:shd w:val="clear" w:color="auto" w:fill="FFFFFF"/>
        </w:rPr>
      </w:pPr>
      <w:r>
        <w:rPr>
          <w:snapToGrid w:val="0"/>
        </w:rPr>
        <w:fldChar w:fldCharType="begin"/>
      </w:r>
      <w:r w:rsidRPr="008A17F9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8A17F9">
        <w:rPr>
          <w:snapToGrid w:val="0"/>
        </w:rPr>
        <w:tab/>
      </w:r>
      <w:r w:rsidRPr="008D0FB7">
        <w:rPr>
          <w:rFonts w:cs="Arial"/>
          <w:color w:val="333333"/>
          <w:shd w:val="clear" w:color="auto" w:fill="FFFFFF"/>
        </w:rPr>
        <w:t>Differences in notes for the assessment of distinctness</w:t>
      </w:r>
      <w:r w:rsidRPr="008A17F9">
        <w:rPr>
          <w:snapToGrid w:val="0"/>
          <w:vertAlign w:val="superscript"/>
        </w:rPr>
        <w:t xml:space="preserve"> </w:t>
      </w:r>
      <w:r w:rsidRPr="008A17F9">
        <w:rPr>
          <w:snapToGrid w:val="0"/>
        </w:rPr>
        <w:t>(document</w:t>
      </w:r>
      <w:r w:rsidRPr="008A17F9">
        <w:rPr>
          <w:rFonts w:cs="Arial"/>
          <w:color w:val="333333"/>
          <w:shd w:val="clear" w:color="auto" w:fill="FFFFFF"/>
        </w:rPr>
        <w:t xml:space="preserve"> TWP/3/13</w:t>
      </w:r>
      <w:r w:rsidRPr="008A17F9">
        <w:rPr>
          <w:snapToGrid w:val="0"/>
        </w:rPr>
        <w:t>)</w:t>
      </w:r>
    </w:p>
    <w:p w:rsidR="002F2F31" w:rsidRPr="002F2F31" w:rsidRDefault="00704F95" w:rsidP="00704F95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Experience with using two locations by one year for DUS decisions (documents to be prepared by France and Kenya)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Number of growing cycles in DUS examination</w:t>
      </w:r>
    </w:p>
    <w:p w:rsidR="002F2F31" w:rsidRPr="002F2F31" w:rsidRDefault="002F2F31" w:rsidP="00704F95">
      <w:pPr>
        <w:spacing w:after="240"/>
        <w:ind w:left="1134" w:hanging="567"/>
        <w:rPr>
          <w:i/>
          <w:snapToGrid w:val="0"/>
        </w:rPr>
      </w:pPr>
      <w:r w:rsidRPr="002F2F31">
        <w:rPr>
          <w:snapToGrid w:val="0"/>
        </w:rPr>
        <w:t>-</w:t>
      </w:r>
      <w:r w:rsidRPr="002F2F31">
        <w:rPr>
          <w:snapToGrid w:val="0"/>
        </w:rPr>
        <w:tab/>
        <w:t>DNA markers as supporting information for DUS decisions in potatoes</w:t>
      </w:r>
      <w:r w:rsidR="008A17F9">
        <w:rPr>
          <w:snapToGrid w:val="0"/>
          <w:vertAlign w:val="superscript"/>
        </w:rPr>
        <w:t>3</w:t>
      </w:r>
      <w:r w:rsidRPr="002F2F31">
        <w:rPr>
          <w:snapToGrid w:val="0"/>
        </w:rPr>
        <w:t xml:space="preserve"> (document to be prepared by the Netherlands)</w:t>
      </w:r>
      <w:r w:rsidRPr="002F2F31">
        <w:rPr>
          <w:i/>
          <w:snapToGrid w:val="0"/>
        </w:rPr>
        <w:t xml:space="preserve"> 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Molecular Techniques (</w:t>
      </w:r>
      <w:r w:rsidR="008A17F9" w:rsidRPr="002F2F31">
        <w:rPr>
          <w:snapToGrid w:val="0"/>
        </w:rPr>
        <w:t xml:space="preserve">document </w:t>
      </w:r>
      <w:r w:rsidR="008A17F9">
        <w:rPr>
          <w:rFonts w:cs="Arial"/>
        </w:rPr>
        <w:t>TWP/3/7</w:t>
      </w:r>
      <w:r w:rsidR="002F2F31" w:rsidRPr="002F2F31">
        <w:rPr>
          <w:snapToGrid w:val="0"/>
        </w:rPr>
        <w:t xml:space="preserve"> and documents invited)</w:t>
      </w:r>
    </w:p>
    <w:p w:rsidR="00FF25F6" w:rsidRPr="002F2F31" w:rsidRDefault="00FF25F6" w:rsidP="00FF25F6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D0FB7">
        <w:rPr>
          <w:rFonts w:cs="Arial"/>
          <w:color w:val="333333"/>
          <w:shd w:val="clear" w:color="auto" w:fill="FFFFFF"/>
        </w:rPr>
        <w:t>Cooperation in examination</w:t>
      </w:r>
      <w:r w:rsidRPr="002F2F31">
        <w:rPr>
          <w:snapToGrid w:val="0"/>
        </w:rPr>
        <w:t xml:space="preserve"> (document </w:t>
      </w:r>
      <w:r>
        <w:rPr>
          <w:rFonts w:cs="Arial"/>
        </w:rPr>
        <w:t>TWP/3/14</w:t>
      </w:r>
      <w:r w:rsidRPr="002F2F31">
        <w:rPr>
          <w:snapToGrid w:val="0"/>
        </w:rPr>
        <w:t>)</w:t>
      </w:r>
    </w:p>
    <w:p w:rsidR="00FF25F6" w:rsidRPr="002F2F31" w:rsidRDefault="00FF25F6" w:rsidP="00FF25F6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E7685">
        <w:t>Guidance for drafters of Test Guidelines</w:t>
      </w:r>
      <w:r w:rsidRPr="002F2F31">
        <w:rPr>
          <w:snapToGrid w:val="0"/>
        </w:rPr>
        <w:t xml:space="preserve"> (document </w:t>
      </w:r>
      <w:r>
        <w:rPr>
          <w:rFonts w:cs="Arial"/>
        </w:rPr>
        <w:t>TWP/3/8</w:t>
      </w:r>
      <w:r w:rsidRPr="002F2F31">
        <w:rPr>
          <w:snapToGrid w:val="0"/>
        </w:rPr>
        <w:t>)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Date and place of the next session</w:t>
      </w:r>
    </w:p>
    <w:p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Future program</w:t>
      </w:r>
    </w:p>
    <w:p w:rsidR="002F2F31" w:rsidRPr="0041579C" w:rsidRDefault="00704F95" w:rsidP="00704F95">
      <w:pPr>
        <w:spacing w:after="240"/>
        <w:rPr>
          <w:rFonts w:eastAsiaTheme="minorEastAsia"/>
          <w:snapToGrid w:val="0"/>
          <w:lang w:eastAsia="ja-JP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Adoption of the Report on the session (if time permits)</w:t>
      </w:r>
    </w:p>
    <w:p w:rsidR="00050E16" w:rsidRPr="00C5280D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Closing of the session</w:t>
      </w:r>
    </w:p>
    <w:p w:rsidR="00050E16" w:rsidRDefault="00050E16" w:rsidP="00050E16"/>
    <w:p w:rsidR="00A92C74" w:rsidRDefault="00A92C74" w:rsidP="00050E16"/>
    <w:p w:rsidR="00A92C74" w:rsidRDefault="00A92C74" w:rsidP="00050E16"/>
    <w:p w:rsidR="00050E16" w:rsidRPr="00C5280D" w:rsidRDefault="00050E16" w:rsidP="00FF25F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66" w:rsidRDefault="000F0366" w:rsidP="006655D3">
      <w:r>
        <w:separator/>
      </w:r>
    </w:p>
    <w:p w:rsidR="000F0366" w:rsidRDefault="000F0366" w:rsidP="006655D3"/>
    <w:p w:rsidR="000F0366" w:rsidRDefault="000F0366" w:rsidP="006655D3"/>
  </w:endnote>
  <w:endnote w:type="continuationSeparator" w:id="0">
    <w:p w:rsidR="000F0366" w:rsidRDefault="000F0366" w:rsidP="006655D3">
      <w:r>
        <w:separator/>
      </w:r>
    </w:p>
    <w:p w:rsidR="000F0366" w:rsidRPr="00294751" w:rsidRDefault="000F03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F0366" w:rsidRPr="00294751" w:rsidRDefault="000F0366" w:rsidP="006655D3">
      <w:pPr>
        <w:rPr>
          <w:lang w:val="fr-FR"/>
        </w:rPr>
      </w:pPr>
    </w:p>
    <w:p w:rsidR="000F0366" w:rsidRPr="00294751" w:rsidRDefault="000F0366" w:rsidP="006655D3">
      <w:pPr>
        <w:rPr>
          <w:lang w:val="fr-FR"/>
        </w:rPr>
      </w:pPr>
    </w:p>
  </w:endnote>
  <w:endnote w:type="continuationNotice" w:id="1">
    <w:p w:rsidR="000F0366" w:rsidRPr="00294751" w:rsidRDefault="000F03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F0366" w:rsidRPr="00294751" w:rsidRDefault="000F0366" w:rsidP="006655D3">
      <w:pPr>
        <w:rPr>
          <w:lang w:val="fr-FR"/>
        </w:rPr>
      </w:pPr>
    </w:p>
    <w:p w:rsidR="000F0366" w:rsidRPr="00294751" w:rsidRDefault="000F03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66" w:rsidRDefault="000F0366" w:rsidP="006655D3">
      <w:r>
        <w:separator/>
      </w:r>
    </w:p>
  </w:footnote>
  <w:footnote w:type="continuationSeparator" w:id="0">
    <w:p w:rsidR="000F0366" w:rsidRDefault="000F0366" w:rsidP="006655D3">
      <w:r>
        <w:separator/>
      </w:r>
    </w:p>
  </w:footnote>
  <w:footnote w:type="continuationNotice" w:id="1">
    <w:p w:rsidR="000F0366" w:rsidRPr="00AB530F" w:rsidRDefault="000F0366" w:rsidP="00AB530F">
      <w:pPr>
        <w:pStyle w:val="Footer"/>
      </w:pPr>
    </w:p>
  </w:footnote>
  <w:footnote w:id="2">
    <w:p w:rsidR="00A92C74" w:rsidRPr="009D690D" w:rsidRDefault="00A92C74" w:rsidP="00A92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572C1" w:rsidRPr="009572C1">
        <w:t xml:space="preserve">The Technical Committee, at its fifty-fourth session, agreed that these agenda items should be considered on Wednesday, </w:t>
      </w:r>
      <w:r>
        <w:t>October 16,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2F2F31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5B6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6"/>
    <w:rsid w:val="000041C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CB7"/>
    <w:rsid w:val="000C4E25"/>
    <w:rsid w:val="000C7021"/>
    <w:rsid w:val="000D6BBC"/>
    <w:rsid w:val="000D7780"/>
    <w:rsid w:val="000E636A"/>
    <w:rsid w:val="000F0366"/>
    <w:rsid w:val="000F219F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2F31"/>
    <w:rsid w:val="00305A7F"/>
    <w:rsid w:val="003152FE"/>
    <w:rsid w:val="00327436"/>
    <w:rsid w:val="00335389"/>
    <w:rsid w:val="00344BD6"/>
    <w:rsid w:val="00351473"/>
    <w:rsid w:val="0035528D"/>
    <w:rsid w:val="00361821"/>
    <w:rsid w:val="00361E9E"/>
    <w:rsid w:val="00370BF0"/>
    <w:rsid w:val="003C7FBE"/>
    <w:rsid w:val="003D227C"/>
    <w:rsid w:val="003D2B4D"/>
    <w:rsid w:val="0041579C"/>
    <w:rsid w:val="004343F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21888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48F1"/>
    <w:rsid w:val="00687EB4"/>
    <w:rsid w:val="00695C56"/>
    <w:rsid w:val="006A5CDE"/>
    <w:rsid w:val="006A644A"/>
    <w:rsid w:val="006B17D2"/>
    <w:rsid w:val="006C224E"/>
    <w:rsid w:val="006D780A"/>
    <w:rsid w:val="006D7A71"/>
    <w:rsid w:val="00704F95"/>
    <w:rsid w:val="0071271E"/>
    <w:rsid w:val="007208A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17F9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572C1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92C74"/>
    <w:rsid w:val="00AB0D96"/>
    <w:rsid w:val="00AB2B93"/>
    <w:rsid w:val="00AB530F"/>
    <w:rsid w:val="00AB7E5B"/>
    <w:rsid w:val="00AC2883"/>
    <w:rsid w:val="00AC45C6"/>
    <w:rsid w:val="00AC614C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4E22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0019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5B69"/>
    <w:rsid w:val="00FA49AB"/>
    <w:rsid w:val="00FE39C7"/>
    <w:rsid w:val="00FF25F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371466-59ED-4AE6-8872-C4D4379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6748F1"/>
    <w:rPr>
      <w:rFonts w:ascii="Arial" w:hAnsi="Arial"/>
      <w:sz w:val="16"/>
    </w:rPr>
  </w:style>
  <w:style w:type="paragraph" w:customStyle="1" w:styleId="indentpara">
    <w:name w:val="indentpara"/>
    <w:basedOn w:val="Normal"/>
    <w:rsid w:val="008A17F9"/>
    <w:pPr>
      <w:numPr>
        <w:numId w:val="1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</Template>
  <TotalTime>0</TotalTime>
  <Pages>2</Pages>
  <Words>533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MOTOMURA Tomochika</dc:creator>
  <cp:lastModifiedBy>MAY Jessica</cp:lastModifiedBy>
  <cp:revision>4</cp:revision>
  <cp:lastPrinted>2019-05-22T13:18:00Z</cp:lastPrinted>
  <dcterms:created xsi:type="dcterms:W3CDTF">2019-06-04T11:27:00Z</dcterms:created>
  <dcterms:modified xsi:type="dcterms:W3CDTF">2019-06-12T08:36:00Z</dcterms:modified>
</cp:coreProperties>
</file>