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w:t>
            </w:r>
            <w:r w:rsidR="00E95BB1" w:rsidRPr="00E95BB1">
              <w:t>on Automation and Computer Programs</w:t>
            </w:r>
          </w:p>
          <w:p w:rsidR="00EB4E9C" w:rsidRPr="00DC3802" w:rsidRDefault="00E95BB1" w:rsidP="00E95BB1">
            <w:pPr>
              <w:pStyle w:val="Sessiontcplacedate"/>
              <w:rPr>
                <w:sz w:val="22"/>
              </w:rPr>
            </w:pPr>
            <w:r>
              <w:t xml:space="preserve">Thirty-Fifth </w:t>
            </w:r>
            <w:r w:rsidR="00EB4E9C" w:rsidRPr="00DA4973">
              <w:t>Session</w:t>
            </w:r>
            <w:r w:rsidR="00EB4E9C" w:rsidRPr="00DA4973">
              <w:br/>
            </w:r>
            <w:r w:rsidRPr="00E95BB1">
              <w:t>Buenos Aires, Argentina</w:t>
            </w:r>
            <w:r w:rsidR="00EB4E9C" w:rsidRPr="00DA4973">
              <w:t xml:space="preserve">, </w:t>
            </w:r>
            <w:r>
              <w:t>November</w:t>
            </w:r>
            <w:r w:rsidR="00E70039">
              <w:t xml:space="preserve"> </w:t>
            </w:r>
            <w:r w:rsidR="00EE41AF">
              <w:t>1</w:t>
            </w:r>
            <w:r>
              <w:t>4</w:t>
            </w:r>
            <w:r w:rsidR="00E70039">
              <w:t xml:space="preserve"> to </w:t>
            </w:r>
            <w:r>
              <w:t>17</w:t>
            </w:r>
            <w:r w:rsidR="00EB4E9C" w:rsidRPr="00DA4973">
              <w:t>, 2017</w:t>
            </w:r>
          </w:p>
        </w:tc>
        <w:tc>
          <w:tcPr>
            <w:tcW w:w="3127" w:type="dxa"/>
          </w:tcPr>
          <w:p w:rsidR="00DA4499" w:rsidRPr="007B48C6" w:rsidRDefault="00621302" w:rsidP="003C7FBE">
            <w:pPr>
              <w:pStyle w:val="Doccode"/>
            </w:pPr>
            <w:r w:rsidRPr="007B48C6">
              <w:t>T</w:t>
            </w:r>
            <w:r w:rsidR="00E70039" w:rsidRPr="007B48C6">
              <w:t>W</w:t>
            </w:r>
            <w:r w:rsidR="00E95BB1" w:rsidRPr="007B48C6">
              <w:t>C</w:t>
            </w:r>
            <w:r w:rsidR="00EB4E9C" w:rsidRPr="007B48C6">
              <w:t>/</w:t>
            </w:r>
            <w:r w:rsidR="00E95BB1" w:rsidRPr="007B48C6">
              <w:t>35</w:t>
            </w:r>
            <w:r w:rsidR="00EB4E9C" w:rsidRPr="007B48C6">
              <w:t>/</w:t>
            </w:r>
            <w:r w:rsidR="00DC4CFA">
              <w:t>9</w:t>
            </w:r>
          </w:p>
          <w:p w:rsidR="00EB4E9C" w:rsidRPr="003C7FBE" w:rsidRDefault="00EB4E9C" w:rsidP="003C7FBE">
            <w:pPr>
              <w:pStyle w:val="Docoriginal"/>
            </w:pPr>
            <w:r w:rsidRPr="00AC2883">
              <w:t>Original:</w:t>
            </w:r>
            <w:r w:rsidRPr="000E636A">
              <w:rPr>
                <w:b w:val="0"/>
                <w:spacing w:val="0"/>
              </w:rPr>
              <w:t xml:space="preserve">  English</w:t>
            </w:r>
          </w:p>
          <w:p w:rsidR="00796BAF" w:rsidRPr="00796BAF" w:rsidRDefault="00EB4E9C" w:rsidP="00E1588D">
            <w:pPr>
              <w:pStyle w:val="Docoriginal"/>
              <w:rPr>
                <w:b w:val="0"/>
                <w:spacing w:val="0"/>
              </w:rPr>
            </w:pPr>
            <w:r w:rsidRPr="00AC2883">
              <w:t>Date:</w:t>
            </w:r>
            <w:r w:rsidRPr="000E636A">
              <w:rPr>
                <w:b w:val="0"/>
                <w:spacing w:val="0"/>
              </w:rPr>
              <w:t xml:space="preserve">  </w:t>
            </w:r>
            <w:r w:rsidR="0021042B" w:rsidRPr="00E1588D">
              <w:rPr>
                <w:b w:val="0"/>
                <w:spacing w:val="0"/>
              </w:rPr>
              <w:t xml:space="preserve">October </w:t>
            </w:r>
            <w:r w:rsidR="00E1588D">
              <w:rPr>
                <w:b w:val="0"/>
                <w:spacing w:val="0"/>
              </w:rPr>
              <w:t>3</w:t>
            </w:r>
            <w:r w:rsidR="00E359D3">
              <w:rPr>
                <w:b w:val="0"/>
                <w:spacing w:val="0"/>
              </w:rPr>
              <w:t>0</w:t>
            </w:r>
            <w:r w:rsidRPr="00796BAF">
              <w:rPr>
                <w:b w:val="0"/>
                <w:spacing w:val="0"/>
              </w:rPr>
              <w:t>,</w:t>
            </w:r>
            <w:r w:rsidRPr="000E636A">
              <w:rPr>
                <w:b w:val="0"/>
                <w:spacing w:val="0"/>
              </w:rPr>
              <w:t xml:space="preserve"> 2017</w:t>
            </w:r>
          </w:p>
        </w:tc>
      </w:tr>
    </w:tbl>
    <w:p w:rsidR="000D7780" w:rsidRPr="006A644A" w:rsidRDefault="00DC4CFA" w:rsidP="006A644A">
      <w:pPr>
        <w:pStyle w:val="Titleofdoc0"/>
      </w:pPr>
      <w:bookmarkStart w:id="0" w:name="TitleOfDoc"/>
      <w:bookmarkEnd w:id="0"/>
      <w:r w:rsidRPr="00576F11">
        <w:t>Comparison of Methods Used For Producing Variety Descriptions:</w:t>
      </w:r>
      <w:r>
        <w:t xml:space="preserve"> </w:t>
      </w:r>
      <w:r w:rsidRPr="00576F11">
        <w:t>Results of the Practical Exercise</w:t>
      </w:r>
    </w:p>
    <w:p w:rsidR="006A644A" w:rsidRPr="006A644A" w:rsidRDefault="00AE0EF1" w:rsidP="006A644A">
      <w:pPr>
        <w:pStyle w:val="preparedby1"/>
        <w:jc w:val="left"/>
      </w:pPr>
      <w:bookmarkStart w:id="1" w:name="Prepared"/>
      <w:bookmarkEnd w:id="1"/>
      <w:r w:rsidRPr="000C4E25">
        <w:t xml:space="preserve">Document </w:t>
      </w:r>
      <w:r w:rsidR="0061555F" w:rsidRPr="000C4E25">
        <w:t xml:space="preserve">prepared by </w:t>
      </w:r>
      <w:r w:rsidR="00DC4CFA" w:rsidRPr="004D1604">
        <w:t xml:space="preserve">an </w:t>
      </w:r>
      <w:r w:rsidR="002966F1" w:rsidRPr="004D1604">
        <w:t>expert f</w:t>
      </w:r>
      <w:r w:rsidR="002966F1">
        <w:t xml:space="preserve">rom </w:t>
      </w:r>
      <w:r w:rsidR="00DC4CFA">
        <w:t>France</w:t>
      </w:r>
    </w:p>
    <w:p w:rsidR="00050E16" w:rsidRPr="006A644A" w:rsidRDefault="00050E16" w:rsidP="006A644A">
      <w:pPr>
        <w:pStyle w:val="Disclaimer"/>
      </w:pPr>
      <w:r w:rsidRPr="006A644A">
        <w:t>Disclaimer:  this document does not represent UPOV pol</w:t>
      </w:r>
      <w:bookmarkStart w:id="2" w:name="_GoBack"/>
      <w:bookmarkEnd w:id="2"/>
      <w:r w:rsidRPr="006A644A">
        <w:t>icies or guidance</w:t>
      </w:r>
    </w:p>
    <w:p w:rsidR="00DC4CFA" w:rsidRDefault="00DC4CFA" w:rsidP="00DC4CFA">
      <w:pPr>
        <w:contextualSpacing/>
        <w:rPr>
          <w:rFonts w:cs="Arial"/>
        </w:rPr>
      </w:pPr>
    </w:p>
    <w:p w:rsidR="00DC4CFA" w:rsidRDefault="0008674C" w:rsidP="00DC4CFA">
      <w:pPr>
        <w:contextualSpacing/>
        <w:rPr>
          <w:rFonts w:cs="Arial"/>
        </w:rPr>
      </w:pPr>
      <w:r>
        <w:fldChar w:fldCharType="begin"/>
      </w:r>
      <w:r>
        <w:instrText xml:space="preserve"> AUTONUM  </w:instrText>
      </w:r>
      <w:r>
        <w:fldChar w:fldCharType="end"/>
      </w:r>
      <w:r>
        <w:tab/>
      </w:r>
      <w:r w:rsidR="00DC4CFA">
        <w:rPr>
          <w:rFonts w:cs="Arial"/>
        </w:rPr>
        <w:t xml:space="preserve">The purpose of this practical exercise is to help </w:t>
      </w:r>
      <w:r w:rsidR="005074E9">
        <w:rPr>
          <w:rFonts w:cs="Arial"/>
        </w:rPr>
        <w:t xml:space="preserve">to </w:t>
      </w:r>
      <w:r w:rsidR="00DC4CFA">
        <w:rPr>
          <w:rFonts w:cs="Arial"/>
        </w:rPr>
        <w:t>develop common guidance by clarifying and comparing the different methods used by UPOV members to transform quantitative characteristics into notes.</w:t>
      </w:r>
      <w:r w:rsidR="00DC4CFA" w:rsidRPr="00451ABF">
        <w:rPr>
          <w:rFonts w:cs="Arial"/>
        </w:rPr>
        <w:t xml:space="preserve"> </w:t>
      </w:r>
    </w:p>
    <w:p w:rsidR="00DC4CFA" w:rsidRDefault="00DC4CFA" w:rsidP="00DC4CFA">
      <w:pPr>
        <w:contextualSpacing/>
        <w:rPr>
          <w:rFonts w:cs="Arial"/>
        </w:rPr>
      </w:pPr>
    </w:p>
    <w:p w:rsidR="00DC4CFA" w:rsidRDefault="00DC4CFA" w:rsidP="00DC4CFA">
      <w:pPr>
        <w:contextualSpacing/>
        <w:rPr>
          <w:rFonts w:cs="Arial"/>
        </w:rPr>
      </w:pPr>
    </w:p>
    <w:p w:rsidR="00DC4CFA" w:rsidRDefault="00DC4CFA" w:rsidP="00DC4CFA">
      <w:pPr>
        <w:pStyle w:val="Heading1"/>
      </w:pPr>
      <w:r w:rsidRPr="00382D4C">
        <w:t>Dataset : Description</w:t>
      </w:r>
    </w:p>
    <w:p w:rsidR="00DC4CFA" w:rsidRPr="00DC4CFA" w:rsidRDefault="00DC4CFA" w:rsidP="00DC4CFA"/>
    <w:p w:rsidR="00DC4CFA" w:rsidRPr="003F3D7E" w:rsidRDefault="0008674C" w:rsidP="005074E9">
      <w:pPr>
        <w:contextualSpacing/>
        <w:rPr>
          <w:rFonts w:cs="Arial"/>
        </w:rPr>
      </w:pPr>
      <w:r>
        <w:fldChar w:fldCharType="begin"/>
      </w:r>
      <w:r>
        <w:instrText xml:space="preserve"> AUTONUM  </w:instrText>
      </w:r>
      <w:r>
        <w:fldChar w:fldCharType="end"/>
      </w:r>
      <w:r>
        <w:tab/>
      </w:r>
      <w:r w:rsidR="00DC4CFA">
        <w:rPr>
          <w:rFonts w:cs="Arial"/>
        </w:rPr>
        <w:t>A common data</w:t>
      </w:r>
      <w:r w:rsidR="00DC4CFA" w:rsidRPr="003F3D7E">
        <w:rPr>
          <w:rFonts w:cs="Arial"/>
        </w:rPr>
        <w:t>set on Flax varieties was produc</w:t>
      </w:r>
      <w:r w:rsidR="00DC4CFA">
        <w:rPr>
          <w:rFonts w:cs="Arial"/>
        </w:rPr>
        <w:t>ed by experts from France for this</w:t>
      </w:r>
      <w:r w:rsidR="00DC4CFA" w:rsidRPr="003F3D7E">
        <w:rPr>
          <w:rFonts w:cs="Arial"/>
        </w:rPr>
        <w:t xml:space="preserve"> practical exercise.</w:t>
      </w:r>
      <w:r w:rsidR="005074E9">
        <w:rPr>
          <w:rFonts w:cs="Arial"/>
        </w:rPr>
        <w:t xml:space="preserve"> </w:t>
      </w:r>
      <w:r w:rsidR="00DC4CFA">
        <w:rPr>
          <w:rFonts w:cs="Arial"/>
        </w:rPr>
        <w:t xml:space="preserve">The dataset </w:t>
      </w:r>
      <w:r w:rsidR="005074E9">
        <w:rPr>
          <w:rFonts w:cs="Arial"/>
        </w:rPr>
        <w:t>wa</w:t>
      </w:r>
      <w:r w:rsidR="00DC4CFA">
        <w:rPr>
          <w:rFonts w:cs="Arial"/>
        </w:rPr>
        <w:t xml:space="preserve">s based on </w:t>
      </w:r>
      <w:r w:rsidR="00DC4CFA" w:rsidRPr="003F3D7E">
        <w:rPr>
          <w:rFonts w:cs="Arial"/>
        </w:rPr>
        <w:t xml:space="preserve">observations </w:t>
      </w:r>
      <w:r w:rsidR="00DC4CFA">
        <w:rPr>
          <w:rFonts w:cs="Arial"/>
        </w:rPr>
        <w:t xml:space="preserve">made </w:t>
      </w:r>
      <w:r w:rsidR="00DC4CFA" w:rsidRPr="003F3D7E">
        <w:rPr>
          <w:rFonts w:cs="Arial"/>
        </w:rPr>
        <w:t xml:space="preserve">on UPOV characteristic 21 (Stem: length from cotyledon scar to top boll). </w:t>
      </w:r>
      <w:r w:rsidR="00DC4CFA">
        <w:rPr>
          <w:rFonts w:cs="Arial"/>
        </w:rPr>
        <w:t>It</w:t>
      </w:r>
      <w:r w:rsidR="005074E9">
        <w:rPr>
          <w:rFonts w:cs="Arial"/>
        </w:rPr>
        <w:t xml:space="preserve"> was</w:t>
      </w:r>
      <w:r w:rsidR="00DC4CFA">
        <w:rPr>
          <w:rFonts w:cs="Arial"/>
        </w:rPr>
        <w:t xml:space="preserve"> a restriction of a larger dataset, which </w:t>
      </w:r>
      <w:r w:rsidR="005074E9">
        <w:rPr>
          <w:rFonts w:cs="Arial"/>
        </w:rPr>
        <w:t>was</w:t>
      </w:r>
      <w:r w:rsidR="00DC4CFA" w:rsidRPr="003F3D7E">
        <w:rPr>
          <w:rFonts w:cs="Arial"/>
        </w:rPr>
        <w:t xml:space="preserve"> restricted to observations on the first 20 plants of </w:t>
      </w:r>
      <w:r w:rsidR="00DC4CFA">
        <w:rPr>
          <w:rFonts w:cs="Arial"/>
        </w:rPr>
        <w:t>the</w:t>
      </w:r>
      <w:r w:rsidR="00DC4CFA" w:rsidRPr="003F3D7E">
        <w:rPr>
          <w:rFonts w:cs="Arial"/>
        </w:rPr>
        <w:t xml:space="preserve"> varieties and years where 20 or more plants of the va</w:t>
      </w:r>
      <w:r w:rsidR="00DC4CFA">
        <w:rPr>
          <w:rFonts w:cs="Arial"/>
        </w:rPr>
        <w:t>riety were observed in the year</w:t>
      </w:r>
      <w:r w:rsidR="00DC4CFA" w:rsidRPr="003F3D7E">
        <w:rPr>
          <w:rFonts w:cs="Arial"/>
        </w:rPr>
        <w:t xml:space="preserve">. This reduced common data set </w:t>
      </w:r>
      <w:r w:rsidR="00DC4CFA">
        <w:rPr>
          <w:rFonts w:cs="Arial"/>
        </w:rPr>
        <w:t>consists of</w:t>
      </w:r>
      <w:r w:rsidR="00DC4CFA" w:rsidRPr="003F3D7E">
        <w:rPr>
          <w:rFonts w:cs="Arial"/>
        </w:rPr>
        <w:t xml:space="preserve"> 936 variety-by-year combinations for 153 reference varieties and 30 candidates in 10 years</w:t>
      </w:r>
      <w:r w:rsidR="00DC4CFA">
        <w:rPr>
          <w:rFonts w:cs="Arial"/>
        </w:rPr>
        <w:t xml:space="preserve"> from 2002 to 2012</w:t>
      </w:r>
      <w:r w:rsidR="00DC4CFA" w:rsidRPr="003F3D7E">
        <w:rPr>
          <w:rFonts w:cs="Arial"/>
        </w:rPr>
        <w:t>, for which the variety-by-year means were calculated on the original scale of the characteristics.</w:t>
      </w:r>
      <w:r w:rsidR="00DC4CFA" w:rsidRPr="00A3327A">
        <w:rPr>
          <w:rFonts w:cs="Arial"/>
        </w:rPr>
        <w:t xml:space="preserve"> </w:t>
      </w:r>
    </w:p>
    <w:p w:rsidR="00DC4CFA" w:rsidRDefault="00DC4CFA" w:rsidP="00DC4CFA">
      <w:pPr>
        <w:contextualSpacing/>
        <w:rPr>
          <w:rFonts w:cs="Arial"/>
        </w:rPr>
      </w:pPr>
    </w:p>
    <w:p w:rsidR="00DC4CFA" w:rsidRDefault="00DC4CFA">
      <w:pPr>
        <w:jc w:val="left"/>
        <w:rPr>
          <w:rFonts w:cs="Arial"/>
        </w:rPr>
      </w:pPr>
      <w:r>
        <w:rPr>
          <w:rFonts w:cs="Arial"/>
        </w:rPr>
        <w:br w:type="page"/>
      </w:r>
    </w:p>
    <w:p w:rsidR="00DC4CFA" w:rsidRDefault="00DC4CFA" w:rsidP="00DC4CFA">
      <w:pPr>
        <w:contextualSpacing/>
        <w:rPr>
          <w:rFonts w:cs="Arial"/>
        </w:rPr>
      </w:pPr>
    </w:p>
    <w:p w:rsidR="00DC4CFA" w:rsidRPr="00D91E0E" w:rsidRDefault="00DC4CFA" w:rsidP="00DC4CFA">
      <w:pPr>
        <w:pStyle w:val="Heading1"/>
      </w:pPr>
      <w:r w:rsidRPr="00D91E0E">
        <w:t>Methods used by the UPOV members</w:t>
      </w:r>
    </w:p>
    <w:p w:rsidR="00DC4CFA" w:rsidRDefault="00DC4CFA" w:rsidP="00DC4CFA">
      <w:pPr>
        <w:rPr>
          <w:rFonts w:cs="Arial"/>
        </w:rPr>
      </w:pPr>
    </w:p>
    <w:p w:rsidR="00DC4CFA" w:rsidRDefault="0008674C" w:rsidP="00DC4CFA">
      <w:pPr>
        <w:rPr>
          <w:rFonts w:cs="Arial"/>
        </w:rPr>
      </w:pPr>
      <w:r>
        <w:fldChar w:fldCharType="begin"/>
      </w:r>
      <w:r>
        <w:instrText xml:space="preserve"> AUTONUM  </w:instrText>
      </w:r>
      <w:r>
        <w:fldChar w:fldCharType="end"/>
      </w:r>
      <w:r>
        <w:tab/>
      </w:r>
      <w:r w:rsidR="00DC4CFA">
        <w:rPr>
          <w:rFonts w:cs="Arial"/>
        </w:rPr>
        <w:t xml:space="preserve">The different methods used by UPOV members in order to assign notes to the candidate varieties are briefly </w:t>
      </w:r>
      <w:r w:rsidR="00DC4CFA" w:rsidRPr="0091007F">
        <w:rPr>
          <w:rFonts w:cs="Arial"/>
        </w:rPr>
        <w:t xml:space="preserve">summarized in </w:t>
      </w:r>
      <w:r w:rsidR="00DC4CFA">
        <w:rPr>
          <w:rFonts w:cs="Arial"/>
        </w:rPr>
        <w:t xml:space="preserve">the table below.  </w:t>
      </w:r>
    </w:p>
    <w:p w:rsidR="00DC4CFA" w:rsidRPr="00623756" w:rsidRDefault="00DC4CFA" w:rsidP="00DC4CFA">
      <w:pPr>
        <w:rPr>
          <w:rFonts w:cs="Arial"/>
          <w:sz w:val="12"/>
          <w:szCs w:val="12"/>
        </w:rPr>
      </w:pPr>
    </w:p>
    <w:tbl>
      <w:tblPr>
        <w:tblW w:w="11000" w:type="dxa"/>
        <w:tblInd w:w="-781" w:type="dxa"/>
        <w:tblLayout w:type="fixed"/>
        <w:tblCellMar>
          <w:left w:w="70" w:type="dxa"/>
          <w:right w:w="70" w:type="dxa"/>
        </w:tblCellMar>
        <w:tblLook w:val="04A0" w:firstRow="1" w:lastRow="0" w:firstColumn="1" w:lastColumn="0" w:noHBand="0" w:noVBand="1"/>
      </w:tblPr>
      <w:tblGrid>
        <w:gridCol w:w="977"/>
        <w:gridCol w:w="1108"/>
        <w:gridCol w:w="5570"/>
        <w:gridCol w:w="993"/>
        <w:gridCol w:w="1134"/>
        <w:gridCol w:w="1218"/>
      </w:tblGrid>
      <w:tr w:rsidR="00DC4CFA" w:rsidRPr="00C41A4A" w:rsidTr="00DC4CFA">
        <w:trPr>
          <w:trHeight w:val="894"/>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C4CFA" w:rsidRPr="00C04E87" w:rsidRDefault="00DC4CFA" w:rsidP="00DC4CFA">
            <w:pPr>
              <w:jc w:val="center"/>
              <w:rPr>
                <w:rFonts w:ascii="Calibri" w:hAnsi="Calibri"/>
                <w:b/>
                <w:bCs/>
                <w:color w:val="000000"/>
              </w:rPr>
            </w:pPr>
            <w:r>
              <w:rPr>
                <w:rFonts w:ascii="Calibri" w:hAnsi="Calibri"/>
                <w:b/>
                <w:bCs/>
                <w:color w:val="000000"/>
              </w:rPr>
              <w:t>COUNTRY</w:t>
            </w:r>
          </w:p>
        </w:tc>
        <w:tc>
          <w:tcPr>
            <w:tcW w:w="5570" w:type="dxa"/>
            <w:tcBorders>
              <w:top w:val="single" w:sz="4" w:space="0" w:color="auto"/>
              <w:left w:val="nil"/>
              <w:bottom w:val="single" w:sz="4" w:space="0" w:color="auto"/>
              <w:right w:val="single" w:sz="4" w:space="0" w:color="auto"/>
            </w:tcBorders>
            <w:shd w:val="clear" w:color="000000" w:fill="F2F2F2"/>
            <w:noWrap/>
            <w:vAlign w:val="center"/>
            <w:hideMark/>
          </w:tcPr>
          <w:p w:rsidR="00DC4CFA" w:rsidRPr="00C04E87" w:rsidRDefault="00DC4CFA" w:rsidP="00DC4CFA">
            <w:pPr>
              <w:jc w:val="center"/>
              <w:rPr>
                <w:rFonts w:ascii="Calibri" w:hAnsi="Calibri"/>
                <w:b/>
                <w:bCs/>
                <w:color w:val="000000"/>
              </w:rPr>
            </w:pPr>
            <w:r w:rsidRPr="00C04E87">
              <w:rPr>
                <w:rFonts w:ascii="Calibri" w:hAnsi="Calibri"/>
                <w:b/>
                <w:bCs/>
                <w:color w:val="000000"/>
              </w:rPr>
              <w:t>Method</w:t>
            </w:r>
            <w:r>
              <w:rPr>
                <w:rFonts w:ascii="Calibri" w:hAnsi="Calibri"/>
                <w:b/>
                <w:bCs/>
                <w:color w:val="000000"/>
              </w:rPr>
              <w:t> : description</w:t>
            </w:r>
          </w:p>
        </w:tc>
        <w:tc>
          <w:tcPr>
            <w:tcW w:w="993" w:type="dxa"/>
            <w:tcBorders>
              <w:top w:val="single" w:sz="4" w:space="0" w:color="auto"/>
              <w:left w:val="nil"/>
              <w:bottom w:val="single" w:sz="4" w:space="0" w:color="auto"/>
              <w:right w:val="single" w:sz="4" w:space="0" w:color="auto"/>
            </w:tcBorders>
            <w:shd w:val="clear" w:color="000000" w:fill="F2F2F2"/>
            <w:vAlign w:val="center"/>
            <w:hideMark/>
          </w:tcPr>
          <w:p w:rsidR="00DC4CFA" w:rsidRPr="00C04E87" w:rsidRDefault="00DC4CFA" w:rsidP="00DC4CFA">
            <w:pPr>
              <w:jc w:val="center"/>
              <w:rPr>
                <w:rFonts w:ascii="Calibri" w:hAnsi="Calibri"/>
                <w:b/>
                <w:bCs/>
                <w:color w:val="000000"/>
              </w:rPr>
            </w:pPr>
            <w:r>
              <w:rPr>
                <w:rFonts w:ascii="Calibri" w:hAnsi="Calibri"/>
                <w:b/>
                <w:bCs/>
                <w:color w:val="000000"/>
              </w:rPr>
              <w:t>E</w:t>
            </w:r>
            <w:r w:rsidRPr="00C04E87">
              <w:rPr>
                <w:rFonts w:ascii="Calibri" w:hAnsi="Calibri"/>
                <w:b/>
                <w:bCs/>
                <w:color w:val="000000"/>
              </w:rPr>
              <w:t>xample variet</w:t>
            </w:r>
            <w:r>
              <w:rPr>
                <w:rFonts w:ascii="Calibri" w:hAnsi="Calibri"/>
                <w:b/>
                <w:bCs/>
                <w:color w:val="000000"/>
              </w:rPr>
              <w:t>ies</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DC4CFA" w:rsidRPr="00C04E87" w:rsidRDefault="00DC4CFA" w:rsidP="00DC4CFA">
            <w:pPr>
              <w:jc w:val="center"/>
              <w:rPr>
                <w:rFonts w:ascii="Calibri" w:hAnsi="Calibri"/>
                <w:b/>
                <w:bCs/>
                <w:color w:val="000000"/>
              </w:rPr>
            </w:pPr>
            <w:r>
              <w:rPr>
                <w:rFonts w:ascii="Calibri" w:hAnsi="Calibri"/>
                <w:b/>
                <w:bCs/>
                <w:color w:val="000000"/>
              </w:rPr>
              <w:t>Crop expert judg</w:t>
            </w:r>
            <w:r w:rsidRPr="00C04E87">
              <w:rPr>
                <w:rFonts w:ascii="Calibri" w:hAnsi="Calibri"/>
                <w:b/>
                <w:bCs/>
                <w:color w:val="000000"/>
              </w:rPr>
              <w:t>ment</w:t>
            </w:r>
          </w:p>
        </w:tc>
        <w:tc>
          <w:tcPr>
            <w:tcW w:w="1218" w:type="dxa"/>
            <w:tcBorders>
              <w:top w:val="single" w:sz="4" w:space="0" w:color="auto"/>
              <w:left w:val="nil"/>
              <w:bottom w:val="single" w:sz="4" w:space="0" w:color="auto"/>
              <w:right w:val="single" w:sz="4" w:space="0" w:color="auto"/>
            </w:tcBorders>
            <w:shd w:val="clear" w:color="000000" w:fill="F2F2F2"/>
            <w:vAlign w:val="center"/>
            <w:hideMark/>
          </w:tcPr>
          <w:p w:rsidR="00DC4CFA" w:rsidRPr="00C04E87" w:rsidRDefault="00DC4CFA" w:rsidP="00DC4CFA">
            <w:pPr>
              <w:jc w:val="center"/>
              <w:rPr>
                <w:rFonts w:ascii="Calibri" w:hAnsi="Calibri"/>
                <w:b/>
                <w:bCs/>
                <w:color w:val="000000"/>
              </w:rPr>
            </w:pPr>
            <w:r>
              <w:rPr>
                <w:rFonts w:ascii="Calibri" w:hAnsi="Calibri"/>
                <w:b/>
                <w:bCs/>
                <w:color w:val="000000"/>
              </w:rPr>
              <w:t>E</w:t>
            </w:r>
            <w:r w:rsidRPr="00C04E87">
              <w:rPr>
                <w:rFonts w:ascii="Calibri" w:hAnsi="Calibri"/>
                <w:b/>
                <w:bCs/>
                <w:color w:val="000000"/>
              </w:rPr>
              <w:t>qual</w:t>
            </w:r>
            <w:r>
              <w:rPr>
                <w:rFonts w:ascii="Calibri" w:hAnsi="Calibri"/>
                <w:b/>
                <w:bCs/>
                <w:color w:val="000000"/>
              </w:rPr>
              <w:t>-</w:t>
            </w:r>
            <w:r w:rsidRPr="00C04E87">
              <w:rPr>
                <w:rFonts w:ascii="Calibri" w:hAnsi="Calibri"/>
                <w:b/>
                <w:bCs/>
                <w:color w:val="000000"/>
              </w:rPr>
              <w:t>space</w:t>
            </w:r>
            <w:r>
              <w:rPr>
                <w:rFonts w:ascii="Calibri" w:hAnsi="Calibri"/>
                <w:b/>
                <w:bCs/>
                <w:color w:val="000000"/>
              </w:rPr>
              <w:t>d</w:t>
            </w:r>
            <w:r w:rsidRPr="00C04E87">
              <w:rPr>
                <w:rFonts w:ascii="Calibri" w:hAnsi="Calibri"/>
                <w:b/>
                <w:bCs/>
                <w:color w:val="000000"/>
              </w:rPr>
              <w:t xml:space="preserve"> </w:t>
            </w:r>
            <w:r>
              <w:rPr>
                <w:rFonts w:ascii="Calibri" w:hAnsi="Calibri"/>
                <w:b/>
                <w:bCs/>
                <w:color w:val="000000"/>
              </w:rPr>
              <w:t>state</w:t>
            </w:r>
          </w:p>
        </w:tc>
      </w:tr>
      <w:tr w:rsidR="00DC4CFA" w:rsidRPr="00C04E87" w:rsidTr="00DC4CFA">
        <w:trPr>
          <w:trHeight w:val="300"/>
        </w:trPr>
        <w:tc>
          <w:tcPr>
            <w:tcW w:w="977" w:type="dxa"/>
            <w:vMerge w:val="restart"/>
            <w:tcBorders>
              <w:top w:val="nil"/>
              <w:left w:val="single" w:sz="4" w:space="0" w:color="auto"/>
              <w:bottom w:val="single" w:sz="4" w:space="0" w:color="auto"/>
              <w:right w:val="single" w:sz="4" w:space="0" w:color="auto"/>
            </w:tcBorders>
            <w:shd w:val="clear" w:color="000000" w:fill="F2F2F2"/>
            <w:vAlign w:val="center"/>
            <w:hideMark/>
          </w:tcPr>
          <w:p w:rsidR="00DC4CFA" w:rsidRPr="00C04E87" w:rsidRDefault="00DC4CFA" w:rsidP="00DC4CFA">
            <w:pPr>
              <w:jc w:val="center"/>
              <w:rPr>
                <w:rFonts w:ascii="Calibri" w:hAnsi="Calibri"/>
                <w:b/>
                <w:bCs/>
                <w:color w:val="000000"/>
              </w:rPr>
            </w:pPr>
            <w:r w:rsidRPr="00C04E87">
              <w:rPr>
                <w:rFonts w:ascii="Calibri" w:hAnsi="Calibri"/>
                <w:b/>
                <w:bCs/>
                <w:color w:val="000000"/>
              </w:rPr>
              <w:t>France</w:t>
            </w:r>
          </w:p>
        </w:tc>
        <w:tc>
          <w:tcPr>
            <w:tcW w:w="1108" w:type="dxa"/>
            <w:tcBorders>
              <w:top w:val="nil"/>
              <w:left w:val="nil"/>
              <w:bottom w:val="single" w:sz="4" w:space="0" w:color="auto"/>
              <w:right w:val="single" w:sz="4" w:space="0" w:color="auto"/>
            </w:tcBorders>
            <w:shd w:val="clear" w:color="000000" w:fill="F2F2F2"/>
            <w:vAlign w:val="center"/>
            <w:hideMark/>
          </w:tcPr>
          <w:p w:rsidR="00DC4CFA" w:rsidRPr="00C04E87" w:rsidRDefault="00DC4CFA" w:rsidP="00DC4CFA">
            <w:pPr>
              <w:jc w:val="center"/>
              <w:rPr>
                <w:rFonts w:ascii="Calibri" w:hAnsi="Calibri"/>
                <w:b/>
                <w:bCs/>
                <w:color w:val="000000"/>
              </w:rPr>
            </w:pPr>
            <w:r w:rsidRPr="00C04E87">
              <w:rPr>
                <w:rFonts w:ascii="Calibri" w:hAnsi="Calibri"/>
                <w:b/>
                <w:bCs/>
                <w:color w:val="000000"/>
              </w:rPr>
              <w:t>Method 1</w:t>
            </w:r>
          </w:p>
        </w:tc>
        <w:tc>
          <w:tcPr>
            <w:tcW w:w="5570" w:type="dxa"/>
            <w:tcBorders>
              <w:top w:val="nil"/>
              <w:left w:val="nil"/>
              <w:bottom w:val="single" w:sz="4" w:space="0" w:color="auto"/>
              <w:right w:val="single" w:sz="4" w:space="0" w:color="auto"/>
            </w:tcBorders>
            <w:shd w:val="clear" w:color="auto" w:fill="auto"/>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Combined use of example varieties and reference collection</w:t>
            </w:r>
          </w:p>
        </w:tc>
        <w:tc>
          <w:tcPr>
            <w:tcW w:w="993" w:type="dxa"/>
            <w:tcBorders>
              <w:top w:val="nil"/>
              <w:left w:val="nil"/>
              <w:bottom w:val="single" w:sz="4" w:space="0" w:color="auto"/>
              <w:right w:val="single" w:sz="4" w:space="0" w:color="auto"/>
            </w:tcBorders>
            <w:shd w:val="clear" w:color="auto" w:fill="auto"/>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x</w:t>
            </w:r>
          </w:p>
        </w:tc>
        <w:tc>
          <w:tcPr>
            <w:tcW w:w="1134" w:type="dxa"/>
            <w:tcBorders>
              <w:top w:val="nil"/>
              <w:left w:val="nil"/>
              <w:bottom w:val="single" w:sz="4" w:space="0" w:color="auto"/>
              <w:right w:val="single" w:sz="4" w:space="0" w:color="auto"/>
            </w:tcBorders>
            <w:shd w:val="clear" w:color="auto" w:fill="auto"/>
            <w:noWrap/>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x</w:t>
            </w:r>
          </w:p>
        </w:tc>
        <w:tc>
          <w:tcPr>
            <w:tcW w:w="1218" w:type="dxa"/>
            <w:tcBorders>
              <w:top w:val="nil"/>
              <w:left w:val="nil"/>
              <w:bottom w:val="single" w:sz="4" w:space="0" w:color="auto"/>
              <w:right w:val="single" w:sz="4" w:space="0" w:color="auto"/>
            </w:tcBorders>
            <w:shd w:val="clear" w:color="auto" w:fill="auto"/>
            <w:noWrap/>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 </w:t>
            </w:r>
          </w:p>
        </w:tc>
      </w:tr>
      <w:tr w:rsidR="00DC4CFA" w:rsidRPr="00C04E87" w:rsidTr="00DC4CFA">
        <w:trPr>
          <w:trHeight w:val="600"/>
        </w:trPr>
        <w:tc>
          <w:tcPr>
            <w:tcW w:w="977" w:type="dxa"/>
            <w:vMerge/>
            <w:tcBorders>
              <w:top w:val="nil"/>
              <w:left w:val="single" w:sz="4" w:space="0" w:color="auto"/>
              <w:bottom w:val="single" w:sz="4" w:space="0" w:color="auto"/>
              <w:right w:val="single" w:sz="4" w:space="0" w:color="auto"/>
            </w:tcBorders>
            <w:vAlign w:val="center"/>
            <w:hideMark/>
          </w:tcPr>
          <w:p w:rsidR="00DC4CFA" w:rsidRPr="00C04E87" w:rsidRDefault="00DC4CFA" w:rsidP="00DC4CFA">
            <w:pPr>
              <w:rPr>
                <w:rFonts w:ascii="Calibri" w:hAnsi="Calibri"/>
                <w:b/>
                <w:bCs/>
                <w:color w:val="000000"/>
              </w:rPr>
            </w:pPr>
          </w:p>
        </w:tc>
        <w:tc>
          <w:tcPr>
            <w:tcW w:w="1108" w:type="dxa"/>
            <w:tcBorders>
              <w:top w:val="nil"/>
              <w:left w:val="nil"/>
              <w:bottom w:val="single" w:sz="4" w:space="0" w:color="auto"/>
              <w:right w:val="single" w:sz="4" w:space="0" w:color="auto"/>
            </w:tcBorders>
            <w:shd w:val="clear" w:color="000000" w:fill="F2F2F2"/>
            <w:vAlign w:val="center"/>
            <w:hideMark/>
          </w:tcPr>
          <w:p w:rsidR="00DC4CFA" w:rsidRPr="00C04E87" w:rsidRDefault="00DC4CFA" w:rsidP="00DC4CFA">
            <w:pPr>
              <w:jc w:val="center"/>
              <w:rPr>
                <w:rFonts w:ascii="Calibri" w:hAnsi="Calibri"/>
                <w:b/>
                <w:bCs/>
                <w:color w:val="000000"/>
              </w:rPr>
            </w:pPr>
            <w:r w:rsidRPr="00C04E87">
              <w:rPr>
                <w:rFonts w:ascii="Calibri" w:hAnsi="Calibri"/>
                <w:b/>
                <w:bCs/>
                <w:color w:val="000000"/>
              </w:rPr>
              <w:t>Method 2</w:t>
            </w:r>
          </w:p>
        </w:tc>
        <w:tc>
          <w:tcPr>
            <w:tcW w:w="5570" w:type="dxa"/>
            <w:tcBorders>
              <w:top w:val="nil"/>
              <w:left w:val="nil"/>
              <w:bottom w:val="single" w:sz="4" w:space="0" w:color="auto"/>
              <w:right w:val="single" w:sz="4" w:space="0" w:color="auto"/>
            </w:tcBorders>
            <w:shd w:val="clear" w:color="auto" w:fill="auto"/>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Adjusted</w:t>
            </w:r>
            <w:r>
              <w:rPr>
                <w:rFonts w:ascii="Calibri" w:hAnsi="Calibri"/>
                <w:color w:val="000000"/>
              </w:rPr>
              <w:t xml:space="preserve"> means from COY program</w:t>
            </w:r>
            <w:r w:rsidRPr="00C04E87">
              <w:rPr>
                <w:rFonts w:ascii="Calibri" w:hAnsi="Calibri"/>
                <w:color w:val="000000"/>
              </w:rPr>
              <w:t xml:space="preserve"> + linear regression method </w:t>
            </w:r>
            <w:r>
              <w:rPr>
                <w:rFonts w:ascii="Calibri" w:hAnsi="Calibri"/>
                <w:color w:val="000000"/>
              </w:rPr>
              <w:t>calibrated with</w:t>
            </w:r>
            <w:r w:rsidRPr="00C04E87">
              <w:rPr>
                <w:rFonts w:ascii="Calibri" w:hAnsi="Calibri"/>
                <w:color w:val="000000"/>
              </w:rPr>
              <w:t xml:space="preserve"> example varieties </w:t>
            </w:r>
          </w:p>
        </w:tc>
        <w:tc>
          <w:tcPr>
            <w:tcW w:w="993" w:type="dxa"/>
            <w:tcBorders>
              <w:top w:val="nil"/>
              <w:left w:val="nil"/>
              <w:bottom w:val="single" w:sz="4" w:space="0" w:color="auto"/>
              <w:right w:val="single" w:sz="4" w:space="0" w:color="auto"/>
            </w:tcBorders>
            <w:shd w:val="clear" w:color="auto" w:fill="auto"/>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x</w:t>
            </w:r>
          </w:p>
        </w:tc>
        <w:tc>
          <w:tcPr>
            <w:tcW w:w="1134" w:type="dxa"/>
            <w:tcBorders>
              <w:top w:val="nil"/>
              <w:left w:val="nil"/>
              <w:bottom w:val="single" w:sz="4" w:space="0" w:color="auto"/>
              <w:right w:val="single" w:sz="4" w:space="0" w:color="auto"/>
            </w:tcBorders>
            <w:shd w:val="clear" w:color="auto" w:fill="auto"/>
            <w:noWrap/>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x </w:t>
            </w:r>
          </w:p>
        </w:tc>
        <w:tc>
          <w:tcPr>
            <w:tcW w:w="1218" w:type="dxa"/>
            <w:tcBorders>
              <w:top w:val="nil"/>
              <w:left w:val="nil"/>
              <w:bottom w:val="single" w:sz="4" w:space="0" w:color="auto"/>
              <w:right w:val="single" w:sz="4" w:space="0" w:color="auto"/>
            </w:tcBorders>
            <w:shd w:val="clear" w:color="auto" w:fill="auto"/>
            <w:noWrap/>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 </w:t>
            </w:r>
          </w:p>
        </w:tc>
      </w:tr>
      <w:tr w:rsidR="00DC4CFA" w:rsidRPr="00C04E87" w:rsidTr="00DC4CFA">
        <w:trPr>
          <w:trHeight w:val="1049"/>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C4CFA" w:rsidRPr="00C04E87" w:rsidRDefault="00DC4CFA" w:rsidP="00DC4CFA">
            <w:pPr>
              <w:jc w:val="center"/>
              <w:rPr>
                <w:rFonts w:ascii="Calibri" w:hAnsi="Calibri"/>
                <w:b/>
                <w:bCs/>
                <w:color w:val="000000"/>
              </w:rPr>
            </w:pPr>
            <w:r w:rsidRPr="00C04E87">
              <w:rPr>
                <w:rFonts w:ascii="Calibri" w:hAnsi="Calibri"/>
                <w:b/>
                <w:bCs/>
                <w:color w:val="000000"/>
              </w:rPr>
              <w:t>Italy</w:t>
            </w:r>
          </w:p>
        </w:tc>
        <w:tc>
          <w:tcPr>
            <w:tcW w:w="5570" w:type="dxa"/>
            <w:tcBorders>
              <w:top w:val="nil"/>
              <w:left w:val="nil"/>
              <w:bottom w:val="single" w:sz="4" w:space="0" w:color="auto"/>
              <w:right w:val="single" w:sz="4" w:space="0" w:color="auto"/>
            </w:tcBorders>
            <w:shd w:val="clear" w:color="auto" w:fill="auto"/>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Average range of historical means + median used as "reference point" + partitioning into equal spaced states + calibration with crop expert judgment and example varieties</w:t>
            </w:r>
          </w:p>
        </w:tc>
        <w:tc>
          <w:tcPr>
            <w:tcW w:w="993" w:type="dxa"/>
            <w:tcBorders>
              <w:top w:val="nil"/>
              <w:left w:val="nil"/>
              <w:bottom w:val="single" w:sz="4" w:space="0" w:color="auto"/>
              <w:right w:val="single" w:sz="4" w:space="0" w:color="auto"/>
            </w:tcBorders>
            <w:shd w:val="clear" w:color="auto" w:fill="auto"/>
            <w:noWrap/>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x</w:t>
            </w:r>
          </w:p>
        </w:tc>
        <w:tc>
          <w:tcPr>
            <w:tcW w:w="1134" w:type="dxa"/>
            <w:tcBorders>
              <w:top w:val="nil"/>
              <w:left w:val="nil"/>
              <w:bottom w:val="single" w:sz="4" w:space="0" w:color="auto"/>
              <w:right w:val="single" w:sz="4" w:space="0" w:color="auto"/>
            </w:tcBorders>
            <w:shd w:val="clear" w:color="auto" w:fill="auto"/>
            <w:noWrap/>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x</w:t>
            </w:r>
          </w:p>
        </w:tc>
        <w:tc>
          <w:tcPr>
            <w:tcW w:w="1218" w:type="dxa"/>
            <w:tcBorders>
              <w:top w:val="nil"/>
              <w:left w:val="nil"/>
              <w:bottom w:val="single" w:sz="4" w:space="0" w:color="auto"/>
              <w:right w:val="single" w:sz="4" w:space="0" w:color="auto"/>
            </w:tcBorders>
            <w:shd w:val="clear" w:color="auto" w:fill="auto"/>
            <w:noWrap/>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x</w:t>
            </w:r>
          </w:p>
        </w:tc>
      </w:tr>
      <w:tr w:rsidR="00DC4CFA" w:rsidRPr="00C04E87" w:rsidTr="00DC4CFA">
        <w:trPr>
          <w:trHeight w:val="600"/>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C4CFA" w:rsidRPr="00C04E87" w:rsidRDefault="00DC4CFA" w:rsidP="00DC4CFA">
            <w:pPr>
              <w:jc w:val="center"/>
              <w:rPr>
                <w:rFonts w:ascii="Calibri" w:hAnsi="Calibri"/>
                <w:b/>
                <w:bCs/>
                <w:color w:val="000000"/>
              </w:rPr>
            </w:pPr>
            <w:r w:rsidRPr="00C04E87">
              <w:rPr>
                <w:rFonts w:ascii="Calibri" w:hAnsi="Calibri"/>
                <w:b/>
                <w:bCs/>
                <w:color w:val="000000"/>
              </w:rPr>
              <w:t>Germany</w:t>
            </w:r>
          </w:p>
        </w:tc>
        <w:tc>
          <w:tcPr>
            <w:tcW w:w="5570" w:type="dxa"/>
            <w:tcBorders>
              <w:top w:val="nil"/>
              <w:left w:val="nil"/>
              <w:bottom w:val="single" w:sz="4" w:space="0" w:color="auto"/>
              <w:right w:val="single" w:sz="4" w:space="0" w:color="auto"/>
            </w:tcBorders>
            <w:shd w:val="clear" w:color="auto" w:fill="auto"/>
            <w:vAlign w:val="center"/>
            <w:hideMark/>
          </w:tcPr>
          <w:p w:rsidR="00DC4CFA" w:rsidRPr="00C04E87" w:rsidRDefault="00DC4CFA" w:rsidP="00DC4CFA">
            <w:pPr>
              <w:jc w:val="center"/>
              <w:rPr>
                <w:rFonts w:ascii="Calibri" w:hAnsi="Calibri"/>
                <w:color w:val="000000"/>
              </w:rPr>
            </w:pPr>
            <w:r w:rsidRPr="00CA0E3C">
              <w:rPr>
                <w:rFonts w:ascii="Calibri" w:hAnsi="Calibri"/>
                <w:color w:val="000000"/>
              </w:rPr>
              <w:t>A</w:t>
            </w:r>
            <w:r>
              <w:rPr>
                <w:rFonts w:ascii="Calibri" w:hAnsi="Calibri"/>
                <w:color w:val="000000"/>
              </w:rPr>
              <w:t>djusted mean from COY program</w:t>
            </w:r>
            <w:r w:rsidRPr="00C04E87">
              <w:rPr>
                <w:rFonts w:ascii="Calibri" w:hAnsi="Calibri"/>
                <w:color w:val="000000"/>
              </w:rPr>
              <w:t xml:space="preserve"> + partitioning based on example varieties and crop expert judgment</w:t>
            </w:r>
          </w:p>
        </w:tc>
        <w:tc>
          <w:tcPr>
            <w:tcW w:w="993" w:type="dxa"/>
            <w:tcBorders>
              <w:top w:val="nil"/>
              <w:left w:val="nil"/>
              <w:bottom w:val="single" w:sz="4" w:space="0" w:color="auto"/>
              <w:right w:val="single" w:sz="4" w:space="0" w:color="auto"/>
            </w:tcBorders>
            <w:shd w:val="clear" w:color="auto" w:fill="auto"/>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x</w:t>
            </w:r>
          </w:p>
        </w:tc>
        <w:tc>
          <w:tcPr>
            <w:tcW w:w="1134" w:type="dxa"/>
            <w:tcBorders>
              <w:top w:val="nil"/>
              <w:left w:val="nil"/>
              <w:bottom w:val="single" w:sz="4" w:space="0" w:color="auto"/>
              <w:right w:val="single" w:sz="4" w:space="0" w:color="auto"/>
            </w:tcBorders>
            <w:shd w:val="clear" w:color="auto" w:fill="auto"/>
            <w:noWrap/>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x</w:t>
            </w:r>
          </w:p>
        </w:tc>
        <w:tc>
          <w:tcPr>
            <w:tcW w:w="1218" w:type="dxa"/>
            <w:tcBorders>
              <w:top w:val="nil"/>
              <w:left w:val="nil"/>
              <w:bottom w:val="single" w:sz="4" w:space="0" w:color="auto"/>
              <w:right w:val="single" w:sz="4" w:space="0" w:color="auto"/>
            </w:tcBorders>
            <w:shd w:val="clear" w:color="auto" w:fill="auto"/>
            <w:noWrap/>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 </w:t>
            </w:r>
          </w:p>
        </w:tc>
      </w:tr>
      <w:tr w:rsidR="00DC4CFA" w:rsidRPr="00C04E87" w:rsidTr="00DC4CFA">
        <w:trPr>
          <w:trHeight w:val="600"/>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C4CFA" w:rsidRPr="00C04E87" w:rsidRDefault="00DC4CFA" w:rsidP="00DC4CFA">
            <w:pPr>
              <w:jc w:val="center"/>
              <w:rPr>
                <w:rFonts w:ascii="Calibri" w:hAnsi="Calibri"/>
                <w:b/>
                <w:bCs/>
                <w:color w:val="000000"/>
              </w:rPr>
            </w:pPr>
            <w:r w:rsidRPr="00C04E87">
              <w:rPr>
                <w:rFonts w:ascii="Calibri" w:hAnsi="Calibri"/>
                <w:b/>
                <w:bCs/>
                <w:color w:val="000000"/>
              </w:rPr>
              <w:t>Japan</w:t>
            </w:r>
          </w:p>
        </w:tc>
        <w:tc>
          <w:tcPr>
            <w:tcW w:w="5570" w:type="dxa"/>
            <w:tcBorders>
              <w:top w:val="nil"/>
              <w:left w:val="nil"/>
              <w:bottom w:val="single" w:sz="4" w:space="0" w:color="auto"/>
              <w:right w:val="single" w:sz="4" w:space="0" w:color="auto"/>
            </w:tcBorders>
            <w:shd w:val="clear" w:color="auto" w:fill="auto"/>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 xml:space="preserve">Adjusted Full Assessment Table (FAT) : </w:t>
            </w:r>
            <w:r>
              <w:rPr>
                <w:rFonts w:ascii="Calibri" w:hAnsi="Calibri"/>
                <w:color w:val="000000"/>
              </w:rPr>
              <w:t>states</w:t>
            </w:r>
            <w:r w:rsidRPr="00C04E87">
              <w:rPr>
                <w:rFonts w:ascii="Calibri" w:hAnsi="Calibri"/>
                <w:color w:val="000000"/>
              </w:rPr>
              <w:t xml:space="preserve"> determined with historical data of example varieties</w:t>
            </w:r>
          </w:p>
        </w:tc>
        <w:tc>
          <w:tcPr>
            <w:tcW w:w="993" w:type="dxa"/>
            <w:tcBorders>
              <w:top w:val="nil"/>
              <w:left w:val="nil"/>
              <w:bottom w:val="single" w:sz="4" w:space="0" w:color="auto"/>
              <w:right w:val="single" w:sz="4" w:space="0" w:color="auto"/>
            </w:tcBorders>
            <w:shd w:val="clear" w:color="auto" w:fill="auto"/>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x</w:t>
            </w:r>
          </w:p>
        </w:tc>
        <w:tc>
          <w:tcPr>
            <w:tcW w:w="1134" w:type="dxa"/>
            <w:tcBorders>
              <w:top w:val="nil"/>
              <w:left w:val="nil"/>
              <w:bottom w:val="single" w:sz="4" w:space="0" w:color="auto"/>
              <w:right w:val="single" w:sz="4" w:space="0" w:color="auto"/>
            </w:tcBorders>
            <w:shd w:val="clear" w:color="auto" w:fill="auto"/>
            <w:noWrap/>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 </w:t>
            </w:r>
          </w:p>
        </w:tc>
        <w:tc>
          <w:tcPr>
            <w:tcW w:w="1218" w:type="dxa"/>
            <w:tcBorders>
              <w:top w:val="nil"/>
              <w:left w:val="nil"/>
              <w:bottom w:val="single" w:sz="4" w:space="0" w:color="auto"/>
              <w:right w:val="single" w:sz="4" w:space="0" w:color="auto"/>
            </w:tcBorders>
            <w:shd w:val="clear" w:color="auto" w:fill="auto"/>
            <w:noWrap/>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x</w:t>
            </w:r>
          </w:p>
        </w:tc>
      </w:tr>
      <w:tr w:rsidR="00DC4CFA" w:rsidRPr="00C04E87" w:rsidTr="00DC4CFA">
        <w:trPr>
          <w:trHeight w:val="930"/>
        </w:trPr>
        <w:tc>
          <w:tcPr>
            <w:tcW w:w="977" w:type="dxa"/>
            <w:vMerge w:val="restart"/>
            <w:tcBorders>
              <w:top w:val="nil"/>
              <w:left w:val="single" w:sz="4" w:space="0" w:color="auto"/>
              <w:bottom w:val="single" w:sz="4" w:space="0" w:color="auto"/>
              <w:right w:val="single" w:sz="4" w:space="0" w:color="auto"/>
            </w:tcBorders>
            <w:shd w:val="clear" w:color="000000" w:fill="F2F2F2"/>
            <w:vAlign w:val="center"/>
            <w:hideMark/>
          </w:tcPr>
          <w:p w:rsidR="00DC4CFA" w:rsidRPr="00C04E87" w:rsidRDefault="00DC4CFA" w:rsidP="00DC4CFA">
            <w:pPr>
              <w:jc w:val="center"/>
              <w:rPr>
                <w:rFonts w:ascii="Calibri" w:hAnsi="Calibri"/>
                <w:b/>
                <w:bCs/>
                <w:color w:val="000000"/>
              </w:rPr>
            </w:pPr>
            <w:r w:rsidRPr="00C04E87">
              <w:rPr>
                <w:rFonts w:ascii="Calibri" w:hAnsi="Calibri"/>
                <w:b/>
                <w:bCs/>
                <w:color w:val="000000"/>
              </w:rPr>
              <w:t>United Kingdom</w:t>
            </w:r>
          </w:p>
        </w:tc>
        <w:tc>
          <w:tcPr>
            <w:tcW w:w="1108" w:type="dxa"/>
            <w:tcBorders>
              <w:top w:val="nil"/>
              <w:left w:val="nil"/>
              <w:bottom w:val="single" w:sz="4" w:space="0" w:color="auto"/>
              <w:right w:val="single" w:sz="4" w:space="0" w:color="auto"/>
            </w:tcBorders>
            <w:shd w:val="clear" w:color="000000" w:fill="F2F2F2"/>
            <w:vAlign w:val="center"/>
            <w:hideMark/>
          </w:tcPr>
          <w:p w:rsidR="00DC4CFA" w:rsidRPr="00C04E87" w:rsidRDefault="00DC4CFA" w:rsidP="00DC4CFA">
            <w:pPr>
              <w:jc w:val="center"/>
              <w:rPr>
                <w:rFonts w:ascii="Calibri" w:hAnsi="Calibri"/>
                <w:b/>
                <w:bCs/>
                <w:color w:val="000000"/>
              </w:rPr>
            </w:pPr>
            <w:r w:rsidRPr="00C04E87">
              <w:rPr>
                <w:rFonts w:ascii="Calibri" w:hAnsi="Calibri"/>
                <w:b/>
                <w:bCs/>
                <w:color w:val="000000"/>
              </w:rPr>
              <w:t>Method 1</w:t>
            </w:r>
          </w:p>
        </w:tc>
        <w:tc>
          <w:tcPr>
            <w:tcW w:w="5570" w:type="dxa"/>
            <w:tcBorders>
              <w:top w:val="nil"/>
              <w:left w:val="nil"/>
              <w:bottom w:val="single" w:sz="4" w:space="0" w:color="auto"/>
              <w:right w:val="single" w:sz="4" w:space="0" w:color="auto"/>
            </w:tcBorders>
            <w:shd w:val="clear" w:color="auto" w:fill="auto"/>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Range of expression of the over-year means for the reference collection varieties (for the past 10 years) divided into equal spaced states</w:t>
            </w:r>
          </w:p>
        </w:tc>
        <w:tc>
          <w:tcPr>
            <w:tcW w:w="993" w:type="dxa"/>
            <w:tcBorders>
              <w:top w:val="nil"/>
              <w:left w:val="nil"/>
              <w:bottom w:val="single" w:sz="4" w:space="0" w:color="auto"/>
              <w:right w:val="single" w:sz="4" w:space="0" w:color="auto"/>
            </w:tcBorders>
            <w:shd w:val="clear" w:color="auto" w:fill="auto"/>
            <w:noWrap/>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 </w:t>
            </w:r>
          </w:p>
        </w:tc>
        <w:tc>
          <w:tcPr>
            <w:tcW w:w="1218" w:type="dxa"/>
            <w:tcBorders>
              <w:top w:val="nil"/>
              <w:left w:val="nil"/>
              <w:bottom w:val="single" w:sz="4" w:space="0" w:color="auto"/>
              <w:right w:val="single" w:sz="4" w:space="0" w:color="auto"/>
            </w:tcBorders>
            <w:shd w:val="clear" w:color="auto" w:fill="auto"/>
            <w:noWrap/>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x</w:t>
            </w:r>
          </w:p>
        </w:tc>
      </w:tr>
      <w:tr w:rsidR="00DC4CFA" w:rsidRPr="00C04E87" w:rsidTr="00DC4CFA">
        <w:trPr>
          <w:trHeight w:val="600"/>
        </w:trPr>
        <w:tc>
          <w:tcPr>
            <w:tcW w:w="977" w:type="dxa"/>
            <w:vMerge/>
            <w:tcBorders>
              <w:top w:val="nil"/>
              <w:left w:val="single" w:sz="4" w:space="0" w:color="auto"/>
              <w:bottom w:val="single" w:sz="4" w:space="0" w:color="auto"/>
              <w:right w:val="single" w:sz="4" w:space="0" w:color="auto"/>
            </w:tcBorders>
            <w:vAlign w:val="center"/>
            <w:hideMark/>
          </w:tcPr>
          <w:p w:rsidR="00DC4CFA" w:rsidRPr="00C04E87" w:rsidRDefault="00DC4CFA" w:rsidP="00DC4CFA">
            <w:pPr>
              <w:rPr>
                <w:rFonts w:ascii="Calibri" w:hAnsi="Calibri"/>
                <w:b/>
                <w:bCs/>
                <w:color w:val="000000"/>
              </w:rPr>
            </w:pPr>
          </w:p>
        </w:tc>
        <w:tc>
          <w:tcPr>
            <w:tcW w:w="1108" w:type="dxa"/>
            <w:tcBorders>
              <w:top w:val="nil"/>
              <w:left w:val="nil"/>
              <w:bottom w:val="single" w:sz="4" w:space="0" w:color="auto"/>
              <w:right w:val="single" w:sz="4" w:space="0" w:color="auto"/>
            </w:tcBorders>
            <w:shd w:val="clear" w:color="000000" w:fill="F2F2F2"/>
            <w:vAlign w:val="center"/>
            <w:hideMark/>
          </w:tcPr>
          <w:p w:rsidR="00DC4CFA" w:rsidRPr="00C04E87" w:rsidRDefault="00DC4CFA" w:rsidP="00DC4CFA">
            <w:pPr>
              <w:jc w:val="center"/>
              <w:rPr>
                <w:rFonts w:ascii="Calibri" w:hAnsi="Calibri"/>
                <w:b/>
                <w:bCs/>
                <w:color w:val="000000"/>
              </w:rPr>
            </w:pPr>
            <w:r w:rsidRPr="00C04E87">
              <w:rPr>
                <w:rFonts w:ascii="Calibri" w:hAnsi="Calibri"/>
                <w:b/>
                <w:bCs/>
                <w:color w:val="000000"/>
              </w:rPr>
              <w:t>Method 2</w:t>
            </w:r>
          </w:p>
        </w:tc>
        <w:tc>
          <w:tcPr>
            <w:tcW w:w="5570" w:type="dxa"/>
            <w:tcBorders>
              <w:top w:val="nil"/>
              <w:left w:val="nil"/>
              <w:bottom w:val="single" w:sz="4" w:space="0" w:color="auto"/>
              <w:right w:val="single" w:sz="4" w:space="0" w:color="auto"/>
            </w:tcBorders>
            <w:shd w:val="clear" w:color="auto" w:fill="auto"/>
            <w:vAlign w:val="center"/>
            <w:hideMark/>
          </w:tcPr>
          <w:p w:rsidR="00DC4CFA" w:rsidRPr="00C04E87" w:rsidRDefault="00DC4CFA" w:rsidP="00DC4CFA">
            <w:pPr>
              <w:jc w:val="center"/>
              <w:rPr>
                <w:rFonts w:ascii="Calibri" w:hAnsi="Calibri"/>
                <w:color w:val="000000"/>
              </w:rPr>
            </w:pPr>
            <w:r>
              <w:rPr>
                <w:rFonts w:ascii="Calibri" w:hAnsi="Calibri"/>
                <w:color w:val="000000"/>
              </w:rPr>
              <w:t>Crop experts define</w:t>
            </w:r>
            <w:r w:rsidRPr="00C04E87">
              <w:rPr>
                <w:rFonts w:ascii="Calibri" w:hAnsi="Calibri"/>
                <w:color w:val="000000"/>
              </w:rPr>
              <w:t xml:space="preserve"> delineating varieties whose over-year means are used to delineate each state</w:t>
            </w:r>
          </w:p>
        </w:tc>
        <w:tc>
          <w:tcPr>
            <w:tcW w:w="993" w:type="dxa"/>
            <w:tcBorders>
              <w:top w:val="nil"/>
              <w:left w:val="nil"/>
              <w:bottom w:val="single" w:sz="4" w:space="0" w:color="auto"/>
              <w:right w:val="single" w:sz="4" w:space="0" w:color="auto"/>
            </w:tcBorders>
            <w:shd w:val="clear" w:color="auto" w:fill="auto"/>
            <w:noWrap/>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x</w:t>
            </w:r>
          </w:p>
        </w:tc>
        <w:tc>
          <w:tcPr>
            <w:tcW w:w="1134" w:type="dxa"/>
            <w:tcBorders>
              <w:top w:val="nil"/>
              <w:left w:val="nil"/>
              <w:bottom w:val="single" w:sz="4" w:space="0" w:color="auto"/>
              <w:right w:val="single" w:sz="4" w:space="0" w:color="auto"/>
            </w:tcBorders>
            <w:shd w:val="clear" w:color="auto" w:fill="auto"/>
            <w:noWrap/>
            <w:vAlign w:val="center"/>
            <w:hideMark/>
          </w:tcPr>
          <w:p w:rsidR="00DC4CFA" w:rsidRPr="00C04E87" w:rsidRDefault="00DC4CFA" w:rsidP="00DC4CFA">
            <w:pPr>
              <w:jc w:val="center"/>
              <w:rPr>
                <w:rFonts w:ascii="Calibri" w:hAnsi="Calibri"/>
                <w:color w:val="000000"/>
              </w:rPr>
            </w:pPr>
            <w:r w:rsidRPr="00C04E87">
              <w:rPr>
                <w:rFonts w:ascii="Calibri" w:hAnsi="Calibri"/>
                <w:color w:val="000000"/>
              </w:rPr>
              <w:t>x</w:t>
            </w:r>
          </w:p>
        </w:tc>
        <w:tc>
          <w:tcPr>
            <w:tcW w:w="1218" w:type="dxa"/>
            <w:tcBorders>
              <w:top w:val="nil"/>
              <w:left w:val="nil"/>
              <w:bottom w:val="single" w:sz="4" w:space="0" w:color="auto"/>
              <w:right w:val="single" w:sz="4" w:space="0" w:color="auto"/>
            </w:tcBorders>
            <w:shd w:val="clear" w:color="auto" w:fill="auto"/>
            <w:noWrap/>
            <w:vAlign w:val="bottom"/>
            <w:hideMark/>
          </w:tcPr>
          <w:p w:rsidR="00DC4CFA" w:rsidRPr="00C04E87" w:rsidRDefault="00DC4CFA" w:rsidP="00DC4CFA">
            <w:pPr>
              <w:rPr>
                <w:rFonts w:ascii="Calibri" w:hAnsi="Calibri"/>
                <w:color w:val="000000"/>
              </w:rPr>
            </w:pPr>
            <w:r w:rsidRPr="00C04E87">
              <w:rPr>
                <w:rFonts w:ascii="Calibri" w:hAnsi="Calibri"/>
                <w:color w:val="000000"/>
              </w:rPr>
              <w:t> </w:t>
            </w:r>
          </w:p>
        </w:tc>
      </w:tr>
    </w:tbl>
    <w:p w:rsidR="00DC4CFA" w:rsidRDefault="00DC4CFA" w:rsidP="00DC4CFA">
      <w:pPr>
        <w:rPr>
          <w:rFonts w:cs="Arial"/>
        </w:rPr>
      </w:pPr>
    </w:p>
    <w:p w:rsidR="00DC4CFA" w:rsidRDefault="00DC4CFA" w:rsidP="00DC4CFA">
      <w:pPr>
        <w:rPr>
          <w:rFonts w:cs="Arial"/>
        </w:rPr>
      </w:pPr>
    </w:p>
    <w:p w:rsidR="00DC4CFA" w:rsidRDefault="0008674C" w:rsidP="00DC4CFA">
      <w:pPr>
        <w:rPr>
          <w:rFonts w:cs="Arial"/>
        </w:rPr>
      </w:pPr>
      <w:r w:rsidRPr="00CE7A27">
        <w:fldChar w:fldCharType="begin"/>
      </w:r>
      <w:r w:rsidRPr="00CE7A27">
        <w:instrText xml:space="preserve"> AUTONUM  </w:instrText>
      </w:r>
      <w:r w:rsidRPr="00CE7A27">
        <w:fldChar w:fldCharType="end"/>
      </w:r>
      <w:r w:rsidRPr="00CE7A27">
        <w:tab/>
      </w:r>
      <w:r w:rsidR="005074E9" w:rsidRPr="00CE7A27">
        <w:rPr>
          <w:rFonts w:cs="Arial"/>
        </w:rPr>
        <w:t>A</w:t>
      </w:r>
      <w:r w:rsidR="00DC4CFA" w:rsidRPr="00CE7A27">
        <w:rPr>
          <w:rFonts w:cs="Arial"/>
        </w:rPr>
        <w:t>ll the UPOV members who performed the exercise use example varieties in their process to assign notes</w:t>
      </w:r>
      <w:r w:rsidR="005074E9" w:rsidRPr="00CE7A27">
        <w:rPr>
          <w:rFonts w:cs="Arial"/>
        </w:rPr>
        <w:t xml:space="preserve"> except for the United Kingdom Method 1</w:t>
      </w:r>
      <w:r w:rsidR="00DC4CFA" w:rsidRPr="00CE7A27">
        <w:rPr>
          <w:rFonts w:cs="Arial"/>
        </w:rPr>
        <w:t>. In</w:t>
      </w:r>
      <w:r w:rsidR="00DC4CFA">
        <w:rPr>
          <w:rFonts w:cs="Arial"/>
        </w:rPr>
        <w:t xml:space="preserve"> particular, the method used by Japan and the French method 2 rely directly on UPOV example varieties (or any other own example varieties), whereas UPOV example varieties are used by crop expert for final calibration in the German and the Italian methods.</w:t>
      </w:r>
    </w:p>
    <w:p w:rsidR="00DC4CFA" w:rsidRDefault="00DC4CFA" w:rsidP="00DC4CFA">
      <w:pPr>
        <w:rPr>
          <w:rFonts w:cs="Arial"/>
        </w:rPr>
      </w:pPr>
      <w:r>
        <w:rPr>
          <w:rFonts w:cs="Arial"/>
        </w:rPr>
        <w:t xml:space="preserve">Italy, Japan and United Kingdom (method 1) divide the total range of expression of the characteristic for the reference varieties into equal-spaced states in order to set a note and Italy and Japan also adjust each state according to crop expert judgment or example varieties. </w:t>
      </w:r>
    </w:p>
    <w:p w:rsidR="00DC4CFA" w:rsidRDefault="00DC4CFA" w:rsidP="00DC4CFA">
      <w:pPr>
        <w:rPr>
          <w:rFonts w:cs="Arial"/>
        </w:rPr>
      </w:pPr>
    </w:p>
    <w:p w:rsidR="00DC4CFA" w:rsidRDefault="00DC4CFA">
      <w:pPr>
        <w:jc w:val="left"/>
        <w:rPr>
          <w:rFonts w:cs="Arial"/>
        </w:rPr>
      </w:pPr>
      <w:r>
        <w:rPr>
          <w:rFonts w:cs="Arial"/>
        </w:rPr>
        <w:br w:type="page"/>
      </w:r>
    </w:p>
    <w:p w:rsidR="00DC4CFA" w:rsidRPr="00C04E87" w:rsidRDefault="00DC4CFA" w:rsidP="00DC4CFA">
      <w:pPr>
        <w:rPr>
          <w:rFonts w:cs="Arial"/>
        </w:rPr>
      </w:pPr>
    </w:p>
    <w:p w:rsidR="00DC4CFA" w:rsidRPr="00382D4C" w:rsidRDefault="00DC4CFA" w:rsidP="00DC4CFA">
      <w:pPr>
        <w:pStyle w:val="Heading1"/>
      </w:pPr>
      <w:r w:rsidRPr="00382D4C">
        <w:t>Results by method</w:t>
      </w:r>
    </w:p>
    <w:p w:rsidR="00DC4CFA" w:rsidRDefault="00DC4CFA" w:rsidP="00DC4CFA"/>
    <w:p w:rsidR="00DC4CFA" w:rsidRDefault="0008674C" w:rsidP="00DC4CFA">
      <w:r>
        <w:fldChar w:fldCharType="begin"/>
      </w:r>
      <w:r>
        <w:instrText xml:space="preserve"> AUTONUM  </w:instrText>
      </w:r>
      <w:r>
        <w:fldChar w:fldCharType="end"/>
      </w:r>
      <w:r>
        <w:tab/>
      </w:r>
      <w:r w:rsidR="00DC4CFA">
        <w:t>The table below shows the notes attributed to the 30 candidate varieties with each method.</w:t>
      </w:r>
    </w:p>
    <w:p w:rsidR="00DC4CFA" w:rsidRDefault="00DC4CFA" w:rsidP="00DC4CFA"/>
    <w:tbl>
      <w:tblPr>
        <w:tblW w:w="9940" w:type="dxa"/>
        <w:jc w:val="center"/>
        <w:tblCellMar>
          <w:left w:w="70" w:type="dxa"/>
          <w:right w:w="70" w:type="dxa"/>
        </w:tblCellMar>
        <w:tblLook w:val="04A0" w:firstRow="1" w:lastRow="0" w:firstColumn="1" w:lastColumn="0" w:noHBand="0" w:noVBand="1"/>
      </w:tblPr>
      <w:tblGrid>
        <w:gridCol w:w="1200"/>
        <w:gridCol w:w="600"/>
        <w:gridCol w:w="560"/>
        <w:gridCol w:w="760"/>
        <w:gridCol w:w="940"/>
        <w:gridCol w:w="919"/>
        <w:gridCol w:w="801"/>
        <w:gridCol w:w="758"/>
        <w:gridCol w:w="850"/>
        <w:gridCol w:w="851"/>
        <w:gridCol w:w="850"/>
        <w:gridCol w:w="851"/>
      </w:tblGrid>
      <w:tr w:rsidR="001D0B81" w:rsidRPr="00BA322D" w:rsidTr="00BB4827">
        <w:trPr>
          <w:trHeight w:val="454"/>
          <w:jc w:val="center"/>
        </w:trPr>
        <w:tc>
          <w:tcPr>
            <w:tcW w:w="120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1D0B81" w:rsidRPr="00BA322D" w:rsidRDefault="001D0B81" w:rsidP="00BB4827">
            <w:pPr>
              <w:jc w:val="center"/>
              <w:rPr>
                <w:rFonts w:ascii="Calibri" w:hAnsi="Calibri"/>
                <w:b/>
                <w:bCs/>
                <w:color w:val="000000"/>
                <w:sz w:val="16"/>
                <w:szCs w:val="16"/>
              </w:rPr>
            </w:pPr>
            <w:r w:rsidRPr="00BA322D">
              <w:rPr>
                <w:rFonts w:ascii="Calibri" w:hAnsi="Calibri"/>
                <w:b/>
                <w:bCs/>
                <w:color w:val="000000"/>
                <w:sz w:val="16"/>
                <w:szCs w:val="16"/>
              </w:rPr>
              <w:t>Variety</w:t>
            </w:r>
          </w:p>
        </w:tc>
        <w:tc>
          <w:tcPr>
            <w:tcW w:w="600" w:type="dxa"/>
            <w:tcBorders>
              <w:top w:val="single" w:sz="8" w:space="0" w:color="auto"/>
              <w:left w:val="nil"/>
              <w:bottom w:val="single" w:sz="8" w:space="0" w:color="auto"/>
              <w:right w:val="single" w:sz="8" w:space="0" w:color="auto"/>
            </w:tcBorders>
            <w:shd w:val="clear" w:color="000000" w:fill="F2F2F2"/>
            <w:vAlign w:val="center"/>
            <w:hideMark/>
          </w:tcPr>
          <w:p w:rsidR="001D0B81" w:rsidRPr="00BA322D" w:rsidRDefault="001D0B81" w:rsidP="00BB4827">
            <w:pPr>
              <w:jc w:val="center"/>
              <w:rPr>
                <w:rFonts w:ascii="Calibri" w:hAnsi="Calibri"/>
                <w:b/>
                <w:bCs/>
                <w:color w:val="000000"/>
                <w:sz w:val="16"/>
                <w:szCs w:val="16"/>
              </w:rPr>
            </w:pPr>
            <w:r w:rsidRPr="00BA322D">
              <w:rPr>
                <w:rFonts w:ascii="Calibri" w:hAnsi="Calibri"/>
                <w:b/>
                <w:bCs/>
                <w:color w:val="000000"/>
                <w:sz w:val="16"/>
                <w:szCs w:val="16"/>
              </w:rPr>
              <w:t>2011 mean</w:t>
            </w:r>
          </w:p>
        </w:tc>
        <w:tc>
          <w:tcPr>
            <w:tcW w:w="560" w:type="dxa"/>
            <w:tcBorders>
              <w:top w:val="single" w:sz="8" w:space="0" w:color="auto"/>
              <w:left w:val="nil"/>
              <w:bottom w:val="single" w:sz="8" w:space="0" w:color="auto"/>
              <w:right w:val="single" w:sz="8" w:space="0" w:color="auto"/>
            </w:tcBorders>
            <w:shd w:val="clear" w:color="000000" w:fill="F2F2F2"/>
            <w:vAlign w:val="center"/>
            <w:hideMark/>
          </w:tcPr>
          <w:p w:rsidR="001D0B81" w:rsidRPr="00BA322D" w:rsidRDefault="001D0B81" w:rsidP="00BB4827">
            <w:pPr>
              <w:jc w:val="center"/>
              <w:rPr>
                <w:rFonts w:ascii="Calibri" w:hAnsi="Calibri"/>
                <w:b/>
                <w:bCs/>
                <w:color w:val="000000"/>
                <w:sz w:val="16"/>
                <w:szCs w:val="16"/>
              </w:rPr>
            </w:pPr>
            <w:r w:rsidRPr="00BA322D">
              <w:rPr>
                <w:rFonts w:ascii="Calibri" w:hAnsi="Calibri"/>
                <w:b/>
                <w:bCs/>
                <w:color w:val="000000"/>
                <w:sz w:val="16"/>
                <w:szCs w:val="16"/>
              </w:rPr>
              <w:t>2012 mean</w:t>
            </w:r>
          </w:p>
        </w:tc>
        <w:tc>
          <w:tcPr>
            <w:tcW w:w="760" w:type="dxa"/>
            <w:tcBorders>
              <w:top w:val="single" w:sz="8" w:space="0" w:color="auto"/>
              <w:left w:val="nil"/>
              <w:bottom w:val="single" w:sz="8" w:space="0" w:color="auto"/>
              <w:right w:val="single" w:sz="8" w:space="0" w:color="auto"/>
            </w:tcBorders>
            <w:shd w:val="clear" w:color="000000" w:fill="F2F2F2"/>
            <w:vAlign w:val="center"/>
            <w:hideMark/>
          </w:tcPr>
          <w:p w:rsidR="001D0B81" w:rsidRPr="00BA322D" w:rsidRDefault="001D0B81" w:rsidP="00BB4827">
            <w:pPr>
              <w:jc w:val="center"/>
              <w:rPr>
                <w:rFonts w:ascii="Calibri" w:hAnsi="Calibri"/>
                <w:b/>
                <w:bCs/>
                <w:color w:val="000000"/>
                <w:sz w:val="16"/>
                <w:szCs w:val="16"/>
              </w:rPr>
            </w:pPr>
            <w:r w:rsidRPr="00BA322D">
              <w:rPr>
                <w:rFonts w:ascii="Calibri" w:hAnsi="Calibri"/>
                <w:b/>
                <w:bCs/>
                <w:color w:val="000000"/>
                <w:sz w:val="16"/>
                <w:szCs w:val="16"/>
              </w:rPr>
              <w:t>Over-year mean</w:t>
            </w:r>
          </w:p>
        </w:tc>
        <w:tc>
          <w:tcPr>
            <w:tcW w:w="940" w:type="dxa"/>
            <w:tcBorders>
              <w:top w:val="single" w:sz="8" w:space="0" w:color="auto"/>
              <w:left w:val="nil"/>
              <w:bottom w:val="single" w:sz="8" w:space="0" w:color="auto"/>
              <w:right w:val="single" w:sz="8" w:space="0" w:color="auto"/>
            </w:tcBorders>
            <w:shd w:val="clear" w:color="000000" w:fill="F2F2F2"/>
            <w:vAlign w:val="center"/>
            <w:hideMark/>
          </w:tcPr>
          <w:p w:rsidR="001D0B81" w:rsidRPr="00BA322D" w:rsidRDefault="001D0B81" w:rsidP="00BB4827">
            <w:pPr>
              <w:jc w:val="center"/>
              <w:rPr>
                <w:rFonts w:ascii="Calibri" w:hAnsi="Calibri"/>
                <w:b/>
                <w:bCs/>
                <w:color w:val="000000"/>
                <w:sz w:val="16"/>
                <w:szCs w:val="16"/>
              </w:rPr>
            </w:pPr>
            <w:r w:rsidRPr="00BA322D">
              <w:rPr>
                <w:rFonts w:ascii="Calibri" w:hAnsi="Calibri"/>
                <w:b/>
                <w:bCs/>
                <w:color w:val="000000"/>
                <w:sz w:val="16"/>
                <w:szCs w:val="16"/>
              </w:rPr>
              <w:t>Note France method 1</w:t>
            </w:r>
          </w:p>
        </w:tc>
        <w:tc>
          <w:tcPr>
            <w:tcW w:w="919" w:type="dxa"/>
            <w:tcBorders>
              <w:top w:val="single" w:sz="8" w:space="0" w:color="auto"/>
              <w:left w:val="nil"/>
              <w:bottom w:val="single" w:sz="8" w:space="0" w:color="auto"/>
              <w:right w:val="single" w:sz="8" w:space="0" w:color="auto"/>
            </w:tcBorders>
            <w:shd w:val="clear" w:color="000000" w:fill="F2F2F2"/>
            <w:vAlign w:val="center"/>
            <w:hideMark/>
          </w:tcPr>
          <w:p w:rsidR="001D0B81" w:rsidRPr="00BA322D" w:rsidRDefault="001D0B81" w:rsidP="00BB4827">
            <w:pPr>
              <w:jc w:val="center"/>
              <w:rPr>
                <w:rFonts w:ascii="Calibri" w:hAnsi="Calibri"/>
                <w:b/>
                <w:bCs/>
                <w:color w:val="000000"/>
                <w:sz w:val="16"/>
                <w:szCs w:val="16"/>
              </w:rPr>
            </w:pPr>
            <w:r w:rsidRPr="00BA322D">
              <w:rPr>
                <w:rFonts w:ascii="Calibri" w:hAnsi="Calibri"/>
                <w:b/>
                <w:bCs/>
                <w:color w:val="000000"/>
                <w:sz w:val="16"/>
                <w:szCs w:val="16"/>
              </w:rPr>
              <w:t>Note France method 2</w:t>
            </w:r>
          </w:p>
        </w:tc>
        <w:tc>
          <w:tcPr>
            <w:tcW w:w="801" w:type="dxa"/>
            <w:tcBorders>
              <w:top w:val="single" w:sz="8" w:space="0" w:color="auto"/>
              <w:left w:val="nil"/>
              <w:bottom w:val="single" w:sz="8" w:space="0" w:color="auto"/>
              <w:right w:val="single" w:sz="8" w:space="0" w:color="auto"/>
            </w:tcBorders>
            <w:shd w:val="clear" w:color="000000" w:fill="F2F2F2"/>
            <w:vAlign w:val="center"/>
            <w:hideMark/>
          </w:tcPr>
          <w:p w:rsidR="001D0B81" w:rsidRPr="00BA322D" w:rsidRDefault="001D0B81" w:rsidP="00BB4827">
            <w:pPr>
              <w:jc w:val="center"/>
              <w:rPr>
                <w:rFonts w:ascii="Calibri" w:hAnsi="Calibri"/>
                <w:b/>
                <w:bCs/>
                <w:color w:val="000000"/>
                <w:sz w:val="16"/>
                <w:szCs w:val="16"/>
              </w:rPr>
            </w:pPr>
            <w:r w:rsidRPr="00BA322D">
              <w:rPr>
                <w:rFonts w:ascii="Calibri" w:hAnsi="Calibri"/>
                <w:b/>
                <w:bCs/>
                <w:color w:val="000000"/>
                <w:sz w:val="16"/>
                <w:szCs w:val="16"/>
              </w:rPr>
              <w:t>Note Italy</w:t>
            </w:r>
          </w:p>
        </w:tc>
        <w:tc>
          <w:tcPr>
            <w:tcW w:w="758" w:type="dxa"/>
            <w:tcBorders>
              <w:top w:val="single" w:sz="8" w:space="0" w:color="auto"/>
              <w:left w:val="nil"/>
              <w:bottom w:val="single" w:sz="8" w:space="0" w:color="auto"/>
              <w:right w:val="single" w:sz="8" w:space="0" w:color="auto"/>
            </w:tcBorders>
            <w:shd w:val="clear" w:color="000000" w:fill="F2F2F2"/>
            <w:vAlign w:val="center"/>
            <w:hideMark/>
          </w:tcPr>
          <w:p w:rsidR="001D0B81" w:rsidRPr="00BA322D" w:rsidRDefault="001D0B81" w:rsidP="00BB4827">
            <w:pPr>
              <w:jc w:val="center"/>
              <w:rPr>
                <w:rFonts w:ascii="Calibri" w:hAnsi="Calibri"/>
                <w:b/>
                <w:bCs/>
                <w:color w:val="000000"/>
                <w:sz w:val="16"/>
                <w:szCs w:val="16"/>
              </w:rPr>
            </w:pPr>
            <w:r w:rsidRPr="00BA322D">
              <w:rPr>
                <w:rFonts w:ascii="Calibri" w:hAnsi="Calibri"/>
                <w:b/>
                <w:bCs/>
                <w:color w:val="000000"/>
                <w:sz w:val="16"/>
                <w:szCs w:val="16"/>
              </w:rPr>
              <w:t>Note Germany 2012</w:t>
            </w:r>
          </w:p>
        </w:tc>
        <w:tc>
          <w:tcPr>
            <w:tcW w:w="850" w:type="dxa"/>
            <w:tcBorders>
              <w:top w:val="single" w:sz="8" w:space="0" w:color="auto"/>
              <w:left w:val="nil"/>
              <w:bottom w:val="single" w:sz="8" w:space="0" w:color="auto"/>
              <w:right w:val="single" w:sz="8" w:space="0" w:color="auto"/>
            </w:tcBorders>
            <w:shd w:val="clear" w:color="000000" w:fill="F2F2F2"/>
            <w:vAlign w:val="center"/>
            <w:hideMark/>
          </w:tcPr>
          <w:p w:rsidR="001D0B81" w:rsidRPr="00BA322D" w:rsidRDefault="001D0B81" w:rsidP="00BB4827">
            <w:pPr>
              <w:jc w:val="center"/>
              <w:rPr>
                <w:rFonts w:ascii="Calibri" w:hAnsi="Calibri"/>
                <w:b/>
                <w:bCs/>
                <w:color w:val="000000"/>
                <w:sz w:val="16"/>
                <w:szCs w:val="16"/>
              </w:rPr>
            </w:pPr>
            <w:r w:rsidRPr="00BA322D">
              <w:rPr>
                <w:rFonts w:ascii="Calibri" w:hAnsi="Calibri"/>
                <w:b/>
                <w:bCs/>
                <w:color w:val="000000"/>
                <w:sz w:val="16"/>
                <w:szCs w:val="16"/>
              </w:rPr>
              <w:t>Note Japan 2012</w:t>
            </w:r>
          </w:p>
        </w:tc>
        <w:tc>
          <w:tcPr>
            <w:tcW w:w="851" w:type="dxa"/>
            <w:tcBorders>
              <w:top w:val="single" w:sz="8" w:space="0" w:color="auto"/>
              <w:left w:val="nil"/>
              <w:bottom w:val="single" w:sz="8" w:space="0" w:color="auto"/>
              <w:right w:val="single" w:sz="8" w:space="0" w:color="auto"/>
            </w:tcBorders>
            <w:shd w:val="clear" w:color="000000" w:fill="F2F2F2"/>
            <w:vAlign w:val="center"/>
            <w:hideMark/>
          </w:tcPr>
          <w:p w:rsidR="001D0B81" w:rsidRPr="00BA322D" w:rsidRDefault="001D0B81" w:rsidP="00BB4827">
            <w:pPr>
              <w:jc w:val="center"/>
              <w:rPr>
                <w:rFonts w:ascii="Calibri" w:hAnsi="Calibri"/>
                <w:b/>
                <w:bCs/>
                <w:color w:val="000000"/>
                <w:sz w:val="16"/>
                <w:szCs w:val="16"/>
              </w:rPr>
            </w:pPr>
            <w:r w:rsidRPr="00BA322D">
              <w:rPr>
                <w:rFonts w:ascii="Calibri" w:hAnsi="Calibri"/>
                <w:b/>
                <w:bCs/>
                <w:color w:val="000000"/>
                <w:sz w:val="16"/>
                <w:szCs w:val="16"/>
              </w:rPr>
              <w:t>Note UK method 1</w:t>
            </w:r>
          </w:p>
        </w:tc>
        <w:tc>
          <w:tcPr>
            <w:tcW w:w="850" w:type="dxa"/>
            <w:tcBorders>
              <w:top w:val="single" w:sz="8" w:space="0" w:color="auto"/>
              <w:left w:val="nil"/>
              <w:bottom w:val="single" w:sz="8" w:space="0" w:color="auto"/>
              <w:right w:val="single" w:sz="8" w:space="0" w:color="auto"/>
            </w:tcBorders>
            <w:shd w:val="clear" w:color="000000" w:fill="F2F2F2"/>
            <w:vAlign w:val="center"/>
            <w:hideMark/>
          </w:tcPr>
          <w:p w:rsidR="001D0B81" w:rsidRPr="00BA322D" w:rsidRDefault="001D0B81" w:rsidP="00BB4827">
            <w:pPr>
              <w:jc w:val="center"/>
              <w:rPr>
                <w:rFonts w:ascii="Calibri" w:hAnsi="Calibri"/>
                <w:b/>
                <w:bCs/>
                <w:color w:val="000000"/>
                <w:sz w:val="16"/>
                <w:szCs w:val="16"/>
              </w:rPr>
            </w:pPr>
            <w:r w:rsidRPr="00BA322D">
              <w:rPr>
                <w:rFonts w:ascii="Calibri" w:hAnsi="Calibri"/>
                <w:b/>
                <w:bCs/>
                <w:color w:val="000000"/>
                <w:sz w:val="16"/>
                <w:szCs w:val="16"/>
              </w:rPr>
              <w:t>Note UK method 2</w:t>
            </w:r>
          </w:p>
        </w:tc>
        <w:tc>
          <w:tcPr>
            <w:tcW w:w="851" w:type="dxa"/>
            <w:tcBorders>
              <w:top w:val="single" w:sz="8" w:space="0" w:color="auto"/>
              <w:left w:val="nil"/>
              <w:bottom w:val="single" w:sz="8" w:space="0" w:color="auto"/>
              <w:right w:val="single" w:sz="8" w:space="0" w:color="auto"/>
            </w:tcBorders>
            <w:shd w:val="clear" w:color="000000" w:fill="F2F2F2"/>
            <w:vAlign w:val="center"/>
            <w:hideMark/>
          </w:tcPr>
          <w:p w:rsidR="001D0B81" w:rsidRPr="00BA322D" w:rsidRDefault="001D0B81" w:rsidP="00BB4827">
            <w:pPr>
              <w:jc w:val="center"/>
              <w:rPr>
                <w:rFonts w:ascii="Calibri" w:hAnsi="Calibri"/>
                <w:b/>
                <w:bCs/>
                <w:i/>
                <w:iCs/>
                <w:color w:val="000000"/>
                <w:sz w:val="16"/>
                <w:szCs w:val="16"/>
              </w:rPr>
            </w:pPr>
            <w:r w:rsidRPr="00BA322D">
              <w:rPr>
                <w:rFonts w:ascii="Calibri" w:hAnsi="Calibri"/>
                <w:b/>
                <w:bCs/>
                <w:i/>
                <w:iCs/>
                <w:color w:val="000000"/>
                <w:sz w:val="16"/>
                <w:szCs w:val="16"/>
              </w:rPr>
              <w:t>Average note by variety</w:t>
            </w:r>
          </w:p>
        </w:tc>
      </w:tr>
      <w:tr w:rsidR="001D0B81" w:rsidRPr="00BA322D" w:rsidTr="00BB4827">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Variety 262</w:t>
            </w:r>
          </w:p>
        </w:tc>
        <w:tc>
          <w:tcPr>
            <w:tcW w:w="60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207</w:t>
            </w:r>
          </w:p>
        </w:tc>
        <w:tc>
          <w:tcPr>
            <w:tcW w:w="5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sidRPr="0092052D">
              <w:rPr>
                <w:rFonts w:ascii="Calibri" w:hAnsi="Calibri"/>
                <w:color w:val="000000"/>
                <w:sz w:val="16"/>
                <w:szCs w:val="16"/>
              </w:rPr>
              <w:t>316</w:t>
            </w:r>
          </w:p>
        </w:tc>
        <w:tc>
          <w:tcPr>
            <w:tcW w:w="7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262</w:t>
            </w:r>
          </w:p>
        </w:tc>
        <w:tc>
          <w:tcPr>
            <w:tcW w:w="94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1</w:t>
            </w:r>
          </w:p>
        </w:tc>
        <w:tc>
          <w:tcPr>
            <w:tcW w:w="919"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1</w:t>
            </w:r>
          </w:p>
        </w:tc>
        <w:tc>
          <w:tcPr>
            <w:tcW w:w="80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1</w:t>
            </w:r>
          </w:p>
        </w:tc>
        <w:tc>
          <w:tcPr>
            <w:tcW w:w="758"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b/>
                <w:bCs/>
                <w:i/>
                <w:iCs/>
                <w:color w:val="000000"/>
                <w:sz w:val="16"/>
                <w:szCs w:val="16"/>
              </w:rPr>
            </w:pPr>
            <w:r w:rsidRPr="00BA322D">
              <w:rPr>
                <w:rFonts w:ascii="Calibri" w:hAnsi="Calibri"/>
                <w:b/>
                <w:bCs/>
                <w:i/>
                <w:iCs/>
                <w:color w:val="000000"/>
                <w:sz w:val="16"/>
                <w:szCs w:val="16"/>
              </w:rPr>
              <w:t>1.1</w:t>
            </w:r>
          </w:p>
        </w:tc>
      </w:tr>
      <w:tr w:rsidR="001D0B81" w:rsidRPr="00BA322D" w:rsidTr="00BB4827">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Variety 287</w:t>
            </w:r>
          </w:p>
        </w:tc>
        <w:tc>
          <w:tcPr>
            <w:tcW w:w="60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351</w:t>
            </w:r>
          </w:p>
        </w:tc>
        <w:tc>
          <w:tcPr>
            <w:tcW w:w="760" w:type="dxa"/>
            <w:tcBorders>
              <w:top w:val="nil"/>
              <w:left w:val="nil"/>
              <w:bottom w:val="single" w:sz="8" w:space="0" w:color="auto"/>
              <w:right w:val="single" w:sz="8" w:space="0" w:color="auto"/>
            </w:tcBorders>
            <w:shd w:val="clear" w:color="auto" w:fill="auto"/>
            <w:noWrap/>
            <w:vAlign w:val="center"/>
          </w:tcPr>
          <w:p w:rsidR="001D0B81" w:rsidRPr="00BA322D" w:rsidRDefault="00364CB7" w:rsidP="00BB4827">
            <w:pPr>
              <w:jc w:val="center"/>
              <w:rPr>
                <w:rFonts w:ascii="Calibri" w:hAnsi="Calibri"/>
                <w:color w:val="000000"/>
                <w:sz w:val="16"/>
                <w:szCs w:val="16"/>
              </w:rPr>
            </w:pPr>
            <w:r>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1</w:t>
            </w:r>
          </w:p>
        </w:tc>
        <w:tc>
          <w:tcPr>
            <w:tcW w:w="919"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1</w:t>
            </w:r>
          </w:p>
        </w:tc>
        <w:tc>
          <w:tcPr>
            <w:tcW w:w="758"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2</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b/>
                <w:bCs/>
                <w:i/>
                <w:iCs/>
                <w:color w:val="000000"/>
                <w:sz w:val="16"/>
                <w:szCs w:val="16"/>
              </w:rPr>
            </w:pPr>
            <w:r w:rsidRPr="00BA322D">
              <w:rPr>
                <w:rFonts w:ascii="Calibri" w:hAnsi="Calibri"/>
                <w:b/>
                <w:bCs/>
                <w:i/>
                <w:iCs/>
                <w:color w:val="000000"/>
                <w:sz w:val="16"/>
                <w:szCs w:val="16"/>
              </w:rPr>
              <w:t>1.5</w:t>
            </w:r>
          </w:p>
        </w:tc>
      </w:tr>
      <w:tr w:rsidR="001D0B81" w:rsidRPr="00BA322D" w:rsidTr="00BB4827">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Variety 263</w:t>
            </w:r>
          </w:p>
        </w:tc>
        <w:tc>
          <w:tcPr>
            <w:tcW w:w="60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226</w:t>
            </w:r>
          </w:p>
        </w:tc>
        <w:tc>
          <w:tcPr>
            <w:tcW w:w="5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382</w:t>
            </w:r>
          </w:p>
        </w:tc>
        <w:tc>
          <w:tcPr>
            <w:tcW w:w="7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304</w:t>
            </w:r>
          </w:p>
        </w:tc>
        <w:tc>
          <w:tcPr>
            <w:tcW w:w="94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1</w:t>
            </w:r>
          </w:p>
        </w:tc>
        <w:tc>
          <w:tcPr>
            <w:tcW w:w="919"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2</w:t>
            </w:r>
          </w:p>
        </w:tc>
        <w:tc>
          <w:tcPr>
            <w:tcW w:w="80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1</w:t>
            </w:r>
          </w:p>
        </w:tc>
        <w:tc>
          <w:tcPr>
            <w:tcW w:w="758"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2</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b/>
                <w:bCs/>
                <w:i/>
                <w:iCs/>
                <w:color w:val="000000"/>
                <w:sz w:val="16"/>
                <w:szCs w:val="16"/>
              </w:rPr>
            </w:pPr>
            <w:r w:rsidRPr="00BA322D">
              <w:rPr>
                <w:rFonts w:ascii="Calibri" w:hAnsi="Calibri"/>
                <w:b/>
                <w:bCs/>
                <w:i/>
                <w:iCs/>
                <w:color w:val="000000"/>
                <w:sz w:val="16"/>
                <w:szCs w:val="16"/>
              </w:rPr>
              <w:t>1.6</w:t>
            </w:r>
          </w:p>
        </w:tc>
      </w:tr>
      <w:tr w:rsidR="00364CB7" w:rsidRPr="00BA322D" w:rsidTr="00BB4827">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Variety 284</w:t>
            </w:r>
          </w:p>
        </w:tc>
        <w:tc>
          <w:tcPr>
            <w:tcW w:w="60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360</w:t>
            </w:r>
          </w:p>
        </w:tc>
        <w:tc>
          <w:tcPr>
            <w:tcW w:w="7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2</w:t>
            </w:r>
          </w:p>
        </w:tc>
        <w:tc>
          <w:tcPr>
            <w:tcW w:w="919"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1</w:t>
            </w:r>
          </w:p>
        </w:tc>
        <w:tc>
          <w:tcPr>
            <w:tcW w:w="758"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2</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2</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2.0</w:t>
            </w:r>
          </w:p>
        </w:tc>
      </w:tr>
      <w:tr w:rsidR="00364CB7" w:rsidRPr="00BA322D" w:rsidTr="00BB4827">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Variety 283</w:t>
            </w:r>
          </w:p>
        </w:tc>
        <w:tc>
          <w:tcPr>
            <w:tcW w:w="60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369</w:t>
            </w:r>
          </w:p>
        </w:tc>
        <w:tc>
          <w:tcPr>
            <w:tcW w:w="7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2</w:t>
            </w:r>
          </w:p>
        </w:tc>
        <w:tc>
          <w:tcPr>
            <w:tcW w:w="919"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2</w:t>
            </w:r>
          </w:p>
        </w:tc>
        <w:tc>
          <w:tcPr>
            <w:tcW w:w="758"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2</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2</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2.3</w:t>
            </w:r>
          </w:p>
        </w:tc>
      </w:tr>
      <w:tr w:rsidR="00364CB7" w:rsidRPr="00BA322D" w:rsidTr="00BB4827">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Variety 288</w:t>
            </w:r>
          </w:p>
        </w:tc>
        <w:tc>
          <w:tcPr>
            <w:tcW w:w="60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436</w:t>
            </w:r>
          </w:p>
        </w:tc>
        <w:tc>
          <w:tcPr>
            <w:tcW w:w="7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4</w:t>
            </w:r>
          </w:p>
        </w:tc>
        <w:tc>
          <w:tcPr>
            <w:tcW w:w="919"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4</w:t>
            </w:r>
          </w:p>
        </w:tc>
        <w:tc>
          <w:tcPr>
            <w:tcW w:w="80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2</w:t>
            </w:r>
          </w:p>
        </w:tc>
        <w:tc>
          <w:tcPr>
            <w:tcW w:w="758"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3.3</w:t>
            </w:r>
          </w:p>
        </w:tc>
      </w:tr>
      <w:tr w:rsidR="00364CB7" w:rsidRPr="00BA322D" w:rsidTr="00C041BD">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Variety 290</w:t>
            </w:r>
          </w:p>
        </w:tc>
        <w:tc>
          <w:tcPr>
            <w:tcW w:w="60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454</w:t>
            </w:r>
          </w:p>
        </w:tc>
        <w:tc>
          <w:tcPr>
            <w:tcW w:w="7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5</w:t>
            </w:r>
          </w:p>
        </w:tc>
        <w:tc>
          <w:tcPr>
            <w:tcW w:w="919"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3</w:t>
            </w:r>
          </w:p>
        </w:tc>
        <w:tc>
          <w:tcPr>
            <w:tcW w:w="758"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3.7</w:t>
            </w:r>
          </w:p>
        </w:tc>
      </w:tr>
      <w:tr w:rsidR="00364CB7" w:rsidRPr="00BA322D" w:rsidTr="00C041BD">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Variety 289</w:t>
            </w:r>
          </w:p>
        </w:tc>
        <w:tc>
          <w:tcPr>
            <w:tcW w:w="60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455</w:t>
            </w:r>
          </w:p>
        </w:tc>
        <w:tc>
          <w:tcPr>
            <w:tcW w:w="7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5</w:t>
            </w:r>
          </w:p>
        </w:tc>
        <w:tc>
          <w:tcPr>
            <w:tcW w:w="919"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3</w:t>
            </w:r>
          </w:p>
        </w:tc>
        <w:tc>
          <w:tcPr>
            <w:tcW w:w="758"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3.7</w:t>
            </w:r>
          </w:p>
        </w:tc>
      </w:tr>
      <w:tr w:rsidR="00364CB7" w:rsidRPr="00BA322D" w:rsidTr="00C041BD">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Variety 303</w:t>
            </w:r>
          </w:p>
        </w:tc>
        <w:tc>
          <w:tcPr>
            <w:tcW w:w="60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451</w:t>
            </w:r>
          </w:p>
        </w:tc>
        <w:tc>
          <w:tcPr>
            <w:tcW w:w="7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5</w:t>
            </w:r>
          </w:p>
        </w:tc>
        <w:tc>
          <w:tcPr>
            <w:tcW w:w="919"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3</w:t>
            </w:r>
          </w:p>
        </w:tc>
        <w:tc>
          <w:tcPr>
            <w:tcW w:w="758"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3.7</w:t>
            </w:r>
          </w:p>
        </w:tc>
      </w:tr>
      <w:tr w:rsidR="001D0B81" w:rsidRPr="00BA322D" w:rsidTr="00BB4827">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Variety 277</w:t>
            </w:r>
          </w:p>
        </w:tc>
        <w:tc>
          <w:tcPr>
            <w:tcW w:w="60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381</w:t>
            </w:r>
          </w:p>
        </w:tc>
        <w:tc>
          <w:tcPr>
            <w:tcW w:w="5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481</w:t>
            </w:r>
          </w:p>
        </w:tc>
        <w:tc>
          <w:tcPr>
            <w:tcW w:w="7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431</w:t>
            </w:r>
          </w:p>
        </w:tc>
        <w:tc>
          <w:tcPr>
            <w:tcW w:w="94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5</w:t>
            </w:r>
          </w:p>
        </w:tc>
        <w:tc>
          <w:tcPr>
            <w:tcW w:w="919"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5</w:t>
            </w:r>
          </w:p>
        </w:tc>
        <w:tc>
          <w:tcPr>
            <w:tcW w:w="80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3</w:t>
            </w:r>
          </w:p>
        </w:tc>
        <w:tc>
          <w:tcPr>
            <w:tcW w:w="758"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b/>
                <w:bCs/>
                <w:i/>
                <w:iCs/>
                <w:color w:val="000000"/>
                <w:sz w:val="16"/>
                <w:szCs w:val="16"/>
              </w:rPr>
            </w:pPr>
            <w:r w:rsidRPr="00BA322D">
              <w:rPr>
                <w:rFonts w:ascii="Calibri" w:hAnsi="Calibri"/>
                <w:b/>
                <w:bCs/>
                <w:i/>
                <w:iCs/>
                <w:color w:val="000000"/>
                <w:sz w:val="16"/>
                <w:szCs w:val="16"/>
              </w:rPr>
              <w:t>4.3</w:t>
            </w:r>
          </w:p>
        </w:tc>
      </w:tr>
      <w:tr w:rsidR="001D0B81" w:rsidRPr="00BA322D" w:rsidTr="00BB4827">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Variety 297</w:t>
            </w:r>
          </w:p>
        </w:tc>
        <w:tc>
          <w:tcPr>
            <w:tcW w:w="60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463</w:t>
            </w:r>
          </w:p>
        </w:tc>
        <w:tc>
          <w:tcPr>
            <w:tcW w:w="760" w:type="dxa"/>
            <w:tcBorders>
              <w:top w:val="nil"/>
              <w:left w:val="nil"/>
              <w:bottom w:val="single" w:sz="8" w:space="0" w:color="auto"/>
              <w:right w:val="single" w:sz="8" w:space="0" w:color="auto"/>
            </w:tcBorders>
            <w:shd w:val="clear" w:color="auto" w:fill="auto"/>
            <w:noWrap/>
            <w:vAlign w:val="center"/>
          </w:tcPr>
          <w:p w:rsidR="001D0B81" w:rsidRPr="004E07F2" w:rsidRDefault="00364CB7" w:rsidP="00BB4827">
            <w:pPr>
              <w:jc w:val="center"/>
              <w:rPr>
                <w:rFonts w:ascii="Calibri" w:hAnsi="Calibri"/>
                <w:color w:val="000000"/>
                <w:sz w:val="16"/>
                <w:szCs w:val="16"/>
              </w:rPr>
            </w:pPr>
            <w:r>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5</w:t>
            </w:r>
          </w:p>
        </w:tc>
        <w:tc>
          <w:tcPr>
            <w:tcW w:w="919"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3</w:t>
            </w:r>
          </w:p>
        </w:tc>
        <w:tc>
          <w:tcPr>
            <w:tcW w:w="758"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b/>
                <w:bCs/>
                <w:i/>
                <w:iCs/>
                <w:color w:val="000000"/>
                <w:sz w:val="16"/>
                <w:szCs w:val="16"/>
              </w:rPr>
            </w:pPr>
            <w:r w:rsidRPr="00BA322D">
              <w:rPr>
                <w:rFonts w:ascii="Calibri" w:hAnsi="Calibri"/>
                <w:b/>
                <w:bCs/>
                <w:i/>
                <w:iCs/>
                <w:color w:val="000000"/>
                <w:sz w:val="16"/>
                <w:szCs w:val="16"/>
              </w:rPr>
              <w:t>4.0</w:t>
            </w:r>
          </w:p>
        </w:tc>
      </w:tr>
      <w:tr w:rsidR="001D0B81" w:rsidRPr="00BA322D" w:rsidTr="00BB4827">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Variety 269</w:t>
            </w:r>
          </w:p>
        </w:tc>
        <w:tc>
          <w:tcPr>
            <w:tcW w:w="60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329</w:t>
            </w:r>
          </w:p>
        </w:tc>
        <w:tc>
          <w:tcPr>
            <w:tcW w:w="5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462</w:t>
            </w:r>
          </w:p>
        </w:tc>
        <w:tc>
          <w:tcPr>
            <w:tcW w:w="7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396</w:t>
            </w:r>
          </w:p>
        </w:tc>
        <w:tc>
          <w:tcPr>
            <w:tcW w:w="94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5</w:t>
            </w:r>
          </w:p>
        </w:tc>
        <w:tc>
          <w:tcPr>
            <w:tcW w:w="919"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4</w:t>
            </w:r>
          </w:p>
        </w:tc>
        <w:tc>
          <w:tcPr>
            <w:tcW w:w="80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2</w:t>
            </w:r>
          </w:p>
        </w:tc>
        <w:tc>
          <w:tcPr>
            <w:tcW w:w="758"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b/>
                <w:bCs/>
                <w:i/>
                <w:iCs/>
                <w:color w:val="000000"/>
                <w:sz w:val="16"/>
                <w:szCs w:val="16"/>
              </w:rPr>
            </w:pPr>
            <w:r w:rsidRPr="00BA322D">
              <w:rPr>
                <w:rFonts w:ascii="Calibri" w:hAnsi="Calibri"/>
                <w:b/>
                <w:bCs/>
                <w:i/>
                <w:iCs/>
                <w:color w:val="000000"/>
                <w:sz w:val="16"/>
                <w:szCs w:val="16"/>
              </w:rPr>
              <w:t>3.9</w:t>
            </w:r>
          </w:p>
        </w:tc>
      </w:tr>
      <w:tr w:rsidR="001D0B81" w:rsidRPr="00BA322D" w:rsidTr="00BB4827">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Variety 302</w:t>
            </w:r>
          </w:p>
        </w:tc>
        <w:tc>
          <w:tcPr>
            <w:tcW w:w="60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462</w:t>
            </w:r>
          </w:p>
        </w:tc>
        <w:tc>
          <w:tcPr>
            <w:tcW w:w="760" w:type="dxa"/>
            <w:tcBorders>
              <w:top w:val="nil"/>
              <w:left w:val="nil"/>
              <w:bottom w:val="single" w:sz="8" w:space="0" w:color="auto"/>
              <w:right w:val="single" w:sz="8" w:space="0" w:color="auto"/>
            </w:tcBorders>
            <w:shd w:val="clear" w:color="auto" w:fill="auto"/>
            <w:noWrap/>
            <w:vAlign w:val="center"/>
          </w:tcPr>
          <w:p w:rsidR="001D0B81" w:rsidRPr="004E07F2" w:rsidRDefault="00364CB7" w:rsidP="00BB4827">
            <w:pPr>
              <w:jc w:val="center"/>
              <w:rPr>
                <w:rFonts w:ascii="Calibri" w:hAnsi="Calibri" w:cs="Calibri"/>
                <w:color w:val="000000"/>
              </w:rPr>
            </w:pPr>
            <w:r>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5</w:t>
            </w:r>
          </w:p>
        </w:tc>
        <w:tc>
          <w:tcPr>
            <w:tcW w:w="919"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3</w:t>
            </w:r>
          </w:p>
        </w:tc>
        <w:tc>
          <w:tcPr>
            <w:tcW w:w="758"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b/>
                <w:bCs/>
                <w:i/>
                <w:iCs/>
                <w:color w:val="000000"/>
                <w:sz w:val="16"/>
                <w:szCs w:val="16"/>
              </w:rPr>
            </w:pPr>
            <w:r w:rsidRPr="00BA322D">
              <w:rPr>
                <w:rFonts w:ascii="Calibri" w:hAnsi="Calibri"/>
                <w:b/>
                <w:bCs/>
                <w:i/>
                <w:iCs/>
                <w:color w:val="000000"/>
                <w:sz w:val="16"/>
                <w:szCs w:val="16"/>
              </w:rPr>
              <w:t>4.2</w:t>
            </w:r>
          </w:p>
        </w:tc>
      </w:tr>
      <w:tr w:rsidR="001D0B81" w:rsidRPr="00BA322D" w:rsidTr="00BB4827">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Variety 275</w:t>
            </w:r>
          </w:p>
        </w:tc>
        <w:tc>
          <w:tcPr>
            <w:tcW w:w="60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329</w:t>
            </w:r>
          </w:p>
        </w:tc>
        <w:tc>
          <w:tcPr>
            <w:tcW w:w="5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474</w:t>
            </w:r>
          </w:p>
        </w:tc>
        <w:tc>
          <w:tcPr>
            <w:tcW w:w="7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401</w:t>
            </w:r>
          </w:p>
        </w:tc>
        <w:tc>
          <w:tcPr>
            <w:tcW w:w="94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5</w:t>
            </w:r>
          </w:p>
        </w:tc>
        <w:tc>
          <w:tcPr>
            <w:tcW w:w="919"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4</w:t>
            </w:r>
          </w:p>
        </w:tc>
        <w:tc>
          <w:tcPr>
            <w:tcW w:w="80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2</w:t>
            </w:r>
          </w:p>
        </w:tc>
        <w:tc>
          <w:tcPr>
            <w:tcW w:w="758"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b/>
                <w:bCs/>
                <w:i/>
                <w:iCs/>
                <w:color w:val="000000"/>
                <w:sz w:val="16"/>
                <w:szCs w:val="16"/>
              </w:rPr>
            </w:pPr>
            <w:r w:rsidRPr="00BA322D">
              <w:rPr>
                <w:rFonts w:ascii="Calibri" w:hAnsi="Calibri"/>
                <w:b/>
                <w:bCs/>
                <w:i/>
                <w:iCs/>
                <w:color w:val="000000"/>
                <w:sz w:val="16"/>
                <w:szCs w:val="16"/>
              </w:rPr>
              <w:t>3.7</w:t>
            </w:r>
          </w:p>
        </w:tc>
      </w:tr>
      <w:tr w:rsidR="001D0B81" w:rsidRPr="00BA322D" w:rsidTr="00BB4827">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Variety 274</w:t>
            </w:r>
          </w:p>
        </w:tc>
        <w:tc>
          <w:tcPr>
            <w:tcW w:w="60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406</w:t>
            </w:r>
          </w:p>
        </w:tc>
        <w:tc>
          <w:tcPr>
            <w:tcW w:w="5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488</w:t>
            </w:r>
          </w:p>
        </w:tc>
        <w:tc>
          <w:tcPr>
            <w:tcW w:w="7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447</w:t>
            </w:r>
          </w:p>
        </w:tc>
        <w:tc>
          <w:tcPr>
            <w:tcW w:w="94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5</w:t>
            </w:r>
          </w:p>
        </w:tc>
        <w:tc>
          <w:tcPr>
            <w:tcW w:w="919"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5</w:t>
            </w:r>
          </w:p>
        </w:tc>
        <w:tc>
          <w:tcPr>
            <w:tcW w:w="80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3</w:t>
            </w:r>
          </w:p>
        </w:tc>
        <w:tc>
          <w:tcPr>
            <w:tcW w:w="758"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b/>
                <w:bCs/>
                <w:i/>
                <w:iCs/>
                <w:color w:val="000000"/>
                <w:sz w:val="16"/>
                <w:szCs w:val="16"/>
              </w:rPr>
            </w:pPr>
            <w:r w:rsidRPr="00BA322D">
              <w:rPr>
                <w:rFonts w:ascii="Calibri" w:hAnsi="Calibri"/>
                <w:b/>
                <w:bCs/>
                <w:i/>
                <w:iCs/>
                <w:color w:val="000000"/>
                <w:sz w:val="16"/>
                <w:szCs w:val="16"/>
              </w:rPr>
              <w:t>4.3</w:t>
            </w:r>
          </w:p>
        </w:tc>
      </w:tr>
      <w:tr w:rsidR="001D0B81" w:rsidRPr="00BA322D" w:rsidTr="00BB4827">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Variety 270</w:t>
            </w:r>
          </w:p>
        </w:tc>
        <w:tc>
          <w:tcPr>
            <w:tcW w:w="60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546</w:t>
            </w:r>
          </w:p>
        </w:tc>
        <w:tc>
          <w:tcPr>
            <w:tcW w:w="5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606</w:t>
            </w:r>
          </w:p>
        </w:tc>
        <w:tc>
          <w:tcPr>
            <w:tcW w:w="7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576</w:t>
            </w:r>
          </w:p>
        </w:tc>
        <w:tc>
          <w:tcPr>
            <w:tcW w:w="94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7</w:t>
            </w:r>
          </w:p>
        </w:tc>
        <w:tc>
          <w:tcPr>
            <w:tcW w:w="919"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7</w:t>
            </w:r>
          </w:p>
        </w:tc>
        <w:tc>
          <w:tcPr>
            <w:tcW w:w="80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5</w:t>
            </w:r>
          </w:p>
        </w:tc>
        <w:tc>
          <w:tcPr>
            <w:tcW w:w="758"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6</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b/>
                <w:bCs/>
                <w:i/>
                <w:iCs/>
                <w:color w:val="000000"/>
                <w:sz w:val="16"/>
                <w:szCs w:val="16"/>
              </w:rPr>
            </w:pPr>
            <w:r w:rsidRPr="00BA322D">
              <w:rPr>
                <w:rFonts w:ascii="Calibri" w:hAnsi="Calibri"/>
                <w:b/>
                <w:bCs/>
                <w:i/>
                <w:iCs/>
                <w:color w:val="000000"/>
                <w:sz w:val="16"/>
                <w:szCs w:val="16"/>
              </w:rPr>
              <w:t>6.4</w:t>
            </w:r>
          </w:p>
        </w:tc>
      </w:tr>
      <w:tr w:rsidR="001D0B81" w:rsidRPr="00BA322D" w:rsidTr="00BB4827">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Variety 228</w:t>
            </w:r>
          </w:p>
        </w:tc>
        <w:tc>
          <w:tcPr>
            <w:tcW w:w="60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466</w:t>
            </w:r>
          </w:p>
        </w:tc>
        <w:tc>
          <w:tcPr>
            <w:tcW w:w="5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594</w:t>
            </w:r>
          </w:p>
        </w:tc>
        <w:tc>
          <w:tcPr>
            <w:tcW w:w="7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530</w:t>
            </w:r>
          </w:p>
        </w:tc>
        <w:tc>
          <w:tcPr>
            <w:tcW w:w="94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6</w:t>
            </w:r>
          </w:p>
        </w:tc>
        <w:tc>
          <w:tcPr>
            <w:tcW w:w="919"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6</w:t>
            </w:r>
          </w:p>
        </w:tc>
        <w:tc>
          <w:tcPr>
            <w:tcW w:w="80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5</w:t>
            </w:r>
          </w:p>
        </w:tc>
        <w:tc>
          <w:tcPr>
            <w:tcW w:w="758"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6</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6</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b/>
                <w:bCs/>
                <w:i/>
                <w:iCs/>
                <w:color w:val="000000"/>
                <w:sz w:val="16"/>
                <w:szCs w:val="16"/>
              </w:rPr>
            </w:pPr>
            <w:r w:rsidRPr="00BA322D">
              <w:rPr>
                <w:rFonts w:ascii="Calibri" w:hAnsi="Calibri"/>
                <w:b/>
                <w:bCs/>
                <w:i/>
                <w:iCs/>
                <w:color w:val="000000"/>
                <w:sz w:val="16"/>
                <w:szCs w:val="16"/>
              </w:rPr>
              <w:t>5.9</w:t>
            </w:r>
          </w:p>
        </w:tc>
      </w:tr>
      <w:tr w:rsidR="001D0B81" w:rsidRPr="00BA322D" w:rsidTr="00BB4827">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Variety 267</w:t>
            </w:r>
          </w:p>
        </w:tc>
        <w:tc>
          <w:tcPr>
            <w:tcW w:w="60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525</w:t>
            </w:r>
          </w:p>
        </w:tc>
        <w:tc>
          <w:tcPr>
            <w:tcW w:w="5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652</w:t>
            </w:r>
          </w:p>
        </w:tc>
        <w:tc>
          <w:tcPr>
            <w:tcW w:w="760" w:type="dxa"/>
            <w:tcBorders>
              <w:top w:val="nil"/>
              <w:left w:val="nil"/>
              <w:bottom w:val="single" w:sz="8" w:space="0" w:color="auto"/>
              <w:right w:val="single" w:sz="8" w:space="0" w:color="auto"/>
            </w:tcBorders>
            <w:shd w:val="clear" w:color="auto" w:fill="auto"/>
            <w:noWrap/>
            <w:vAlign w:val="center"/>
          </w:tcPr>
          <w:p w:rsidR="001D0B81" w:rsidRPr="00BA322D" w:rsidRDefault="001D0B81" w:rsidP="00BB4827">
            <w:pPr>
              <w:jc w:val="center"/>
              <w:rPr>
                <w:rFonts w:ascii="Calibri" w:hAnsi="Calibri"/>
                <w:color w:val="000000"/>
                <w:sz w:val="16"/>
                <w:szCs w:val="16"/>
              </w:rPr>
            </w:pPr>
            <w:r>
              <w:rPr>
                <w:rFonts w:ascii="Calibri" w:hAnsi="Calibri"/>
                <w:color w:val="000000"/>
                <w:sz w:val="16"/>
                <w:szCs w:val="16"/>
              </w:rPr>
              <w:t>589</w:t>
            </w:r>
          </w:p>
        </w:tc>
        <w:tc>
          <w:tcPr>
            <w:tcW w:w="94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8</w:t>
            </w:r>
          </w:p>
        </w:tc>
        <w:tc>
          <w:tcPr>
            <w:tcW w:w="919"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8</w:t>
            </w:r>
          </w:p>
        </w:tc>
        <w:tc>
          <w:tcPr>
            <w:tcW w:w="80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5</w:t>
            </w:r>
          </w:p>
        </w:tc>
        <w:tc>
          <w:tcPr>
            <w:tcW w:w="758"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color w:val="000000"/>
                <w:sz w:val="16"/>
                <w:szCs w:val="16"/>
              </w:rPr>
            </w:pPr>
            <w:r w:rsidRPr="00BA322D">
              <w:rPr>
                <w:rFonts w:ascii="Calibri" w:hAnsi="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1D0B81" w:rsidRPr="00BA322D" w:rsidRDefault="001D0B81" w:rsidP="00BB4827">
            <w:pPr>
              <w:jc w:val="center"/>
              <w:rPr>
                <w:rFonts w:ascii="Calibri" w:hAnsi="Calibri"/>
                <w:b/>
                <w:bCs/>
                <w:i/>
                <w:iCs/>
                <w:color w:val="000000"/>
                <w:sz w:val="16"/>
                <w:szCs w:val="16"/>
              </w:rPr>
            </w:pPr>
            <w:r w:rsidRPr="00BA322D">
              <w:rPr>
                <w:rFonts w:ascii="Calibri" w:hAnsi="Calibri"/>
                <w:b/>
                <w:bCs/>
                <w:i/>
                <w:iCs/>
                <w:color w:val="000000"/>
                <w:sz w:val="16"/>
                <w:szCs w:val="16"/>
              </w:rPr>
              <w:t>7.0</w:t>
            </w:r>
          </w:p>
        </w:tc>
      </w:tr>
      <w:tr w:rsidR="00364CB7" w:rsidRPr="00BA322D" w:rsidTr="00E05588">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Variety 293</w:t>
            </w:r>
          </w:p>
        </w:tc>
        <w:tc>
          <w:tcPr>
            <w:tcW w:w="60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630</w:t>
            </w:r>
          </w:p>
        </w:tc>
        <w:tc>
          <w:tcPr>
            <w:tcW w:w="7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919"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6</w:t>
            </w:r>
          </w:p>
        </w:tc>
        <w:tc>
          <w:tcPr>
            <w:tcW w:w="758"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6.8</w:t>
            </w:r>
          </w:p>
        </w:tc>
      </w:tr>
      <w:tr w:rsidR="00364CB7" w:rsidRPr="00BA322D" w:rsidTr="00E05588">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Variety 295</w:t>
            </w:r>
          </w:p>
        </w:tc>
        <w:tc>
          <w:tcPr>
            <w:tcW w:w="60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658</w:t>
            </w:r>
          </w:p>
        </w:tc>
        <w:tc>
          <w:tcPr>
            <w:tcW w:w="7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919"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6</w:t>
            </w:r>
          </w:p>
        </w:tc>
        <w:tc>
          <w:tcPr>
            <w:tcW w:w="758"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7.2</w:t>
            </w:r>
          </w:p>
        </w:tc>
      </w:tr>
      <w:tr w:rsidR="00364CB7" w:rsidRPr="00BA322D" w:rsidTr="00E05588">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Variety 292</w:t>
            </w:r>
          </w:p>
        </w:tc>
        <w:tc>
          <w:tcPr>
            <w:tcW w:w="60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670</w:t>
            </w:r>
          </w:p>
        </w:tc>
        <w:tc>
          <w:tcPr>
            <w:tcW w:w="7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919"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6</w:t>
            </w:r>
          </w:p>
        </w:tc>
        <w:tc>
          <w:tcPr>
            <w:tcW w:w="758"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7.5</w:t>
            </w:r>
          </w:p>
        </w:tc>
      </w:tr>
      <w:tr w:rsidR="00364CB7" w:rsidRPr="00BA322D" w:rsidTr="00E05588">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Variety 300</w:t>
            </w:r>
          </w:p>
        </w:tc>
        <w:tc>
          <w:tcPr>
            <w:tcW w:w="60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655</w:t>
            </w:r>
          </w:p>
        </w:tc>
        <w:tc>
          <w:tcPr>
            <w:tcW w:w="7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919"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758"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7.7</w:t>
            </w:r>
          </w:p>
        </w:tc>
      </w:tr>
      <w:tr w:rsidR="00364CB7" w:rsidRPr="00BA322D" w:rsidTr="00E05588">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Variety 291</w:t>
            </w:r>
          </w:p>
        </w:tc>
        <w:tc>
          <w:tcPr>
            <w:tcW w:w="60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649</w:t>
            </w:r>
          </w:p>
        </w:tc>
        <w:tc>
          <w:tcPr>
            <w:tcW w:w="7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919"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758"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7.7</w:t>
            </w:r>
          </w:p>
        </w:tc>
      </w:tr>
      <w:tr w:rsidR="00364CB7" w:rsidRPr="00BA322D" w:rsidTr="00E05588">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Variety 294</w:t>
            </w:r>
          </w:p>
        </w:tc>
        <w:tc>
          <w:tcPr>
            <w:tcW w:w="60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681</w:t>
            </w:r>
          </w:p>
        </w:tc>
        <w:tc>
          <w:tcPr>
            <w:tcW w:w="7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919"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758"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7.8</w:t>
            </w:r>
          </w:p>
        </w:tc>
      </w:tr>
      <w:tr w:rsidR="00364CB7" w:rsidRPr="00BA322D" w:rsidTr="00E05588">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Variety 299</w:t>
            </w:r>
          </w:p>
        </w:tc>
        <w:tc>
          <w:tcPr>
            <w:tcW w:w="60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674</w:t>
            </w:r>
          </w:p>
        </w:tc>
        <w:tc>
          <w:tcPr>
            <w:tcW w:w="7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919"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758"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7.7</w:t>
            </w:r>
          </w:p>
        </w:tc>
      </w:tr>
      <w:tr w:rsidR="00364CB7" w:rsidRPr="00BA322D" w:rsidTr="00BB4827">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Variety 273</w:t>
            </w:r>
          </w:p>
        </w:tc>
        <w:tc>
          <w:tcPr>
            <w:tcW w:w="60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540</w:t>
            </w:r>
          </w:p>
        </w:tc>
        <w:tc>
          <w:tcPr>
            <w:tcW w:w="5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691</w:t>
            </w:r>
          </w:p>
        </w:tc>
        <w:tc>
          <w:tcPr>
            <w:tcW w:w="7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615</w:t>
            </w:r>
          </w:p>
        </w:tc>
        <w:tc>
          <w:tcPr>
            <w:tcW w:w="94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919"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0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6</w:t>
            </w:r>
          </w:p>
        </w:tc>
        <w:tc>
          <w:tcPr>
            <w:tcW w:w="758"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7.4</w:t>
            </w:r>
          </w:p>
        </w:tc>
      </w:tr>
      <w:tr w:rsidR="00364CB7" w:rsidRPr="00BA322D" w:rsidTr="00BB4827">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Variety 272</w:t>
            </w:r>
          </w:p>
        </w:tc>
        <w:tc>
          <w:tcPr>
            <w:tcW w:w="60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552</w:t>
            </w:r>
          </w:p>
        </w:tc>
        <w:tc>
          <w:tcPr>
            <w:tcW w:w="5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673</w:t>
            </w:r>
          </w:p>
        </w:tc>
        <w:tc>
          <w:tcPr>
            <w:tcW w:w="7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612</w:t>
            </w:r>
          </w:p>
        </w:tc>
        <w:tc>
          <w:tcPr>
            <w:tcW w:w="94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9</w:t>
            </w:r>
          </w:p>
        </w:tc>
        <w:tc>
          <w:tcPr>
            <w:tcW w:w="919"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0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6</w:t>
            </w:r>
          </w:p>
        </w:tc>
        <w:tc>
          <w:tcPr>
            <w:tcW w:w="758"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7.7</w:t>
            </w:r>
          </w:p>
        </w:tc>
      </w:tr>
      <w:tr w:rsidR="00364CB7" w:rsidRPr="00BA322D" w:rsidTr="0042213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Variety 298</w:t>
            </w:r>
          </w:p>
        </w:tc>
        <w:tc>
          <w:tcPr>
            <w:tcW w:w="60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727</w:t>
            </w:r>
          </w:p>
        </w:tc>
        <w:tc>
          <w:tcPr>
            <w:tcW w:w="760" w:type="dxa"/>
            <w:tcBorders>
              <w:top w:val="nil"/>
              <w:left w:val="nil"/>
              <w:bottom w:val="single" w:sz="8" w:space="0" w:color="auto"/>
              <w:right w:val="single" w:sz="8" w:space="0" w:color="auto"/>
            </w:tcBorders>
            <w:shd w:val="clear" w:color="auto" w:fill="auto"/>
            <w:noWrap/>
          </w:tcPr>
          <w:p w:rsidR="00364CB7" w:rsidRDefault="00364CB7" w:rsidP="00364CB7">
            <w:r w:rsidRPr="00157B33">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9</w:t>
            </w:r>
          </w:p>
        </w:tc>
        <w:tc>
          <w:tcPr>
            <w:tcW w:w="919"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7</w:t>
            </w:r>
          </w:p>
        </w:tc>
        <w:tc>
          <w:tcPr>
            <w:tcW w:w="758"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9</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8.5</w:t>
            </w:r>
          </w:p>
        </w:tc>
      </w:tr>
      <w:tr w:rsidR="00364CB7" w:rsidRPr="00BA322D" w:rsidTr="0042213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Variety 296</w:t>
            </w:r>
          </w:p>
        </w:tc>
        <w:tc>
          <w:tcPr>
            <w:tcW w:w="60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765</w:t>
            </w:r>
          </w:p>
        </w:tc>
        <w:tc>
          <w:tcPr>
            <w:tcW w:w="760" w:type="dxa"/>
            <w:tcBorders>
              <w:top w:val="nil"/>
              <w:left w:val="nil"/>
              <w:bottom w:val="single" w:sz="8" w:space="0" w:color="auto"/>
              <w:right w:val="single" w:sz="8" w:space="0" w:color="auto"/>
            </w:tcBorders>
            <w:shd w:val="clear" w:color="auto" w:fill="auto"/>
            <w:noWrap/>
          </w:tcPr>
          <w:p w:rsidR="00364CB7" w:rsidRDefault="00364CB7" w:rsidP="00364CB7">
            <w:r w:rsidRPr="00157B33">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9</w:t>
            </w:r>
          </w:p>
        </w:tc>
        <w:tc>
          <w:tcPr>
            <w:tcW w:w="919"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758"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9</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9</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8.8</w:t>
            </w:r>
          </w:p>
        </w:tc>
      </w:tr>
      <w:tr w:rsidR="00364CB7" w:rsidRPr="00BA322D" w:rsidTr="00422134">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Variety 301</w:t>
            </w:r>
          </w:p>
        </w:tc>
        <w:tc>
          <w:tcPr>
            <w:tcW w:w="60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w:t>
            </w:r>
          </w:p>
        </w:tc>
        <w:tc>
          <w:tcPr>
            <w:tcW w:w="560" w:type="dxa"/>
            <w:tcBorders>
              <w:top w:val="nil"/>
              <w:left w:val="nil"/>
              <w:bottom w:val="single" w:sz="8" w:space="0" w:color="auto"/>
              <w:right w:val="single" w:sz="8" w:space="0" w:color="auto"/>
            </w:tcBorders>
            <w:shd w:val="clear" w:color="auto" w:fill="auto"/>
            <w:noWrap/>
            <w:vAlign w:val="center"/>
          </w:tcPr>
          <w:p w:rsidR="00364CB7" w:rsidRPr="00BA322D" w:rsidRDefault="00364CB7" w:rsidP="00364CB7">
            <w:pPr>
              <w:jc w:val="center"/>
              <w:rPr>
                <w:rFonts w:ascii="Calibri" w:hAnsi="Calibri"/>
                <w:color w:val="000000"/>
                <w:sz w:val="16"/>
                <w:szCs w:val="16"/>
              </w:rPr>
            </w:pPr>
            <w:r>
              <w:rPr>
                <w:rFonts w:ascii="Calibri" w:hAnsi="Calibri"/>
                <w:color w:val="000000"/>
                <w:sz w:val="16"/>
                <w:szCs w:val="16"/>
              </w:rPr>
              <w:t>744</w:t>
            </w:r>
          </w:p>
        </w:tc>
        <w:tc>
          <w:tcPr>
            <w:tcW w:w="760" w:type="dxa"/>
            <w:tcBorders>
              <w:top w:val="nil"/>
              <w:left w:val="nil"/>
              <w:bottom w:val="single" w:sz="8" w:space="0" w:color="auto"/>
              <w:right w:val="single" w:sz="8" w:space="0" w:color="auto"/>
            </w:tcBorders>
            <w:shd w:val="clear" w:color="auto" w:fill="auto"/>
            <w:noWrap/>
          </w:tcPr>
          <w:p w:rsidR="00364CB7" w:rsidRDefault="00364CB7" w:rsidP="00364CB7">
            <w:r w:rsidRPr="00157B33">
              <w:rPr>
                <w:rFonts w:ascii="Calibri" w:hAnsi="Calibri"/>
                <w:color w:val="000000"/>
                <w:sz w:val="16"/>
                <w:szCs w:val="16"/>
              </w:rPr>
              <w:t>-</w:t>
            </w:r>
          </w:p>
        </w:tc>
        <w:tc>
          <w:tcPr>
            <w:tcW w:w="94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9</w:t>
            </w:r>
          </w:p>
        </w:tc>
        <w:tc>
          <w:tcPr>
            <w:tcW w:w="919"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8</w:t>
            </w:r>
          </w:p>
        </w:tc>
        <w:tc>
          <w:tcPr>
            <w:tcW w:w="758"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9</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9</w:t>
            </w:r>
          </w:p>
        </w:tc>
        <w:tc>
          <w:tcPr>
            <w:tcW w:w="85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8.8</w:t>
            </w:r>
          </w:p>
        </w:tc>
      </w:tr>
      <w:tr w:rsidR="00364CB7" w:rsidRPr="00BA322D" w:rsidTr="00BB4827">
        <w:trPr>
          <w:trHeight w:val="3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Mean by method</w:t>
            </w:r>
          </w:p>
        </w:tc>
        <w:tc>
          <w:tcPr>
            <w:tcW w:w="600" w:type="dxa"/>
            <w:tcBorders>
              <w:top w:val="nil"/>
              <w:left w:val="nil"/>
              <w:bottom w:val="nil"/>
              <w:right w:val="nil"/>
            </w:tcBorders>
            <w:shd w:val="clear" w:color="auto" w:fill="auto"/>
            <w:noWrap/>
            <w:vAlign w:val="center"/>
            <w:hideMark/>
          </w:tcPr>
          <w:p w:rsidR="00364CB7" w:rsidRPr="00BA322D" w:rsidRDefault="00364CB7" w:rsidP="00364CB7">
            <w:pPr>
              <w:jc w:val="center"/>
              <w:rPr>
                <w:rFonts w:ascii="Calibri" w:hAnsi="Calibri"/>
                <w:color w:val="000000"/>
                <w:sz w:val="16"/>
                <w:szCs w:val="16"/>
              </w:rPr>
            </w:pPr>
          </w:p>
        </w:tc>
        <w:tc>
          <w:tcPr>
            <w:tcW w:w="560" w:type="dxa"/>
            <w:tcBorders>
              <w:top w:val="nil"/>
              <w:left w:val="nil"/>
              <w:bottom w:val="nil"/>
              <w:right w:val="nil"/>
            </w:tcBorders>
            <w:shd w:val="clear" w:color="auto" w:fill="auto"/>
            <w:noWrap/>
            <w:vAlign w:val="center"/>
            <w:hideMark/>
          </w:tcPr>
          <w:p w:rsidR="00364CB7" w:rsidRPr="00BA322D" w:rsidRDefault="00364CB7" w:rsidP="00364CB7">
            <w:pPr>
              <w:jc w:val="center"/>
              <w:rPr>
                <w:rFonts w:ascii="Calibri" w:hAnsi="Calibri"/>
                <w:color w:val="000000"/>
                <w:sz w:val="16"/>
                <w:szCs w:val="16"/>
              </w:rPr>
            </w:pPr>
          </w:p>
        </w:tc>
        <w:tc>
          <w:tcPr>
            <w:tcW w:w="760" w:type="dxa"/>
            <w:tcBorders>
              <w:top w:val="nil"/>
              <w:left w:val="nil"/>
              <w:bottom w:val="nil"/>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p>
        </w:tc>
        <w:tc>
          <w:tcPr>
            <w:tcW w:w="940" w:type="dxa"/>
            <w:tcBorders>
              <w:top w:val="single" w:sz="8" w:space="0" w:color="auto"/>
              <w:left w:val="nil"/>
              <w:bottom w:val="single" w:sz="4"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5.9</w:t>
            </w:r>
          </w:p>
        </w:tc>
        <w:tc>
          <w:tcPr>
            <w:tcW w:w="919" w:type="dxa"/>
            <w:tcBorders>
              <w:top w:val="single" w:sz="8" w:space="0" w:color="auto"/>
              <w:left w:val="nil"/>
              <w:bottom w:val="single" w:sz="4"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5.2</w:t>
            </w:r>
          </w:p>
        </w:tc>
        <w:tc>
          <w:tcPr>
            <w:tcW w:w="801" w:type="dxa"/>
            <w:tcBorders>
              <w:top w:val="single" w:sz="8" w:space="0" w:color="auto"/>
              <w:left w:val="nil"/>
              <w:bottom w:val="single" w:sz="4"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4.3</w:t>
            </w:r>
          </w:p>
        </w:tc>
        <w:tc>
          <w:tcPr>
            <w:tcW w:w="758" w:type="dxa"/>
            <w:tcBorders>
              <w:top w:val="single" w:sz="8" w:space="0" w:color="auto"/>
              <w:left w:val="nil"/>
              <w:bottom w:val="single" w:sz="4"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5.3</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6.0</w:t>
            </w:r>
          </w:p>
        </w:tc>
        <w:tc>
          <w:tcPr>
            <w:tcW w:w="851" w:type="dxa"/>
            <w:tcBorders>
              <w:top w:val="single" w:sz="8" w:space="0" w:color="auto"/>
              <w:left w:val="nil"/>
              <w:bottom w:val="single" w:sz="4"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5.2</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5.2</w:t>
            </w:r>
          </w:p>
        </w:tc>
        <w:tc>
          <w:tcPr>
            <w:tcW w:w="851" w:type="dxa"/>
            <w:tcBorders>
              <w:top w:val="nil"/>
              <w:left w:val="nil"/>
              <w:bottom w:val="nil"/>
              <w:right w:val="nil"/>
            </w:tcBorders>
            <w:shd w:val="clear" w:color="auto" w:fill="auto"/>
            <w:noWrap/>
            <w:vAlign w:val="center"/>
            <w:hideMark/>
          </w:tcPr>
          <w:p w:rsidR="00364CB7" w:rsidRPr="00BA322D" w:rsidRDefault="00364CB7" w:rsidP="00364CB7">
            <w:pPr>
              <w:jc w:val="center"/>
              <w:rPr>
                <w:rFonts w:ascii="Calibri" w:hAnsi="Calibri"/>
                <w:color w:val="000000"/>
              </w:rPr>
            </w:pPr>
          </w:p>
        </w:tc>
      </w:tr>
      <w:tr w:rsidR="00364CB7" w:rsidRPr="00BA322D" w:rsidTr="00BB4827">
        <w:trPr>
          <w:trHeight w:val="3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64CB7" w:rsidRPr="00BA322D" w:rsidRDefault="00364CB7" w:rsidP="00364CB7">
            <w:pPr>
              <w:jc w:val="center"/>
              <w:rPr>
                <w:rFonts w:ascii="Calibri" w:hAnsi="Calibri"/>
                <w:b/>
                <w:bCs/>
                <w:i/>
                <w:iCs/>
                <w:color w:val="000000"/>
                <w:sz w:val="16"/>
                <w:szCs w:val="16"/>
              </w:rPr>
            </w:pPr>
            <w:r w:rsidRPr="00BA322D">
              <w:rPr>
                <w:rFonts w:ascii="Calibri" w:hAnsi="Calibri"/>
                <w:b/>
                <w:bCs/>
                <w:i/>
                <w:iCs/>
                <w:color w:val="000000"/>
                <w:sz w:val="16"/>
                <w:szCs w:val="16"/>
              </w:rPr>
              <w:t>Standard deviation</w:t>
            </w:r>
          </w:p>
        </w:tc>
        <w:tc>
          <w:tcPr>
            <w:tcW w:w="600" w:type="dxa"/>
            <w:tcBorders>
              <w:top w:val="nil"/>
              <w:left w:val="nil"/>
              <w:bottom w:val="single" w:sz="8" w:space="0" w:color="auto"/>
              <w:right w:val="nil"/>
            </w:tcBorders>
            <w:shd w:val="clear" w:color="auto" w:fill="auto"/>
            <w:noWrap/>
            <w:vAlign w:val="center"/>
            <w:hideMark/>
          </w:tcPr>
          <w:p w:rsidR="00364CB7" w:rsidRPr="00BA322D" w:rsidRDefault="00364CB7" w:rsidP="00364CB7">
            <w:pPr>
              <w:jc w:val="center"/>
              <w:rPr>
                <w:rFonts w:ascii="Calibri" w:hAnsi="Calibri"/>
                <w:color w:val="000000"/>
                <w:sz w:val="16"/>
                <w:szCs w:val="16"/>
              </w:rPr>
            </w:pPr>
          </w:p>
        </w:tc>
        <w:tc>
          <w:tcPr>
            <w:tcW w:w="560" w:type="dxa"/>
            <w:tcBorders>
              <w:top w:val="nil"/>
              <w:left w:val="nil"/>
              <w:bottom w:val="single" w:sz="8" w:space="0" w:color="auto"/>
              <w:right w:val="nil"/>
            </w:tcBorders>
            <w:shd w:val="clear" w:color="auto" w:fill="auto"/>
            <w:noWrap/>
            <w:vAlign w:val="center"/>
            <w:hideMark/>
          </w:tcPr>
          <w:p w:rsidR="00364CB7" w:rsidRPr="00BA322D" w:rsidRDefault="00364CB7" w:rsidP="00364CB7">
            <w:pPr>
              <w:jc w:val="center"/>
              <w:rPr>
                <w:rFonts w:ascii="Calibri" w:hAnsi="Calibri"/>
                <w:color w:val="000000"/>
                <w:sz w:val="16"/>
                <w:szCs w:val="16"/>
              </w:rPr>
            </w:pPr>
          </w:p>
        </w:tc>
        <w:tc>
          <w:tcPr>
            <w:tcW w:w="760" w:type="dxa"/>
            <w:tcBorders>
              <w:top w:val="nil"/>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p>
        </w:tc>
        <w:tc>
          <w:tcPr>
            <w:tcW w:w="940" w:type="dxa"/>
            <w:tcBorders>
              <w:top w:val="single" w:sz="4" w:space="0" w:color="auto"/>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2.6</w:t>
            </w:r>
          </w:p>
        </w:tc>
        <w:tc>
          <w:tcPr>
            <w:tcW w:w="919" w:type="dxa"/>
            <w:tcBorders>
              <w:top w:val="single" w:sz="4" w:space="0" w:color="auto"/>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2.3</w:t>
            </w:r>
          </w:p>
        </w:tc>
        <w:tc>
          <w:tcPr>
            <w:tcW w:w="801" w:type="dxa"/>
            <w:tcBorders>
              <w:top w:val="single" w:sz="4" w:space="0" w:color="auto"/>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2.3</w:t>
            </w:r>
          </w:p>
        </w:tc>
        <w:tc>
          <w:tcPr>
            <w:tcW w:w="758" w:type="dxa"/>
            <w:tcBorders>
              <w:top w:val="single" w:sz="4" w:space="0" w:color="auto"/>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2.4</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2.1</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2.7</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rsidR="00364CB7" w:rsidRPr="00BA322D" w:rsidRDefault="00364CB7" w:rsidP="00364CB7">
            <w:pPr>
              <w:jc w:val="center"/>
              <w:rPr>
                <w:rFonts w:ascii="Calibri" w:hAnsi="Calibri"/>
                <w:color w:val="000000"/>
                <w:sz w:val="16"/>
                <w:szCs w:val="16"/>
              </w:rPr>
            </w:pPr>
            <w:r w:rsidRPr="00BA322D">
              <w:rPr>
                <w:rFonts w:ascii="Calibri" w:hAnsi="Calibri"/>
                <w:color w:val="000000"/>
                <w:sz w:val="16"/>
                <w:szCs w:val="16"/>
              </w:rPr>
              <w:t>2.7</w:t>
            </w:r>
          </w:p>
        </w:tc>
        <w:tc>
          <w:tcPr>
            <w:tcW w:w="851" w:type="dxa"/>
            <w:tcBorders>
              <w:top w:val="nil"/>
              <w:left w:val="nil"/>
              <w:bottom w:val="nil"/>
              <w:right w:val="nil"/>
            </w:tcBorders>
            <w:shd w:val="clear" w:color="auto" w:fill="auto"/>
            <w:noWrap/>
            <w:vAlign w:val="center"/>
            <w:hideMark/>
          </w:tcPr>
          <w:p w:rsidR="00364CB7" w:rsidRPr="00BA322D" w:rsidRDefault="00364CB7" w:rsidP="00364CB7">
            <w:pPr>
              <w:jc w:val="center"/>
              <w:rPr>
                <w:rFonts w:ascii="Calibri" w:hAnsi="Calibri"/>
                <w:color w:val="000000"/>
              </w:rPr>
            </w:pPr>
          </w:p>
        </w:tc>
      </w:tr>
    </w:tbl>
    <w:p w:rsidR="00DC4CFA" w:rsidRDefault="00DC4CFA" w:rsidP="00DC4CFA"/>
    <w:p w:rsidR="00DC4CFA" w:rsidRDefault="00DC4CFA" w:rsidP="00DC4CFA"/>
    <w:p w:rsidR="00DC4CFA" w:rsidRDefault="0008674C" w:rsidP="00DC4CFA">
      <w:r>
        <w:fldChar w:fldCharType="begin"/>
      </w:r>
      <w:r>
        <w:instrText xml:space="preserve"> AUTONUM  </w:instrText>
      </w:r>
      <w:r>
        <w:fldChar w:fldCharType="end"/>
      </w:r>
      <w:r>
        <w:tab/>
      </w:r>
      <w:r w:rsidR="00DC4CFA">
        <w:t xml:space="preserve">Only 13 out of the 30 candidate varieties have been noted with the French method 2 because this method requires having </w:t>
      </w:r>
      <w:r w:rsidR="00DC4CFA" w:rsidRPr="00ED5093">
        <w:t>data of two</w:t>
      </w:r>
      <w:r w:rsidR="00DC4CFA">
        <w:t xml:space="preserve"> years for the candidate varieties</w:t>
      </w:r>
      <w:r w:rsidR="00DC4CFA" w:rsidRPr="00ED5093">
        <w:t xml:space="preserve"> </w:t>
      </w:r>
      <w:r w:rsidR="00DC4CFA">
        <w:t xml:space="preserve">in order </w:t>
      </w:r>
      <w:r w:rsidR="00DC4CFA" w:rsidRPr="00ED5093">
        <w:t xml:space="preserve">to </w:t>
      </w:r>
      <w:r w:rsidR="00DC4CFA">
        <w:t>calculate an adjusted mean with the COY program and then to assign the corresponding note.</w:t>
      </w:r>
    </w:p>
    <w:p w:rsidR="00DC4CFA" w:rsidRDefault="00DC4CFA" w:rsidP="00DC4CFA"/>
    <w:p w:rsidR="00DC4CFA" w:rsidRDefault="0008674C" w:rsidP="00DC4CFA">
      <w:r>
        <w:fldChar w:fldCharType="begin"/>
      </w:r>
      <w:r>
        <w:instrText xml:space="preserve"> AUTONUM  </w:instrText>
      </w:r>
      <w:r>
        <w:fldChar w:fldCharType="end"/>
      </w:r>
      <w:r>
        <w:tab/>
      </w:r>
      <w:r w:rsidR="00DC4CFA">
        <w:t>The presence of both linseed and flax varieties in the complete dataset is responsible for a non-normal distribution with a peak of small varieties with low notes (linseed) and a peak of tall varieties with high notes (flax). Consequently, the probability for a candidate variety to obtain a medium note (between the two peaks) is low. That</w:t>
      </w:r>
      <w:r w:rsidR="005074E9">
        <w:t xml:space="preserve"> i</w:t>
      </w:r>
      <w:r w:rsidR="00DC4CFA">
        <w:t>s why, for several methods, one of the medium note has never been attributed to a candidate variety. For example, with the Italian method, each note but the note 4 has been assigned to at least one candidate variety.</w:t>
      </w:r>
    </w:p>
    <w:p w:rsidR="00DC4CFA" w:rsidRDefault="00DC4CFA" w:rsidP="00DC4CFA"/>
    <w:p w:rsidR="00DC4CFA" w:rsidRDefault="0008674C" w:rsidP="00DC4CFA">
      <w:r>
        <w:fldChar w:fldCharType="begin"/>
      </w:r>
      <w:r>
        <w:instrText xml:space="preserve"> AUTONUM  </w:instrText>
      </w:r>
      <w:r>
        <w:fldChar w:fldCharType="end"/>
      </w:r>
      <w:r>
        <w:tab/>
      </w:r>
      <w:r w:rsidR="00DC4CFA">
        <w:t>Some methods try to take into account the annual effect using COY adjusted means (French method 2, German method, UK method) or by calibrating their model with data of the year, as in the Japanese method with the FAT sliding adjustment or in the French method 1.</w:t>
      </w:r>
    </w:p>
    <w:p w:rsidR="00DC4CFA" w:rsidRDefault="00DC4CFA" w:rsidP="00DC4CFA"/>
    <w:p w:rsidR="00DC4CFA" w:rsidRDefault="00DC4CFA" w:rsidP="00DC4CFA"/>
    <w:p w:rsidR="00DC4CFA" w:rsidRDefault="00DC4CFA" w:rsidP="00DC4CFA">
      <w:pPr>
        <w:pStyle w:val="Heading1"/>
      </w:pPr>
      <w:r>
        <w:t>Comparison of the results</w:t>
      </w:r>
      <w:r w:rsidRPr="00382D4C">
        <w:t xml:space="preserve"> </w:t>
      </w:r>
    </w:p>
    <w:p w:rsidR="00DC4CFA" w:rsidRPr="00A219E7" w:rsidRDefault="00DC4CFA" w:rsidP="00DC4CFA"/>
    <w:p w:rsidR="00DC4CFA" w:rsidRPr="00A219E7" w:rsidRDefault="00DC4CFA" w:rsidP="00DC4CFA">
      <w:pPr>
        <w:jc w:val="center"/>
      </w:pPr>
      <w:r w:rsidRPr="00A219E7">
        <w:rPr>
          <w:noProof/>
        </w:rPr>
        <w:drawing>
          <wp:inline distT="0" distB="0" distL="0" distR="0" wp14:anchorId="3688463B" wp14:editId="24FB1F59">
            <wp:extent cx="5760720" cy="2728362"/>
            <wp:effectExtent l="19050" t="0" r="1143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4CFA" w:rsidRPr="00A861BE" w:rsidRDefault="00DC4CFA" w:rsidP="00DC4CFA">
      <w:pPr>
        <w:pStyle w:val="Caption"/>
        <w:jc w:val="center"/>
        <w:rPr>
          <w:noProof/>
          <w:lang w:val="en-US"/>
        </w:rPr>
      </w:pPr>
      <w:r w:rsidRPr="00A861BE">
        <w:rPr>
          <w:lang w:val="en-US"/>
        </w:rPr>
        <w:t xml:space="preserve">Figure </w:t>
      </w:r>
      <w:r>
        <w:fldChar w:fldCharType="begin"/>
      </w:r>
      <w:r w:rsidRPr="00A861BE">
        <w:rPr>
          <w:lang w:val="en-US"/>
        </w:rPr>
        <w:instrText xml:space="preserve"> SEQ Figure \* ARABIC </w:instrText>
      </w:r>
      <w:r>
        <w:fldChar w:fldCharType="separate"/>
      </w:r>
      <w:r w:rsidR="00A92FAF">
        <w:rPr>
          <w:noProof/>
          <w:lang w:val="en-US"/>
        </w:rPr>
        <w:t>1</w:t>
      </w:r>
      <w:r>
        <w:fldChar w:fldCharType="end"/>
      </w:r>
      <w:r w:rsidRPr="00A861BE">
        <w:rPr>
          <w:lang w:val="en-US"/>
        </w:rPr>
        <w:t xml:space="preserve"> : Distribution of notes by method.</w:t>
      </w:r>
    </w:p>
    <w:p w:rsidR="00DC4CFA" w:rsidRDefault="00DC4CFA" w:rsidP="00DC4CFA"/>
    <w:p w:rsidR="00DC4CFA" w:rsidRDefault="0008674C" w:rsidP="00DC4CFA">
      <w:r>
        <w:fldChar w:fldCharType="begin"/>
      </w:r>
      <w:r>
        <w:instrText xml:space="preserve"> AUTONUM  </w:instrText>
      </w:r>
      <w:r>
        <w:fldChar w:fldCharType="end"/>
      </w:r>
      <w:r>
        <w:tab/>
      </w:r>
      <w:r w:rsidR="00DC4CFA">
        <w:t>The graph above shows that the distribution of notes is not normally distributed in the tested methods. But in most of the cases, distributions reveal two distinct peaks, which correspond to the two kinds of varieties: the first one corresponds to linseed varieties (smaller varieties with low notes) and the second one to flax varieties (taller varieties with higher notes).</w:t>
      </w:r>
    </w:p>
    <w:p w:rsidR="00DC4CFA" w:rsidRDefault="00DC4CFA" w:rsidP="00DC4CFA">
      <w:pPr>
        <w:keepNext/>
      </w:pPr>
      <w:r>
        <w:rPr>
          <w:noProof/>
        </w:rPr>
        <w:drawing>
          <wp:inline distT="0" distB="0" distL="0" distR="0" wp14:anchorId="54C993B7" wp14:editId="5434B64F">
            <wp:extent cx="5334000" cy="34004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0" cy="3400425"/>
                    </a:xfrm>
                    <a:prstGeom prst="rect">
                      <a:avLst/>
                    </a:prstGeom>
                    <a:noFill/>
                    <a:ln>
                      <a:noFill/>
                    </a:ln>
                  </pic:spPr>
                </pic:pic>
              </a:graphicData>
            </a:graphic>
          </wp:inline>
        </w:drawing>
      </w:r>
    </w:p>
    <w:p w:rsidR="00DC4CFA" w:rsidRPr="0011171D" w:rsidRDefault="00DC4CFA" w:rsidP="00DC4CFA">
      <w:pPr>
        <w:pStyle w:val="Caption"/>
        <w:jc w:val="center"/>
        <w:rPr>
          <w:lang w:val="en-US"/>
        </w:rPr>
      </w:pPr>
      <w:r w:rsidRPr="0011171D">
        <w:rPr>
          <w:lang w:val="en-US"/>
        </w:rPr>
        <w:t xml:space="preserve">Figure </w:t>
      </w:r>
      <w:r>
        <w:fldChar w:fldCharType="begin"/>
      </w:r>
      <w:r w:rsidRPr="0011171D">
        <w:rPr>
          <w:lang w:val="en-US"/>
        </w:rPr>
        <w:instrText xml:space="preserve"> SEQ Figure \* ARABIC </w:instrText>
      </w:r>
      <w:r>
        <w:fldChar w:fldCharType="separate"/>
      </w:r>
      <w:r w:rsidR="00A92FAF">
        <w:rPr>
          <w:noProof/>
          <w:lang w:val="en-US"/>
        </w:rPr>
        <w:t>2</w:t>
      </w:r>
      <w:r>
        <w:fldChar w:fldCharType="end"/>
      </w:r>
      <w:r w:rsidRPr="0011171D">
        <w:rPr>
          <w:lang w:val="en-US"/>
        </w:rPr>
        <w:t xml:space="preserve"> : Boxplot of notes </w:t>
      </w:r>
      <w:r>
        <w:rPr>
          <w:lang w:val="en-US"/>
        </w:rPr>
        <w:t xml:space="preserve">for candidate varieties </w:t>
      </w:r>
      <w:r w:rsidRPr="0011171D">
        <w:rPr>
          <w:lang w:val="en-US"/>
        </w:rPr>
        <w:t>by method.</w:t>
      </w:r>
    </w:p>
    <w:p w:rsidR="00DC4CFA" w:rsidRDefault="0008674C" w:rsidP="00DC4CFA">
      <w:r>
        <w:fldChar w:fldCharType="begin"/>
      </w:r>
      <w:r>
        <w:instrText xml:space="preserve"> AUTONUM  </w:instrText>
      </w:r>
      <w:r>
        <w:fldChar w:fldCharType="end"/>
      </w:r>
      <w:r>
        <w:tab/>
      </w:r>
      <w:r w:rsidR="00DC4CFA">
        <w:t>The boxplots show that the median of notes is higher with the Japanese method than the median of the French method 2 or the Italian method.  50% of the candidates’ notes are concentrated between 2 and 6 with the Italian method.</w:t>
      </w:r>
    </w:p>
    <w:p w:rsidR="00DC4CFA" w:rsidRDefault="00DC4CFA" w:rsidP="00DC4CFA"/>
    <w:p w:rsidR="00DC4CFA" w:rsidRPr="00600FBA" w:rsidRDefault="0008674C" w:rsidP="00DC4CFA">
      <w:r>
        <w:fldChar w:fldCharType="begin"/>
      </w:r>
      <w:r>
        <w:instrText xml:space="preserve"> AUTONUM  </w:instrText>
      </w:r>
      <w:r>
        <w:fldChar w:fldCharType="end"/>
      </w:r>
      <w:r>
        <w:tab/>
      </w:r>
      <w:r w:rsidR="00DC4CFA">
        <w:t>The p</w:t>
      </w:r>
      <w:r w:rsidR="00DC4CFA" w:rsidRPr="0057422D">
        <w:t xml:space="preserve">ercentage of common notes between </w:t>
      </w:r>
      <w:r w:rsidR="00DC4CFA">
        <w:t>each pair of</w:t>
      </w:r>
      <w:r w:rsidR="00DC4CFA" w:rsidRPr="0057422D">
        <w:t xml:space="preserve"> methods</w:t>
      </w:r>
      <w:r w:rsidR="00DC4CFA">
        <w:t xml:space="preserve"> has been calculated (number of varieties with identical notes divided by number of varieties notated with both methods) and summarized in the table below. </w:t>
      </w:r>
    </w:p>
    <w:p w:rsidR="00DC4CFA" w:rsidRPr="00600FBA" w:rsidRDefault="00DC4CFA" w:rsidP="00DC4CFA"/>
    <w:tbl>
      <w:tblPr>
        <w:tblW w:w="6640" w:type="dxa"/>
        <w:jc w:val="center"/>
        <w:tblCellMar>
          <w:left w:w="70" w:type="dxa"/>
          <w:right w:w="70" w:type="dxa"/>
        </w:tblCellMar>
        <w:tblLook w:val="04A0" w:firstRow="1" w:lastRow="0" w:firstColumn="1" w:lastColumn="0" w:noHBand="0" w:noVBand="1"/>
      </w:tblPr>
      <w:tblGrid>
        <w:gridCol w:w="1040"/>
        <w:gridCol w:w="1000"/>
        <w:gridCol w:w="920"/>
        <w:gridCol w:w="840"/>
        <w:gridCol w:w="1000"/>
        <w:gridCol w:w="940"/>
        <w:gridCol w:w="900"/>
      </w:tblGrid>
      <w:tr w:rsidR="00DC4CFA" w:rsidRPr="00B10C12" w:rsidTr="00DC4CFA">
        <w:trPr>
          <w:trHeight w:val="675"/>
          <w:jc w:val="center"/>
        </w:trPr>
        <w:tc>
          <w:tcPr>
            <w:tcW w:w="1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C4CFA" w:rsidRPr="00B10C12" w:rsidRDefault="00DC4CFA" w:rsidP="00DC4CFA">
            <w:pPr>
              <w:jc w:val="center"/>
              <w:rPr>
                <w:rFonts w:ascii="Calibri" w:hAnsi="Calibri"/>
                <w:b/>
                <w:bCs/>
                <w:sz w:val="16"/>
                <w:szCs w:val="16"/>
              </w:rPr>
            </w:pPr>
            <w:r w:rsidRPr="00B10C12">
              <w:rPr>
                <w:rFonts w:ascii="Calibri" w:hAnsi="Calibri"/>
                <w:b/>
                <w:bCs/>
                <w:sz w:val="16"/>
                <w:szCs w:val="16"/>
              </w:rPr>
              <w:t>Method</w:t>
            </w:r>
          </w:p>
        </w:tc>
        <w:tc>
          <w:tcPr>
            <w:tcW w:w="1000" w:type="dxa"/>
            <w:tcBorders>
              <w:top w:val="single" w:sz="4" w:space="0" w:color="auto"/>
              <w:left w:val="nil"/>
              <w:bottom w:val="nil"/>
              <w:right w:val="single" w:sz="4" w:space="0" w:color="auto"/>
            </w:tcBorders>
            <w:shd w:val="clear" w:color="000000" w:fill="F2F2F2"/>
            <w:vAlign w:val="center"/>
            <w:hideMark/>
          </w:tcPr>
          <w:p w:rsidR="00DC4CFA" w:rsidRPr="00B10C12" w:rsidRDefault="00DC4CFA" w:rsidP="00DC4CFA">
            <w:pPr>
              <w:jc w:val="center"/>
              <w:rPr>
                <w:rFonts w:ascii="Calibri" w:hAnsi="Calibri"/>
                <w:b/>
                <w:bCs/>
                <w:sz w:val="16"/>
                <w:szCs w:val="16"/>
              </w:rPr>
            </w:pPr>
            <w:r w:rsidRPr="00B10C12">
              <w:rPr>
                <w:rFonts w:ascii="Calibri" w:hAnsi="Calibri"/>
                <w:b/>
                <w:bCs/>
                <w:sz w:val="16"/>
                <w:szCs w:val="16"/>
              </w:rPr>
              <w:t>Note France method 2</w:t>
            </w:r>
            <w:r w:rsidRPr="00A55D3F">
              <w:rPr>
                <w:rFonts w:ascii="Calibri" w:hAnsi="Calibri"/>
                <w:b/>
                <w:bCs/>
                <w:color w:val="FF0000"/>
                <w:sz w:val="16"/>
                <w:szCs w:val="16"/>
              </w:rPr>
              <w:t>*</w:t>
            </w:r>
          </w:p>
        </w:tc>
        <w:tc>
          <w:tcPr>
            <w:tcW w:w="920" w:type="dxa"/>
            <w:tcBorders>
              <w:top w:val="single" w:sz="4" w:space="0" w:color="auto"/>
              <w:left w:val="nil"/>
              <w:bottom w:val="nil"/>
              <w:right w:val="single" w:sz="4" w:space="0" w:color="auto"/>
            </w:tcBorders>
            <w:shd w:val="clear" w:color="000000" w:fill="F2F2F2"/>
            <w:vAlign w:val="center"/>
            <w:hideMark/>
          </w:tcPr>
          <w:p w:rsidR="00DC4CFA" w:rsidRPr="00B10C12" w:rsidRDefault="00DC4CFA" w:rsidP="00DC4CFA">
            <w:pPr>
              <w:jc w:val="center"/>
              <w:rPr>
                <w:rFonts w:ascii="Calibri" w:hAnsi="Calibri"/>
                <w:b/>
                <w:bCs/>
                <w:sz w:val="16"/>
                <w:szCs w:val="16"/>
              </w:rPr>
            </w:pPr>
            <w:r w:rsidRPr="00B10C12">
              <w:rPr>
                <w:rFonts w:ascii="Calibri" w:hAnsi="Calibri"/>
                <w:b/>
                <w:bCs/>
                <w:sz w:val="16"/>
                <w:szCs w:val="16"/>
              </w:rPr>
              <w:t>Note Italy</w:t>
            </w:r>
          </w:p>
        </w:tc>
        <w:tc>
          <w:tcPr>
            <w:tcW w:w="840" w:type="dxa"/>
            <w:tcBorders>
              <w:top w:val="single" w:sz="4" w:space="0" w:color="auto"/>
              <w:left w:val="nil"/>
              <w:bottom w:val="nil"/>
              <w:right w:val="single" w:sz="4" w:space="0" w:color="auto"/>
            </w:tcBorders>
            <w:shd w:val="clear" w:color="000000" w:fill="F2F2F2"/>
            <w:vAlign w:val="center"/>
            <w:hideMark/>
          </w:tcPr>
          <w:p w:rsidR="00DC4CFA" w:rsidRPr="00B10C12" w:rsidRDefault="00DC4CFA" w:rsidP="00DC4CFA">
            <w:pPr>
              <w:jc w:val="center"/>
              <w:rPr>
                <w:rFonts w:ascii="Calibri" w:hAnsi="Calibri"/>
                <w:b/>
                <w:bCs/>
                <w:sz w:val="16"/>
                <w:szCs w:val="16"/>
              </w:rPr>
            </w:pPr>
            <w:r w:rsidRPr="00B10C12">
              <w:rPr>
                <w:rFonts w:ascii="Calibri" w:hAnsi="Calibri"/>
                <w:b/>
                <w:bCs/>
                <w:sz w:val="16"/>
                <w:szCs w:val="16"/>
              </w:rPr>
              <w:t>Note Germany 2012</w:t>
            </w:r>
          </w:p>
        </w:tc>
        <w:tc>
          <w:tcPr>
            <w:tcW w:w="1000" w:type="dxa"/>
            <w:tcBorders>
              <w:top w:val="single" w:sz="4" w:space="0" w:color="auto"/>
              <w:left w:val="nil"/>
              <w:bottom w:val="nil"/>
              <w:right w:val="single" w:sz="4" w:space="0" w:color="auto"/>
            </w:tcBorders>
            <w:shd w:val="clear" w:color="000000" w:fill="F2F2F2"/>
            <w:vAlign w:val="center"/>
            <w:hideMark/>
          </w:tcPr>
          <w:p w:rsidR="00DC4CFA" w:rsidRPr="00B10C12" w:rsidRDefault="00DC4CFA" w:rsidP="00DC4CFA">
            <w:pPr>
              <w:jc w:val="center"/>
              <w:rPr>
                <w:rFonts w:ascii="Calibri" w:hAnsi="Calibri"/>
                <w:b/>
                <w:bCs/>
                <w:sz w:val="16"/>
                <w:szCs w:val="16"/>
              </w:rPr>
            </w:pPr>
            <w:r w:rsidRPr="00B10C12">
              <w:rPr>
                <w:rFonts w:ascii="Calibri" w:hAnsi="Calibri"/>
                <w:b/>
                <w:bCs/>
                <w:sz w:val="16"/>
                <w:szCs w:val="16"/>
              </w:rPr>
              <w:t>Note Japan 2012</w:t>
            </w:r>
          </w:p>
        </w:tc>
        <w:tc>
          <w:tcPr>
            <w:tcW w:w="940" w:type="dxa"/>
            <w:tcBorders>
              <w:top w:val="single" w:sz="4" w:space="0" w:color="auto"/>
              <w:left w:val="nil"/>
              <w:bottom w:val="nil"/>
              <w:right w:val="single" w:sz="4" w:space="0" w:color="auto"/>
            </w:tcBorders>
            <w:shd w:val="clear" w:color="000000" w:fill="F2F2F2"/>
            <w:vAlign w:val="center"/>
            <w:hideMark/>
          </w:tcPr>
          <w:p w:rsidR="00DC4CFA" w:rsidRPr="00B10C12" w:rsidRDefault="00DC4CFA" w:rsidP="00DC4CFA">
            <w:pPr>
              <w:jc w:val="center"/>
              <w:rPr>
                <w:rFonts w:ascii="Calibri" w:hAnsi="Calibri"/>
                <w:b/>
                <w:bCs/>
                <w:sz w:val="16"/>
                <w:szCs w:val="16"/>
              </w:rPr>
            </w:pPr>
            <w:r w:rsidRPr="00B10C12">
              <w:rPr>
                <w:rFonts w:ascii="Calibri" w:hAnsi="Calibri"/>
                <w:b/>
                <w:bCs/>
                <w:sz w:val="16"/>
                <w:szCs w:val="16"/>
              </w:rPr>
              <w:t>Note UK method 1</w:t>
            </w:r>
          </w:p>
        </w:tc>
        <w:tc>
          <w:tcPr>
            <w:tcW w:w="900" w:type="dxa"/>
            <w:tcBorders>
              <w:top w:val="single" w:sz="4" w:space="0" w:color="auto"/>
              <w:left w:val="nil"/>
              <w:bottom w:val="nil"/>
              <w:right w:val="single" w:sz="4" w:space="0" w:color="auto"/>
            </w:tcBorders>
            <w:shd w:val="clear" w:color="000000" w:fill="F2F2F2"/>
            <w:vAlign w:val="center"/>
            <w:hideMark/>
          </w:tcPr>
          <w:p w:rsidR="00DC4CFA" w:rsidRPr="00B10C12" w:rsidRDefault="00DC4CFA" w:rsidP="00DC4CFA">
            <w:pPr>
              <w:jc w:val="center"/>
              <w:rPr>
                <w:rFonts w:ascii="Calibri" w:hAnsi="Calibri"/>
                <w:b/>
                <w:bCs/>
                <w:sz w:val="16"/>
                <w:szCs w:val="16"/>
              </w:rPr>
            </w:pPr>
            <w:r w:rsidRPr="00B10C12">
              <w:rPr>
                <w:rFonts w:ascii="Calibri" w:hAnsi="Calibri"/>
                <w:b/>
                <w:bCs/>
                <w:sz w:val="16"/>
                <w:szCs w:val="16"/>
              </w:rPr>
              <w:t>Note UK method 2</w:t>
            </w:r>
          </w:p>
        </w:tc>
      </w:tr>
      <w:tr w:rsidR="00DC4CFA" w:rsidRPr="00B10C12" w:rsidTr="00DC4CFA">
        <w:trPr>
          <w:trHeight w:val="610"/>
          <w:jc w:val="center"/>
        </w:trPr>
        <w:tc>
          <w:tcPr>
            <w:tcW w:w="1040" w:type="dxa"/>
            <w:tcBorders>
              <w:top w:val="nil"/>
              <w:left w:val="single" w:sz="4" w:space="0" w:color="auto"/>
              <w:bottom w:val="single" w:sz="4" w:space="0" w:color="auto"/>
              <w:right w:val="nil"/>
            </w:tcBorders>
            <w:shd w:val="clear" w:color="000000" w:fill="F2F2F2"/>
            <w:vAlign w:val="center"/>
            <w:hideMark/>
          </w:tcPr>
          <w:p w:rsidR="00DC4CFA" w:rsidRPr="00B10C12" w:rsidRDefault="00DC4CFA" w:rsidP="00DC4CFA">
            <w:pPr>
              <w:jc w:val="center"/>
              <w:rPr>
                <w:rFonts w:ascii="Calibri" w:hAnsi="Calibri"/>
                <w:b/>
                <w:bCs/>
                <w:sz w:val="16"/>
                <w:szCs w:val="16"/>
              </w:rPr>
            </w:pPr>
            <w:r w:rsidRPr="00B10C12">
              <w:rPr>
                <w:rFonts w:ascii="Calibri" w:hAnsi="Calibri"/>
                <w:b/>
                <w:bCs/>
                <w:sz w:val="16"/>
                <w:szCs w:val="16"/>
              </w:rPr>
              <w:t>Note France method 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sz w:val="18"/>
                <w:szCs w:val="18"/>
              </w:rPr>
            </w:pPr>
            <w:r w:rsidRPr="00B10C12">
              <w:rPr>
                <w:rFonts w:ascii="Calibri" w:hAnsi="Calibri"/>
                <w:i/>
                <w:iCs/>
                <w:sz w:val="18"/>
                <w:szCs w:val="18"/>
              </w:rPr>
              <w:t>84,6%</w:t>
            </w:r>
          </w:p>
        </w:tc>
        <w:tc>
          <w:tcPr>
            <w:tcW w:w="920" w:type="dxa"/>
            <w:tcBorders>
              <w:top w:val="single" w:sz="4" w:space="0" w:color="auto"/>
              <w:left w:val="nil"/>
              <w:bottom w:val="single" w:sz="4" w:space="0" w:color="auto"/>
              <w:right w:val="nil"/>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r w:rsidRPr="00B10C12">
              <w:rPr>
                <w:rFonts w:ascii="Calibri" w:hAnsi="Calibri"/>
                <w:i/>
                <w:iCs/>
                <w:color w:val="000000"/>
                <w:sz w:val="18"/>
                <w:szCs w:val="18"/>
              </w:rPr>
              <w:t>18,5%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r w:rsidRPr="00B10C12">
              <w:rPr>
                <w:rFonts w:ascii="Calibri" w:hAnsi="Calibri"/>
                <w:i/>
                <w:iCs/>
                <w:color w:val="000000"/>
                <w:sz w:val="18"/>
                <w:szCs w:val="18"/>
              </w:rPr>
              <w:t>57,1%</w:t>
            </w:r>
          </w:p>
        </w:tc>
        <w:tc>
          <w:tcPr>
            <w:tcW w:w="1000" w:type="dxa"/>
            <w:tcBorders>
              <w:top w:val="single" w:sz="4" w:space="0" w:color="auto"/>
              <w:left w:val="nil"/>
              <w:bottom w:val="single" w:sz="4" w:space="0" w:color="auto"/>
              <w:right w:val="nil"/>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r w:rsidRPr="00B10C12">
              <w:rPr>
                <w:rFonts w:ascii="Calibri" w:hAnsi="Calibri"/>
                <w:i/>
                <w:iCs/>
                <w:color w:val="000000"/>
                <w:sz w:val="18"/>
                <w:szCs w:val="18"/>
              </w:rPr>
              <w:t>53,6%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r w:rsidRPr="00B10C12">
              <w:rPr>
                <w:rFonts w:ascii="Calibri" w:hAnsi="Calibri"/>
                <w:i/>
                <w:iCs/>
                <w:color w:val="000000"/>
                <w:sz w:val="18"/>
                <w:szCs w:val="18"/>
              </w:rPr>
              <w:t>39,3%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r w:rsidRPr="00B10C12">
              <w:rPr>
                <w:rFonts w:ascii="Calibri" w:hAnsi="Calibri"/>
                <w:i/>
                <w:iCs/>
                <w:color w:val="000000"/>
                <w:sz w:val="18"/>
                <w:szCs w:val="18"/>
              </w:rPr>
              <w:t>39,3%</w:t>
            </w:r>
          </w:p>
        </w:tc>
      </w:tr>
      <w:tr w:rsidR="00DC4CFA" w:rsidRPr="00B10C12" w:rsidTr="00DC4CFA">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DC4CFA" w:rsidRPr="00A55D3F" w:rsidRDefault="00DC4CFA" w:rsidP="00DC4CFA">
            <w:pPr>
              <w:jc w:val="center"/>
              <w:rPr>
                <w:rFonts w:ascii="Calibri" w:hAnsi="Calibri"/>
                <w:b/>
                <w:bCs/>
                <w:color w:val="FF0000"/>
                <w:sz w:val="16"/>
                <w:szCs w:val="16"/>
              </w:rPr>
            </w:pPr>
            <w:r w:rsidRPr="00B10C12">
              <w:rPr>
                <w:rFonts w:ascii="Calibri" w:hAnsi="Calibri"/>
                <w:b/>
                <w:bCs/>
                <w:sz w:val="16"/>
                <w:szCs w:val="16"/>
              </w:rPr>
              <w:t>Note France method 2</w:t>
            </w:r>
            <w:r>
              <w:rPr>
                <w:rFonts w:ascii="Calibri" w:hAnsi="Calibri"/>
                <w:b/>
                <w:bCs/>
                <w:color w:val="FF0000"/>
                <w:sz w:val="16"/>
                <w:szCs w:val="16"/>
              </w:rPr>
              <w:t>*</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rsidR="00DC4CFA" w:rsidRPr="00B10C12" w:rsidRDefault="00DC4CFA" w:rsidP="00DC4CFA">
            <w:pPr>
              <w:jc w:val="center"/>
              <w:rPr>
                <w:rFonts w:ascii="Calibri" w:hAnsi="Calibri"/>
              </w:rPr>
            </w:pPr>
            <w:r w:rsidRPr="00B10C12">
              <w:rPr>
                <w:rFonts w:ascii="Calibri" w:hAnsi="Calibri"/>
              </w:rPr>
              <w:t> </w:t>
            </w:r>
          </w:p>
        </w:tc>
        <w:tc>
          <w:tcPr>
            <w:tcW w:w="920" w:type="dxa"/>
            <w:vMerge w:val="restart"/>
            <w:tcBorders>
              <w:top w:val="single" w:sz="4" w:space="0" w:color="auto"/>
              <w:left w:val="nil"/>
              <w:right w:val="nil"/>
            </w:tcBorders>
            <w:shd w:val="clear" w:color="auto" w:fill="auto"/>
            <w:noWrap/>
            <w:vAlign w:val="center"/>
            <w:hideMark/>
          </w:tcPr>
          <w:p w:rsidR="00DC4CFA" w:rsidRPr="00B10C12" w:rsidRDefault="00DC4CFA" w:rsidP="00DC4CFA">
            <w:pPr>
              <w:jc w:val="center"/>
              <w:rPr>
                <w:rFonts w:ascii="Calibri" w:hAnsi="Calibri"/>
              </w:rPr>
            </w:pPr>
            <w:r w:rsidRPr="00B10C12">
              <w:rPr>
                <w:rFonts w:ascii="Calibri" w:hAnsi="Calibri"/>
                <w:i/>
                <w:iCs/>
                <w:sz w:val="18"/>
                <w:szCs w:val="18"/>
              </w:rPr>
              <w:t>8,3%</w:t>
            </w:r>
          </w:p>
        </w:tc>
        <w:tc>
          <w:tcPr>
            <w:tcW w:w="840" w:type="dxa"/>
            <w:vMerge w:val="restart"/>
            <w:tcBorders>
              <w:top w:val="single" w:sz="4" w:space="0" w:color="auto"/>
              <w:left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rPr>
            </w:pPr>
            <w:r w:rsidRPr="00B10C12">
              <w:rPr>
                <w:rFonts w:ascii="Calibri" w:hAnsi="Calibri"/>
                <w:i/>
                <w:iCs/>
                <w:sz w:val="18"/>
                <w:szCs w:val="18"/>
              </w:rPr>
              <w:t>46,2%</w:t>
            </w:r>
          </w:p>
        </w:tc>
        <w:tc>
          <w:tcPr>
            <w:tcW w:w="1000" w:type="dxa"/>
            <w:vMerge w:val="restart"/>
            <w:tcBorders>
              <w:top w:val="single" w:sz="4" w:space="0" w:color="auto"/>
              <w:left w:val="nil"/>
              <w:right w:val="single" w:sz="4" w:space="0" w:color="auto"/>
            </w:tcBorders>
            <w:shd w:val="clear" w:color="auto" w:fill="auto"/>
            <w:noWrap/>
            <w:vAlign w:val="center"/>
            <w:hideMark/>
          </w:tcPr>
          <w:p w:rsidR="00DC4CFA" w:rsidRPr="00B10C12" w:rsidRDefault="00DC4CFA" w:rsidP="00DC4CFA">
            <w:pPr>
              <w:jc w:val="center"/>
              <w:rPr>
                <w:rFonts w:ascii="Calibri" w:hAnsi="Calibri"/>
              </w:rPr>
            </w:pPr>
            <w:r w:rsidRPr="00B10C12">
              <w:rPr>
                <w:rFonts w:ascii="Calibri" w:hAnsi="Calibri"/>
                <w:i/>
                <w:iCs/>
                <w:sz w:val="18"/>
                <w:szCs w:val="18"/>
              </w:rPr>
              <w:t>46,2%</w:t>
            </w:r>
          </w:p>
        </w:tc>
        <w:tc>
          <w:tcPr>
            <w:tcW w:w="940" w:type="dxa"/>
            <w:vMerge w:val="restart"/>
            <w:tcBorders>
              <w:top w:val="single" w:sz="4" w:space="0" w:color="auto"/>
              <w:left w:val="nil"/>
              <w:right w:val="nil"/>
            </w:tcBorders>
            <w:shd w:val="clear" w:color="auto" w:fill="auto"/>
            <w:noWrap/>
            <w:vAlign w:val="center"/>
            <w:hideMark/>
          </w:tcPr>
          <w:p w:rsidR="00DC4CFA" w:rsidRPr="00B10C12" w:rsidRDefault="00DC4CFA" w:rsidP="00DC4CFA">
            <w:pPr>
              <w:jc w:val="center"/>
              <w:rPr>
                <w:rFonts w:ascii="Calibri" w:hAnsi="Calibri"/>
              </w:rPr>
            </w:pPr>
            <w:r w:rsidRPr="00B10C12">
              <w:rPr>
                <w:rFonts w:ascii="Calibri" w:hAnsi="Calibri"/>
                <w:i/>
                <w:iCs/>
                <w:sz w:val="18"/>
                <w:szCs w:val="18"/>
              </w:rPr>
              <w:t>30,8%</w:t>
            </w:r>
          </w:p>
        </w:tc>
        <w:tc>
          <w:tcPr>
            <w:tcW w:w="900" w:type="dxa"/>
            <w:vMerge w:val="restart"/>
            <w:tcBorders>
              <w:top w:val="single" w:sz="4" w:space="0" w:color="auto"/>
              <w:left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rPr>
            </w:pPr>
            <w:r w:rsidRPr="00B10C12">
              <w:rPr>
                <w:rFonts w:ascii="Calibri" w:hAnsi="Calibri"/>
                <w:i/>
                <w:iCs/>
                <w:sz w:val="18"/>
                <w:szCs w:val="18"/>
              </w:rPr>
              <w:t>23,1%</w:t>
            </w:r>
          </w:p>
        </w:tc>
      </w:tr>
      <w:tr w:rsidR="00DC4CFA" w:rsidRPr="00B10C12" w:rsidTr="00DC4CFA">
        <w:trPr>
          <w:trHeight w:val="300"/>
          <w:jc w:val="center"/>
        </w:trPr>
        <w:tc>
          <w:tcPr>
            <w:tcW w:w="1040" w:type="dxa"/>
            <w:vMerge/>
            <w:tcBorders>
              <w:top w:val="nil"/>
              <w:left w:val="single" w:sz="4" w:space="0" w:color="auto"/>
              <w:bottom w:val="single" w:sz="4" w:space="0" w:color="auto"/>
              <w:right w:val="nil"/>
            </w:tcBorders>
            <w:vAlign w:val="center"/>
            <w:hideMark/>
          </w:tcPr>
          <w:p w:rsidR="00DC4CFA" w:rsidRPr="00B10C12" w:rsidRDefault="00DC4CFA" w:rsidP="00DC4CFA">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sz w:val="18"/>
                <w:szCs w:val="18"/>
              </w:rPr>
            </w:pPr>
            <w:r w:rsidRPr="00B10C12">
              <w:rPr>
                <w:rFonts w:ascii="Calibri" w:hAnsi="Calibri"/>
                <w:i/>
                <w:iCs/>
                <w:sz w:val="18"/>
                <w:szCs w:val="18"/>
              </w:rPr>
              <w:t> </w:t>
            </w:r>
          </w:p>
        </w:tc>
        <w:tc>
          <w:tcPr>
            <w:tcW w:w="920" w:type="dxa"/>
            <w:vMerge/>
            <w:tcBorders>
              <w:left w:val="nil"/>
              <w:bottom w:val="single" w:sz="4" w:space="0" w:color="auto"/>
              <w:right w:val="nil"/>
            </w:tcBorders>
            <w:shd w:val="clear" w:color="auto" w:fill="auto"/>
            <w:noWrap/>
            <w:vAlign w:val="center"/>
            <w:hideMark/>
          </w:tcPr>
          <w:p w:rsidR="00DC4CFA" w:rsidRPr="00B10C12" w:rsidRDefault="00DC4CFA" w:rsidP="00DC4CFA">
            <w:pPr>
              <w:jc w:val="center"/>
              <w:rPr>
                <w:rFonts w:ascii="Calibri" w:hAnsi="Calibri"/>
                <w:i/>
                <w:iCs/>
                <w:sz w:val="18"/>
                <w:szCs w:val="18"/>
              </w:rPr>
            </w:pP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sz w:val="18"/>
                <w:szCs w:val="18"/>
              </w:rPr>
            </w:pPr>
          </w:p>
        </w:tc>
        <w:tc>
          <w:tcPr>
            <w:tcW w:w="940" w:type="dxa"/>
            <w:vMerge/>
            <w:tcBorders>
              <w:left w:val="nil"/>
              <w:bottom w:val="single" w:sz="4" w:space="0" w:color="auto"/>
              <w:right w:val="nil"/>
            </w:tcBorders>
            <w:shd w:val="clear" w:color="auto" w:fill="auto"/>
            <w:noWrap/>
            <w:vAlign w:val="center"/>
            <w:hideMark/>
          </w:tcPr>
          <w:p w:rsidR="00DC4CFA" w:rsidRPr="00B10C12" w:rsidRDefault="00DC4CFA" w:rsidP="00DC4CFA">
            <w:pPr>
              <w:jc w:val="center"/>
              <w:rPr>
                <w:rFonts w:ascii="Calibri" w:hAnsi="Calibri"/>
                <w:i/>
                <w:iCs/>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sz w:val="18"/>
                <w:szCs w:val="18"/>
              </w:rPr>
            </w:pPr>
          </w:p>
        </w:tc>
      </w:tr>
      <w:tr w:rsidR="00DC4CFA" w:rsidRPr="00B10C12" w:rsidTr="00DC4CFA">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DC4CFA" w:rsidRPr="00B10C12" w:rsidRDefault="00DC4CFA" w:rsidP="00DC4CFA">
            <w:pPr>
              <w:jc w:val="center"/>
              <w:rPr>
                <w:rFonts w:ascii="Calibri" w:hAnsi="Calibri"/>
                <w:b/>
                <w:bCs/>
                <w:sz w:val="16"/>
                <w:szCs w:val="16"/>
              </w:rPr>
            </w:pPr>
            <w:r w:rsidRPr="00B10C12">
              <w:rPr>
                <w:rFonts w:ascii="Calibri" w:hAnsi="Calibri"/>
                <w:b/>
                <w:bCs/>
                <w:sz w:val="16"/>
                <w:szCs w:val="16"/>
              </w:rPr>
              <w:t>Note Italy</w:t>
            </w:r>
          </w:p>
        </w:tc>
        <w:tc>
          <w:tcPr>
            <w:tcW w:w="1000" w:type="dxa"/>
            <w:tcBorders>
              <w:top w:val="nil"/>
              <w:left w:val="single" w:sz="4" w:space="0" w:color="auto"/>
              <w:bottom w:val="nil"/>
              <w:right w:val="single" w:sz="4" w:space="0" w:color="auto"/>
            </w:tcBorders>
            <w:shd w:val="clear" w:color="auto" w:fill="auto"/>
            <w:noWrap/>
            <w:vAlign w:val="center"/>
            <w:hideMark/>
          </w:tcPr>
          <w:p w:rsidR="00DC4CFA" w:rsidRPr="00B10C12" w:rsidRDefault="00DC4CFA" w:rsidP="00DC4CFA">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nil"/>
            </w:tcBorders>
            <w:shd w:val="clear" w:color="auto" w:fill="auto"/>
            <w:noWrap/>
            <w:vAlign w:val="center"/>
            <w:hideMark/>
          </w:tcPr>
          <w:p w:rsidR="00DC4CFA" w:rsidRPr="00B10C12" w:rsidRDefault="00DC4CFA" w:rsidP="00DC4CFA">
            <w:pPr>
              <w:jc w:val="center"/>
              <w:rPr>
                <w:rFonts w:ascii="Calibri" w:hAnsi="Calibri"/>
              </w:rPr>
            </w:pPr>
          </w:p>
        </w:tc>
        <w:tc>
          <w:tcPr>
            <w:tcW w:w="840" w:type="dxa"/>
            <w:vMerge w:val="restart"/>
            <w:tcBorders>
              <w:top w:val="nil"/>
              <w:left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color w:val="000000"/>
              </w:rPr>
            </w:pPr>
            <w:r w:rsidRPr="00B10C12">
              <w:rPr>
                <w:rFonts w:ascii="Calibri" w:hAnsi="Calibri"/>
                <w:i/>
                <w:iCs/>
                <w:color w:val="000000"/>
                <w:sz w:val="18"/>
                <w:szCs w:val="18"/>
              </w:rPr>
              <w:t>16,7%</w:t>
            </w:r>
          </w:p>
        </w:tc>
        <w:tc>
          <w:tcPr>
            <w:tcW w:w="1000" w:type="dxa"/>
            <w:vMerge w:val="restart"/>
            <w:tcBorders>
              <w:top w:val="nil"/>
              <w:left w:val="nil"/>
              <w:right w:val="single" w:sz="4" w:space="0" w:color="auto"/>
            </w:tcBorders>
            <w:shd w:val="clear" w:color="auto" w:fill="auto"/>
            <w:noWrap/>
            <w:vAlign w:val="center"/>
            <w:hideMark/>
          </w:tcPr>
          <w:p w:rsidR="00DC4CFA" w:rsidRPr="00B10C12" w:rsidRDefault="00DC4CFA" w:rsidP="00DC4CFA">
            <w:pPr>
              <w:jc w:val="center"/>
              <w:rPr>
                <w:rFonts w:ascii="Calibri" w:hAnsi="Calibri"/>
                <w:color w:val="000000"/>
              </w:rPr>
            </w:pPr>
            <w:r w:rsidRPr="00B10C12">
              <w:rPr>
                <w:rFonts w:ascii="Calibri" w:hAnsi="Calibri"/>
                <w:i/>
                <w:iCs/>
                <w:color w:val="000000"/>
                <w:sz w:val="18"/>
                <w:szCs w:val="18"/>
              </w:rPr>
              <w:t>0,0%</w:t>
            </w:r>
          </w:p>
        </w:tc>
        <w:tc>
          <w:tcPr>
            <w:tcW w:w="940" w:type="dxa"/>
            <w:vMerge w:val="restart"/>
            <w:tcBorders>
              <w:top w:val="nil"/>
              <w:left w:val="nil"/>
              <w:right w:val="nil"/>
            </w:tcBorders>
            <w:shd w:val="clear" w:color="auto" w:fill="auto"/>
            <w:noWrap/>
            <w:vAlign w:val="center"/>
            <w:hideMark/>
          </w:tcPr>
          <w:p w:rsidR="00DC4CFA" w:rsidRPr="00B10C12" w:rsidRDefault="00DC4CFA" w:rsidP="00DC4CFA">
            <w:pPr>
              <w:jc w:val="center"/>
              <w:rPr>
                <w:rFonts w:ascii="Calibri" w:hAnsi="Calibri"/>
                <w:color w:val="000000"/>
              </w:rPr>
            </w:pPr>
            <w:r w:rsidRPr="00B10C12">
              <w:rPr>
                <w:rFonts w:ascii="Calibri" w:hAnsi="Calibri"/>
                <w:i/>
                <w:iCs/>
                <w:color w:val="000000"/>
                <w:sz w:val="18"/>
                <w:szCs w:val="18"/>
              </w:rPr>
              <w:t>26,7%</w:t>
            </w:r>
          </w:p>
        </w:tc>
        <w:tc>
          <w:tcPr>
            <w:tcW w:w="900" w:type="dxa"/>
            <w:vMerge w:val="restart"/>
            <w:tcBorders>
              <w:top w:val="nil"/>
              <w:left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rPr>
            </w:pPr>
            <w:r w:rsidRPr="00B10C12">
              <w:rPr>
                <w:rFonts w:ascii="Calibri" w:hAnsi="Calibri"/>
                <w:i/>
                <w:iCs/>
                <w:color w:val="000000"/>
                <w:sz w:val="18"/>
                <w:szCs w:val="18"/>
              </w:rPr>
              <w:t>26,7%</w:t>
            </w:r>
          </w:p>
        </w:tc>
      </w:tr>
      <w:tr w:rsidR="00DC4CFA" w:rsidRPr="00B10C12" w:rsidTr="00DC4CFA">
        <w:trPr>
          <w:trHeight w:val="300"/>
          <w:jc w:val="center"/>
        </w:trPr>
        <w:tc>
          <w:tcPr>
            <w:tcW w:w="1040" w:type="dxa"/>
            <w:vMerge/>
            <w:tcBorders>
              <w:top w:val="nil"/>
              <w:left w:val="single" w:sz="4" w:space="0" w:color="auto"/>
              <w:bottom w:val="single" w:sz="4" w:space="0" w:color="auto"/>
              <w:right w:val="nil"/>
            </w:tcBorders>
            <w:vAlign w:val="center"/>
            <w:hideMark/>
          </w:tcPr>
          <w:p w:rsidR="00DC4CFA" w:rsidRPr="00B10C12" w:rsidRDefault="00DC4CFA" w:rsidP="00DC4CFA">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nil"/>
            </w:tcBorders>
            <w:shd w:val="clear" w:color="auto" w:fill="auto"/>
            <w:noWrap/>
            <w:vAlign w:val="center"/>
            <w:hideMark/>
          </w:tcPr>
          <w:p w:rsidR="00DC4CFA" w:rsidRPr="00B10C12" w:rsidRDefault="00DC4CFA" w:rsidP="00DC4CFA">
            <w:pPr>
              <w:jc w:val="center"/>
              <w:rPr>
                <w:rFonts w:ascii="Calibri" w:hAnsi="Calibri"/>
                <w:i/>
                <w:iCs/>
                <w:sz w:val="18"/>
                <w:szCs w:val="18"/>
              </w:rPr>
            </w:pPr>
            <w:r w:rsidRPr="00B10C12">
              <w:rPr>
                <w:rFonts w:ascii="Calibri" w:hAnsi="Calibri"/>
                <w:i/>
                <w:iCs/>
                <w:sz w:val="18"/>
                <w:szCs w:val="18"/>
              </w:rPr>
              <w:t> </w:t>
            </w: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p>
        </w:tc>
        <w:tc>
          <w:tcPr>
            <w:tcW w:w="940" w:type="dxa"/>
            <w:vMerge/>
            <w:tcBorders>
              <w:left w:val="nil"/>
              <w:bottom w:val="single" w:sz="4" w:space="0" w:color="auto"/>
              <w:right w:val="nil"/>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p>
        </w:tc>
      </w:tr>
      <w:tr w:rsidR="00DC4CFA" w:rsidRPr="00B10C12" w:rsidTr="00DC4CFA">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DC4CFA" w:rsidRPr="00B10C12" w:rsidRDefault="00DC4CFA" w:rsidP="00DC4CFA">
            <w:pPr>
              <w:jc w:val="center"/>
              <w:rPr>
                <w:rFonts w:ascii="Calibri" w:hAnsi="Calibri"/>
                <w:b/>
                <w:bCs/>
                <w:sz w:val="16"/>
                <w:szCs w:val="16"/>
              </w:rPr>
            </w:pPr>
            <w:r w:rsidRPr="00B10C12">
              <w:rPr>
                <w:rFonts w:ascii="Calibri" w:hAnsi="Calibri"/>
                <w:b/>
                <w:bCs/>
                <w:sz w:val="16"/>
                <w:szCs w:val="16"/>
              </w:rPr>
              <w:t>Note Germany 2012</w:t>
            </w:r>
          </w:p>
        </w:tc>
        <w:tc>
          <w:tcPr>
            <w:tcW w:w="1000" w:type="dxa"/>
            <w:tcBorders>
              <w:top w:val="nil"/>
              <w:left w:val="single" w:sz="4" w:space="0" w:color="auto"/>
              <w:bottom w:val="nil"/>
              <w:right w:val="single" w:sz="4" w:space="0" w:color="auto"/>
            </w:tcBorders>
            <w:shd w:val="clear" w:color="auto" w:fill="auto"/>
            <w:noWrap/>
            <w:vAlign w:val="center"/>
            <w:hideMark/>
          </w:tcPr>
          <w:p w:rsidR="00DC4CFA" w:rsidRPr="00B10C12" w:rsidRDefault="00DC4CFA" w:rsidP="00DC4CFA">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DC4CFA" w:rsidRPr="00B10C12" w:rsidRDefault="00DC4CFA" w:rsidP="00DC4CFA">
            <w:pPr>
              <w:jc w:val="center"/>
              <w:rPr>
                <w:rFonts w:ascii="Calibri" w:hAnsi="Calibri"/>
                <w:color w:val="000000"/>
              </w:rPr>
            </w:pPr>
          </w:p>
        </w:tc>
        <w:tc>
          <w:tcPr>
            <w:tcW w:w="840" w:type="dxa"/>
            <w:tcBorders>
              <w:top w:val="nil"/>
              <w:left w:val="single" w:sz="4" w:space="0" w:color="auto"/>
              <w:bottom w:val="nil"/>
              <w:right w:val="nil"/>
            </w:tcBorders>
            <w:shd w:val="clear" w:color="auto" w:fill="auto"/>
            <w:noWrap/>
            <w:vAlign w:val="center"/>
            <w:hideMark/>
          </w:tcPr>
          <w:p w:rsidR="00DC4CFA" w:rsidRPr="00B10C12" w:rsidRDefault="00DC4CFA" w:rsidP="00DC4CFA">
            <w:pPr>
              <w:jc w:val="center"/>
              <w:rPr>
                <w:rFonts w:ascii="Calibri" w:hAnsi="Calibri"/>
              </w:rPr>
            </w:pPr>
          </w:p>
        </w:tc>
        <w:tc>
          <w:tcPr>
            <w:tcW w:w="1000" w:type="dxa"/>
            <w:vMerge w:val="restart"/>
            <w:tcBorders>
              <w:top w:val="nil"/>
              <w:left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color w:val="000000"/>
              </w:rPr>
            </w:pPr>
            <w:r w:rsidRPr="00B10C12">
              <w:rPr>
                <w:rFonts w:ascii="Calibri" w:hAnsi="Calibri"/>
                <w:i/>
                <w:iCs/>
                <w:color w:val="000000"/>
                <w:sz w:val="18"/>
                <w:szCs w:val="18"/>
              </w:rPr>
              <w:t>35,5%</w:t>
            </w:r>
          </w:p>
        </w:tc>
        <w:tc>
          <w:tcPr>
            <w:tcW w:w="940" w:type="dxa"/>
            <w:vMerge w:val="restart"/>
            <w:tcBorders>
              <w:top w:val="nil"/>
              <w:left w:val="nil"/>
              <w:right w:val="nil"/>
            </w:tcBorders>
            <w:shd w:val="clear" w:color="auto" w:fill="auto"/>
            <w:noWrap/>
            <w:vAlign w:val="center"/>
            <w:hideMark/>
          </w:tcPr>
          <w:p w:rsidR="00DC4CFA" w:rsidRPr="00B10C12" w:rsidRDefault="00DC4CFA" w:rsidP="00DC4CFA">
            <w:pPr>
              <w:jc w:val="center"/>
              <w:rPr>
                <w:rFonts w:ascii="Calibri" w:hAnsi="Calibri"/>
                <w:color w:val="000000"/>
              </w:rPr>
            </w:pPr>
            <w:r w:rsidRPr="00B10C12">
              <w:rPr>
                <w:rFonts w:ascii="Calibri" w:hAnsi="Calibri"/>
                <w:i/>
                <w:iCs/>
                <w:color w:val="000000"/>
                <w:sz w:val="18"/>
                <w:szCs w:val="18"/>
              </w:rPr>
              <w:t>48,4%</w:t>
            </w:r>
          </w:p>
        </w:tc>
        <w:tc>
          <w:tcPr>
            <w:tcW w:w="900" w:type="dxa"/>
            <w:vMerge w:val="restart"/>
            <w:tcBorders>
              <w:top w:val="nil"/>
              <w:left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color w:val="000000"/>
              </w:rPr>
            </w:pPr>
            <w:r w:rsidRPr="00B10C12">
              <w:rPr>
                <w:rFonts w:ascii="Calibri" w:hAnsi="Calibri"/>
                <w:i/>
                <w:iCs/>
                <w:color w:val="000000"/>
                <w:sz w:val="18"/>
                <w:szCs w:val="18"/>
              </w:rPr>
              <w:t>58,1%</w:t>
            </w:r>
          </w:p>
        </w:tc>
      </w:tr>
      <w:tr w:rsidR="00DC4CFA" w:rsidRPr="00B10C12" w:rsidTr="00DC4CFA">
        <w:trPr>
          <w:trHeight w:val="300"/>
          <w:jc w:val="center"/>
        </w:trPr>
        <w:tc>
          <w:tcPr>
            <w:tcW w:w="1040" w:type="dxa"/>
            <w:vMerge/>
            <w:tcBorders>
              <w:top w:val="nil"/>
              <w:left w:val="single" w:sz="4" w:space="0" w:color="auto"/>
              <w:bottom w:val="single" w:sz="4" w:space="0" w:color="auto"/>
              <w:right w:val="nil"/>
            </w:tcBorders>
            <w:vAlign w:val="center"/>
            <w:hideMark/>
          </w:tcPr>
          <w:p w:rsidR="00DC4CFA" w:rsidRPr="00B10C12" w:rsidRDefault="00DC4CFA" w:rsidP="00DC4CFA">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r w:rsidRPr="00B10C12">
              <w:rPr>
                <w:rFonts w:ascii="Calibri" w:hAnsi="Calibri"/>
                <w:i/>
                <w:iCs/>
                <w:color w:val="000000"/>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DC4CFA" w:rsidRPr="00B10C12" w:rsidRDefault="00DC4CFA" w:rsidP="00DC4CFA">
            <w:pPr>
              <w:jc w:val="center"/>
              <w:rPr>
                <w:rFonts w:ascii="Calibri" w:hAnsi="Calibri"/>
                <w:i/>
                <w:iCs/>
                <w:sz w:val="18"/>
                <w:szCs w:val="18"/>
              </w:rPr>
            </w:pPr>
            <w:r w:rsidRPr="00B10C12">
              <w:rPr>
                <w:rFonts w:ascii="Calibri" w:hAnsi="Calibri"/>
                <w:i/>
                <w:iCs/>
                <w:sz w:val="18"/>
                <w:szCs w:val="18"/>
              </w:rPr>
              <w:t> </w:t>
            </w:r>
          </w:p>
        </w:tc>
        <w:tc>
          <w:tcPr>
            <w:tcW w:w="1000" w:type="dxa"/>
            <w:vMerge/>
            <w:tcBorders>
              <w:left w:val="single" w:sz="4" w:space="0" w:color="auto"/>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p>
        </w:tc>
        <w:tc>
          <w:tcPr>
            <w:tcW w:w="940" w:type="dxa"/>
            <w:vMerge/>
            <w:tcBorders>
              <w:left w:val="nil"/>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p>
        </w:tc>
      </w:tr>
      <w:tr w:rsidR="00DC4CFA" w:rsidRPr="00B10C12" w:rsidTr="00DC4CFA">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DC4CFA" w:rsidRPr="00B10C12" w:rsidRDefault="00DC4CFA" w:rsidP="00DC4CFA">
            <w:pPr>
              <w:jc w:val="center"/>
              <w:rPr>
                <w:rFonts w:ascii="Calibri" w:hAnsi="Calibri"/>
                <w:b/>
                <w:bCs/>
                <w:sz w:val="16"/>
                <w:szCs w:val="16"/>
              </w:rPr>
            </w:pPr>
            <w:r w:rsidRPr="00B10C12">
              <w:rPr>
                <w:rFonts w:ascii="Calibri" w:hAnsi="Calibri"/>
                <w:b/>
                <w:bCs/>
                <w:sz w:val="16"/>
                <w:szCs w:val="16"/>
              </w:rPr>
              <w:t>Note Japan 2012</w:t>
            </w:r>
          </w:p>
        </w:tc>
        <w:tc>
          <w:tcPr>
            <w:tcW w:w="1000" w:type="dxa"/>
            <w:tcBorders>
              <w:top w:val="nil"/>
              <w:left w:val="single" w:sz="4" w:space="0" w:color="auto"/>
              <w:bottom w:val="nil"/>
              <w:right w:val="single" w:sz="4" w:space="0" w:color="auto"/>
            </w:tcBorders>
            <w:shd w:val="clear" w:color="auto" w:fill="auto"/>
            <w:noWrap/>
            <w:vAlign w:val="center"/>
            <w:hideMark/>
          </w:tcPr>
          <w:p w:rsidR="00DC4CFA" w:rsidRPr="00B10C12" w:rsidRDefault="00DC4CFA" w:rsidP="00DC4CFA">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DC4CFA" w:rsidRPr="00B10C12" w:rsidRDefault="00DC4CFA" w:rsidP="00DC4CFA">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DC4CFA" w:rsidRPr="00B10C12" w:rsidRDefault="00DC4CFA" w:rsidP="00DC4CFA">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DC4CFA" w:rsidRPr="00B10C12" w:rsidRDefault="00DC4CFA" w:rsidP="00DC4CFA">
            <w:pPr>
              <w:jc w:val="center"/>
              <w:rPr>
                <w:rFonts w:ascii="Calibri" w:hAnsi="Calibri"/>
              </w:rPr>
            </w:pPr>
            <w:r w:rsidRPr="00B10C12">
              <w:rPr>
                <w:rFonts w:ascii="Calibri" w:hAnsi="Calibri"/>
              </w:rPr>
              <w:t> </w:t>
            </w:r>
          </w:p>
        </w:tc>
        <w:tc>
          <w:tcPr>
            <w:tcW w:w="940" w:type="dxa"/>
            <w:vMerge w:val="restart"/>
            <w:tcBorders>
              <w:top w:val="nil"/>
              <w:left w:val="nil"/>
              <w:right w:val="nil"/>
            </w:tcBorders>
            <w:shd w:val="clear" w:color="auto" w:fill="auto"/>
            <w:noWrap/>
            <w:vAlign w:val="center"/>
            <w:hideMark/>
          </w:tcPr>
          <w:p w:rsidR="00DC4CFA" w:rsidRPr="00B10C12" w:rsidRDefault="00DC4CFA" w:rsidP="00DC4CFA">
            <w:pPr>
              <w:jc w:val="center"/>
              <w:rPr>
                <w:rFonts w:ascii="Calibri" w:hAnsi="Calibri"/>
              </w:rPr>
            </w:pPr>
            <w:r w:rsidRPr="00B10C12">
              <w:rPr>
                <w:rFonts w:ascii="Calibri" w:hAnsi="Calibri"/>
                <w:i/>
                <w:iCs/>
                <w:color w:val="000000"/>
                <w:sz w:val="18"/>
                <w:szCs w:val="18"/>
              </w:rPr>
              <w:t>38,7%</w:t>
            </w:r>
          </w:p>
        </w:tc>
        <w:tc>
          <w:tcPr>
            <w:tcW w:w="900" w:type="dxa"/>
            <w:vMerge w:val="restart"/>
            <w:tcBorders>
              <w:top w:val="nil"/>
              <w:left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rPr>
            </w:pPr>
            <w:r w:rsidRPr="00B10C12">
              <w:rPr>
                <w:rFonts w:ascii="Calibri" w:hAnsi="Calibri"/>
                <w:i/>
                <w:iCs/>
                <w:color w:val="000000"/>
                <w:sz w:val="18"/>
                <w:szCs w:val="18"/>
              </w:rPr>
              <w:t>38,7%</w:t>
            </w:r>
          </w:p>
        </w:tc>
      </w:tr>
      <w:tr w:rsidR="00DC4CFA" w:rsidRPr="00B10C12" w:rsidTr="00DC4CFA">
        <w:trPr>
          <w:trHeight w:val="300"/>
          <w:jc w:val="center"/>
        </w:trPr>
        <w:tc>
          <w:tcPr>
            <w:tcW w:w="1040" w:type="dxa"/>
            <w:vMerge/>
            <w:tcBorders>
              <w:top w:val="nil"/>
              <w:left w:val="single" w:sz="4" w:space="0" w:color="auto"/>
              <w:bottom w:val="single" w:sz="4" w:space="0" w:color="auto"/>
              <w:right w:val="nil"/>
            </w:tcBorders>
            <w:vAlign w:val="center"/>
            <w:hideMark/>
          </w:tcPr>
          <w:p w:rsidR="00DC4CFA" w:rsidRPr="00B10C12" w:rsidRDefault="00DC4CFA" w:rsidP="00DC4CFA">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sz w:val="18"/>
                <w:szCs w:val="18"/>
              </w:rPr>
            </w:pPr>
            <w:r w:rsidRPr="00B10C12">
              <w:rPr>
                <w:rFonts w:ascii="Calibri" w:hAnsi="Calibri"/>
                <w:i/>
                <w:iCs/>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DC4CFA" w:rsidRPr="00B10C12" w:rsidRDefault="00DC4CFA" w:rsidP="00DC4CFA">
            <w:pPr>
              <w:jc w:val="center"/>
              <w:rPr>
                <w:rFonts w:ascii="Calibri" w:hAnsi="Calibri"/>
                <w:i/>
                <w:iCs/>
                <w:sz w:val="18"/>
                <w:szCs w:val="18"/>
              </w:rPr>
            </w:pPr>
            <w:r w:rsidRPr="00B10C12">
              <w:rPr>
                <w:rFonts w:ascii="Calibri" w:hAnsi="Calibri"/>
                <w:i/>
                <w:iCs/>
                <w:sz w:val="18"/>
                <w:szCs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sz w:val="18"/>
                <w:szCs w:val="18"/>
              </w:rPr>
            </w:pPr>
            <w:r w:rsidRPr="00B10C12">
              <w:rPr>
                <w:rFonts w:ascii="Calibri" w:hAnsi="Calibri"/>
                <w:i/>
                <w:iCs/>
                <w:sz w:val="18"/>
                <w:szCs w:val="18"/>
              </w:rPr>
              <w:t> </w:t>
            </w:r>
          </w:p>
        </w:tc>
        <w:tc>
          <w:tcPr>
            <w:tcW w:w="940" w:type="dxa"/>
            <w:vMerge/>
            <w:tcBorders>
              <w:left w:val="nil"/>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p>
        </w:tc>
      </w:tr>
      <w:tr w:rsidR="00DC4CFA" w:rsidRPr="00B10C12" w:rsidTr="00DC4CFA">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DC4CFA" w:rsidRPr="00B10C12" w:rsidRDefault="00DC4CFA" w:rsidP="00DC4CFA">
            <w:pPr>
              <w:jc w:val="center"/>
              <w:rPr>
                <w:rFonts w:ascii="Calibri" w:hAnsi="Calibri"/>
                <w:b/>
                <w:bCs/>
                <w:sz w:val="16"/>
                <w:szCs w:val="16"/>
              </w:rPr>
            </w:pPr>
            <w:r w:rsidRPr="00B10C12">
              <w:rPr>
                <w:rFonts w:ascii="Calibri" w:hAnsi="Calibri"/>
                <w:b/>
                <w:bCs/>
                <w:sz w:val="16"/>
                <w:szCs w:val="16"/>
              </w:rPr>
              <w:t>Note UK method 1</w:t>
            </w:r>
          </w:p>
        </w:tc>
        <w:tc>
          <w:tcPr>
            <w:tcW w:w="1000" w:type="dxa"/>
            <w:tcBorders>
              <w:top w:val="nil"/>
              <w:left w:val="single" w:sz="4" w:space="0" w:color="auto"/>
              <w:bottom w:val="nil"/>
              <w:right w:val="single" w:sz="4" w:space="0" w:color="auto"/>
            </w:tcBorders>
            <w:shd w:val="clear" w:color="auto" w:fill="auto"/>
            <w:noWrap/>
            <w:vAlign w:val="center"/>
            <w:hideMark/>
          </w:tcPr>
          <w:p w:rsidR="00DC4CFA" w:rsidRPr="00B10C12" w:rsidRDefault="00DC4CFA" w:rsidP="00DC4CFA">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DC4CFA" w:rsidRPr="00B10C12" w:rsidRDefault="00DC4CFA" w:rsidP="00DC4CFA">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DC4CFA" w:rsidRPr="00B10C12" w:rsidRDefault="00DC4CFA" w:rsidP="00DC4CFA">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DC4CFA" w:rsidRPr="00B10C12" w:rsidRDefault="00DC4CFA" w:rsidP="00DC4CFA">
            <w:pPr>
              <w:jc w:val="center"/>
              <w:rPr>
                <w:rFonts w:ascii="Calibri" w:hAnsi="Calibri"/>
              </w:rPr>
            </w:pPr>
            <w:r w:rsidRPr="00B10C12">
              <w:rPr>
                <w:rFonts w:ascii="Calibri" w:hAnsi="Calibri"/>
              </w:rPr>
              <w:t> </w:t>
            </w:r>
          </w:p>
        </w:tc>
        <w:tc>
          <w:tcPr>
            <w:tcW w:w="940" w:type="dxa"/>
            <w:tcBorders>
              <w:top w:val="nil"/>
              <w:left w:val="nil"/>
              <w:bottom w:val="nil"/>
              <w:right w:val="nil"/>
            </w:tcBorders>
            <w:shd w:val="clear" w:color="auto" w:fill="auto"/>
            <w:noWrap/>
            <w:vAlign w:val="center"/>
            <w:hideMark/>
          </w:tcPr>
          <w:p w:rsidR="00DC4CFA" w:rsidRPr="00B10C12" w:rsidRDefault="00DC4CFA" w:rsidP="00DC4CFA">
            <w:pPr>
              <w:jc w:val="center"/>
              <w:rPr>
                <w:rFonts w:ascii="Calibri" w:hAnsi="Calibri"/>
              </w:rPr>
            </w:pPr>
          </w:p>
        </w:tc>
        <w:tc>
          <w:tcPr>
            <w:tcW w:w="900" w:type="dxa"/>
            <w:vMerge w:val="restart"/>
            <w:tcBorders>
              <w:top w:val="nil"/>
              <w:left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rPr>
            </w:pPr>
            <w:r w:rsidRPr="00B10C12">
              <w:rPr>
                <w:rFonts w:ascii="Calibri" w:hAnsi="Calibri"/>
                <w:i/>
                <w:iCs/>
                <w:color w:val="000000"/>
                <w:sz w:val="18"/>
                <w:szCs w:val="18"/>
              </w:rPr>
              <w:t>83,9%</w:t>
            </w:r>
          </w:p>
        </w:tc>
      </w:tr>
      <w:tr w:rsidR="00DC4CFA" w:rsidRPr="00B10C12" w:rsidTr="00DC4CFA">
        <w:trPr>
          <w:trHeight w:val="300"/>
          <w:jc w:val="center"/>
        </w:trPr>
        <w:tc>
          <w:tcPr>
            <w:tcW w:w="1040" w:type="dxa"/>
            <w:vMerge/>
            <w:tcBorders>
              <w:top w:val="nil"/>
              <w:left w:val="single" w:sz="4" w:space="0" w:color="auto"/>
              <w:bottom w:val="single" w:sz="4" w:space="0" w:color="auto"/>
              <w:right w:val="nil"/>
            </w:tcBorders>
            <w:vAlign w:val="center"/>
            <w:hideMark/>
          </w:tcPr>
          <w:p w:rsidR="00DC4CFA" w:rsidRPr="00B10C12" w:rsidRDefault="00DC4CFA" w:rsidP="00DC4CFA">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sz w:val="18"/>
                <w:szCs w:val="18"/>
              </w:rPr>
            </w:pPr>
            <w:r w:rsidRPr="00B10C12">
              <w:rPr>
                <w:rFonts w:ascii="Calibri" w:hAnsi="Calibri"/>
                <w:i/>
                <w:iCs/>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DC4CFA" w:rsidRPr="00B10C12" w:rsidRDefault="00DC4CFA" w:rsidP="00DC4CFA">
            <w:pPr>
              <w:jc w:val="center"/>
              <w:rPr>
                <w:rFonts w:ascii="Calibri" w:hAnsi="Calibri"/>
                <w:i/>
                <w:iCs/>
                <w:sz w:val="18"/>
                <w:szCs w:val="18"/>
              </w:rPr>
            </w:pPr>
            <w:r w:rsidRPr="00B10C12">
              <w:rPr>
                <w:rFonts w:ascii="Calibri" w:hAnsi="Calibri"/>
                <w:i/>
                <w:iCs/>
                <w:sz w:val="18"/>
                <w:szCs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sz w:val="18"/>
                <w:szCs w:val="18"/>
              </w:rPr>
            </w:pPr>
            <w:r w:rsidRPr="00B10C12">
              <w:rPr>
                <w:rFonts w:ascii="Calibri" w:hAnsi="Calibri"/>
                <w:i/>
                <w:iCs/>
                <w:sz w:val="18"/>
                <w:szCs w:val="18"/>
              </w:rPr>
              <w:t> </w:t>
            </w:r>
          </w:p>
        </w:tc>
        <w:tc>
          <w:tcPr>
            <w:tcW w:w="940" w:type="dxa"/>
            <w:tcBorders>
              <w:top w:val="nil"/>
              <w:left w:val="nil"/>
              <w:bottom w:val="single" w:sz="4" w:space="0" w:color="auto"/>
              <w:right w:val="nil"/>
            </w:tcBorders>
            <w:shd w:val="clear" w:color="auto" w:fill="auto"/>
            <w:noWrap/>
            <w:vAlign w:val="center"/>
            <w:hideMark/>
          </w:tcPr>
          <w:p w:rsidR="00DC4CFA" w:rsidRPr="00B10C12" w:rsidRDefault="00DC4CFA" w:rsidP="00DC4CFA">
            <w:pPr>
              <w:jc w:val="center"/>
              <w:rPr>
                <w:rFonts w:ascii="Calibri" w:hAnsi="Calibri"/>
                <w:i/>
                <w:iCs/>
                <w:sz w:val="18"/>
                <w:szCs w:val="18"/>
              </w:rPr>
            </w:pPr>
            <w:r w:rsidRPr="00B10C12">
              <w:rPr>
                <w:rFonts w:ascii="Calibri" w:hAnsi="Calibri"/>
                <w:i/>
                <w:iCs/>
                <w:sz w:val="18"/>
                <w:szCs w:val="18"/>
              </w:rPr>
              <w:t> </w:t>
            </w: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DC4CFA" w:rsidRPr="00B10C12" w:rsidRDefault="00DC4CFA" w:rsidP="00DC4CFA">
            <w:pPr>
              <w:jc w:val="center"/>
              <w:rPr>
                <w:rFonts w:ascii="Calibri" w:hAnsi="Calibri"/>
                <w:i/>
                <w:iCs/>
                <w:color w:val="000000"/>
                <w:sz w:val="18"/>
                <w:szCs w:val="18"/>
              </w:rPr>
            </w:pPr>
          </w:p>
        </w:tc>
      </w:tr>
    </w:tbl>
    <w:p w:rsidR="00DC4CFA" w:rsidRDefault="00DC4CFA" w:rsidP="00DC4CFA">
      <w:pPr>
        <w:pStyle w:val="Caption"/>
        <w:spacing w:after="0"/>
        <w:jc w:val="center"/>
        <w:rPr>
          <w:lang w:val="en-US"/>
        </w:rPr>
      </w:pPr>
      <w:r>
        <w:rPr>
          <w:lang w:val="en-US"/>
        </w:rPr>
        <w:t>Table</w:t>
      </w:r>
      <w:r w:rsidRPr="00077B3F">
        <w:rPr>
          <w:lang w:val="en-US"/>
        </w:rPr>
        <w:t xml:space="preserve"> </w:t>
      </w:r>
      <w:r>
        <w:rPr>
          <w:lang w:val="en-US"/>
        </w:rPr>
        <w:fldChar w:fldCharType="begin"/>
      </w:r>
      <w:r>
        <w:rPr>
          <w:lang w:val="en-US"/>
        </w:rPr>
        <w:instrText xml:space="preserve"> SEQ Tableau \* ARABIC </w:instrText>
      </w:r>
      <w:r>
        <w:rPr>
          <w:lang w:val="en-US"/>
        </w:rPr>
        <w:fldChar w:fldCharType="separate"/>
      </w:r>
      <w:r w:rsidR="00A92FAF">
        <w:rPr>
          <w:noProof/>
          <w:lang w:val="en-US"/>
        </w:rPr>
        <w:t>1</w:t>
      </w:r>
      <w:r>
        <w:rPr>
          <w:lang w:val="en-US"/>
        </w:rPr>
        <w:fldChar w:fldCharType="end"/>
      </w:r>
      <w:r w:rsidRPr="00077B3F">
        <w:rPr>
          <w:lang w:val="en-US"/>
        </w:rPr>
        <w:t>:</w:t>
      </w:r>
      <w:r>
        <w:rPr>
          <w:lang w:val="en-US"/>
        </w:rPr>
        <w:t xml:space="preserve"> P</w:t>
      </w:r>
      <w:r w:rsidRPr="00077B3F">
        <w:rPr>
          <w:lang w:val="en-US"/>
        </w:rPr>
        <w:t>ercentage of</w:t>
      </w:r>
      <w:r>
        <w:rPr>
          <w:lang w:val="en-US"/>
        </w:rPr>
        <w:t xml:space="preserve"> candidate varieties with identical</w:t>
      </w:r>
      <w:r w:rsidRPr="00077B3F">
        <w:rPr>
          <w:lang w:val="en-US"/>
        </w:rPr>
        <w:t xml:space="preserve"> note</w:t>
      </w:r>
      <w:r>
        <w:rPr>
          <w:lang w:val="en-US"/>
        </w:rPr>
        <w:t>s</w:t>
      </w:r>
      <w:r w:rsidRPr="00077B3F">
        <w:rPr>
          <w:lang w:val="en-US"/>
        </w:rPr>
        <w:t>.</w:t>
      </w:r>
      <w:r>
        <w:rPr>
          <w:lang w:val="en-US"/>
        </w:rPr>
        <w:t xml:space="preserve"> </w:t>
      </w:r>
    </w:p>
    <w:p w:rsidR="00DC4CFA" w:rsidRPr="00A55D3F" w:rsidRDefault="00DC4CFA" w:rsidP="00DC4CFA">
      <w:pPr>
        <w:pStyle w:val="Caption"/>
        <w:spacing w:after="0"/>
        <w:jc w:val="center"/>
        <w:rPr>
          <w:lang w:val="en-US"/>
        </w:rPr>
      </w:pPr>
      <w:r w:rsidRPr="00E67CCB">
        <w:rPr>
          <w:color w:val="FF0000"/>
          <w:lang w:val="en-US"/>
        </w:rPr>
        <w:t>*</w:t>
      </w:r>
      <w:r w:rsidRPr="00E67CCB">
        <w:rPr>
          <w:b w:val="0"/>
          <w:bCs w:val="0"/>
          <w:lang w:val="en-US"/>
        </w:rPr>
        <w:t xml:space="preserve">: total number of candidate </w:t>
      </w:r>
      <w:r>
        <w:rPr>
          <w:b w:val="0"/>
          <w:bCs w:val="0"/>
          <w:lang w:val="en-US"/>
        </w:rPr>
        <w:t>varieties notated inferior to 30</w:t>
      </w:r>
      <w:r w:rsidRPr="00E67CCB">
        <w:rPr>
          <w:b w:val="0"/>
          <w:bCs w:val="0"/>
          <w:lang w:val="en-US"/>
        </w:rPr>
        <w:t xml:space="preserve"> (13 for the French method 2</w:t>
      </w:r>
      <w:r>
        <w:rPr>
          <w:b w:val="0"/>
          <w:bCs w:val="0"/>
          <w:lang w:val="en-US"/>
        </w:rPr>
        <w:t>)</w:t>
      </w:r>
    </w:p>
    <w:p w:rsidR="00DC4CFA" w:rsidRDefault="00DC4CFA" w:rsidP="00DC4CFA"/>
    <w:p w:rsidR="00DC4CFA" w:rsidRPr="00A55D3F" w:rsidRDefault="00DC4CFA" w:rsidP="00DC4CFA"/>
    <w:p w:rsidR="00DC4CFA" w:rsidRDefault="0008674C" w:rsidP="00DC4CFA">
      <w:r>
        <w:fldChar w:fldCharType="begin"/>
      </w:r>
      <w:r>
        <w:instrText xml:space="preserve"> AUTONUM  </w:instrText>
      </w:r>
      <w:r>
        <w:fldChar w:fldCharType="end"/>
      </w:r>
      <w:r>
        <w:tab/>
      </w:r>
      <w:r w:rsidR="00DC4CFA">
        <w:t>The two French methods are the closest ones because 85</w:t>
      </w:r>
      <w:r w:rsidR="00DC4CFA" w:rsidRPr="004F735C">
        <w:t xml:space="preserve">% of the candidate varieties obtain the same note with </w:t>
      </w:r>
      <w:r w:rsidR="00DC4CFA">
        <w:t>these two methods. The Japanese method also shares nearly 50% of common notes with these two methods.  These three methods seem to assign close descriptions.</w:t>
      </w:r>
    </w:p>
    <w:p w:rsidR="00DC4CFA" w:rsidRDefault="00DC4CFA" w:rsidP="00DC4CFA">
      <w:r>
        <w:t>The two UK methods give very similar results (84% of identical notes) and the German method is also close to both UK methods.</w:t>
      </w:r>
      <w:r w:rsidRPr="0052092C">
        <w:t xml:space="preserve"> </w:t>
      </w:r>
      <w:r>
        <w:t>This can define a second group of close methods.</w:t>
      </w:r>
    </w:p>
    <w:p w:rsidR="00DC4CFA" w:rsidRPr="004F735C" w:rsidRDefault="00DC4CFA" w:rsidP="00DC4CFA">
      <w:r>
        <w:t>The Italian method doesn’t share many common notes with the other methods. In particular, the Japanese and the Italian methods appear to be quite distinct because they never produce identical notes for a candidate variety. A candidate variety obtains always a higher note with the Japanese method than with the Italian method. The average note for a candidate variety varies from 4,3 with the Italian method to 6,0 with the Japanese method. Moreover, the range of notes varies from 1 to 8 with the Italian method and from 2 to 9 in the case of the Japanese one.</w:t>
      </w:r>
    </w:p>
    <w:p w:rsidR="00DC4CFA" w:rsidRDefault="00DC4CFA" w:rsidP="00DC4CFA"/>
    <w:p w:rsidR="00DC4CFA" w:rsidRDefault="0008674C" w:rsidP="00DC4CFA">
      <w:r>
        <w:fldChar w:fldCharType="begin"/>
      </w:r>
      <w:r>
        <w:instrText xml:space="preserve"> AUTONUM  </w:instrText>
      </w:r>
      <w:r>
        <w:fldChar w:fldCharType="end"/>
      </w:r>
      <w:r>
        <w:tab/>
      </w:r>
      <w:r w:rsidR="00DC4CFA">
        <w:t xml:space="preserve">All the methods have then been compared with a non-parametric test, namely the Wilcoxon </w:t>
      </w:r>
      <w:r w:rsidR="00DC4CFA" w:rsidRPr="003D7EDC">
        <w:rPr>
          <w:rFonts w:cs="Courier New"/>
          <w:color w:val="000000"/>
        </w:rPr>
        <w:t>signed rank test</w:t>
      </w:r>
      <w:r w:rsidR="00DC4CFA">
        <w:t xml:space="preserve"> for paired samples, because the distributions are not normally distributed. According to that test, the notes obtained with these methods are significantly different from one method to another, except for the two French methods, each French method with the Japanese method, the two UK methods and each UK method with the German method. Therefore, we can consider three different groups: a first one composed by the two French methods and the Japanese method, a second composed by the two UK methods and the German method. The third group contains only the Italian method which seems to be significantly distinct from every other method.</w:t>
      </w:r>
      <w:r w:rsidR="00DC4CFA" w:rsidRPr="0052092C">
        <w:t xml:space="preserve"> </w:t>
      </w:r>
      <w:r w:rsidR="00DC4CFA">
        <w:t xml:space="preserve">This confirms the groups previously defined on the percentage of common notes. </w:t>
      </w:r>
    </w:p>
    <w:p w:rsidR="00DC4CFA" w:rsidRDefault="00DC4CFA" w:rsidP="00DC4CFA">
      <w:r>
        <w:t>We can</w:t>
      </w:r>
      <w:r w:rsidR="00C809CC">
        <w:t>no</w:t>
      </w:r>
      <w:r>
        <w:t>t distinguish a special common point between the methods used in each group.</w:t>
      </w:r>
    </w:p>
    <w:p w:rsidR="00DC4CFA" w:rsidRDefault="00DC4CFA" w:rsidP="00DC4CFA"/>
    <w:p w:rsidR="00E359D3" w:rsidRDefault="00E359D3">
      <w:pPr>
        <w:jc w:val="left"/>
      </w:pPr>
      <w:r>
        <w:br w:type="page"/>
      </w:r>
    </w:p>
    <w:p w:rsidR="00DC4CFA" w:rsidRDefault="00DC4CFA" w:rsidP="00DC4CFA">
      <w:pPr>
        <w:pStyle w:val="Heading1"/>
      </w:pPr>
      <w:r w:rsidRPr="00382D4C">
        <w:t>Conclusion</w:t>
      </w:r>
    </w:p>
    <w:p w:rsidR="00DC4CFA" w:rsidRPr="00382D4C" w:rsidRDefault="00DC4CFA" w:rsidP="00DC4CFA">
      <w:pPr>
        <w:pStyle w:val="Heading1"/>
      </w:pPr>
      <w:r w:rsidRPr="00382D4C">
        <w:t xml:space="preserve"> </w:t>
      </w:r>
    </w:p>
    <w:p w:rsidR="00DC4CFA" w:rsidRDefault="0008674C" w:rsidP="00DC4CFA">
      <w:r>
        <w:fldChar w:fldCharType="begin"/>
      </w:r>
      <w:r>
        <w:instrText xml:space="preserve"> AUTONUM  </w:instrText>
      </w:r>
      <w:r>
        <w:fldChar w:fldCharType="end"/>
      </w:r>
      <w:r>
        <w:tab/>
      </w:r>
      <w:r w:rsidR="00DC4CFA">
        <w:t>The methods used by UPOV members to assign a note to the candidate varieties rely on a combination of division into equal-spaced states, use of the results of examples varieties and crop expert judgment.</w:t>
      </w:r>
      <w:r w:rsidR="00DC4CFA" w:rsidRPr="00A55AC2">
        <w:t xml:space="preserve"> </w:t>
      </w:r>
    </w:p>
    <w:p w:rsidR="00DC4CFA" w:rsidRDefault="00DC4CFA" w:rsidP="00DC4CFA"/>
    <w:p w:rsidR="00DC4CFA" w:rsidRDefault="0008674C" w:rsidP="00DC4CFA">
      <w:pPr>
        <w:keepNext/>
      </w:pPr>
      <w:r>
        <w:fldChar w:fldCharType="begin"/>
      </w:r>
      <w:r>
        <w:instrText xml:space="preserve"> AUTONUM  </w:instrText>
      </w:r>
      <w:r>
        <w:fldChar w:fldCharType="end"/>
      </w:r>
      <w:r>
        <w:tab/>
      </w:r>
      <w:r w:rsidR="00DC4CFA">
        <w:t>The non-normal distribution of notes in most of the methods is explained by the composition of the dataset, which includes two different types of linseed and flax varieties among the candidate varieties.</w:t>
      </w:r>
    </w:p>
    <w:p w:rsidR="00DC4CFA" w:rsidRDefault="00DC4CFA" w:rsidP="00DC4CFA">
      <w:pPr>
        <w:keepNext/>
      </w:pPr>
      <w:r>
        <w:t xml:space="preserve">Despite the diversity between the UPOV member methods, the notes set for the candidate varieties are finally close.  Nevertheless, we can distinguish 3 groups of methods which are significantly different based on the Wilcoxon </w:t>
      </w:r>
      <w:r w:rsidRPr="003D7EDC">
        <w:rPr>
          <w:rFonts w:cs="Courier New"/>
          <w:color w:val="000000"/>
        </w:rPr>
        <w:t>signed rank test</w:t>
      </w:r>
      <w:r>
        <w:t xml:space="preserve"> for paired samples: </w:t>
      </w:r>
    </w:p>
    <w:p w:rsidR="00DC4CFA" w:rsidRDefault="00DC4CFA" w:rsidP="00DC4CFA">
      <w:pPr>
        <w:pStyle w:val="ListParagraph"/>
        <w:keepNext/>
        <w:numPr>
          <w:ilvl w:val="0"/>
          <w:numId w:val="12"/>
        </w:numPr>
        <w:spacing w:line="276" w:lineRule="auto"/>
        <w:contextualSpacing/>
      </w:pPr>
      <w:r w:rsidRPr="007D7ECA">
        <w:t>the two</w:t>
      </w:r>
      <w:r>
        <w:t xml:space="preserve"> French methods and the Japan method. </w:t>
      </w:r>
    </w:p>
    <w:p w:rsidR="00DC4CFA" w:rsidRDefault="00DC4CFA" w:rsidP="00DC4CFA">
      <w:pPr>
        <w:pStyle w:val="ListParagraph"/>
        <w:keepNext/>
        <w:numPr>
          <w:ilvl w:val="0"/>
          <w:numId w:val="12"/>
        </w:numPr>
        <w:spacing w:line="276" w:lineRule="auto"/>
        <w:contextualSpacing/>
      </w:pPr>
      <w:r>
        <w:t>the two UK methods and the German method</w:t>
      </w:r>
    </w:p>
    <w:p w:rsidR="00DC4CFA" w:rsidRPr="007D7ECA" w:rsidRDefault="00DC4CFA" w:rsidP="00DC4CFA">
      <w:pPr>
        <w:pStyle w:val="ListParagraph"/>
        <w:keepNext/>
        <w:numPr>
          <w:ilvl w:val="0"/>
          <w:numId w:val="12"/>
        </w:numPr>
        <w:spacing w:line="276" w:lineRule="auto"/>
        <w:contextualSpacing/>
      </w:pPr>
      <w:r>
        <w:t>the Italian method. On average, a note assigned by the Italian method is lower than with the others methods.</w:t>
      </w:r>
    </w:p>
    <w:p w:rsidR="00DC4CFA" w:rsidRDefault="00DC4CFA" w:rsidP="004A2BBE"/>
    <w:p w:rsidR="00DC4CFA" w:rsidRDefault="00DC4CFA" w:rsidP="004A2BBE"/>
    <w:p w:rsidR="004A2BBE" w:rsidRDefault="004A2BBE" w:rsidP="004A2BBE"/>
    <w:p w:rsidR="00296192" w:rsidRPr="003C7E04" w:rsidRDefault="005A13AB" w:rsidP="004A2BBE">
      <w:pPr>
        <w:rPr>
          <w:rFonts w:ascii="Times New Roman" w:hAnsi="Times New Roman"/>
          <w:sz w:val="28"/>
          <w:szCs w:val="28"/>
          <w:lang w:val="fr-CH"/>
        </w:rPr>
      </w:pPr>
      <w:r w:rsidRPr="003C7E04">
        <w:rPr>
          <w:lang w:val="fr-CH"/>
        </w:rPr>
        <w:t>Anne-Lise Corbel, DUS Manager, GEVES, France</w:t>
      </w:r>
    </w:p>
    <w:p w:rsidR="004A2BBE" w:rsidRPr="003C7E04" w:rsidRDefault="004A2BBE" w:rsidP="004A2BBE">
      <w:pPr>
        <w:rPr>
          <w:lang w:val="fr-CH"/>
        </w:rPr>
      </w:pPr>
    </w:p>
    <w:p w:rsidR="005B7B97" w:rsidRDefault="005B7B97" w:rsidP="005B7B97">
      <w:pPr>
        <w:ind w:left="567" w:hanging="567"/>
        <w:rPr>
          <w:lang w:val="fr-CH"/>
        </w:rPr>
      </w:pPr>
    </w:p>
    <w:p w:rsidR="003C7E04" w:rsidRPr="003C7E04" w:rsidRDefault="003C7E04" w:rsidP="005B7B97">
      <w:pPr>
        <w:ind w:left="567" w:hanging="567"/>
        <w:rPr>
          <w:lang w:val="fr-CH"/>
        </w:rPr>
      </w:pPr>
    </w:p>
    <w:p w:rsidR="005B7B97" w:rsidRPr="003C7E04" w:rsidRDefault="005B7B97" w:rsidP="005B7B97">
      <w:pPr>
        <w:ind w:left="567" w:hanging="567"/>
        <w:rPr>
          <w:lang w:val="fr-CH"/>
        </w:rPr>
      </w:pPr>
    </w:p>
    <w:p w:rsidR="00050E16" w:rsidRPr="00C5280D" w:rsidRDefault="005B7B97" w:rsidP="00571767">
      <w:pPr>
        <w:jc w:val="right"/>
      </w:pPr>
      <w:r w:rsidRPr="002768BF">
        <w:t>[End of document]</w:t>
      </w:r>
    </w:p>
    <w:sectPr w:rsidR="00050E16" w:rsidRPr="00C5280D"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7F6" w:rsidRDefault="00DD17F6" w:rsidP="006655D3">
      <w:r>
        <w:separator/>
      </w:r>
    </w:p>
    <w:p w:rsidR="00DD17F6" w:rsidRDefault="00DD17F6" w:rsidP="006655D3"/>
    <w:p w:rsidR="00DD17F6" w:rsidRDefault="00DD17F6" w:rsidP="006655D3"/>
  </w:endnote>
  <w:endnote w:type="continuationSeparator" w:id="0">
    <w:p w:rsidR="00DD17F6" w:rsidRDefault="00DD17F6" w:rsidP="006655D3">
      <w:r>
        <w:separator/>
      </w:r>
    </w:p>
    <w:p w:rsidR="00DD17F6" w:rsidRPr="00294751" w:rsidRDefault="00DD17F6">
      <w:pPr>
        <w:pStyle w:val="Footer"/>
        <w:spacing w:after="60"/>
        <w:rPr>
          <w:sz w:val="18"/>
          <w:lang w:val="fr-FR"/>
        </w:rPr>
      </w:pPr>
      <w:r w:rsidRPr="00294751">
        <w:rPr>
          <w:sz w:val="18"/>
          <w:lang w:val="fr-FR"/>
        </w:rPr>
        <w:t>[Suite de la note de la page précédente]</w:t>
      </w:r>
    </w:p>
    <w:p w:rsidR="00DD17F6" w:rsidRPr="00294751" w:rsidRDefault="00DD17F6" w:rsidP="006655D3">
      <w:pPr>
        <w:rPr>
          <w:lang w:val="fr-FR"/>
        </w:rPr>
      </w:pPr>
    </w:p>
    <w:p w:rsidR="00DD17F6" w:rsidRPr="00294751" w:rsidRDefault="00DD17F6" w:rsidP="006655D3">
      <w:pPr>
        <w:rPr>
          <w:lang w:val="fr-FR"/>
        </w:rPr>
      </w:pPr>
    </w:p>
  </w:endnote>
  <w:endnote w:type="continuationNotice" w:id="1">
    <w:p w:rsidR="00DD17F6" w:rsidRPr="00294751" w:rsidRDefault="00DD17F6" w:rsidP="006655D3">
      <w:pPr>
        <w:rPr>
          <w:lang w:val="fr-FR"/>
        </w:rPr>
      </w:pPr>
      <w:r w:rsidRPr="00294751">
        <w:rPr>
          <w:lang w:val="fr-FR"/>
        </w:rPr>
        <w:t>[Suite de la note page suivante]</w:t>
      </w:r>
    </w:p>
    <w:p w:rsidR="00DD17F6" w:rsidRPr="00294751" w:rsidRDefault="00DD17F6" w:rsidP="006655D3">
      <w:pPr>
        <w:rPr>
          <w:lang w:val="fr-FR"/>
        </w:rPr>
      </w:pPr>
    </w:p>
    <w:p w:rsidR="00DD17F6" w:rsidRPr="00294751" w:rsidRDefault="00DD17F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7F6" w:rsidRDefault="00DD17F6" w:rsidP="006655D3">
      <w:r>
        <w:separator/>
      </w:r>
    </w:p>
  </w:footnote>
  <w:footnote w:type="continuationSeparator" w:id="0">
    <w:p w:rsidR="00DD17F6" w:rsidRDefault="00DD17F6" w:rsidP="006655D3">
      <w:r>
        <w:separator/>
      </w:r>
    </w:p>
  </w:footnote>
  <w:footnote w:type="continuationNotice" w:id="1">
    <w:p w:rsidR="00DD17F6" w:rsidRPr="00AB530F" w:rsidRDefault="00DD17F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F6" w:rsidRPr="00C5280D" w:rsidRDefault="00DD17F6" w:rsidP="00EB048E">
    <w:pPr>
      <w:pStyle w:val="Header"/>
      <w:rPr>
        <w:rStyle w:val="PageNumber"/>
        <w:lang w:val="en-US"/>
      </w:rPr>
    </w:pPr>
    <w:r>
      <w:rPr>
        <w:rStyle w:val="PageNumber"/>
        <w:lang w:val="en-US"/>
      </w:rPr>
      <w:t>TWC/35/9</w:t>
    </w:r>
  </w:p>
  <w:p w:rsidR="00DD17F6" w:rsidRPr="00C5280D" w:rsidRDefault="00DD17F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92FAF">
      <w:rPr>
        <w:rStyle w:val="PageNumber"/>
        <w:noProof/>
        <w:lang w:val="en-US"/>
      </w:rPr>
      <w:t>6</w:t>
    </w:r>
    <w:r w:rsidRPr="00C5280D">
      <w:rPr>
        <w:rStyle w:val="PageNumber"/>
        <w:lang w:val="en-US"/>
      </w:rPr>
      <w:fldChar w:fldCharType="end"/>
    </w:r>
  </w:p>
  <w:p w:rsidR="00DD17F6" w:rsidRPr="00C5280D" w:rsidRDefault="00DD17F6"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nsid w:val="0D274E3C"/>
    <w:multiLevelType w:val="hybridMultilevel"/>
    <w:tmpl w:val="2FCAC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834A7E"/>
    <w:multiLevelType w:val="hybridMultilevel"/>
    <w:tmpl w:val="E07468F4"/>
    <w:lvl w:ilvl="0" w:tplc="00AAEC1A">
      <w:start w:val="1"/>
      <w:numFmt w:val="bullet"/>
      <w:lvlText w:val="•"/>
      <w:lvlJc w:val="left"/>
      <w:pPr>
        <w:ind w:left="1712" w:hanging="360"/>
      </w:pPr>
      <w:rPr>
        <w:rFonts w:ascii="Arial" w:hAnsi="Arial" w:hint="default"/>
      </w:rPr>
    </w:lvl>
    <w:lvl w:ilvl="1" w:tplc="04090003">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
    <w:nsid w:val="219924FC"/>
    <w:multiLevelType w:val="hybridMultilevel"/>
    <w:tmpl w:val="4328BE50"/>
    <w:lvl w:ilvl="0" w:tplc="00AAEC1A">
      <w:start w:val="1"/>
      <w:numFmt w:val="bullet"/>
      <w:lvlText w:val="•"/>
      <w:lvlJc w:val="left"/>
      <w:pPr>
        <w:ind w:left="1412" w:hanging="420"/>
      </w:pPr>
      <w:rPr>
        <w:rFonts w:ascii="Arial" w:hAnsi="Arial" w:hint="default"/>
        <w:i/>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4">
    <w:nsid w:val="2E565076"/>
    <w:multiLevelType w:val="hybridMultilevel"/>
    <w:tmpl w:val="0B28634A"/>
    <w:lvl w:ilvl="0" w:tplc="00AAEC1A">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5">
    <w:nsid w:val="33737845"/>
    <w:multiLevelType w:val="hybridMultilevel"/>
    <w:tmpl w:val="7108A464"/>
    <w:lvl w:ilvl="0" w:tplc="4BF8C83E">
      <w:start w:val="3"/>
      <w:numFmt w:val="bullet"/>
      <w:lvlText w:val="–"/>
      <w:lvlJc w:val="left"/>
      <w:pPr>
        <w:ind w:left="1412" w:hanging="420"/>
      </w:pPr>
      <w:rPr>
        <w:rFonts w:ascii="Arial" w:eastAsia="Times New Roman" w:hAnsi="Arial" w:cs="Aria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nsid w:val="35775566"/>
    <w:multiLevelType w:val="hybridMultilevel"/>
    <w:tmpl w:val="FF7614BE"/>
    <w:lvl w:ilvl="0" w:tplc="3B58EFDA">
      <w:start w:val="3"/>
      <w:numFmt w:val="bullet"/>
      <w:lvlText w:val="–"/>
      <w:lvlJc w:val="left"/>
      <w:pPr>
        <w:ind w:left="1412" w:hanging="420"/>
      </w:pPr>
      <w:rPr>
        <w:rFonts w:ascii="Arial" w:eastAsia="Times New Roman" w:hAnsi="Arial" w:cs="Arial" w:hint="default"/>
        <w:i/>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7">
    <w:nsid w:val="4AC407F4"/>
    <w:multiLevelType w:val="hybridMultilevel"/>
    <w:tmpl w:val="04B6384A"/>
    <w:lvl w:ilvl="0" w:tplc="6B7E5054">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57784F26"/>
    <w:multiLevelType w:val="hybridMultilevel"/>
    <w:tmpl w:val="3EC67B54"/>
    <w:lvl w:ilvl="0" w:tplc="00AAEC1A">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9">
    <w:nsid w:val="5DF66C8D"/>
    <w:multiLevelType w:val="hybridMultilevel"/>
    <w:tmpl w:val="D7F46A7C"/>
    <w:lvl w:ilvl="0" w:tplc="5EF8EBE8">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2AB7769"/>
    <w:multiLevelType w:val="hybridMultilevel"/>
    <w:tmpl w:val="9A46F13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79BC6F3F"/>
    <w:multiLevelType w:val="hybridMultilevel"/>
    <w:tmpl w:val="45703934"/>
    <w:lvl w:ilvl="0" w:tplc="EE8893E8">
      <w:start w:val="3"/>
      <w:numFmt w:val="bullet"/>
      <w:lvlText w:val="–"/>
      <w:lvlJc w:val="left"/>
      <w:pPr>
        <w:ind w:left="1352" w:hanging="360"/>
      </w:pPr>
      <w:rPr>
        <w:rFonts w:ascii="Arial" w:eastAsia="Times New Roman" w:hAnsi="Arial" w:cs="Arial" w:hint="default"/>
      </w:rPr>
    </w:lvl>
    <w:lvl w:ilvl="1" w:tplc="CB307D98">
      <w:start w:val="3"/>
      <w:numFmt w:val="bullet"/>
      <w:lvlText w:val=""/>
      <w:lvlJc w:val="left"/>
      <w:pPr>
        <w:ind w:left="2072" w:hanging="360"/>
      </w:pPr>
      <w:rPr>
        <w:rFonts w:ascii="Wingdings" w:eastAsia="Times New Roman" w:hAnsi="Wingdings" w:cs="Arial"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0"/>
  </w:num>
  <w:num w:numId="2">
    <w:abstractNumId w:val="10"/>
  </w:num>
  <w:num w:numId="3">
    <w:abstractNumId w:val="7"/>
  </w:num>
  <w:num w:numId="4">
    <w:abstractNumId w:val="2"/>
  </w:num>
  <w:num w:numId="5">
    <w:abstractNumId w:val="11"/>
  </w:num>
  <w:num w:numId="6">
    <w:abstractNumId w:val="4"/>
  </w:num>
  <w:num w:numId="7">
    <w:abstractNumId w:val="6"/>
  </w:num>
  <w:num w:numId="8">
    <w:abstractNumId w:val="3"/>
  </w:num>
  <w:num w:numId="9">
    <w:abstractNumId w:val="8"/>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97"/>
    <w:rsid w:val="00010CF3"/>
    <w:rsid w:val="00011E27"/>
    <w:rsid w:val="000148BC"/>
    <w:rsid w:val="00024AB8"/>
    <w:rsid w:val="000272B4"/>
    <w:rsid w:val="00030854"/>
    <w:rsid w:val="00036028"/>
    <w:rsid w:val="00044642"/>
    <w:rsid w:val="000446B9"/>
    <w:rsid w:val="00047E21"/>
    <w:rsid w:val="00050E16"/>
    <w:rsid w:val="0005428A"/>
    <w:rsid w:val="00057817"/>
    <w:rsid w:val="000669EB"/>
    <w:rsid w:val="00076A8E"/>
    <w:rsid w:val="00083750"/>
    <w:rsid w:val="00085505"/>
    <w:rsid w:val="0008674C"/>
    <w:rsid w:val="0009084B"/>
    <w:rsid w:val="000A21B3"/>
    <w:rsid w:val="000B1032"/>
    <w:rsid w:val="000B7FE9"/>
    <w:rsid w:val="000C4E25"/>
    <w:rsid w:val="000C7021"/>
    <w:rsid w:val="000D6BBC"/>
    <w:rsid w:val="000D7780"/>
    <w:rsid w:val="000E636A"/>
    <w:rsid w:val="000F2F11"/>
    <w:rsid w:val="00105929"/>
    <w:rsid w:val="00110C36"/>
    <w:rsid w:val="001131D5"/>
    <w:rsid w:val="001132F2"/>
    <w:rsid w:val="00131564"/>
    <w:rsid w:val="00141DB8"/>
    <w:rsid w:val="0016010B"/>
    <w:rsid w:val="00172084"/>
    <w:rsid w:val="0017474A"/>
    <w:rsid w:val="001758C6"/>
    <w:rsid w:val="00182B99"/>
    <w:rsid w:val="001A12B5"/>
    <w:rsid w:val="001C31D9"/>
    <w:rsid w:val="001D0B81"/>
    <w:rsid w:val="001D6303"/>
    <w:rsid w:val="002004A1"/>
    <w:rsid w:val="0021042B"/>
    <w:rsid w:val="0021332C"/>
    <w:rsid w:val="00213982"/>
    <w:rsid w:val="0024416D"/>
    <w:rsid w:val="00260EC2"/>
    <w:rsid w:val="002703FF"/>
    <w:rsid w:val="00271911"/>
    <w:rsid w:val="002800A0"/>
    <w:rsid w:val="002801B3"/>
    <w:rsid w:val="00281060"/>
    <w:rsid w:val="002837C2"/>
    <w:rsid w:val="002940E8"/>
    <w:rsid w:val="00294751"/>
    <w:rsid w:val="00296192"/>
    <w:rsid w:val="002966F1"/>
    <w:rsid w:val="002A6E50"/>
    <w:rsid w:val="002B4298"/>
    <w:rsid w:val="002C256A"/>
    <w:rsid w:val="002D75FD"/>
    <w:rsid w:val="002D7C70"/>
    <w:rsid w:val="00305A7F"/>
    <w:rsid w:val="003152FE"/>
    <w:rsid w:val="00320552"/>
    <w:rsid w:val="00326377"/>
    <w:rsid w:val="00327436"/>
    <w:rsid w:val="00335389"/>
    <w:rsid w:val="00344BD6"/>
    <w:rsid w:val="0035528D"/>
    <w:rsid w:val="00361821"/>
    <w:rsid w:val="00361E9E"/>
    <w:rsid w:val="00364CB7"/>
    <w:rsid w:val="003B7E3E"/>
    <w:rsid w:val="003C7E04"/>
    <w:rsid w:val="003C7FBE"/>
    <w:rsid w:val="003D227C"/>
    <w:rsid w:val="003D2B4D"/>
    <w:rsid w:val="003E2248"/>
    <w:rsid w:val="003F0ED7"/>
    <w:rsid w:val="00444A88"/>
    <w:rsid w:val="00456B44"/>
    <w:rsid w:val="00474271"/>
    <w:rsid w:val="00474DA4"/>
    <w:rsid w:val="00476B4D"/>
    <w:rsid w:val="004805FA"/>
    <w:rsid w:val="004935D2"/>
    <w:rsid w:val="0049744F"/>
    <w:rsid w:val="004A2BBE"/>
    <w:rsid w:val="004B1215"/>
    <w:rsid w:val="004C55C5"/>
    <w:rsid w:val="004D047D"/>
    <w:rsid w:val="004D1604"/>
    <w:rsid w:val="004F1E9E"/>
    <w:rsid w:val="004F305A"/>
    <w:rsid w:val="005074E9"/>
    <w:rsid w:val="00512164"/>
    <w:rsid w:val="00520297"/>
    <w:rsid w:val="005338F9"/>
    <w:rsid w:val="0054281C"/>
    <w:rsid w:val="00544581"/>
    <w:rsid w:val="0055268D"/>
    <w:rsid w:val="00553E11"/>
    <w:rsid w:val="00571767"/>
    <w:rsid w:val="0057575B"/>
    <w:rsid w:val="00576BE4"/>
    <w:rsid w:val="00590C75"/>
    <w:rsid w:val="005A13AB"/>
    <w:rsid w:val="005A400A"/>
    <w:rsid w:val="005B4603"/>
    <w:rsid w:val="005B4E39"/>
    <w:rsid w:val="005B7B97"/>
    <w:rsid w:val="005C1A67"/>
    <w:rsid w:val="005F7B92"/>
    <w:rsid w:val="00600D01"/>
    <w:rsid w:val="00610A4C"/>
    <w:rsid w:val="00612379"/>
    <w:rsid w:val="006145DE"/>
    <w:rsid w:val="006153B6"/>
    <w:rsid w:val="0061555F"/>
    <w:rsid w:val="00621302"/>
    <w:rsid w:val="00634FB5"/>
    <w:rsid w:val="00636CA6"/>
    <w:rsid w:val="00641200"/>
    <w:rsid w:val="006455EC"/>
    <w:rsid w:val="006655D3"/>
    <w:rsid w:val="00667404"/>
    <w:rsid w:val="00687EB4"/>
    <w:rsid w:val="00695C56"/>
    <w:rsid w:val="006A5CDE"/>
    <w:rsid w:val="006A644A"/>
    <w:rsid w:val="006B17D2"/>
    <w:rsid w:val="006B79AD"/>
    <w:rsid w:val="006C224E"/>
    <w:rsid w:val="006D780A"/>
    <w:rsid w:val="006E314E"/>
    <w:rsid w:val="0071271E"/>
    <w:rsid w:val="00732A6C"/>
    <w:rsid w:val="00732DEC"/>
    <w:rsid w:val="00735BD5"/>
    <w:rsid w:val="00751613"/>
    <w:rsid w:val="00752A5F"/>
    <w:rsid w:val="007556F6"/>
    <w:rsid w:val="00760EEF"/>
    <w:rsid w:val="00777EE5"/>
    <w:rsid w:val="00784836"/>
    <w:rsid w:val="0079023E"/>
    <w:rsid w:val="00796BAF"/>
    <w:rsid w:val="007A2854"/>
    <w:rsid w:val="007B48C6"/>
    <w:rsid w:val="007C1D92"/>
    <w:rsid w:val="007C4CB9"/>
    <w:rsid w:val="007D0B9D"/>
    <w:rsid w:val="007D19B0"/>
    <w:rsid w:val="007D6195"/>
    <w:rsid w:val="007E1524"/>
    <w:rsid w:val="007F498F"/>
    <w:rsid w:val="00805E12"/>
    <w:rsid w:val="0080679D"/>
    <w:rsid w:val="008108B0"/>
    <w:rsid w:val="00811B20"/>
    <w:rsid w:val="008211B5"/>
    <w:rsid w:val="0082296E"/>
    <w:rsid w:val="00824099"/>
    <w:rsid w:val="00846D7C"/>
    <w:rsid w:val="00860A1D"/>
    <w:rsid w:val="008635F6"/>
    <w:rsid w:val="00867AC1"/>
    <w:rsid w:val="00884D81"/>
    <w:rsid w:val="00890DF8"/>
    <w:rsid w:val="008A743F"/>
    <w:rsid w:val="008C0970"/>
    <w:rsid w:val="008D0BC5"/>
    <w:rsid w:val="008D2CF7"/>
    <w:rsid w:val="00900C26"/>
    <w:rsid w:val="0090197F"/>
    <w:rsid w:val="00906DDC"/>
    <w:rsid w:val="00934E09"/>
    <w:rsid w:val="009359E8"/>
    <w:rsid w:val="00936253"/>
    <w:rsid w:val="00940D46"/>
    <w:rsid w:val="0094520D"/>
    <w:rsid w:val="00952DD4"/>
    <w:rsid w:val="00962F52"/>
    <w:rsid w:val="00965AE7"/>
    <w:rsid w:val="00970FED"/>
    <w:rsid w:val="00973ECE"/>
    <w:rsid w:val="00990A76"/>
    <w:rsid w:val="00992D82"/>
    <w:rsid w:val="00997029"/>
    <w:rsid w:val="009A19EC"/>
    <w:rsid w:val="009A7339"/>
    <w:rsid w:val="009A7D39"/>
    <w:rsid w:val="009B440E"/>
    <w:rsid w:val="009C532F"/>
    <w:rsid w:val="009D690D"/>
    <w:rsid w:val="009E163A"/>
    <w:rsid w:val="009E65B6"/>
    <w:rsid w:val="00A24C10"/>
    <w:rsid w:val="00A24C8E"/>
    <w:rsid w:val="00A276FA"/>
    <w:rsid w:val="00A42AC3"/>
    <w:rsid w:val="00A430CF"/>
    <w:rsid w:val="00A531C0"/>
    <w:rsid w:val="00A54309"/>
    <w:rsid w:val="00A92FAF"/>
    <w:rsid w:val="00AB2B93"/>
    <w:rsid w:val="00AB4EFC"/>
    <w:rsid w:val="00AB530F"/>
    <w:rsid w:val="00AB7E5B"/>
    <w:rsid w:val="00AC2883"/>
    <w:rsid w:val="00AE0EF1"/>
    <w:rsid w:val="00AE2937"/>
    <w:rsid w:val="00B07301"/>
    <w:rsid w:val="00B11F3E"/>
    <w:rsid w:val="00B13C75"/>
    <w:rsid w:val="00B224DE"/>
    <w:rsid w:val="00B324D4"/>
    <w:rsid w:val="00B35DFB"/>
    <w:rsid w:val="00B46575"/>
    <w:rsid w:val="00B560B3"/>
    <w:rsid w:val="00B61777"/>
    <w:rsid w:val="00B84BBD"/>
    <w:rsid w:val="00B85C37"/>
    <w:rsid w:val="00BA1991"/>
    <w:rsid w:val="00BA43FB"/>
    <w:rsid w:val="00BB6198"/>
    <w:rsid w:val="00BC127D"/>
    <w:rsid w:val="00BC1FE6"/>
    <w:rsid w:val="00BC28E5"/>
    <w:rsid w:val="00BD313C"/>
    <w:rsid w:val="00C061B6"/>
    <w:rsid w:val="00C11FBB"/>
    <w:rsid w:val="00C21E23"/>
    <w:rsid w:val="00C2446C"/>
    <w:rsid w:val="00C36AE5"/>
    <w:rsid w:val="00C41F17"/>
    <w:rsid w:val="00C527FA"/>
    <w:rsid w:val="00C5280D"/>
    <w:rsid w:val="00C53EB3"/>
    <w:rsid w:val="00C5791C"/>
    <w:rsid w:val="00C66290"/>
    <w:rsid w:val="00C72B7A"/>
    <w:rsid w:val="00C809CC"/>
    <w:rsid w:val="00C973F2"/>
    <w:rsid w:val="00CA304C"/>
    <w:rsid w:val="00CA774A"/>
    <w:rsid w:val="00CC11B0"/>
    <w:rsid w:val="00CC213B"/>
    <w:rsid w:val="00CC2841"/>
    <w:rsid w:val="00CE7A27"/>
    <w:rsid w:val="00CF1330"/>
    <w:rsid w:val="00CF7E36"/>
    <w:rsid w:val="00D3708D"/>
    <w:rsid w:val="00D40426"/>
    <w:rsid w:val="00D57C96"/>
    <w:rsid w:val="00D57D18"/>
    <w:rsid w:val="00D77976"/>
    <w:rsid w:val="00D91203"/>
    <w:rsid w:val="00D95174"/>
    <w:rsid w:val="00DA1712"/>
    <w:rsid w:val="00DA4499"/>
    <w:rsid w:val="00DA4973"/>
    <w:rsid w:val="00DA6F36"/>
    <w:rsid w:val="00DB596E"/>
    <w:rsid w:val="00DB7773"/>
    <w:rsid w:val="00DC00EA"/>
    <w:rsid w:val="00DC3802"/>
    <w:rsid w:val="00DC4CFA"/>
    <w:rsid w:val="00DD17F6"/>
    <w:rsid w:val="00E06076"/>
    <w:rsid w:val="00E07D87"/>
    <w:rsid w:val="00E1588D"/>
    <w:rsid w:val="00E173F8"/>
    <w:rsid w:val="00E32F7E"/>
    <w:rsid w:val="00E359D3"/>
    <w:rsid w:val="00E3667F"/>
    <w:rsid w:val="00E5071F"/>
    <w:rsid w:val="00E5267B"/>
    <w:rsid w:val="00E70039"/>
    <w:rsid w:val="00E72D49"/>
    <w:rsid w:val="00E7593C"/>
    <w:rsid w:val="00E7678A"/>
    <w:rsid w:val="00E935F1"/>
    <w:rsid w:val="00E94A81"/>
    <w:rsid w:val="00E95BB1"/>
    <w:rsid w:val="00EA1FFB"/>
    <w:rsid w:val="00EB048E"/>
    <w:rsid w:val="00EB4E9C"/>
    <w:rsid w:val="00EC481C"/>
    <w:rsid w:val="00EE1AFA"/>
    <w:rsid w:val="00EE34DF"/>
    <w:rsid w:val="00EE41AF"/>
    <w:rsid w:val="00EF2F89"/>
    <w:rsid w:val="00F03E98"/>
    <w:rsid w:val="00F1237A"/>
    <w:rsid w:val="00F22CBD"/>
    <w:rsid w:val="00F272F1"/>
    <w:rsid w:val="00F45372"/>
    <w:rsid w:val="00F560F7"/>
    <w:rsid w:val="00F6334D"/>
    <w:rsid w:val="00FA48A8"/>
    <w:rsid w:val="00FA49AB"/>
    <w:rsid w:val="00FA5764"/>
    <w:rsid w:val="00FD51E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A2BB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00D0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00D0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indentpara">
    <w:name w:val="indentpara"/>
    <w:basedOn w:val="Normal"/>
    <w:rsid w:val="005B7B97"/>
    <w:pPr>
      <w:numPr>
        <w:numId w:val="1"/>
      </w:numPr>
    </w:pPr>
    <w:rPr>
      <w:rFonts w:ascii="Times New Roman" w:hAnsi="Times New Roman"/>
      <w:sz w:val="24"/>
    </w:rPr>
  </w:style>
  <w:style w:type="paragraph" w:styleId="ListParagraph">
    <w:name w:val="List Paragraph"/>
    <w:basedOn w:val="Normal"/>
    <w:uiPriority w:val="34"/>
    <w:qFormat/>
    <w:rsid w:val="005B7B97"/>
    <w:pPr>
      <w:ind w:left="567"/>
    </w:pPr>
  </w:style>
  <w:style w:type="paragraph" w:customStyle="1" w:styleId="Default">
    <w:name w:val="Default"/>
    <w:rsid w:val="0032055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A2BBE"/>
    <w:rPr>
      <w:rFonts w:ascii="Arial" w:hAnsi="Arial"/>
      <w:caps/>
    </w:rPr>
  </w:style>
  <w:style w:type="table" w:styleId="TableGrid">
    <w:name w:val="Table Grid"/>
    <w:basedOn w:val="TableNormal"/>
    <w:uiPriority w:val="59"/>
    <w:rsid w:val="004A2BBE"/>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A2BBE"/>
    <w:pPr>
      <w:spacing w:after="200"/>
      <w:jc w:val="left"/>
    </w:pPr>
    <w:rPr>
      <w:rFonts w:asciiTheme="minorHAnsi" w:eastAsiaTheme="minorHAnsi" w:hAnsiTheme="minorHAnsi" w:cstheme="minorBidi"/>
      <w:b/>
      <w:bCs/>
      <w:color w:val="4F81BD" w:themeColor="accent1"/>
      <w:sz w:val="18"/>
      <w:szCs w:val="18"/>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A2BB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00D0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00D0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indentpara">
    <w:name w:val="indentpara"/>
    <w:basedOn w:val="Normal"/>
    <w:rsid w:val="005B7B97"/>
    <w:pPr>
      <w:numPr>
        <w:numId w:val="1"/>
      </w:numPr>
    </w:pPr>
    <w:rPr>
      <w:rFonts w:ascii="Times New Roman" w:hAnsi="Times New Roman"/>
      <w:sz w:val="24"/>
    </w:rPr>
  </w:style>
  <w:style w:type="paragraph" w:styleId="ListParagraph">
    <w:name w:val="List Paragraph"/>
    <w:basedOn w:val="Normal"/>
    <w:uiPriority w:val="34"/>
    <w:qFormat/>
    <w:rsid w:val="005B7B97"/>
    <w:pPr>
      <w:ind w:left="567"/>
    </w:pPr>
  </w:style>
  <w:style w:type="paragraph" w:customStyle="1" w:styleId="Default">
    <w:name w:val="Default"/>
    <w:rsid w:val="0032055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A2BBE"/>
    <w:rPr>
      <w:rFonts w:ascii="Arial" w:hAnsi="Arial"/>
      <w:caps/>
    </w:rPr>
  </w:style>
  <w:style w:type="table" w:styleId="TableGrid">
    <w:name w:val="Table Grid"/>
    <w:basedOn w:val="TableNormal"/>
    <w:uiPriority w:val="59"/>
    <w:rsid w:val="004A2BBE"/>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A2BBE"/>
    <w:pPr>
      <w:spacing w:after="200"/>
      <w:jc w:val="left"/>
    </w:pPr>
    <w:rPr>
      <w:rFonts w:asciiTheme="minorHAnsi" w:eastAsiaTheme="minorHAnsi" w:hAnsiTheme="minorHAnsi" w:cstheme="minorBidi"/>
      <w:b/>
      <w:bCs/>
      <w:color w:val="4F81BD" w:themeColor="accent1"/>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POUVFIC\PERMANENTS\corbelal\UPOV\TWC%202015\practical%20exercise\results%20practical%20exercisev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Distribution of notes </a:t>
            </a:r>
            <a:r>
              <a:rPr lang="en-US" sz="1200" baseline="0"/>
              <a:t>by method</a:t>
            </a:r>
            <a:endParaRPr lang="en-US" sz="1200"/>
          </a:p>
        </c:rich>
      </c:tx>
      <c:layout/>
      <c:overlay val="0"/>
    </c:title>
    <c:autoTitleDeleted val="0"/>
    <c:plotArea>
      <c:layout/>
      <c:barChart>
        <c:barDir val="col"/>
        <c:grouping val="clustered"/>
        <c:varyColors val="0"/>
        <c:ser>
          <c:idx val="2"/>
          <c:order val="0"/>
          <c:tx>
            <c:strRef>
              <c:f>distribution!$B$14</c:f>
              <c:strCache>
                <c:ptCount val="1"/>
                <c:pt idx="0">
                  <c:v>France method 1</c:v>
                </c:pt>
              </c:strCache>
            </c:strRef>
          </c:tx>
          <c:invertIfNegative val="0"/>
          <c:val>
            <c:numRef>
              <c:f>distribution!$B$15:$B$23</c:f>
              <c:numCache>
                <c:formatCode>General</c:formatCode>
                <c:ptCount val="9"/>
                <c:pt idx="0">
                  <c:v>3</c:v>
                </c:pt>
                <c:pt idx="1">
                  <c:v>2</c:v>
                </c:pt>
                <c:pt idx="2">
                  <c:v>0</c:v>
                </c:pt>
                <c:pt idx="3">
                  <c:v>1</c:v>
                </c:pt>
                <c:pt idx="4">
                  <c:v>9</c:v>
                </c:pt>
                <c:pt idx="5">
                  <c:v>1</c:v>
                </c:pt>
                <c:pt idx="6">
                  <c:v>2</c:v>
                </c:pt>
                <c:pt idx="7">
                  <c:v>8</c:v>
                </c:pt>
                <c:pt idx="8">
                  <c:v>4</c:v>
                </c:pt>
              </c:numCache>
            </c:numRef>
          </c:val>
          <c:extLst xmlns:c16r2="http://schemas.microsoft.com/office/drawing/2015/06/chart">
            <c:ext xmlns:c16="http://schemas.microsoft.com/office/drawing/2014/chart" uri="{C3380CC4-5D6E-409C-BE32-E72D297353CC}">
              <c16:uniqueId val="{00000000-1BE4-4814-BBC5-73CF641E7D85}"/>
            </c:ext>
          </c:extLst>
        </c:ser>
        <c:ser>
          <c:idx val="3"/>
          <c:order val="1"/>
          <c:tx>
            <c:strRef>
              <c:f>distribution!$C$14</c:f>
              <c:strCache>
                <c:ptCount val="1"/>
                <c:pt idx="0">
                  <c:v>France method 2</c:v>
                </c:pt>
              </c:strCache>
            </c:strRef>
          </c:tx>
          <c:invertIfNegative val="0"/>
          <c:val>
            <c:numRef>
              <c:f>distribution!$C$15:$C$23</c:f>
              <c:numCache>
                <c:formatCode>General</c:formatCode>
                <c:ptCount val="9"/>
                <c:pt idx="0">
                  <c:v>1</c:v>
                </c:pt>
                <c:pt idx="1">
                  <c:v>1</c:v>
                </c:pt>
                <c:pt idx="2">
                  <c:v>0</c:v>
                </c:pt>
                <c:pt idx="3">
                  <c:v>3</c:v>
                </c:pt>
                <c:pt idx="4">
                  <c:v>2</c:v>
                </c:pt>
                <c:pt idx="5">
                  <c:v>1</c:v>
                </c:pt>
                <c:pt idx="6">
                  <c:v>1</c:v>
                </c:pt>
                <c:pt idx="7">
                  <c:v>4</c:v>
                </c:pt>
                <c:pt idx="8">
                  <c:v>0</c:v>
                </c:pt>
              </c:numCache>
            </c:numRef>
          </c:val>
          <c:extLst xmlns:c16r2="http://schemas.microsoft.com/office/drawing/2015/06/chart">
            <c:ext xmlns:c16="http://schemas.microsoft.com/office/drawing/2014/chart" uri="{C3380CC4-5D6E-409C-BE32-E72D297353CC}">
              <c16:uniqueId val="{00000001-1BE4-4814-BBC5-73CF641E7D85}"/>
            </c:ext>
          </c:extLst>
        </c:ser>
        <c:ser>
          <c:idx val="4"/>
          <c:order val="2"/>
          <c:tx>
            <c:strRef>
              <c:f>distribution!$D$14</c:f>
              <c:strCache>
                <c:ptCount val="1"/>
                <c:pt idx="0">
                  <c:v>Italy</c:v>
                </c:pt>
              </c:strCache>
            </c:strRef>
          </c:tx>
          <c:invertIfNegative val="0"/>
          <c:val>
            <c:numRef>
              <c:f>distribution!$D$15:$D$23</c:f>
              <c:numCache>
                <c:formatCode>General</c:formatCode>
                <c:ptCount val="9"/>
                <c:pt idx="0">
                  <c:v>4</c:v>
                </c:pt>
                <c:pt idx="1">
                  <c:v>4</c:v>
                </c:pt>
                <c:pt idx="2">
                  <c:v>7</c:v>
                </c:pt>
                <c:pt idx="3">
                  <c:v>0</c:v>
                </c:pt>
                <c:pt idx="4">
                  <c:v>3</c:v>
                </c:pt>
                <c:pt idx="5">
                  <c:v>5</c:v>
                </c:pt>
                <c:pt idx="6">
                  <c:v>5</c:v>
                </c:pt>
                <c:pt idx="7">
                  <c:v>2</c:v>
                </c:pt>
                <c:pt idx="8">
                  <c:v>0</c:v>
                </c:pt>
              </c:numCache>
            </c:numRef>
          </c:val>
          <c:extLst xmlns:c16r2="http://schemas.microsoft.com/office/drawing/2015/06/chart">
            <c:ext xmlns:c16="http://schemas.microsoft.com/office/drawing/2014/chart" uri="{C3380CC4-5D6E-409C-BE32-E72D297353CC}">
              <c16:uniqueId val="{00000002-1BE4-4814-BBC5-73CF641E7D85}"/>
            </c:ext>
          </c:extLst>
        </c:ser>
        <c:ser>
          <c:idx val="5"/>
          <c:order val="3"/>
          <c:tx>
            <c:strRef>
              <c:f>distribution!$E$14</c:f>
              <c:strCache>
                <c:ptCount val="1"/>
                <c:pt idx="0">
                  <c:v>Germany 2011</c:v>
                </c:pt>
              </c:strCache>
            </c:strRef>
          </c:tx>
          <c:invertIfNegative val="0"/>
          <c:val>
            <c:numRef>
              <c:f>distribution!$E$15:$E$23</c:f>
              <c:numCache>
                <c:formatCode>General</c:formatCode>
                <c:ptCount val="9"/>
                <c:pt idx="0">
                  <c:v>2</c:v>
                </c:pt>
                <c:pt idx="1">
                  <c:v>0</c:v>
                </c:pt>
                <c:pt idx="2">
                  <c:v>2</c:v>
                </c:pt>
                <c:pt idx="3">
                  <c:v>1</c:v>
                </c:pt>
                <c:pt idx="4">
                  <c:v>1</c:v>
                </c:pt>
                <c:pt idx="5">
                  <c:v>1</c:v>
                </c:pt>
                <c:pt idx="6">
                  <c:v>2</c:v>
                </c:pt>
                <c:pt idx="7">
                  <c:v>3</c:v>
                </c:pt>
                <c:pt idx="8">
                  <c:v>0</c:v>
                </c:pt>
              </c:numCache>
            </c:numRef>
          </c:val>
          <c:extLst xmlns:c16r2="http://schemas.microsoft.com/office/drawing/2015/06/chart">
            <c:ext xmlns:c16="http://schemas.microsoft.com/office/drawing/2014/chart" uri="{C3380CC4-5D6E-409C-BE32-E72D297353CC}">
              <c16:uniqueId val="{00000003-1BE4-4814-BBC5-73CF641E7D85}"/>
            </c:ext>
          </c:extLst>
        </c:ser>
        <c:ser>
          <c:idx val="6"/>
          <c:order val="4"/>
          <c:tx>
            <c:strRef>
              <c:f>distribution!$F$14</c:f>
              <c:strCache>
                <c:ptCount val="1"/>
                <c:pt idx="0">
                  <c:v>Germany 2012</c:v>
                </c:pt>
              </c:strCache>
            </c:strRef>
          </c:tx>
          <c:invertIfNegative val="0"/>
          <c:val>
            <c:numRef>
              <c:f>distribution!$F$15:$F$23</c:f>
              <c:numCache>
                <c:formatCode>General</c:formatCode>
                <c:ptCount val="9"/>
                <c:pt idx="0">
                  <c:v>1</c:v>
                </c:pt>
                <c:pt idx="1">
                  <c:v>4</c:v>
                </c:pt>
                <c:pt idx="2">
                  <c:v>1</c:v>
                </c:pt>
                <c:pt idx="3">
                  <c:v>9</c:v>
                </c:pt>
                <c:pt idx="4">
                  <c:v>0</c:v>
                </c:pt>
                <c:pt idx="5">
                  <c:v>2</c:v>
                </c:pt>
                <c:pt idx="6">
                  <c:v>8</c:v>
                </c:pt>
                <c:pt idx="7">
                  <c:v>4</c:v>
                </c:pt>
                <c:pt idx="8">
                  <c:v>2</c:v>
                </c:pt>
              </c:numCache>
            </c:numRef>
          </c:val>
          <c:extLst xmlns:c16r2="http://schemas.microsoft.com/office/drawing/2015/06/chart">
            <c:ext xmlns:c16="http://schemas.microsoft.com/office/drawing/2014/chart" uri="{C3380CC4-5D6E-409C-BE32-E72D297353CC}">
              <c16:uniqueId val="{00000004-1BE4-4814-BBC5-73CF641E7D85}"/>
            </c:ext>
          </c:extLst>
        </c:ser>
        <c:ser>
          <c:idx val="0"/>
          <c:order val="5"/>
          <c:tx>
            <c:strRef>
              <c:f>distribution!$G$14</c:f>
              <c:strCache>
                <c:ptCount val="1"/>
                <c:pt idx="0">
                  <c:v>Japan 2012</c:v>
                </c:pt>
              </c:strCache>
            </c:strRef>
          </c:tx>
          <c:invertIfNegative val="0"/>
          <c:val>
            <c:numRef>
              <c:f>distribution!$G$15:$G$23</c:f>
              <c:numCache>
                <c:formatCode>General</c:formatCode>
                <c:ptCount val="9"/>
                <c:pt idx="0">
                  <c:v>0</c:v>
                </c:pt>
                <c:pt idx="1">
                  <c:v>1</c:v>
                </c:pt>
                <c:pt idx="2">
                  <c:v>3</c:v>
                </c:pt>
                <c:pt idx="3">
                  <c:v>5</c:v>
                </c:pt>
                <c:pt idx="4">
                  <c:v>6</c:v>
                </c:pt>
                <c:pt idx="5">
                  <c:v>0</c:v>
                </c:pt>
                <c:pt idx="6">
                  <c:v>5</c:v>
                </c:pt>
                <c:pt idx="7">
                  <c:v>8</c:v>
                </c:pt>
                <c:pt idx="8">
                  <c:v>3</c:v>
                </c:pt>
              </c:numCache>
            </c:numRef>
          </c:val>
          <c:extLst xmlns:c16r2="http://schemas.microsoft.com/office/drawing/2015/06/chart">
            <c:ext xmlns:c16="http://schemas.microsoft.com/office/drawing/2014/chart" uri="{C3380CC4-5D6E-409C-BE32-E72D297353CC}">
              <c16:uniqueId val="{00000005-1BE4-4814-BBC5-73CF641E7D85}"/>
            </c:ext>
          </c:extLst>
        </c:ser>
        <c:ser>
          <c:idx val="7"/>
          <c:order val="6"/>
          <c:tx>
            <c:strRef>
              <c:f>distribution!$H$14</c:f>
              <c:strCache>
                <c:ptCount val="1"/>
                <c:pt idx="0">
                  <c:v>UK method 1</c:v>
                </c:pt>
              </c:strCache>
            </c:strRef>
          </c:tx>
          <c:invertIfNegative val="0"/>
          <c:val>
            <c:numRef>
              <c:f>distribution!$H$15:$H$23</c:f>
              <c:numCache>
                <c:formatCode>General</c:formatCode>
                <c:ptCount val="9"/>
                <c:pt idx="0">
                  <c:v>3</c:v>
                </c:pt>
                <c:pt idx="1">
                  <c:v>2</c:v>
                </c:pt>
                <c:pt idx="2">
                  <c:v>7</c:v>
                </c:pt>
                <c:pt idx="3">
                  <c:v>3</c:v>
                </c:pt>
                <c:pt idx="4">
                  <c:v>0</c:v>
                </c:pt>
                <c:pt idx="5">
                  <c:v>1</c:v>
                </c:pt>
                <c:pt idx="6">
                  <c:v>7</c:v>
                </c:pt>
                <c:pt idx="7">
                  <c:v>5</c:v>
                </c:pt>
                <c:pt idx="8">
                  <c:v>3</c:v>
                </c:pt>
              </c:numCache>
            </c:numRef>
          </c:val>
          <c:extLst xmlns:c16r2="http://schemas.microsoft.com/office/drawing/2015/06/chart">
            <c:ext xmlns:c16="http://schemas.microsoft.com/office/drawing/2014/chart" uri="{C3380CC4-5D6E-409C-BE32-E72D297353CC}">
              <c16:uniqueId val="{00000006-1BE4-4814-BBC5-73CF641E7D85}"/>
            </c:ext>
          </c:extLst>
        </c:ser>
        <c:ser>
          <c:idx val="8"/>
          <c:order val="7"/>
          <c:tx>
            <c:strRef>
              <c:f>distribution!$I$14</c:f>
              <c:strCache>
                <c:ptCount val="1"/>
                <c:pt idx="0">
                  <c:v>UK method  2</c:v>
                </c:pt>
              </c:strCache>
            </c:strRef>
          </c:tx>
          <c:invertIfNegative val="0"/>
          <c:val>
            <c:numRef>
              <c:f>distribution!$I$15:$I$23</c:f>
              <c:numCache>
                <c:formatCode>General</c:formatCode>
                <c:ptCount val="9"/>
                <c:pt idx="0">
                  <c:v>3</c:v>
                </c:pt>
                <c:pt idx="1">
                  <c:v>2</c:v>
                </c:pt>
                <c:pt idx="2">
                  <c:v>5</c:v>
                </c:pt>
                <c:pt idx="3">
                  <c:v>5</c:v>
                </c:pt>
                <c:pt idx="4">
                  <c:v>1</c:v>
                </c:pt>
                <c:pt idx="5">
                  <c:v>1</c:v>
                </c:pt>
                <c:pt idx="6">
                  <c:v>5</c:v>
                </c:pt>
                <c:pt idx="7">
                  <c:v>6</c:v>
                </c:pt>
                <c:pt idx="8">
                  <c:v>3</c:v>
                </c:pt>
              </c:numCache>
            </c:numRef>
          </c:val>
          <c:extLst xmlns:c16r2="http://schemas.microsoft.com/office/drawing/2015/06/chart">
            <c:ext xmlns:c16="http://schemas.microsoft.com/office/drawing/2014/chart" uri="{C3380CC4-5D6E-409C-BE32-E72D297353CC}">
              <c16:uniqueId val="{00000007-1BE4-4814-BBC5-73CF641E7D85}"/>
            </c:ext>
          </c:extLst>
        </c:ser>
        <c:dLbls>
          <c:showLegendKey val="0"/>
          <c:showVal val="0"/>
          <c:showCatName val="0"/>
          <c:showSerName val="0"/>
          <c:showPercent val="0"/>
          <c:showBubbleSize val="0"/>
        </c:dLbls>
        <c:gapWidth val="150"/>
        <c:axId val="160861568"/>
        <c:axId val="167925248"/>
      </c:barChart>
      <c:catAx>
        <c:axId val="160861568"/>
        <c:scaling>
          <c:orientation val="minMax"/>
        </c:scaling>
        <c:delete val="0"/>
        <c:axPos val="b"/>
        <c:title>
          <c:tx>
            <c:rich>
              <a:bodyPr/>
              <a:lstStyle/>
              <a:p>
                <a:pPr>
                  <a:defRPr/>
                </a:pPr>
                <a:r>
                  <a:rPr lang="en-US"/>
                  <a:t>Notes</a:t>
                </a:r>
              </a:p>
            </c:rich>
          </c:tx>
          <c:layout/>
          <c:overlay val="0"/>
        </c:title>
        <c:numFmt formatCode="General" sourceLinked="1"/>
        <c:majorTickMark val="out"/>
        <c:minorTickMark val="none"/>
        <c:tickLblPos val="nextTo"/>
        <c:crossAx val="167925248"/>
        <c:crosses val="autoZero"/>
        <c:auto val="1"/>
        <c:lblAlgn val="ctr"/>
        <c:lblOffset val="100"/>
        <c:noMultiLvlLbl val="0"/>
      </c:catAx>
      <c:valAx>
        <c:axId val="167925248"/>
        <c:scaling>
          <c:orientation val="minMax"/>
        </c:scaling>
        <c:delete val="0"/>
        <c:axPos val="l"/>
        <c:majorGridlines/>
        <c:title>
          <c:tx>
            <c:rich>
              <a:bodyPr rot="-5400000" vert="horz"/>
              <a:lstStyle/>
              <a:p>
                <a:pPr>
                  <a:defRPr/>
                </a:pPr>
                <a:r>
                  <a:rPr lang="en-US"/>
                  <a:t>Number of candidate varieties</a:t>
                </a:r>
              </a:p>
            </c:rich>
          </c:tx>
          <c:layout/>
          <c:overlay val="0"/>
        </c:title>
        <c:numFmt formatCode="General" sourceLinked="1"/>
        <c:majorTickMark val="out"/>
        <c:minorTickMark val="none"/>
        <c:tickLblPos val="nextTo"/>
        <c:crossAx val="16086156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1886</Words>
  <Characters>8705</Characters>
  <Application>Microsoft Office Word</Application>
  <DocSecurity>0</DocSecurity>
  <Lines>72</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TWC/35</vt:lpstr>
      <vt:lpstr>TWC/35</vt:lpstr>
    </vt:vector>
  </TitlesOfParts>
  <Company>UPOV</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TWC/35</dc:title>
  <dc:creator>MOTOMURA Tomochika</dc:creator>
  <cp:lastModifiedBy>BESSE Ariane</cp:lastModifiedBy>
  <cp:revision>9</cp:revision>
  <cp:lastPrinted>2017-11-10T15:15:00Z</cp:lastPrinted>
  <dcterms:created xsi:type="dcterms:W3CDTF">2017-11-08T13:05:00Z</dcterms:created>
  <dcterms:modified xsi:type="dcterms:W3CDTF">2017-11-10T15:15:00Z</dcterms:modified>
</cp:coreProperties>
</file>