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2966F1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C21E5B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1042B" w:rsidRPr="00C21E5B">
              <w:rPr>
                <w:b w:val="0"/>
                <w:spacing w:val="0"/>
              </w:rPr>
              <w:t xml:space="preserve">October </w:t>
            </w:r>
            <w:r w:rsidR="00C21E5B">
              <w:rPr>
                <w:b w:val="0"/>
                <w:spacing w:val="0"/>
              </w:rPr>
              <w:t>23</w:t>
            </w:r>
            <w:r w:rsidRPr="00796BAF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2966F1" w:rsidP="006A644A">
      <w:pPr>
        <w:pStyle w:val="Titleofdoc0"/>
      </w:pPr>
      <w:bookmarkStart w:id="0" w:name="TitleOfDoc"/>
      <w:bookmarkEnd w:id="0"/>
      <w:r w:rsidRPr="000A6493">
        <w:t>Characteristics, Genotype by Environment Interaction (GEI) and DUS trials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2966F1">
        <w:t>experts from Italy and Finland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320552" w:rsidRDefault="00320552" w:rsidP="00320552">
      <w:pPr>
        <w:pStyle w:val="Default"/>
      </w:pPr>
    </w:p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>
        <w:t>G</w:t>
      </w:r>
      <w:r w:rsidR="004A2BBE" w:rsidRPr="00250DA7">
        <w:t xml:space="preserve">enotype by environment interaction </w:t>
      </w:r>
      <w:r w:rsidR="004A2BBE" w:rsidRPr="003907A0">
        <w:t>takes place when different genotypes respond in a different way to different environments</w:t>
      </w:r>
      <w:r w:rsidR="004A2BBE">
        <w:t xml:space="preserve"> and it produces a p</w:t>
      </w:r>
      <w:r w:rsidR="004A2BBE" w:rsidRPr="00BD0D1D">
        <w:t>henotype</w:t>
      </w:r>
      <w:r w:rsidR="004A2BBE">
        <w:t xml:space="preserve"> </w:t>
      </w:r>
      <w:r w:rsidR="004A2BBE" w:rsidRPr="00BD0D1D">
        <w:t>variation</w:t>
      </w:r>
      <w:r w:rsidR="004A2BBE">
        <w:t xml:space="preserve"> </w:t>
      </w:r>
      <w:r w:rsidR="004A2BBE" w:rsidRPr="00BD0D1D">
        <w:t>(e.g.</w:t>
      </w:r>
      <w:r w:rsidR="004A2BBE">
        <w:t xml:space="preserve"> </w:t>
      </w:r>
      <w:r w:rsidR="004A2BBE" w:rsidRPr="00BD0D1D">
        <w:t>year</w:t>
      </w:r>
      <w:r w:rsidR="004A2BBE">
        <w:t xml:space="preserve"> </w:t>
      </w:r>
      <w:r w:rsidR="004A2BBE" w:rsidRPr="00BD0D1D">
        <w:t>and</w:t>
      </w:r>
      <w:r w:rsidR="004A2BBE">
        <w:t xml:space="preserve"> </w:t>
      </w:r>
      <w:r w:rsidR="004A2BBE" w:rsidRPr="00BD0D1D">
        <w:t>location).</w:t>
      </w:r>
      <w:r w:rsidR="004A2BBE">
        <w:t xml:space="preserve"> </w:t>
      </w:r>
      <w:r w:rsidR="004A2BBE" w:rsidRPr="006A46B9">
        <w:t>Many studies have shown that plant species may produce a broad range of phenotypes in response to th</w:t>
      </w:r>
      <w:r w:rsidR="004A2BBE">
        <w:t xml:space="preserve">e variation of the environment. </w:t>
      </w:r>
      <w:r w:rsidR="004A2BBE" w:rsidRPr="002962C6">
        <w:t xml:space="preserve">See Figure 1. </w:t>
      </w:r>
      <w:r w:rsidR="004A2BBE" w:rsidRPr="00291776">
        <w:t xml:space="preserve">The ability of a single genotype to produce multiple phenotypes in response to the </w:t>
      </w:r>
      <w:r w:rsidR="004A2BBE" w:rsidRPr="002962C6">
        <w:t>environment is called «phenotypic plasticity». When instead a genotype tends to maintain constant characteristics through environments its ability is called «phenotypic stability». The characteristics that are most influenced by the environment are QN and PQ</w:t>
      </w:r>
      <w:r w:rsidR="004A2BBE" w:rsidRPr="004D080E">
        <w:t>.</w:t>
      </w:r>
    </w:p>
    <w:p w:rsidR="004A2BBE" w:rsidRDefault="004A2BBE" w:rsidP="004A2BBE"/>
    <w:p w:rsidR="004A2BBE" w:rsidRDefault="004A2BBE" w:rsidP="004A2BBE"/>
    <w:p w:rsidR="004A2BBE" w:rsidRDefault="004A2BBE" w:rsidP="004A2BBE">
      <w:pPr>
        <w:keepNext/>
      </w:pPr>
      <w:r>
        <w:rPr>
          <w:noProof/>
          <w:lang w:val="es-ES_tradnl" w:eastAsia="es-ES_tradnl"/>
        </w:rPr>
        <w:drawing>
          <wp:inline distT="0" distB="0" distL="0" distR="0" wp14:anchorId="21A68E93" wp14:editId="0DB86304">
            <wp:extent cx="4514913" cy="1631290"/>
            <wp:effectExtent l="0" t="0" r="0" b="762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62" cy="163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BE" w:rsidRPr="00057817" w:rsidRDefault="004A2BBE" w:rsidP="004A2BBE">
      <w:pPr>
        <w:pStyle w:val="Caption"/>
        <w:rPr>
          <w:rFonts w:ascii="Arial" w:hAnsi="Arial" w:cs="Arial"/>
          <w:b w:val="0"/>
          <w:color w:val="auto"/>
          <w:sz w:val="16"/>
          <w:szCs w:val="16"/>
          <w:lang w:val="en-US"/>
        </w:rPr>
      </w:pPr>
      <w:r w:rsidRPr="00057817">
        <w:rPr>
          <w:rFonts w:ascii="Arial" w:hAnsi="Arial" w:cs="Arial"/>
          <w:b w:val="0"/>
          <w:color w:val="auto"/>
          <w:sz w:val="16"/>
          <w:szCs w:val="16"/>
          <w:lang w:val="en-US"/>
        </w:rPr>
        <w:t xml:space="preserve">Figure </w:t>
      </w:r>
      <w:r w:rsidRPr="00057817">
        <w:rPr>
          <w:rFonts w:ascii="Arial" w:hAnsi="Arial" w:cs="Arial"/>
          <w:b w:val="0"/>
          <w:color w:val="auto"/>
          <w:sz w:val="16"/>
          <w:szCs w:val="16"/>
        </w:rPr>
        <w:fldChar w:fldCharType="begin"/>
      </w:r>
      <w:r w:rsidRPr="00057817">
        <w:rPr>
          <w:rFonts w:ascii="Arial" w:hAnsi="Arial" w:cs="Arial"/>
          <w:b w:val="0"/>
          <w:color w:val="auto"/>
          <w:sz w:val="16"/>
          <w:szCs w:val="16"/>
          <w:lang w:val="en-US"/>
        </w:rPr>
        <w:instrText xml:space="preserve"> SEQ Figura \* ARABIC </w:instrText>
      </w:r>
      <w:r w:rsidRPr="00057817">
        <w:rPr>
          <w:rFonts w:ascii="Arial" w:hAnsi="Arial" w:cs="Arial"/>
          <w:b w:val="0"/>
          <w:color w:val="auto"/>
          <w:sz w:val="16"/>
          <w:szCs w:val="16"/>
        </w:rPr>
        <w:fldChar w:fldCharType="separate"/>
      </w:r>
      <w:r w:rsidR="00B85C37">
        <w:rPr>
          <w:rFonts w:ascii="Arial" w:hAnsi="Arial" w:cs="Arial"/>
          <w:b w:val="0"/>
          <w:noProof/>
          <w:color w:val="auto"/>
          <w:sz w:val="16"/>
          <w:szCs w:val="16"/>
          <w:lang w:val="en-US"/>
        </w:rPr>
        <w:t>1</w:t>
      </w:r>
      <w:r w:rsidRPr="00057817">
        <w:rPr>
          <w:rFonts w:ascii="Arial" w:hAnsi="Arial" w:cs="Arial"/>
          <w:b w:val="0"/>
          <w:color w:val="auto"/>
          <w:sz w:val="16"/>
          <w:szCs w:val="16"/>
        </w:rPr>
        <w:fldChar w:fldCharType="end"/>
      </w:r>
      <w:r w:rsidRPr="00057817">
        <w:rPr>
          <w:rFonts w:ascii="Arial" w:hAnsi="Arial" w:cs="Arial"/>
          <w:b w:val="0"/>
          <w:color w:val="auto"/>
          <w:sz w:val="16"/>
          <w:szCs w:val="16"/>
          <w:lang w:val="en-US"/>
        </w:rPr>
        <w:t xml:space="preserve">  Graphic view of main GEI cases (Environments E1 and E2)</w:t>
      </w:r>
    </w:p>
    <w:p w:rsidR="004A2BBE" w:rsidRPr="004D080E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 w:rsidRPr="00291776">
        <w:t>Observations and trials data are based on phenotypes and may change over years because of GEI.</w:t>
      </w:r>
      <w:r w:rsidR="004A2BBE">
        <w:t xml:space="preserve"> </w:t>
      </w:r>
      <w:r w:rsidR="004A2BBE" w:rsidRPr="003907A0">
        <w:t>To limit the enviro</w:t>
      </w:r>
      <w:r w:rsidR="004A2BBE">
        <w:t>n</w:t>
      </w:r>
      <w:r w:rsidR="004A2BBE" w:rsidRPr="003907A0">
        <w:t>mental influence and, consequently, the number of the possible phenotypes, the use of one permanent location for DUS trials as «reference location» is recommended</w:t>
      </w:r>
      <w:r w:rsidR="004A2BBE" w:rsidRPr="004D080E">
        <w:t>.</w:t>
      </w:r>
    </w:p>
    <w:p w:rsidR="004A2BBE" w:rsidRDefault="004A2BBE" w:rsidP="004A2BBE"/>
    <w:p w:rsidR="004A2BBE" w:rsidRDefault="004A2BBE" w:rsidP="004A2BBE">
      <w:pPr>
        <w:pStyle w:val="Heading1"/>
      </w:pPr>
    </w:p>
    <w:p w:rsidR="004A2BBE" w:rsidRDefault="004A2BBE" w:rsidP="004A2BBE">
      <w:pPr>
        <w:pStyle w:val="Heading1"/>
      </w:pPr>
      <w:r w:rsidRPr="004A2BBE">
        <w:t>Example varieties and Delineating reference varieties</w:t>
      </w:r>
    </w:p>
    <w:p w:rsidR="004A2BBE" w:rsidRPr="004D080E" w:rsidRDefault="004A2BBE" w:rsidP="004A2BBE"/>
    <w:p w:rsidR="004A2BB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 w:rsidRPr="00BE1418">
        <w:rPr>
          <w:i/>
        </w:rPr>
        <w:t>Example varieties</w:t>
      </w:r>
      <w:r w:rsidR="004A2BBE" w:rsidRPr="003907A0">
        <w:t xml:space="preserve"> and </w:t>
      </w:r>
      <w:r w:rsidR="004A2BBE" w:rsidRPr="00BE1418">
        <w:rPr>
          <w:i/>
        </w:rPr>
        <w:t>Delineating reference varieties</w:t>
      </w:r>
      <w:r w:rsidR="004A2BBE" w:rsidRPr="003907A0">
        <w:t xml:space="preserve"> are state references that are used as comparisons of varietal descriptions. Their use </w:t>
      </w:r>
      <w:r w:rsidR="004A2BBE">
        <w:t xml:space="preserve">must </w:t>
      </w:r>
      <w:r w:rsidR="004A2BBE" w:rsidRPr="003907A0">
        <w:t xml:space="preserve">be appropriate </w:t>
      </w:r>
      <w:r w:rsidR="004A2BBE">
        <w:t xml:space="preserve">and </w:t>
      </w:r>
      <w:r w:rsidR="004A2BBE" w:rsidRPr="003907A0">
        <w:t>carefully</w:t>
      </w:r>
      <w:r w:rsidR="004A2BBE">
        <w:t xml:space="preserve"> evaluated</w:t>
      </w:r>
      <w:r w:rsidR="004A2BBE" w:rsidRPr="003907A0">
        <w:t xml:space="preserve"> because changes of rank over years are possible when characteristics are influenced by the enviro</w:t>
      </w:r>
      <w:r w:rsidR="004A2BBE">
        <w:t>n</w:t>
      </w:r>
      <w:r w:rsidR="004A2BBE" w:rsidRPr="003907A0">
        <w:t>ment.</w:t>
      </w:r>
      <w:r w:rsidR="004A2BBE">
        <w:t xml:space="preserve"> </w:t>
      </w:r>
      <w:r w:rsidR="004A2BBE" w:rsidRPr="003907A0">
        <w:t>Example varieties and Delineating reference varieties should be as stable as possible.</w:t>
      </w:r>
      <w:r w:rsidR="004A2BBE">
        <w:t xml:space="preserve"> </w:t>
      </w:r>
      <w:r w:rsidR="004A2BBE" w:rsidRPr="003907A0">
        <w:t xml:space="preserve">An estimator of varietal stability over years for QN characteristics is the coefficient of variation (CV). It is defined as the ratio of the standard deviation to the </w:t>
      </w:r>
      <w:proofErr w:type="gramStart"/>
      <w:r w:rsidR="004A2BBE" w:rsidRPr="003907A0">
        <w:t>mean  and</w:t>
      </w:r>
      <w:proofErr w:type="gramEnd"/>
      <w:r w:rsidR="004A2BBE" w:rsidRPr="003907A0">
        <w:t xml:space="preserve"> it can also be expressed as a percentage</w:t>
      </w:r>
      <w:r w:rsidR="004A2BBE">
        <w:t>:</w:t>
      </w:r>
    </w:p>
    <w:p w:rsidR="004A2BBE" w:rsidRPr="00057817" w:rsidRDefault="004A2BBE" w:rsidP="004A2BBE">
      <w:pPr>
        <w:rPr>
          <w:rFonts w:cs="Arial"/>
        </w:rPr>
      </w:pPr>
      <w:r w:rsidRPr="00057817">
        <w:rPr>
          <w:rFonts w:ascii="Cambria Math" w:hAnsi="Cambria Math" w:cs="Cambria Math"/>
        </w:rPr>
        <w:t>𝑪𝑽</w:t>
      </w:r>
      <w:r w:rsidRPr="00057817">
        <w:rPr>
          <w:rFonts w:cs="Arial"/>
        </w:rPr>
        <w:t>=(</w:t>
      </w:r>
      <w:r w:rsidRPr="00057817">
        <w:rPr>
          <w:rFonts w:ascii="Cambria Math" w:hAnsi="Cambria Math" w:cs="Cambria Math"/>
        </w:rPr>
        <w:t>𝑺𝑫</w:t>
      </w:r>
      <w:r w:rsidRPr="00057817">
        <w:rPr>
          <w:rFonts w:cs="Arial"/>
        </w:rPr>
        <w:t xml:space="preserve">/ </w:t>
      </w:r>
      <w:r w:rsidRPr="00057817">
        <w:rPr>
          <w:rFonts w:ascii="Cambria Math" w:hAnsi="Cambria Math" w:cs="Cambria Math"/>
        </w:rPr>
        <w:t>𝑴𝒆𝒂𝒏</w:t>
      </w:r>
      <w:r w:rsidRPr="00057817">
        <w:rPr>
          <w:rFonts w:cs="Arial"/>
        </w:rPr>
        <w:t xml:space="preserve">) </w:t>
      </w:r>
      <w:r w:rsidRPr="00057817">
        <w:rPr>
          <w:rFonts w:ascii="Cambria Math" w:hAnsi="Cambria Math" w:cs="Cambria Math"/>
        </w:rPr>
        <w:t>∗</w:t>
      </w:r>
      <w:r w:rsidRPr="00057817">
        <w:rPr>
          <w:rFonts w:cs="Arial"/>
        </w:rPr>
        <w:t xml:space="preserve"> </w:t>
      </w:r>
      <w:r w:rsidRPr="00057817">
        <w:rPr>
          <w:rFonts w:ascii="Cambria Math" w:hAnsi="Cambria Math" w:cs="Cambria Math"/>
        </w:rPr>
        <w:t>𝟏𝟎𝟎</w:t>
      </w:r>
      <w:r w:rsidRPr="00057817">
        <w:rPr>
          <w:rFonts w:cs="Arial"/>
        </w:rPr>
        <w:t xml:space="preserve">  </w:t>
      </w:r>
    </w:p>
    <w:p w:rsidR="004A2BBE" w:rsidRDefault="004A2BBE" w:rsidP="004A2BBE"/>
    <w:p w:rsidR="004A2BBE" w:rsidRDefault="004A2BBE" w:rsidP="004A2BBE">
      <w:pPr>
        <w:pStyle w:val="Heading1"/>
      </w:pPr>
    </w:p>
    <w:p w:rsidR="004A2BBE" w:rsidRPr="004A2BBE" w:rsidRDefault="004A2BBE" w:rsidP="004A2BBE">
      <w:pPr>
        <w:pStyle w:val="Heading1"/>
      </w:pPr>
      <w:r w:rsidRPr="004A2BBE">
        <w:t>Use of regional sets of Example varieties</w:t>
      </w:r>
    </w:p>
    <w:p w:rsidR="004A2BBE" w:rsidRPr="004D080E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 w:rsidRPr="003907A0">
        <w:t>Databases can be increased by adding new data from candidate</w:t>
      </w:r>
      <w:r w:rsidR="004A2B8C">
        <w:t xml:space="preserve"> and </w:t>
      </w:r>
      <w:r w:rsidR="004A2BBE" w:rsidRPr="003907A0">
        <w:t xml:space="preserve">reference varieties. Databases </w:t>
      </w:r>
      <w:r w:rsidR="004A2BBE">
        <w:t>should</w:t>
      </w:r>
      <w:r w:rsidR="004A2BBE" w:rsidRPr="003907A0">
        <w:t xml:space="preserve"> include data of varieties grown and/or tested in a reference location where DUS test takes place.</w:t>
      </w:r>
      <w:r w:rsidR="004A2BBE">
        <w:t xml:space="preserve"> </w:t>
      </w:r>
      <w:r w:rsidR="004A2BBE" w:rsidRPr="003907A0">
        <w:t xml:space="preserve">The </w:t>
      </w:r>
      <w:r w:rsidR="004A2BBE" w:rsidRPr="003907A0">
        <w:lastRenderedPageBreak/>
        <w:t>use of regional sets of Example varieties is preferable because it enables to compare characteristics of all varieties included in a database, as well as to test how stable a variety is in a specific region</w:t>
      </w:r>
      <w:r w:rsidR="004A2BBE" w:rsidRPr="004D080E">
        <w:t xml:space="preserve">.   </w:t>
      </w:r>
    </w:p>
    <w:p w:rsidR="004A2BBE" w:rsidRPr="00835FB9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 w:rsidRPr="003907A0">
        <w:t xml:space="preserve">Where </w:t>
      </w:r>
      <w:r w:rsidR="004A2BBE" w:rsidRPr="009D70BC">
        <w:rPr>
          <w:u w:val="single"/>
        </w:rPr>
        <w:t>large regions</w:t>
      </w:r>
      <w:r w:rsidR="004A2BBE" w:rsidRPr="003907A0">
        <w:t xml:space="preserve"> are present in the same country because of very different agro-climatic conditions, more than one reference location is conceivable. In this case we could have more than one description for a single variety due to different phenotypes. Only one description should be the official one</w:t>
      </w:r>
      <w:r w:rsidR="004A2BBE" w:rsidRPr="004D080E">
        <w:t xml:space="preserve">. </w:t>
      </w:r>
    </w:p>
    <w:p w:rsidR="004A2BBE" w:rsidRPr="00835FB9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 w:rsidRPr="003907A0">
        <w:t>If more than one location is used for DUS trials and more than one description is produced, criteria to choose the official one are needed.</w:t>
      </w:r>
      <w:r w:rsidR="004A2BBE">
        <w:t xml:space="preserve"> P</w:t>
      </w:r>
      <w:r w:rsidR="004A2BBE" w:rsidRPr="007254DE">
        <w:t>ossible criteria for choosing the ‘official Location/description’</w:t>
      </w:r>
      <w:r w:rsidR="004A2BBE">
        <w:t xml:space="preserve"> are:</w:t>
      </w:r>
      <w:r w:rsidR="004A2BBE" w:rsidRPr="004D080E">
        <w:t xml:space="preserve">  </w:t>
      </w:r>
    </w:p>
    <w:p w:rsidR="004A2BBE" w:rsidRPr="007254DE" w:rsidRDefault="004A2BBE" w:rsidP="004A2BBE">
      <w:pPr>
        <w:pStyle w:val="ListParagraph"/>
        <w:numPr>
          <w:ilvl w:val="0"/>
          <w:numId w:val="11"/>
        </w:numPr>
        <w:contextualSpacing/>
      </w:pPr>
      <w:r w:rsidRPr="007254DE">
        <w:rPr>
          <w:i/>
        </w:rPr>
        <w:t xml:space="preserve">Location in the area with the largest adaptation/cultivation of the species </w:t>
      </w:r>
      <w:r w:rsidRPr="007254DE">
        <w:t xml:space="preserve">(choice based on the most common phenotype in that area) </w:t>
      </w:r>
    </w:p>
    <w:p w:rsidR="004A2BBE" w:rsidRDefault="004A2BBE" w:rsidP="004A2BBE">
      <w:pPr>
        <w:pStyle w:val="ListParagraph"/>
        <w:numPr>
          <w:ilvl w:val="0"/>
          <w:numId w:val="11"/>
        </w:numPr>
        <w:contextualSpacing/>
      </w:pPr>
      <w:r w:rsidRPr="007254DE">
        <w:rPr>
          <w:i/>
        </w:rPr>
        <w:t xml:space="preserve">Location where CV range of varieties is the lowest </w:t>
      </w:r>
      <w:r w:rsidRPr="007254DE">
        <w:t>(choice based on stability over years)</w:t>
      </w:r>
    </w:p>
    <w:p w:rsidR="004A2BBE" w:rsidRDefault="004A2BBE" w:rsidP="004A2BBE"/>
    <w:p w:rsidR="004A2BBE" w:rsidRDefault="004A2BBE" w:rsidP="004A2BBE"/>
    <w:p w:rsidR="004A2BBE" w:rsidRPr="004A2BBE" w:rsidRDefault="004A2BBE" w:rsidP="004A2BBE">
      <w:pPr>
        <w:pStyle w:val="Heading1"/>
      </w:pPr>
      <w:r w:rsidRPr="004A2BBE">
        <w:t>Stable averages vs Combining notes</w:t>
      </w:r>
    </w:p>
    <w:p w:rsidR="004A2BBE" w:rsidRPr="00835FB9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A2BBE">
        <w:t>R</w:t>
      </w:r>
      <w:r w:rsidR="004A2BBE" w:rsidRPr="003907A0">
        <w:t xml:space="preserve">eference and candidate varieties produce different values over years. The frequency and level of interaction (GEI) of a given variety is unpredictable because they depend on its genetics and on the relative effect of the environment on the set of tested varieties. For each characteristic a stable average of historical means is reached only after several years. </w:t>
      </w:r>
      <w:r w:rsidR="004A2BBE" w:rsidRPr="00903E8A">
        <w:rPr>
          <w:i/>
        </w:rPr>
        <w:t>Average over years</w:t>
      </w:r>
      <w:r w:rsidR="004A2BBE" w:rsidRPr="003907A0">
        <w:t xml:space="preserve"> can be considered a good estimation of characteristic measure (even though the ‘median’ could be more logical where historical averages have </w:t>
      </w:r>
      <w:r w:rsidR="004A2BBE">
        <w:t xml:space="preserve">strong </w:t>
      </w:r>
      <w:r w:rsidR="004A2BBE" w:rsidRPr="003907A0">
        <w:t>skewed distribution). This method is largely used to transform observations into notes</w:t>
      </w:r>
      <w:r w:rsidR="004A2BBE" w:rsidRPr="004D080E">
        <w:t xml:space="preserve">. </w:t>
      </w:r>
    </w:p>
    <w:p w:rsidR="004A2BBE" w:rsidRPr="004D080E" w:rsidRDefault="004A2BBE" w:rsidP="004A2BBE"/>
    <w:p w:rsidR="004A2BBE" w:rsidRPr="004D080E" w:rsidRDefault="00200615" w:rsidP="004A2BB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2" w:name="_GoBack"/>
      <w:bookmarkEnd w:id="2"/>
      <w:r w:rsidR="006145DE" w:rsidRPr="00903E8A">
        <w:rPr>
          <w:i/>
        </w:rPr>
        <w:t>Immediate transformation</w:t>
      </w:r>
      <w:r w:rsidR="006145DE" w:rsidRPr="003907A0">
        <w:t xml:space="preserve"> of each year mean into a note and then combining notes of trial years is possible as well. In this case, a loss of information may be possible, because a note can summarize many averages</w:t>
      </w:r>
      <w:r w:rsidR="004A2BBE" w:rsidRPr="004D080E">
        <w:t xml:space="preserve">.   </w:t>
      </w:r>
    </w:p>
    <w:p w:rsidR="004A2BBE" w:rsidRDefault="004A2BBE" w:rsidP="004A2BBE"/>
    <w:p w:rsidR="004A2BBE" w:rsidRDefault="004A2BBE" w:rsidP="004A2BBE"/>
    <w:p w:rsidR="00254618" w:rsidRDefault="00254618" w:rsidP="004A2BBE"/>
    <w:p w:rsidR="004A2BBE" w:rsidRPr="00296192" w:rsidRDefault="00296192" w:rsidP="004A2BBE">
      <w:r w:rsidRPr="00296192">
        <w:t>Maurizio Giolo (Italy) and Sami Markkanen (Finland)</w:t>
      </w:r>
    </w:p>
    <w:p w:rsidR="00296192" w:rsidRPr="00254618" w:rsidRDefault="00296192" w:rsidP="004A2BBE">
      <w:pPr>
        <w:rPr>
          <w:rFonts w:cs="Arial"/>
        </w:rPr>
      </w:pPr>
    </w:p>
    <w:p w:rsidR="004A2BBE" w:rsidRDefault="004A2BBE" w:rsidP="004A2BBE"/>
    <w:p w:rsidR="005B7B97" w:rsidRPr="009A19EC" w:rsidRDefault="005B7B97" w:rsidP="005B7B97">
      <w:pPr>
        <w:ind w:left="567" w:hanging="567"/>
      </w:pPr>
    </w:p>
    <w:p w:rsidR="005B7B97" w:rsidRPr="009A19EC" w:rsidRDefault="005B7B97" w:rsidP="005B7B97">
      <w:pPr>
        <w:ind w:left="567" w:hanging="567"/>
      </w:pPr>
    </w:p>
    <w:p w:rsidR="00050E16" w:rsidRPr="00C5280D" w:rsidRDefault="005B7B97" w:rsidP="00571767">
      <w:pPr>
        <w:jc w:val="right"/>
      </w:pPr>
      <w:r w:rsidRPr="002768BF">
        <w:t>[End of document]</w:t>
      </w: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50" w:rsidRDefault="00083750" w:rsidP="006655D3">
      <w:r>
        <w:separator/>
      </w:r>
    </w:p>
    <w:p w:rsidR="00083750" w:rsidRDefault="00083750" w:rsidP="006655D3"/>
    <w:p w:rsidR="00083750" w:rsidRDefault="00083750" w:rsidP="006655D3"/>
  </w:endnote>
  <w:endnote w:type="continuationSeparator" w:id="0">
    <w:p w:rsidR="00083750" w:rsidRDefault="00083750" w:rsidP="006655D3">
      <w:r>
        <w:separator/>
      </w:r>
    </w:p>
    <w:p w:rsidR="00083750" w:rsidRPr="00294751" w:rsidRDefault="000837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  <w:endnote w:type="continuationNotice" w:id="1">
    <w:p w:rsidR="00083750" w:rsidRPr="00294751" w:rsidRDefault="000837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50" w:rsidRDefault="00083750" w:rsidP="006655D3">
      <w:r>
        <w:separator/>
      </w:r>
    </w:p>
  </w:footnote>
  <w:footnote w:type="continuationSeparator" w:id="0">
    <w:p w:rsidR="00083750" w:rsidRDefault="00083750" w:rsidP="006655D3">
      <w:r>
        <w:separator/>
      </w:r>
    </w:p>
  </w:footnote>
  <w:footnote w:type="continuationNotice" w:id="1">
    <w:p w:rsidR="00083750" w:rsidRPr="00AB530F" w:rsidRDefault="000837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  <w:r w:rsidR="004A2BBE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006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D274E3C"/>
    <w:multiLevelType w:val="hybridMultilevel"/>
    <w:tmpl w:val="2FCA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57817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31564"/>
    <w:rsid w:val="00141DB8"/>
    <w:rsid w:val="00172084"/>
    <w:rsid w:val="0017474A"/>
    <w:rsid w:val="001758C6"/>
    <w:rsid w:val="00182B99"/>
    <w:rsid w:val="001A12B5"/>
    <w:rsid w:val="001C31D9"/>
    <w:rsid w:val="001D6303"/>
    <w:rsid w:val="002004A1"/>
    <w:rsid w:val="00200615"/>
    <w:rsid w:val="0021042B"/>
    <w:rsid w:val="0021332C"/>
    <w:rsid w:val="00213982"/>
    <w:rsid w:val="0024416D"/>
    <w:rsid w:val="00254618"/>
    <w:rsid w:val="00260EC2"/>
    <w:rsid w:val="00271911"/>
    <w:rsid w:val="002800A0"/>
    <w:rsid w:val="002801B3"/>
    <w:rsid w:val="00281060"/>
    <w:rsid w:val="002940E8"/>
    <w:rsid w:val="00294751"/>
    <w:rsid w:val="00296192"/>
    <w:rsid w:val="002966F1"/>
    <w:rsid w:val="002A6E50"/>
    <w:rsid w:val="002B4298"/>
    <w:rsid w:val="002C256A"/>
    <w:rsid w:val="002D75FD"/>
    <w:rsid w:val="002D7C70"/>
    <w:rsid w:val="00305A7F"/>
    <w:rsid w:val="003152FE"/>
    <w:rsid w:val="00320552"/>
    <w:rsid w:val="00327436"/>
    <w:rsid w:val="00335389"/>
    <w:rsid w:val="00344BD6"/>
    <w:rsid w:val="0035528D"/>
    <w:rsid w:val="00361821"/>
    <w:rsid w:val="00361E9E"/>
    <w:rsid w:val="003B7E3E"/>
    <w:rsid w:val="003C7FBE"/>
    <w:rsid w:val="003D227C"/>
    <w:rsid w:val="003D2B4D"/>
    <w:rsid w:val="003E2248"/>
    <w:rsid w:val="003F0ED7"/>
    <w:rsid w:val="00444A88"/>
    <w:rsid w:val="00451E76"/>
    <w:rsid w:val="00456B44"/>
    <w:rsid w:val="00474271"/>
    <w:rsid w:val="00474DA4"/>
    <w:rsid w:val="00476B4D"/>
    <w:rsid w:val="004805FA"/>
    <w:rsid w:val="004935D2"/>
    <w:rsid w:val="0049744F"/>
    <w:rsid w:val="004A2B8C"/>
    <w:rsid w:val="004A2BBE"/>
    <w:rsid w:val="004B1215"/>
    <w:rsid w:val="004C55C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E11"/>
    <w:rsid w:val="00571767"/>
    <w:rsid w:val="0057575B"/>
    <w:rsid w:val="00576BE4"/>
    <w:rsid w:val="00590C75"/>
    <w:rsid w:val="005A400A"/>
    <w:rsid w:val="005B4603"/>
    <w:rsid w:val="005B4E39"/>
    <w:rsid w:val="005B7B97"/>
    <w:rsid w:val="005C1A67"/>
    <w:rsid w:val="005F7B92"/>
    <w:rsid w:val="00600D01"/>
    <w:rsid w:val="00610A4C"/>
    <w:rsid w:val="00612379"/>
    <w:rsid w:val="006145DE"/>
    <w:rsid w:val="006153B6"/>
    <w:rsid w:val="0061555F"/>
    <w:rsid w:val="00621302"/>
    <w:rsid w:val="00634FB5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B79AD"/>
    <w:rsid w:val="006B7DF9"/>
    <w:rsid w:val="006C224E"/>
    <w:rsid w:val="006D780A"/>
    <w:rsid w:val="006E314E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4CB9"/>
    <w:rsid w:val="007D0B9D"/>
    <w:rsid w:val="007D19B0"/>
    <w:rsid w:val="007D6195"/>
    <w:rsid w:val="007E152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7AC1"/>
    <w:rsid w:val="00884D8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520D"/>
    <w:rsid w:val="00952DD4"/>
    <w:rsid w:val="00965AE7"/>
    <w:rsid w:val="00970FED"/>
    <w:rsid w:val="00973ECE"/>
    <w:rsid w:val="00990A76"/>
    <w:rsid w:val="00992D82"/>
    <w:rsid w:val="00997029"/>
    <w:rsid w:val="009A19EC"/>
    <w:rsid w:val="009A7339"/>
    <w:rsid w:val="009A7D39"/>
    <w:rsid w:val="009B440E"/>
    <w:rsid w:val="009C532F"/>
    <w:rsid w:val="009D690D"/>
    <w:rsid w:val="009E163A"/>
    <w:rsid w:val="009E65B6"/>
    <w:rsid w:val="00A24C10"/>
    <w:rsid w:val="00A24C8E"/>
    <w:rsid w:val="00A276FA"/>
    <w:rsid w:val="00A42AC3"/>
    <w:rsid w:val="00A430CF"/>
    <w:rsid w:val="00A531C0"/>
    <w:rsid w:val="00A54309"/>
    <w:rsid w:val="00AB2B93"/>
    <w:rsid w:val="00AB4EFC"/>
    <w:rsid w:val="00AB530F"/>
    <w:rsid w:val="00AB7E5B"/>
    <w:rsid w:val="00AC2883"/>
    <w:rsid w:val="00AE0EF1"/>
    <w:rsid w:val="00AE2937"/>
    <w:rsid w:val="00B07301"/>
    <w:rsid w:val="00B11F3E"/>
    <w:rsid w:val="00B13C75"/>
    <w:rsid w:val="00B224DE"/>
    <w:rsid w:val="00B324D4"/>
    <w:rsid w:val="00B46575"/>
    <w:rsid w:val="00B560B3"/>
    <w:rsid w:val="00B61777"/>
    <w:rsid w:val="00B84BBD"/>
    <w:rsid w:val="00B85C37"/>
    <w:rsid w:val="00B97162"/>
    <w:rsid w:val="00BA1991"/>
    <w:rsid w:val="00BA43FB"/>
    <w:rsid w:val="00BC127D"/>
    <w:rsid w:val="00BC1FE6"/>
    <w:rsid w:val="00BC28E5"/>
    <w:rsid w:val="00BD313C"/>
    <w:rsid w:val="00C061B6"/>
    <w:rsid w:val="00C21E23"/>
    <w:rsid w:val="00C21E5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076"/>
    <w:rsid w:val="00E07D87"/>
    <w:rsid w:val="00E32F7E"/>
    <w:rsid w:val="00E3667F"/>
    <w:rsid w:val="00E5071F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uiPriority w:val="59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styleId="CommentReference">
    <w:name w:val="annotation reference"/>
    <w:basedOn w:val="DefaultParagraphFont"/>
    <w:rsid w:val="00451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E76"/>
  </w:style>
  <w:style w:type="character" w:customStyle="1" w:styleId="CommentTextChar">
    <w:name w:val="Comment Text Char"/>
    <w:basedOn w:val="DefaultParagraphFont"/>
    <w:link w:val="CommentText"/>
    <w:rsid w:val="00451E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5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E7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uiPriority w:val="59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styleId="CommentReference">
    <w:name w:val="annotation reference"/>
    <w:basedOn w:val="DefaultParagraphFont"/>
    <w:rsid w:val="00451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E76"/>
  </w:style>
  <w:style w:type="character" w:customStyle="1" w:styleId="CommentTextChar">
    <w:name w:val="Comment Text Char"/>
    <w:basedOn w:val="DefaultParagraphFont"/>
    <w:link w:val="CommentText"/>
    <w:rsid w:val="00451E7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5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E7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4</cp:revision>
  <cp:lastPrinted>2017-10-12T12:15:00Z</cp:lastPrinted>
  <dcterms:created xsi:type="dcterms:W3CDTF">2017-10-23T07:11:00Z</dcterms:created>
  <dcterms:modified xsi:type="dcterms:W3CDTF">2017-10-30T10:31:00Z</dcterms:modified>
</cp:coreProperties>
</file>