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E2894" w:rsidTr="00EB4E9C">
        <w:tc>
          <w:tcPr>
            <w:tcW w:w="6522" w:type="dxa"/>
          </w:tcPr>
          <w:p w:rsidR="00DC3802" w:rsidRPr="004E2894" w:rsidRDefault="00DC3802" w:rsidP="00AC2883">
            <w:r w:rsidRPr="00F31624">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4E2894" w:rsidRDefault="00DC3802" w:rsidP="00AC2883">
            <w:pPr>
              <w:pStyle w:val="Lettrine"/>
            </w:pPr>
            <w:r w:rsidRPr="004E2894">
              <w:t>E</w:t>
            </w:r>
          </w:p>
        </w:tc>
      </w:tr>
      <w:tr w:rsidR="00DC3802" w:rsidRPr="004E2894" w:rsidTr="00EB4E9C">
        <w:tc>
          <w:tcPr>
            <w:tcW w:w="6522" w:type="dxa"/>
          </w:tcPr>
          <w:p w:rsidR="00DC3802" w:rsidRPr="004E2894" w:rsidRDefault="00DC3802" w:rsidP="00AC2883">
            <w:pPr>
              <w:pStyle w:val="upove"/>
            </w:pPr>
            <w:r w:rsidRPr="004E2894">
              <w:t>International Union for the Protection of New Varieties of Plants</w:t>
            </w:r>
          </w:p>
        </w:tc>
        <w:tc>
          <w:tcPr>
            <w:tcW w:w="3117" w:type="dxa"/>
          </w:tcPr>
          <w:p w:rsidR="00DC3802" w:rsidRPr="004E2894" w:rsidRDefault="00DC3802" w:rsidP="00DA4973"/>
        </w:tc>
      </w:tr>
    </w:tbl>
    <w:p w:rsidR="00DC3802" w:rsidRPr="004E2894" w:rsidRDefault="00DC3802" w:rsidP="00DC3802"/>
    <w:p w:rsidR="00DA4973" w:rsidRPr="004E2894"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E2894" w:rsidTr="00EB4E9C">
        <w:tc>
          <w:tcPr>
            <w:tcW w:w="6512" w:type="dxa"/>
          </w:tcPr>
          <w:p w:rsidR="00EB4E9C" w:rsidRPr="004E2894" w:rsidRDefault="00E70039" w:rsidP="00DA4499">
            <w:pPr>
              <w:pStyle w:val="Sessiontc"/>
            </w:pPr>
            <w:r w:rsidRPr="004E2894">
              <w:t xml:space="preserve">Technical Working Party </w:t>
            </w:r>
            <w:r w:rsidR="00E95BB1" w:rsidRPr="004E2894">
              <w:t>on Automation and Computer Programs</w:t>
            </w:r>
          </w:p>
          <w:p w:rsidR="00EB4E9C" w:rsidRPr="004E2894" w:rsidRDefault="00E95BB1" w:rsidP="00E95BB1">
            <w:pPr>
              <w:pStyle w:val="Sessiontcplacedate"/>
              <w:rPr>
                <w:sz w:val="22"/>
              </w:rPr>
            </w:pPr>
            <w:r w:rsidRPr="004E2894">
              <w:t xml:space="preserve">Thirty-Fifth </w:t>
            </w:r>
            <w:r w:rsidR="00EB4E9C" w:rsidRPr="004E2894">
              <w:t>Session</w:t>
            </w:r>
            <w:r w:rsidR="00EB4E9C" w:rsidRPr="004E2894">
              <w:br/>
            </w:r>
            <w:r w:rsidRPr="004E2894">
              <w:t>Buenos Aires, Argentina</w:t>
            </w:r>
            <w:r w:rsidR="00EB4E9C" w:rsidRPr="004E2894">
              <w:t xml:space="preserve">, </w:t>
            </w:r>
            <w:r w:rsidRPr="004E2894">
              <w:t>November</w:t>
            </w:r>
            <w:r w:rsidR="00E70039" w:rsidRPr="004E2894">
              <w:t xml:space="preserve"> </w:t>
            </w:r>
            <w:r w:rsidR="00EE41AF" w:rsidRPr="004E2894">
              <w:t>1</w:t>
            </w:r>
            <w:r w:rsidRPr="004E2894">
              <w:t>4</w:t>
            </w:r>
            <w:r w:rsidR="00E70039" w:rsidRPr="004E2894">
              <w:t xml:space="preserve"> to </w:t>
            </w:r>
            <w:r w:rsidRPr="004E2894">
              <w:t>17</w:t>
            </w:r>
            <w:r w:rsidR="00EB4E9C" w:rsidRPr="004E2894">
              <w:t>, 2017</w:t>
            </w:r>
          </w:p>
        </w:tc>
        <w:tc>
          <w:tcPr>
            <w:tcW w:w="3127" w:type="dxa"/>
          </w:tcPr>
          <w:p w:rsidR="00DA4499" w:rsidRPr="004E2894" w:rsidRDefault="00621302" w:rsidP="003C7FBE">
            <w:pPr>
              <w:pStyle w:val="Doccode"/>
            </w:pPr>
            <w:r w:rsidRPr="004E2894">
              <w:t>T</w:t>
            </w:r>
            <w:r w:rsidR="00E70039" w:rsidRPr="004E2894">
              <w:t>W</w:t>
            </w:r>
            <w:r w:rsidR="00E95BB1" w:rsidRPr="004E2894">
              <w:t>C</w:t>
            </w:r>
            <w:r w:rsidR="00EB4E9C" w:rsidRPr="004E2894">
              <w:t>/</w:t>
            </w:r>
            <w:r w:rsidR="00E95BB1" w:rsidRPr="004E2894">
              <w:t>35</w:t>
            </w:r>
            <w:r w:rsidR="00EB4E9C" w:rsidRPr="004E2894">
              <w:t>/</w:t>
            </w:r>
            <w:r w:rsidR="009E17D0" w:rsidRPr="004E2894">
              <w:t xml:space="preserve">21 </w:t>
            </w:r>
          </w:p>
          <w:p w:rsidR="00EB4E9C" w:rsidRPr="004E2894" w:rsidRDefault="00EB4E9C" w:rsidP="003C7FBE">
            <w:pPr>
              <w:pStyle w:val="Docoriginal"/>
            </w:pPr>
            <w:r w:rsidRPr="004E2894">
              <w:t>Original:</w:t>
            </w:r>
            <w:r w:rsidRPr="004E2894">
              <w:rPr>
                <w:b w:val="0"/>
                <w:spacing w:val="0"/>
              </w:rPr>
              <w:t xml:space="preserve">  English</w:t>
            </w:r>
          </w:p>
          <w:p w:rsidR="00EB4E9C" w:rsidRPr="004E2894" w:rsidRDefault="00EB4E9C" w:rsidP="00E350FD">
            <w:pPr>
              <w:pStyle w:val="Docoriginal"/>
            </w:pPr>
            <w:r w:rsidRPr="004E2894">
              <w:t>Date:</w:t>
            </w:r>
            <w:r w:rsidRPr="004E2894">
              <w:rPr>
                <w:b w:val="0"/>
                <w:spacing w:val="0"/>
              </w:rPr>
              <w:t xml:space="preserve">  </w:t>
            </w:r>
            <w:r w:rsidR="00E350FD" w:rsidRPr="004E2894">
              <w:rPr>
                <w:b w:val="0"/>
                <w:spacing w:val="0"/>
              </w:rPr>
              <w:t>November 17</w:t>
            </w:r>
            <w:r w:rsidRPr="004E2894">
              <w:rPr>
                <w:b w:val="0"/>
                <w:spacing w:val="0"/>
              </w:rPr>
              <w:t>, 2017</w:t>
            </w:r>
          </w:p>
        </w:tc>
      </w:tr>
    </w:tbl>
    <w:p w:rsidR="000D7780" w:rsidRPr="004E2894" w:rsidRDefault="00E350FD" w:rsidP="006A644A">
      <w:pPr>
        <w:pStyle w:val="Titleofdoc0"/>
      </w:pPr>
      <w:bookmarkStart w:id="0" w:name="TitleOfDoc"/>
      <w:bookmarkEnd w:id="0"/>
      <w:r w:rsidRPr="004E2894">
        <w:t>Report</w:t>
      </w:r>
    </w:p>
    <w:p w:rsidR="006A644A" w:rsidRPr="004E2894" w:rsidRDefault="006A6FAD" w:rsidP="006A644A">
      <w:pPr>
        <w:pStyle w:val="preparedby1"/>
        <w:jc w:val="left"/>
      </w:pPr>
      <w:bookmarkStart w:id="1" w:name="Prepared"/>
      <w:bookmarkEnd w:id="1"/>
      <w:r>
        <w:t xml:space="preserve">adopted </w:t>
      </w:r>
      <w:r w:rsidR="00346D9E">
        <w:t xml:space="preserve">by the </w:t>
      </w:r>
      <w:r w:rsidR="00346D9E" w:rsidRPr="004E2894">
        <w:t>Technical Working Party on Automation and Computer Programs</w:t>
      </w:r>
    </w:p>
    <w:p w:rsidR="00050E16" w:rsidRPr="004E2894" w:rsidRDefault="00050E16" w:rsidP="006A644A">
      <w:pPr>
        <w:pStyle w:val="Disclaimer"/>
      </w:pPr>
      <w:r w:rsidRPr="004E2894">
        <w:t>Disclaimer:  this document does not represent UPOV policies or guidance</w:t>
      </w:r>
    </w:p>
    <w:p w:rsidR="00E350FD" w:rsidRPr="004E2894" w:rsidRDefault="00E350FD" w:rsidP="00E350FD">
      <w:pPr>
        <w:rPr>
          <w:rFonts w:cs="Arial"/>
          <w:color w:val="000000"/>
          <w:u w:val="single"/>
        </w:rPr>
      </w:pPr>
      <w:r w:rsidRPr="004E2894">
        <w:rPr>
          <w:rFonts w:cs="Arial"/>
          <w:color w:val="000000"/>
          <w:u w:val="single"/>
        </w:rPr>
        <w:t>Opening of the session</w:t>
      </w:r>
    </w:p>
    <w:p w:rsidR="00E350FD" w:rsidRPr="004E2894" w:rsidRDefault="00E350FD" w:rsidP="00E350FD">
      <w:pPr>
        <w:rPr>
          <w:rFonts w:cs="Arial"/>
          <w:color w:val="000000"/>
        </w:rPr>
      </w:pPr>
    </w:p>
    <w:p w:rsidR="00E350FD" w:rsidRPr="004E2894" w:rsidRDefault="00E350FD" w:rsidP="00E350FD">
      <w:pPr>
        <w:rPr>
          <w:rFonts w:cs="Arial"/>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t>T</w:t>
      </w:r>
      <w:r w:rsidRPr="004E2894">
        <w:rPr>
          <w:rFonts w:cs="Arial"/>
        </w:rPr>
        <w:t xml:space="preserve">he Technical Working Party </w:t>
      </w:r>
      <w:r w:rsidRPr="004E2894">
        <w:t xml:space="preserve">on Automation and Computer Programs </w:t>
      </w:r>
      <w:r w:rsidRPr="004E2894">
        <w:rPr>
          <w:rFonts w:cs="Arial"/>
        </w:rPr>
        <w:t>(TWC) held its thirty</w:t>
      </w:r>
      <w:r w:rsidRPr="004E2894">
        <w:rPr>
          <w:rFonts w:cs="Arial"/>
        </w:rPr>
        <w:noBreakHyphen/>
      </w:r>
      <w:r w:rsidR="006A6A94" w:rsidRPr="004E2894">
        <w:rPr>
          <w:rFonts w:cs="Arial"/>
        </w:rPr>
        <w:t>fifth</w:t>
      </w:r>
      <w:r w:rsidRPr="004E2894">
        <w:rPr>
          <w:rFonts w:cs="Arial"/>
        </w:rPr>
        <w:t xml:space="preserve"> session in </w:t>
      </w:r>
      <w:r w:rsidR="006A6A94" w:rsidRPr="004E2894">
        <w:t>Buenos Aires</w:t>
      </w:r>
      <w:r w:rsidRPr="004E2894">
        <w:t xml:space="preserve">, </w:t>
      </w:r>
      <w:r w:rsidR="006D3038" w:rsidRPr="004E2894">
        <w:t xml:space="preserve">Argentina, </w:t>
      </w:r>
      <w:r w:rsidRPr="004E2894">
        <w:t xml:space="preserve">from </w:t>
      </w:r>
      <w:r w:rsidR="006A6A94" w:rsidRPr="004E2894">
        <w:t>November 14 to 17, 2017</w:t>
      </w:r>
      <w:r w:rsidRPr="004E2894">
        <w:rPr>
          <w:rFonts w:cs="Arial"/>
        </w:rPr>
        <w:t>.  The list of participants is reproduced in Annex I to this report.</w:t>
      </w:r>
    </w:p>
    <w:p w:rsidR="00E350FD" w:rsidRPr="004E2894" w:rsidRDefault="00E350FD" w:rsidP="00E350FD">
      <w:pPr>
        <w:rPr>
          <w:rFonts w:cs="Arial"/>
        </w:rPr>
      </w:pPr>
    </w:p>
    <w:p w:rsidR="00E350FD" w:rsidRPr="004E2894" w:rsidRDefault="00E350FD" w:rsidP="00E350FD">
      <w:pPr>
        <w:rPr>
          <w:rFonts w:cs="Arial"/>
          <w:lang w:eastAsia="ja-JP"/>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t>T</w:t>
      </w:r>
      <w:r w:rsidRPr="004E2894">
        <w:rPr>
          <w:rFonts w:cs="Arial"/>
        </w:rPr>
        <w:t xml:space="preserve">he session was opened by Mr. Adrian Roberts (United Kingdom), Chairman of the TWC, who welcomed the participants and thanked </w:t>
      </w:r>
      <w:r w:rsidR="006D3038" w:rsidRPr="004E2894">
        <w:rPr>
          <w:rFonts w:cs="Arial"/>
        </w:rPr>
        <w:t>Argentina</w:t>
      </w:r>
      <w:r w:rsidRPr="004E2894">
        <w:rPr>
          <w:rFonts w:cs="Arial"/>
        </w:rPr>
        <w:t xml:space="preserve"> for hosting the TWC session.</w:t>
      </w:r>
      <w:r w:rsidRPr="004E2894">
        <w:rPr>
          <w:rFonts w:cs="Arial"/>
          <w:lang w:eastAsia="ja-JP"/>
        </w:rPr>
        <w:t xml:space="preserve">  </w:t>
      </w:r>
      <w:r w:rsidR="0079601D" w:rsidRPr="004E2894">
        <w:rPr>
          <w:rFonts w:cs="Arial"/>
          <w:lang w:eastAsia="ja-JP"/>
        </w:rPr>
        <w:t xml:space="preserve">The TWC was welcomed by </w:t>
      </w:r>
      <w:r w:rsidR="006D3038" w:rsidRPr="004E2894">
        <w:rPr>
          <w:lang w:eastAsia="ja-JP"/>
        </w:rPr>
        <w:t>Mr. Raimundo Lavignolle</w:t>
      </w:r>
      <w:r w:rsidRPr="004E2894">
        <w:rPr>
          <w:lang w:eastAsia="ja-JP"/>
        </w:rPr>
        <w:t xml:space="preserve">, </w:t>
      </w:r>
      <w:r w:rsidR="0079601D" w:rsidRPr="004E2894">
        <w:rPr>
          <w:lang w:eastAsia="ja-JP"/>
        </w:rPr>
        <w:t xml:space="preserve">President, National </w:t>
      </w:r>
      <w:r w:rsidR="000E164A" w:rsidRPr="004E2894">
        <w:rPr>
          <w:lang w:eastAsia="ja-JP"/>
        </w:rPr>
        <w:t xml:space="preserve">Seeds </w:t>
      </w:r>
      <w:r w:rsidR="0079601D" w:rsidRPr="004E2894">
        <w:rPr>
          <w:lang w:eastAsia="ja-JP"/>
        </w:rPr>
        <w:t>Institute</w:t>
      </w:r>
      <w:r w:rsidR="000E164A" w:rsidRPr="004E2894">
        <w:rPr>
          <w:lang w:eastAsia="ja-JP"/>
        </w:rPr>
        <w:t xml:space="preserve"> (INASE), Argentina.  </w:t>
      </w:r>
      <w:r w:rsidR="00510699" w:rsidRPr="004E2894">
        <w:rPr>
          <w:lang w:eastAsia="ja-JP"/>
        </w:rPr>
        <w:t>A c</w:t>
      </w:r>
      <w:r w:rsidRPr="004E2894">
        <w:rPr>
          <w:lang w:eastAsia="ja-JP"/>
        </w:rPr>
        <w:t>op</w:t>
      </w:r>
      <w:r w:rsidR="00510699" w:rsidRPr="004E2894">
        <w:rPr>
          <w:lang w:eastAsia="ja-JP"/>
        </w:rPr>
        <w:t>y</w:t>
      </w:r>
      <w:r w:rsidRPr="004E2894">
        <w:rPr>
          <w:lang w:eastAsia="ja-JP"/>
        </w:rPr>
        <w:t xml:space="preserve"> of the </w:t>
      </w:r>
      <w:r w:rsidR="000E164A" w:rsidRPr="004E2894">
        <w:rPr>
          <w:lang w:eastAsia="ja-JP"/>
        </w:rPr>
        <w:t xml:space="preserve">presentation made by Mr. Lavignolle </w:t>
      </w:r>
      <w:r w:rsidR="00510699" w:rsidRPr="004E2894">
        <w:rPr>
          <w:lang w:eastAsia="ja-JP"/>
        </w:rPr>
        <w:t>is</w:t>
      </w:r>
      <w:r w:rsidRPr="004E2894">
        <w:rPr>
          <w:lang w:eastAsia="ja-JP"/>
        </w:rPr>
        <w:t xml:space="preserve"> reproduced in Annex II </w:t>
      </w:r>
      <w:r w:rsidR="00510699" w:rsidRPr="004E2894">
        <w:rPr>
          <w:lang w:eastAsia="ja-JP"/>
        </w:rPr>
        <w:t>to this document</w:t>
      </w:r>
      <w:r w:rsidRPr="004E2894">
        <w:rPr>
          <w:lang w:eastAsia="ja-JP"/>
        </w:rPr>
        <w:t>.</w:t>
      </w:r>
      <w:r w:rsidR="000E164A" w:rsidRPr="004E2894">
        <w:rPr>
          <w:lang w:eastAsia="ja-JP"/>
        </w:rPr>
        <w:t xml:space="preserve">  </w:t>
      </w:r>
      <w:r w:rsidRPr="004E2894">
        <w:rPr>
          <w:rFonts w:cs="Arial"/>
        </w:rPr>
        <w:t>The TWC received a presentation</w:t>
      </w:r>
      <w:r w:rsidRPr="004E2894">
        <w:rPr>
          <w:rFonts w:cs="Arial"/>
          <w:lang w:eastAsia="ja-JP"/>
        </w:rPr>
        <w:t xml:space="preserve"> by </w:t>
      </w:r>
      <w:r w:rsidR="000E164A" w:rsidRPr="004E2894">
        <w:rPr>
          <w:rFonts w:cs="Arial"/>
          <w:lang w:eastAsia="ja-JP"/>
        </w:rPr>
        <w:t>Mr. Alberto Ballesteros, Examiner for Cereal Cotton, Rice and Forage Crops, INASE, Argentina</w:t>
      </w:r>
      <w:r w:rsidRPr="004E2894">
        <w:rPr>
          <w:rFonts w:cs="Arial"/>
          <w:lang w:eastAsia="ja-JP"/>
        </w:rPr>
        <w:t>, a</w:t>
      </w:r>
      <w:r w:rsidRPr="004E2894">
        <w:rPr>
          <w:rFonts w:cs="Arial"/>
        </w:rPr>
        <w:t xml:space="preserve"> copy of which is reproduced in Annex </w:t>
      </w:r>
      <w:r w:rsidR="00641483" w:rsidRPr="004E2894">
        <w:rPr>
          <w:rFonts w:cs="Arial"/>
        </w:rPr>
        <w:t>III</w:t>
      </w:r>
      <w:r w:rsidRPr="004E2894">
        <w:rPr>
          <w:rFonts w:cs="Arial"/>
        </w:rPr>
        <w:t xml:space="preserve"> to this report.</w:t>
      </w:r>
    </w:p>
    <w:p w:rsidR="00E350FD" w:rsidRDefault="00E350FD" w:rsidP="00E350FD">
      <w:pPr>
        <w:rPr>
          <w:snapToGrid w:val="0"/>
        </w:rPr>
      </w:pPr>
    </w:p>
    <w:p w:rsidR="00E07077" w:rsidRPr="004E2894" w:rsidRDefault="00E07077" w:rsidP="00E350FD">
      <w:pPr>
        <w:rPr>
          <w:snapToGrid w:val="0"/>
        </w:rPr>
      </w:pPr>
    </w:p>
    <w:p w:rsidR="00E350FD" w:rsidRPr="004E2894" w:rsidRDefault="00E350FD" w:rsidP="00E350FD">
      <w:pPr>
        <w:pStyle w:val="Heading2"/>
        <w:rPr>
          <w:snapToGrid w:val="0"/>
        </w:rPr>
      </w:pPr>
      <w:r w:rsidRPr="004E2894">
        <w:rPr>
          <w:snapToGrid w:val="0"/>
        </w:rPr>
        <w:t>Adoption of the agenda</w:t>
      </w:r>
    </w:p>
    <w:p w:rsidR="00E350FD" w:rsidRPr="004E2894" w:rsidRDefault="00E350FD" w:rsidP="00E350FD">
      <w:pPr>
        <w:rPr>
          <w:snapToGrid w:val="0"/>
        </w:rPr>
      </w:pPr>
    </w:p>
    <w:p w:rsidR="00E350FD" w:rsidRPr="004E2894" w:rsidRDefault="00E350FD" w:rsidP="00E350FD">
      <w:pPr>
        <w:rPr>
          <w:rFonts w:cs="Arial"/>
          <w:color w:val="000000"/>
          <w:lang w:eastAsia="ja-JP"/>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t>The TWC adopted the agenda as presented in document TWC/35/1</w:t>
      </w:r>
      <w:r w:rsidRPr="004E2894">
        <w:rPr>
          <w:rFonts w:cs="Arial"/>
          <w:color w:val="000000"/>
          <w:lang w:eastAsia="ja-JP"/>
        </w:rPr>
        <w:t xml:space="preserve"> Rev</w:t>
      </w:r>
      <w:r w:rsidRPr="004E2894">
        <w:rPr>
          <w:rFonts w:cs="Arial"/>
          <w:color w:val="000000"/>
        </w:rPr>
        <w:t>.</w:t>
      </w:r>
      <w:r w:rsidR="002949B5" w:rsidRPr="004E2894">
        <w:rPr>
          <w:rFonts w:cs="Arial"/>
          <w:color w:val="000000"/>
        </w:rPr>
        <w:t>.</w:t>
      </w:r>
      <w:r w:rsidRPr="004E2894">
        <w:rPr>
          <w:rFonts w:cs="Arial"/>
          <w:color w:val="000000"/>
        </w:rPr>
        <w:t xml:space="preserve"> </w:t>
      </w:r>
    </w:p>
    <w:p w:rsidR="00E350FD" w:rsidRDefault="00E350FD" w:rsidP="00E350FD">
      <w:pPr>
        <w:rPr>
          <w:snapToGrid w:val="0"/>
          <w:lang w:eastAsia="ja-JP"/>
        </w:rPr>
      </w:pPr>
    </w:p>
    <w:p w:rsidR="00E07077" w:rsidRPr="004E2894" w:rsidRDefault="00E07077" w:rsidP="00E350FD">
      <w:pPr>
        <w:rPr>
          <w:snapToGrid w:val="0"/>
          <w:lang w:eastAsia="ja-JP"/>
        </w:rPr>
      </w:pPr>
    </w:p>
    <w:p w:rsidR="00E350FD" w:rsidRPr="004E2894" w:rsidRDefault="00E350FD" w:rsidP="00E350FD">
      <w:pPr>
        <w:pStyle w:val="Heading2"/>
      </w:pPr>
      <w:r w:rsidRPr="004E2894">
        <w:t>Short reports on developments in plant variety protection</w:t>
      </w:r>
    </w:p>
    <w:p w:rsidR="00E350FD" w:rsidRPr="004E2894" w:rsidRDefault="00E350FD" w:rsidP="00E350FD">
      <w:pPr>
        <w:pStyle w:val="Style1"/>
        <w:keepNext/>
        <w:tabs>
          <w:tab w:val="clear" w:pos="907"/>
          <w:tab w:val="clear" w:pos="1077"/>
          <w:tab w:val="left" w:pos="4099"/>
        </w:tabs>
        <w:rPr>
          <w:rFonts w:ascii="Arial" w:hAnsi="Arial" w:cs="Arial"/>
          <w:sz w:val="20"/>
          <w:szCs w:val="20"/>
        </w:rPr>
      </w:pPr>
    </w:p>
    <w:p w:rsidR="00E350FD" w:rsidRPr="004E2894" w:rsidRDefault="00E350FD" w:rsidP="002E22B2">
      <w:pPr>
        <w:autoSpaceDE w:val="0"/>
        <w:autoSpaceDN w:val="0"/>
        <w:adjustRightInd w:val="0"/>
        <w:rPr>
          <w:i/>
          <w:szCs w:val="24"/>
        </w:rPr>
      </w:pPr>
      <w:r w:rsidRPr="004E2894">
        <w:rPr>
          <w:i/>
          <w:szCs w:val="24"/>
        </w:rPr>
        <w:t xml:space="preserve">Reports on developments in plant variety protection from members and observers </w:t>
      </w:r>
    </w:p>
    <w:p w:rsidR="00E350FD" w:rsidRPr="004E2894" w:rsidRDefault="00E350FD" w:rsidP="00E350FD">
      <w:pPr>
        <w:ind w:left="567" w:hanging="567"/>
        <w:rPr>
          <w:rFonts w:cs="Arial"/>
          <w:u w:val="single"/>
        </w:rPr>
      </w:pPr>
    </w:p>
    <w:p w:rsidR="00E350FD" w:rsidRPr="004E2894" w:rsidRDefault="00E350FD" w:rsidP="00E350FD">
      <w:pPr>
        <w:pStyle w:val="style10"/>
        <w:jc w:val="both"/>
        <w:rPr>
          <w:rFonts w:ascii="Arial" w:eastAsia="MS Mincho" w:hAnsi="Arial" w:cs="Arial"/>
          <w:sz w:val="20"/>
          <w:szCs w:val="20"/>
          <w:lang w:eastAsia="ja-JP"/>
        </w:rPr>
      </w:pPr>
      <w:r w:rsidRPr="005948AF">
        <w:rPr>
          <w:rFonts w:ascii="Arial" w:hAnsi="Arial" w:cs="Arial"/>
          <w:sz w:val="20"/>
          <w:szCs w:val="20"/>
        </w:rPr>
        <w:fldChar w:fldCharType="begin"/>
      </w:r>
      <w:r w:rsidRPr="004E2894">
        <w:rPr>
          <w:rFonts w:ascii="Arial" w:hAnsi="Arial" w:cs="Arial"/>
          <w:sz w:val="20"/>
          <w:szCs w:val="20"/>
        </w:rPr>
        <w:instrText xml:space="preserve"> AUTONUM  </w:instrText>
      </w:r>
      <w:r w:rsidRPr="005948AF">
        <w:rPr>
          <w:rFonts w:ascii="Arial" w:hAnsi="Arial" w:cs="Arial"/>
          <w:sz w:val="20"/>
          <w:szCs w:val="20"/>
        </w:rPr>
        <w:fldChar w:fldCharType="end"/>
      </w:r>
      <w:r w:rsidRPr="004E2894">
        <w:rPr>
          <w:rFonts w:ascii="Arial" w:hAnsi="Arial" w:cs="Arial"/>
          <w:sz w:val="20"/>
          <w:szCs w:val="20"/>
        </w:rPr>
        <w:tab/>
        <w:t>The TWC noted the information on developments in plant variety protection from members and observers provided in document TWC/35/3 Prov.</w:t>
      </w:r>
      <w:r w:rsidR="002949B5" w:rsidRPr="004E2894">
        <w:rPr>
          <w:rFonts w:ascii="Arial" w:hAnsi="Arial" w:cs="Arial"/>
          <w:sz w:val="20"/>
          <w:szCs w:val="20"/>
        </w:rPr>
        <w:t>.</w:t>
      </w:r>
      <w:r w:rsidR="00685679" w:rsidRPr="004E2894">
        <w:rPr>
          <w:rFonts w:ascii="Arial" w:eastAsia="Times New Roman" w:hAnsi="Arial"/>
          <w:sz w:val="20"/>
          <w:szCs w:val="20"/>
        </w:rPr>
        <w:t xml:space="preserve">  </w:t>
      </w:r>
      <w:r w:rsidR="00685679" w:rsidRPr="004E2894">
        <w:rPr>
          <w:rFonts w:ascii="Arial" w:hAnsi="Arial" w:cs="Arial"/>
          <w:sz w:val="20"/>
          <w:szCs w:val="20"/>
        </w:rPr>
        <w:t>The TWC noted that reports submitted to the Office of the Union after November 1, 2017, would be included in the final version of document TWC/35/3.</w:t>
      </w:r>
    </w:p>
    <w:p w:rsidR="00E350FD" w:rsidRPr="004E2894" w:rsidRDefault="00E350FD" w:rsidP="00A22233">
      <w:pPr>
        <w:rPr>
          <w:rFonts w:cs="Arial"/>
          <w:u w:val="single"/>
          <w:lang w:eastAsia="ja-JP"/>
        </w:rPr>
      </w:pPr>
    </w:p>
    <w:p w:rsidR="006E548F" w:rsidRPr="004E2894" w:rsidRDefault="006E548F" w:rsidP="006E548F">
      <w:r w:rsidRPr="005948AF">
        <w:fldChar w:fldCharType="begin"/>
      </w:r>
      <w:r w:rsidRPr="004E2894">
        <w:instrText xml:space="preserve"> AUTONUM  </w:instrText>
      </w:r>
      <w:r w:rsidRPr="005948AF">
        <w:fldChar w:fldCharType="end"/>
      </w:r>
      <w:r w:rsidRPr="004E2894">
        <w:tab/>
        <w:t>The TWC noted the report and presentation made by an expert from the Netherlands on “Increasing participation of new members of the Union in the work of the TC and TWPs”, reproduced in document </w:t>
      </w:r>
      <w:hyperlink r:id="rId10" w:history="1">
        <w:r w:rsidRPr="004E2894">
          <w:rPr>
            <w:rStyle w:val="Hyperlink"/>
          </w:rPr>
          <w:t>TWP/1/19</w:t>
        </w:r>
      </w:hyperlink>
      <w:r w:rsidRPr="004E2894">
        <w:t>.</w:t>
      </w:r>
    </w:p>
    <w:p w:rsidR="006E548F" w:rsidRPr="004E2894" w:rsidRDefault="006E548F" w:rsidP="006E548F"/>
    <w:p w:rsidR="006E548F" w:rsidRPr="004E2894" w:rsidRDefault="006E548F" w:rsidP="006E548F">
      <w:r w:rsidRPr="005948AF">
        <w:fldChar w:fldCharType="begin"/>
      </w:r>
      <w:r w:rsidRPr="004E2894">
        <w:instrText xml:space="preserve"> AUTONUM  </w:instrText>
      </w:r>
      <w:r w:rsidRPr="005948AF">
        <w:fldChar w:fldCharType="end"/>
      </w:r>
      <w:r w:rsidR="00D0300C" w:rsidRPr="004E2894">
        <w:tab/>
        <w:t xml:space="preserve">The TWC considered how to </w:t>
      </w:r>
      <w:r w:rsidRPr="004E2894">
        <w:t>increase participation of new members of the Union in the work of the TC and the TWPs and agreed to propose the following issues for further consideration:</w:t>
      </w:r>
    </w:p>
    <w:p w:rsidR="006E548F" w:rsidRPr="004E2894" w:rsidRDefault="006E548F" w:rsidP="006E548F"/>
    <w:p w:rsidR="006E548F" w:rsidRPr="004E2894" w:rsidRDefault="006E548F" w:rsidP="006E548F">
      <w:pPr>
        <w:pStyle w:val="ListParagraph"/>
        <w:numPr>
          <w:ilvl w:val="0"/>
          <w:numId w:val="20"/>
        </w:numPr>
        <w:ind w:left="1134" w:hanging="567"/>
      </w:pPr>
      <w:r w:rsidRPr="004E2894">
        <w:t>Cost of attendance to meetings, the timing during the year and venue location (field trials)</w:t>
      </w:r>
    </w:p>
    <w:p w:rsidR="006E548F" w:rsidRPr="004E2894" w:rsidRDefault="006E548F" w:rsidP="006E548F">
      <w:pPr>
        <w:pStyle w:val="ListParagraph"/>
        <w:numPr>
          <w:ilvl w:val="0"/>
          <w:numId w:val="20"/>
        </w:numPr>
        <w:ind w:left="1134" w:hanging="567"/>
      </w:pPr>
      <w:r w:rsidRPr="004E2894">
        <w:t xml:space="preserve">Language difficulty (simultaneous </w:t>
      </w:r>
      <w:r w:rsidR="00773628" w:rsidRPr="004E2894">
        <w:t>interpretation</w:t>
      </w:r>
      <w:r w:rsidRPr="004E2894">
        <w:t xml:space="preserve"> in some cases), </w:t>
      </w:r>
    </w:p>
    <w:p w:rsidR="006E548F" w:rsidRPr="004E2894" w:rsidRDefault="006E548F" w:rsidP="006E548F">
      <w:pPr>
        <w:pStyle w:val="ListParagraph"/>
        <w:numPr>
          <w:ilvl w:val="0"/>
          <w:numId w:val="20"/>
        </w:numPr>
        <w:ind w:left="1134" w:hanging="567"/>
      </w:pPr>
      <w:r w:rsidRPr="004E2894">
        <w:t>To use clear terminology in meetings (</w:t>
      </w:r>
      <w:r w:rsidR="00D0300C" w:rsidRPr="004E2894">
        <w:t>acronyms</w:t>
      </w:r>
      <w:r w:rsidRPr="004E2894">
        <w:t>, technical terms)</w:t>
      </w:r>
    </w:p>
    <w:p w:rsidR="006E548F" w:rsidRPr="004E2894" w:rsidRDefault="006E548F" w:rsidP="006E548F">
      <w:pPr>
        <w:pStyle w:val="ListParagraph"/>
        <w:numPr>
          <w:ilvl w:val="0"/>
          <w:numId w:val="20"/>
        </w:numPr>
        <w:ind w:left="1134" w:hanging="567"/>
      </w:pPr>
      <w:r w:rsidRPr="004E2894">
        <w:t xml:space="preserve">Relevance and quantity of topics to be discussed during TWP meetings </w:t>
      </w:r>
    </w:p>
    <w:p w:rsidR="006E548F" w:rsidRPr="004E2894" w:rsidRDefault="00E37C9C" w:rsidP="006E548F">
      <w:pPr>
        <w:pStyle w:val="ListParagraph"/>
        <w:numPr>
          <w:ilvl w:val="0"/>
          <w:numId w:val="20"/>
        </w:numPr>
        <w:ind w:left="1134" w:hanging="567"/>
      </w:pPr>
      <w:r w:rsidRPr="004E2894">
        <w:t>To f</w:t>
      </w:r>
      <w:r w:rsidR="006E548F" w:rsidRPr="004E2894">
        <w:t xml:space="preserve">acilitate </w:t>
      </w:r>
      <w:r w:rsidRPr="004E2894">
        <w:t>host</w:t>
      </w:r>
      <w:r w:rsidR="00773628" w:rsidRPr="004E2894">
        <w:t>ing</w:t>
      </w:r>
      <w:r w:rsidRPr="004E2894">
        <w:t xml:space="preserve"> </w:t>
      </w:r>
      <w:r w:rsidR="00773628" w:rsidRPr="004E2894">
        <w:t xml:space="preserve">of </w:t>
      </w:r>
      <w:r w:rsidRPr="004E2894">
        <w:t>TWP</w:t>
      </w:r>
      <w:r w:rsidR="006E548F" w:rsidRPr="004E2894">
        <w:t xml:space="preserve"> meetings</w:t>
      </w:r>
      <w:r w:rsidR="00773628" w:rsidRPr="004E2894">
        <w:t xml:space="preserve"> by new members</w:t>
      </w:r>
      <w:r w:rsidRPr="004E2894">
        <w:t xml:space="preserve"> </w:t>
      </w:r>
    </w:p>
    <w:p w:rsidR="006E548F" w:rsidRPr="004E2894" w:rsidRDefault="006E548F" w:rsidP="006E548F">
      <w:pPr>
        <w:pStyle w:val="ListParagraph"/>
        <w:numPr>
          <w:ilvl w:val="0"/>
          <w:numId w:val="20"/>
        </w:numPr>
        <w:ind w:left="1134" w:hanging="567"/>
      </w:pPr>
      <w:r w:rsidRPr="004E2894">
        <w:t xml:space="preserve">Availability of information </w:t>
      </w:r>
      <w:r w:rsidR="00E37C9C" w:rsidRPr="004E2894">
        <w:t>explaining</w:t>
      </w:r>
      <w:r w:rsidRPr="004E2894">
        <w:t xml:space="preserve"> the role </w:t>
      </w:r>
      <w:r w:rsidR="00E37C9C" w:rsidRPr="004E2894">
        <w:t xml:space="preserve">and importance </w:t>
      </w:r>
      <w:r w:rsidRPr="004E2894">
        <w:t xml:space="preserve">of TWPs (share information </w:t>
      </w:r>
      <w:r w:rsidR="00E37C9C" w:rsidRPr="004E2894">
        <w:t>via YouTube;</w:t>
      </w:r>
      <w:r w:rsidRPr="004E2894">
        <w:t xml:space="preserve"> create a TWP Linked</w:t>
      </w:r>
      <w:r w:rsidR="00E37C9C" w:rsidRPr="004E2894">
        <w:t>i</w:t>
      </w:r>
      <w:r w:rsidRPr="004E2894">
        <w:t xml:space="preserve">n page) </w:t>
      </w:r>
    </w:p>
    <w:p w:rsidR="006E548F" w:rsidRPr="004E2894" w:rsidRDefault="00E37C9C" w:rsidP="006E548F">
      <w:pPr>
        <w:pStyle w:val="ListParagraph"/>
        <w:numPr>
          <w:ilvl w:val="0"/>
          <w:numId w:val="20"/>
        </w:numPr>
        <w:ind w:left="1134" w:hanging="567"/>
      </w:pPr>
      <w:r w:rsidRPr="004E2894">
        <w:t xml:space="preserve">To improve </w:t>
      </w:r>
      <w:r w:rsidR="00773628" w:rsidRPr="004E2894">
        <w:t xml:space="preserve">targeting </w:t>
      </w:r>
      <w:r w:rsidRPr="004E2894">
        <w:t>of i</w:t>
      </w:r>
      <w:r w:rsidR="006E548F" w:rsidRPr="004E2894">
        <w:t xml:space="preserve">nvitations </w:t>
      </w:r>
      <w:r w:rsidRPr="004E2894">
        <w:t xml:space="preserve">to meetings </w:t>
      </w:r>
      <w:r w:rsidR="006E548F" w:rsidRPr="004E2894">
        <w:t>(reaching the right experts</w:t>
      </w:r>
      <w:r w:rsidRPr="004E2894">
        <w:t xml:space="preserve"> along with </w:t>
      </w:r>
      <w:r w:rsidR="006E548F" w:rsidRPr="004E2894">
        <w:t xml:space="preserve">information on relevance of work of </w:t>
      </w:r>
      <w:r w:rsidRPr="004E2894">
        <w:t xml:space="preserve">the </w:t>
      </w:r>
      <w:r w:rsidR="006E548F" w:rsidRPr="004E2894">
        <w:t>TWPs)</w:t>
      </w:r>
      <w:r w:rsidR="006A6FAD">
        <w:t>.</w:t>
      </w:r>
    </w:p>
    <w:p w:rsidR="006E548F" w:rsidRPr="004E2894" w:rsidRDefault="006E548F" w:rsidP="00A22233">
      <w:pPr>
        <w:rPr>
          <w:rFonts w:cs="Arial"/>
          <w:u w:val="single"/>
          <w:lang w:eastAsia="ja-JP"/>
        </w:rPr>
      </w:pPr>
    </w:p>
    <w:p w:rsidR="00E350FD" w:rsidRPr="004E2894" w:rsidRDefault="00E350FD" w:rsidP="002E22B2">
      <w:pPr>
        <w:keepNext/>
        <w:autoSpaceDE w:val="0"/>
        <w:autoSpaceDN w:val="0"/>
        <w:adjustRightInd w:val="0"/>
        <w:rPr>
          <w:i/>
          <w:szCs w:val="24"/>
        </w:rPr>
      </w:pPr>
      <w:r w:rsidRPr="004E2894">
        <w:rPr>
          <w:i/>
          <w:szCs w:val="24"/>
        </w:rPr>
        <w:lastRenderedPageBreak/>
        <w:t xml:space="preserve">Reports on developments within UPOV </w:t>
      </w:r>
    </w:p>
    <w:p w:rsidR="00E350FD" w:rsidRPr="004E2894" w:rsidRDefault="00E350FD" w:rsidP="00E350FD">
      <w:pPr>
        <w:keepNext/>
      </w:pPr>
    </w:p>
    <w:p w:rsidR="00E350FD" w:rsidRPr="004E2894" w:rsidRDefault="00E350FD" w:rsidP="006A6FAD">
      <w:pPr>
        <w:pStyle w:val="Style1"/>
        <w:tabs>
          <w:tab w:val="clear" w:pos="907"/>
          <w:tab w:val="clear" w:pos="1077"/>
        </w:tabs>
        <w:rPr>
          <w:rFonts w:ascii="Arial" w:eastAsia="MS Mincho" w:hAnsi="Arial" w:cs="Arial"/>
          <w:sz w:val="20"/>
          <w:szCs w:val="20"/>
        </w:rPr>
      </w:pPr>
      <w:r w:rsidRPr="005948AF">
        <w:rPr>
          <w:rFonts w:ascii="Arial" w:hAnsi="Arial" w:cs="Arial"/>
          <w:sz w:val="20"/>
          <w:szCs w:val="20"/>
        </w:rPr>
        <w:fldChar w:fldCharType="begin"/>
      </w:r>
      <w:r w:rsidRPr="004E2894">
        <w:rPr>
          <w:rFonts w:ascii="Arial" w:hAnsi="Arial" w:cs="Arial"/>
          <w:sz w:val="20"/>
          <w:szCs w:val="20"/>
        </w:rPr>
        <w:instrText xml:space="preserve"> AUTONUM  </w:instrText>
      </w:r>
      <w:r w:rsidRPr="005948AF">
        <w:rPr>
          <w:rFonts w:ascii="Arial" w:hAnsi="Arial" w:cs="Arial"/>
          <w:sz w:val="20"/>
          <w:szCs w:val="20"/>
        </w:rPr>
        <w:fldChar w:fldCharType="end"/>
      </w:r>
      <w:r w:rsidRPr="004E2894">
        <w:rPr>
          <w:rFonts w:ascii="Arial" w:hAnsi="Arial" w:cs="Arial"/>
          <w:sz w:val="20"/>
          <w:szCs w:val="20"/>
        </w:rPr>
        <w:tab/>
        <w:t>The TWC received a presentation from the Office of the Union on the latest developments within UPOV, a copy of which is provided in document TWC/35/2.</w:t>
      </w:r>
    </w:p>
    <w:p w:rsidR="00050E16" w:rsidRDefault="00050E16" w:rsidP="004B1215"/>
    <w:p w:rsidR="00E07077" w:rsidRPr="004E2894" w:rsidRDefault="00E07077" w:rsidP="004B1215"/>
    <w:p w:rsidR="00E350FD" w:rsidRPr="004E2894" w:rsidRDefault="00E350FD" w:rsidP="00770275">
      <w:pPr>
        <w:pStyle w:val="Heading2"/>
      </w:pPr>
      <w:r w:rsidRPr="004E2894">
        <w:t xml:space="preserve">Organization of the UPOV sessions </w:t>
      </w:r>
    </w:p>
    <w:p w:rsidR="00E350FD" w:rsidRPr="004E2894" w:rsidRDefault="00E350FD" w:rsidP="00E350FD"/>
    <w:p w:rsidR="00E350FD" w:rsidRPr="004E2894" w:rsidRDefault="00E350FD" w:rsidP="00E350FD">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 xml:space="preserve">ocument </w:t>
      </w:r>
      <w:hyperlink r:id="rId11" w:history="1">
        <w:r w:rsidRPr="006A6FAD">
          <w:rPr>
            <w:rStyle w:val="Hyperlink"/>
          </w:rPr>
          <w:t>TWP/1/24</w:t>
        </w:r>
      </w:hyperlink>
      <w:r w:rsidRPr="004E2894">
        <w:t>.</w:t>
      </w:r>
    </w:p>
    <w:p w:rsidR="00C3189A" w:rsidRPr="004E2894" w:rsidRDefault="00C3189A" w:rsidP="00C3189A">
      <w:pPr>
        <w:keepNext/>
        <w:rPr>
          <w:snapToGrid w:val="0"/>
        </w:rPr>
      </w:pPr>
    </w:p>
    <w:p w:rsidR="00C3189A" w:rsidRPr="004E2894" w:rsidRDefault="00C3189A" w:rsidP="00C3189A">
      <w:pPr>
        <w:rPr>
          <w:snapToGrid w:val="0"/>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noted that the Council had decided: </w:t>
      </w:r>
    </w:p>
    <w:p w:rsidR="00C3189A" w:rsidRPr="004E2894" w:rsidRDefault="00C3189A" w:rsidP="00C3189A">
      <w:pPr>
        <w:rPr>
          <w:snapToGrid w:val="0"/>
        </w:rPr>
      </w:pPr>
    </w:p>
    <w:p w:rsidR="00C3189A" w:rsidRPr="004E2894" w:rsidRDefault="00C3189A" w:rsidP="00C3189A">
      <w:pPr>
        <w:pStyle w:val="ListParagraph"/>
        <w:numPr>
          <w:ilvl w:val="0"/>
          <w:numId w:val="12"/>
        </w:numPr>
        <w:ind w:left="1134" w:hanging="567"/>
        <w:contextualSpacing/>
        <w:rPr>
          <w:snapToGrid w:val="0"/>
        </w:rPr>
      </w:pPr>
      <w:r w:rsidRPr="004E2894">
        <w:rPr>
          <w:snapToGrid w:val="0"/>
        </w:rPr>
        <w:t>to organize a single set of sessions of the bodies that meet in Geneva from 2018, in the period of October/November;</w:t>
      </w:r>
    </w:p>
    <w:p w:rsidR="00C3189A" w:rsidRPr="004E2894" w:rsidRDefault="00C3189A" w:rsidP="00C3189A">
      <w:pPr>
        <w:ind w:left="1134" w:hanging="567"/>
        <w:rPr>
          <w:snapToGrid w:val="0"/>
        </w:rPr>
      </w:pPr>
    </w:p>
    <w:p w:rsidR="00C3189A" w:rsidRPr="004E2894" w:rsidRDefault="00C3189A" w:rsidP="00C3189A">
      <w:pPr>
        <w:pStyle w:val="ListParagraph"/>
        <w:numPr>
          <w:ilvl w:val="0"/>
          <w:numId w:val="12"/>
        </w:numPr>
        <w:ind w:left="1134" w:hanging="567"/>
        <w:contextualSpacing/>
        <w:rPr>
          <w:snapToGrid w:val="0"/>
        </w:rPr>
      </w:pPr>
      <w:r w:rsidRPr="004E2894">
        <w:rPr>
          <w:snapToGrid w:val="0"/>
        </w:rPr>
        <w:t>that the Enlarged Editorial Committee (TC-EDC) would meet twice a year, once in the period March/April and once in conjunction with the TC sessions later in the year;</w:t>
      </w:r>
    </w:p>
    <w:p w:rsidR="00C3189A" w:rsidRPr="004E2894" w:rsidRDefault="00C3189A" w:rsidP="00C3189A">
      <w:pPr>
        <w:ind w:left="1134" w:hanging="567"/>
        <w:rPr>
          <w:snapToGrid w:val="0"/>
        </w:rPr>
      </w:pPr>
    </w:p>
    <w:p w:rsidR="00C3189A" w:rsidRPr="004E2894" w:rsidRDefault="00C3189A" w:rsidP="00C3189A">
      <w:pPr>
        <w:pStyle w:val="ListParagraph"/>
        <w:numPr>
          <w:ilvl w:val="0"/>
          <w:numId w:val="12"/>
        </w:numPr>
        <w:ind w:left="1134" w:hanging="567"/>
        <w:contextualSpacing/>
        <w:rPr>
          <w:snapToGrid w:val="0"/>
        </w:rPr>
      </w:pPr>
      <w:r w:rsidRPr="004E2894">
        <w:rPr>
          <w:snapToGrid w:val="0"/>
        </w:rPr>
        <w:t>that Test Guidelines that could not be prepared in time for adoption by the TC at its session could be adopted by correspondence on the basis of the recommendations by the TC-EDC;</w:t>
      </w:r>
    </w:p>
    <w:p w:rsidR="00C3189A" w:rsidRPr="004E2894" w:rsidRDefault="00C3189A" w:rsidP="00C3189A">
      <w:pPr>
        <w:pStyle w:val="ListParagraph"/>
        <w:ind w:left="1134" w:hanging="567"/>
        <w:rPr>
          <w:snapToGrid w:val="0"/>
        </w:rPr>
      </w:pPr>
    </w:p>
    <w:p w:rsidR="00C3189A" w:rsidRPr="004E2894" w:rsidRDefault="00C3189A" w:rsidP="00C3189A">
      <w:pPr>
        <w:pStyle w:val="ListParagraph"/>
        <w:numPr>
          <w:ilvl w:val="0"/>
          <w:numId w:val="12"/>
        </w:numPr>
        <w:ind w:left="1134" w:hanging="567"/>
        <w:contextualSpacing/>
        <w:rPr>
          <w:snapToGrid w:val="0"/>
          <w:sz w:val="22"/>
        </w:rPr>
      </w:pPr>
      <w:r w:rsidRPr="004E2894">
        <w:t>to adopt the following contingency measures for 2018:</w:t>
      </w:r>
    </w:p>
    <w:p w:rsidR="00C3189A" w:rsidRPr="004E2894" w:rsidRDefault="00C3189A" w:rsidP="00C3189A">
      <w:pPr>
        <w:ind w:left="1134" w:right="567" w:hanging="567"/>
        <w:rPr>
          <w:rFonts w:cs="Arial"/>
          <w:snapToGrid w:val="0"/>
          <w:sz w:val="18"/>
          <w:szCs w:val="18"/>
        </w:rPr>
      </w:pPr>
    </w:p>
    <w:p w:rsidR="00C3189A" w:rsidRPr="004E2894" w:rsidRDefault="00C3189A" w:rsidP="00C3189A">
      <w:pPr>
        <w:pStyle w:val="ListParagraph"/>
        <w:numPr>
          <w:ilvl w:val="0"/>
          <w:numId w:val="14"/>
        </w:numPr>
        <w:ind w:left="1701" w:right="567" w:hanging="567"/>
        <w:contextualSpacing/>
        <w:rPr>
          <w:rFonts w:cs="Arial"/>
          <w:iCs/>
          <w:snapToGrid w:val="0"/>
        </w:rPr>
      </w:pPr>
      <w:r w:rsidRPr="004E2894">
        <w:rPr>
          <w:rFonts w:cs="Arial"/>
          <w:iCs/>
          <w:snapToGrid w:val="0"/>
        </w:rPr>
        <w:t>for Test Guidelines proposed for adoption in 2018, to use a procedure for adoption by correspondence as follows:</w:t>
      </w:r>
    </w:p>
    <w:p w:rsidR="00C3189A" w:rsidRPr="004E2894" w:rsidRDefault="00C3189A" w:rsidP="00C3189A">
      <w:pPr>
        <w:tabs>
          <w:tab w:val="left" w:pos="1701"/>
        </w:tabs>
        <w:ind w:left="2268" w:right="567" w:hanging="283"/>
        <w:rPr>
          <w:rFonts w:cs="Arial"/>
          <w:iCs/>
          <w:snapToGrid w:val="0"/>
          <w:sz w:val="10"/>
        </w:rPr>
      </w:pPr>
    </w:p>
    <w:p w:rsidR="00C3189A" w:rsidRPr="004E2894" w:rsidRDefault="00C3189A" w:rsidP="00C3189A">
      <w:pPr>
        <w:pStyle w:val="ListParagraph"/>
        <w:numPr>
          <w:ilvl w:val="0"/>
          <w:numId w:val="13"/>
        </w:numPr>
        <w:ind w:left="2268" w:right="567" w:hanging="567"/>
        <w:contextualSpacing/>
        <w:rPr>
          <w:rFonts w:cs="Arial"/>
          <w:iCs/>
          <w:snapToGrid w:val="0"/>
        </w:rPr>
      </w:pPr>
      <w:r w:rsidRPr="004E2894">
        <w:rPr>
          <w:rFonts w:cs="Arial"/>
          <w:iCs/>
          <w:snapToGrid w:val="0"/>
        </w:rPr>
        <w:t>Draft Test Guidelines would be prepared as agreed by the TWPs and circulated with the recommendations of the TC-EDC;</w:t>
      </w:r>
    </w:p>
    <w:p w:rsidR="00C3189A" w:rsidRPr="004E2894" w:rsidRDefault="00C3189A" w:rsidP="00C3189A">
      <w:pPr>
        <w:pStyle w:val="ListParagraph"/>
        <w:numPr>
          <w:ilvl w:val="0"/>
          <w:numId w:val="13"/>
        </w:numPr>
        <w:tabs>
          <w:tab w:val="left" w:pos="567"/>
        </w:tabs>
        <w:ind w:left="2268" w:right="567" w:hanging="567"/>
        <w:contextualSpacing/>
        <w:rPr>
          <w:rFonts w:cs="Arial"/>
          <w:iCs/>
          <w:snapToGrid w:val="0"/>
        </w:rPr>
      </w:pPr>
      <w:r w:rsidRPr="004E2894">
        <w:rPr>
          <w:rFonts w:cs="Arial"/>
          <w:iCs/>
          <w:snapToGrid w:val="0"/>
        </w:rPr>
        <w:t xml:space="preserve">In the absence of any objections the Test Guidelines would be adopted; </w:t>
      </w:r>
    </w:p>
    <w:p w:rsidR="00C3189A" w:rsidRPr="004E2894" w:rsidRDefault="00C3189A" w:rsidP="00C3189A">
      <w:pPr>
        <w:pStyle w:val="ListParagraph"/>
        <w:numPr>
          <w:ilvl w:val="0"/>
          <w:numId w:val="13"/>
        </w:numPr>
        <w:ind w:left="2268" w:right="567" w:hanging="567"/>
        <w:contextualSpacing/>
        <w:rPr>
          <w:rFonts w:cs="Arial"/>
          <w:iCs/>
          <w:snapToGrid w:val="0"/>
        </w:rPr>
      </w:pPr>
      <w:r w:rsidRPr="004E2894">
        <w:rPr>
          <w:rFonts w:cs="Arial"/>
          <w:iCs/>
          <w:snapToGrid w:val="0"/>
        </w:rPr>
        <w:t>In the case of objections, the objections would be referred to the relevant TWP for consideration at their 2018 session, and the Test Guidelines considered for adoption by the TC at its fifty-fourth session, in 2018;</w:t>
      </w:r>
    </w:p>
    <w:p w:rsidR="00C3189A" w:rsidRPr="004E2894" w:rsidRDefault="00C3189A" w:rsidP="00C3189A">
      <w:pPr>
        <w:pStyle w:val="ListParagraph"/>
        <w:numPr>
          <w:ilvl w:val="0"/>
          <w:numId w:val="13"/>
        </w:numPr>
        <w:ind w:left="2268" w:right="567" w:hanging="567"/>
        <w:contextualSpacing/>
        <w:rPr>
          <w:rFonts w:cs="Arial"/>
          <w:iCs/>
          <w:snapToGrid w:val="0"/>
        </w:rPr>
      </w:pPr>
      <w:r w:rsidRPr="004E2894">
        <w:rPr>
          <w:rFonts w:cs="Arial"/>
          <w:iCs/>
          <w:snapToGrid w:val="0"/>
        </w:rPr>
        <w:t>TC-EDC to meet on March 26 and 27, 2018, and in conjunction with the TC at its fifty</w:t>
      </w:r>
      <w:r w:rsidRPr="004E2894">
        <w:rPr>
          <w:rFonts w:cs="Arial"/>
          <w:iCs/>
          <w:snapToGrid w:val="0"/>
        </w:rPr>
        <w:noBreakHyphen/>
        <w:t>fourth session, in 2018, if necessary.</w:t>
      </w:r>
    </w:p>
    <w:p w:rsidR="00C3189A" w:rsidRPr="004E2894" w:rsidRDefault="00C3189A" w:rsidP="00C3189A">
      <w:pPr>
        <w:tabs>
          <w:tab w:val="left" w:pos="1701"/>
        </w:tabs>
        <w:ind w:left="2268" w:right="567" w:hanging="567"/>
        <w:rPr>
          <w:rFonts w:cs="Arial"/>
          <w:iCs/>
          <w:snapToGrid w:val="0"/>
        </w:rPr>
      </w:pPr>
    </w:p>
    <w:p w:rsidR="00C3189A" w:rsidRPr="004E2894" w:rsidRDefault="00C3189A" w:rsidP="00C3189A">
      <w:pPr>
        <w:pStyle w:val="ListParagraph"/>
        <w:numPr>
          <w:ilvl w:val="0"/>
          <w:numId w:val="14"/>
        </w:numPr>
        <w:ind w:left="1701" w:right="567" w:hanging="567"/>
        <w:contextualSpacing/>
        <w:rPr>
          <w:rFonts w:cs="Arial"/>
          <w:iCs/>
          <w:snapToGrid w:val="0"/>
        </w:rPr>
      </w:pPr>
      <w:r w:rsidRPr="004E2894">
        <w:rPr>
          <w:rFonts w:cs="Arial"/>
          <w:iCs/>
          <w:snapToGrid w:val="0"/>
        </w:rPr>
        <w:t>for TGP documents, to invite the TC-EDC to consolidate comments made by the TWPs at their sessions in 2017 and, in the absence of consensus between the TWPs, formulate proposals for further consideration by the TWPs at their sessions in 2018;  </w:t>
      </w:r>
    </w:p>
    <w:p w:rsidR="00C3189A" w:rsidRPr="004E2894" w:rsidRDefault="00C3189A" w:rsidP="00C3189A">
      <w:pPr>
        <w:tabs>
          <w:tab w:val="left" w:pos="1701"/>
        </w:tabs>
        <w:ind w:left="1701" w:right="567" w:hanging="567"/>
        <w:rPr>
          <w:rFonts w:cs="Arial"/>
          <w:iCs/>
          <w:snapToGrid w:val="0"/>
        </w:rPr>
      </w:pPr>
    </w:p>
    <w:p w:rsidR="00C3189A" w:rsidRPr="004E2894" w:rsidRDefault="00C3189A" w:rsidP="00C3189A">
      <w:pPr>
        <w:pStyle w:val="ListParagraph"/>
        <w:numPr>
          <w:ilvl w:val="0"/>
          <w:numId w:val="14"/>
        </w:numPr>
        <w:ind w:left="1701" w:right="567" w:hanging="567"/>
        <w:contextualSpacing/>
        <w:rPr>
          <w:rFonts w:cs="Arial"/>
          <w:iCs/>
          <w:snapToGrid w:val="0"/>
        </w:rPr>
      </w:pPr>
      <w:r w:rsidRPr="004E2894">
        <w:rPr>
          <w:rFonts w:cs="Arial"/>
          <w:iCs/>
          <w:snapToGrid w:val="0"/>
        </w:rPr>
        <w:t>all other matters to be considered at the fifty-fourth session of the TC in 2018 in the normal way.</w:t>
      </w:r>
    </w:p>
    <w:p w:rsidR="00C3189A" w:rsidRPr="004E2894" w:rsidRDefault="00C3189A" w:rsidP="00C3189A">
      <w:pPr>
        <w:rPr>
          <w:snapToGrid w:val="0"/>
        </w:rPr>
      </w:pPr>
    </w:p>
    <w:p w:rsidR="00C3189A" w:rsidRPr="004E2894" w:rsidRDefault="00C3189A" w:rsidP="00C3189A">
      <w:pPr>
        <w:rPr>
          <w:snapToGrid w:val="0"/>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The TWC noted that the TC had agreed to propose that the meetings of the BMT be held on an annual basis.</w:t>
      </w:r>
    </w:p>
    <w:p w:rsidR="00C3189A" w:rsidRPr="004E2894" w:rsidRDefault="00C3189A" w:rsidP="00C3189A">
      <w:pPr>
        <w:rPr>
          <w:snapToGrid w:val="0"/>
        </w:rPr>
      </w:pPr>
    </w:p>
    <w:p w:rsidR="00C3189A" w:rsidRPr="004E2894" w:rsidRDefault="00C3189A" w:rsidP="00C3189A">
      <w:pPr>
        <w:rPr>
          <w:snapToGrid w:val="0"/>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The TWC noted that the TC had agreed to propose that consideration be given to organizing the sessions of the TWC and BMT back-to-back in the same location to facilitate exchange of information.</w:t>
      </w:r>
    </w:p>
    <w:p w:rsidR="00C3189A" w:rsidRPr="004E2894" w:rsidRDefault="00C3189A" w:rsidP="00C3189A">
      <w:pPr>
        <w:rPr>
          <w:snapToGrid w:val="0"/>
        </w:rPr>
      </w:pPr>
    </w:p>
    <w:p w:rsidR="00C3189A" w:rsidRPr="004E2894" w:rsidRDefault="00C3189A" w:rsidP="00C3189A">
      <w:pPr>
        <w:rPr>
          <w:snapToGrid w:val="0"/>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noted that the TC had agreed that the preparatory workshops in 2018 should be organized on the Monday/Tuesday of the TWPs sessions to encourage participation by all TWP participants. </w:t>
      </w:r>
    </w:p>
    <w:p w:rsidR="00C3189A" w:rsidRPr="004E2894" w:rsidRDefault="00C3189A" w:rsidP="00C3189A">
      <w:pPr>
        <w:rPr>
          <w:snapToGrid w:val="0"/>
        </w:rPr>
      </w:pPr>
    </w:p>
    <w:p w:rsidR="00C3189A" w:rsidRPr="004E2894" w:rsidRDefault="00C3189A" w:rsidP="00C3189A">
      <w:pPr>
        <w:rPr>
          <w:snapToGrid w:val="0"/>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The TWC noted that from 2017, for certain documents, the TWPs would be invited to consider the same document on a particular topic, using a common document code.</w:t>
      </w:r>
    </w:p>
    <w:p w:rsidR="00C3189A" w:rsidRPr="004E2894" w:rsidRDefault="00C3189A" w:rsidP="00C3189A">
      <w:pPr>
        <w:rPr>
          <w:snapToGrid w:val="0"/>
        </w:rPr>
      </w:pPr>
    </w:p>
    <w:p w:rsidR="00C50BF7" w:rsidRPr="004E2894" w:rsidRDefault="00C3189A" w:rsidP="00244470">
      <w:pPr>
        <w:rPr>
          <w:snapToGrid w:val="0"/>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r>
      <w:r w:rsidR="00244470" w:rsidRPr="004E2894">
        <w:rPr>
          <w:snapToGrid w:val="0"/>
        </w:rPr>
        <w:t xml:space="preserve">The TWC </w:t>
      </w:r>
      <w:r w:rsidR="00A006CE" w:rsidRPr="004E2894">
        <w:rPr>
          <w:snapToGrid w:val="0"/>
        </w:rPr>
        <w:t xml:space="preserve">agreed </w:t>
      </w:r>
      <w:r w:rsidR="00244470" w:rsidRPr="004E2894">
        <w:rPr>
          <w:snapToGrid w:val="0"/>
        </w:rPr>
        <w:t xml:space="preserve">that the number of participants at BMT meetings and TWC sessions was different and agreed that this aspect should be taken into consideration when </w:t>
      </w:r>
      <w:r w:rsidR="00C719B6" w:rsidRPr="004E2894">
        <w:rPr>
          <w:snapToGrid w:val="0"/>
        </w:rPr>
        <w:t>organizing</w:t>
      </w:r>
      <w:r w:rsidR="00244470" w:rsidRPr="004E2894">
        <w:rPr>
          <w:snapToGrid w:val="0"/>
        </w:rPr>
        <w:t xml:space="preserve"> back-to-back</w:t>
      </w:r>
      <w:r w:rsidR="00C719B6" w:rsidRPr="004E2894">
        <w:rPr>
          <w:snapToGrid w:val="0"/>
        </w:rPr>
        <w:t xml:space="preserve"> </w:t>
      </w:r>
      <w:r w:rsidR="00A006CE" w:rsidRPr="004E2894">
        <w:rPr>
          <w:snapToGrid w:val="0"/>
        </w:rPr>
        <w:t>sessions</w:t>
      </w:r>
      <w:r w:rsidR="00244470" w:rsidRPr="004E2894">
        <w:rPr>
          <w:snapToGrid w:val="0"/>
        </w:rPr>
        <w:t xml:space="preserve">.  </w:t>
      </w:r>
    </w:p>
    <w:p w:rsidR="00C50BF7" w:rsidRPr="004E2894" w:rsidRDefault="00C50BF7" w:rsidP="00244470">
      <w:pPr>
        <w:rPr>
          <w:snapToGrid w:val="0"/>
        </w:rPr>
      </w:pPr>
    </w:p>
    <w:p w:rsidR="00A006CE" w:rsidRPr="004E2894" w:rsidRDefault="00C50BF7" w:rsidP="00244470">
      <w:pPr>
        <w:rPr>
          <w:snapToGrid w:val="0"/>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00A006CE" w:rsidRPr="004E2894">
        <w:rPr>
          <w:snapToGrid w:val="0"/>
        </w:rPr>
        <w:t xml:space="preserve">discussed </w:t>
      </w:r>
      <w:r w:rsidR="00A34369" w:rsidRPr="004E2894">
        <w:rPr>
          <w:snapToGrid w:val="0"/>
        </w:rPr>
        <w:t>different possibilities for cooperation between the work of the BMT and the TWC such as on databases and bio-informatics</w:t>
      </w:r>
      <w:r w:rsidR="00685162" w:rsidRPr="004E2894">
        <w:rPr>
          <w:snapToGrid w:val="0"/>
        </w:rPr>
        <w:t xml:space="preserve">.  The TWC agreed that strengthening the cooperation between the work of the BMT and the TWC would require further </w:t>
      </w:r>
      <w:r w:rsidR="00A006CE" w:rsidRPr="004E2894">
        <w:rPr>
          <w:snapToGrid w:val="0"/>
        </w:rPr>
        <w:t>consideration</w:t>
      </w:r>
      <w:r w:rsidR="00685162" w:rsidRPr="004E2894">
        <w:rPr>
          <w:snapToGrid w:val="0"/>
        </w:rPr>
        <w:t xml:space="preserve"> within UPOV.  </w:t>
      </w:r>
    </w:p>
    <w:p w:rsidR="00A006CE" w:rsidRPr="004E2894" w:rsidRDefault="00A006CE" w:rsidP="00244470">
      <w:pPr>
        <w:rPr>
          <w:snapToGrid w:val="0"/>
        </w:rPr>
      </w:pPr>
    </w:p>
    <w:p w:rsidR="00244470" w:rsidRPr="004E2894" w:rsidRDefault="00A006CE" w:rsidP="00244470">
      <w:pPr>
        <w:rPr>
          <w:snapToGrid w:val="0"/>
        </w:rPr>
      </w:pPr>
      <w:r w:rsidRPr="005948AF">
        <w:rPr>
          <w:snapToGrid w:val="0"/>
        </w:rPr>
        <w:lastRenderedPageBreak/>
        <w:fldChar w:fldCharType="begin"/>
      </w:r>
      <w:r w:rsidRPr="004E2894">
        <w:rPr>
          <w:snapToGrid w:val="0"/>
        </w:rPr>
        <w:instrText xml:space="preserve"> AUTONUM  </w:instrText>
      </w:r>
      <w:r w:rsidRPr="005948AF">
        <w:rPr>
          <w:snapToGrid w:val="0"/>
        </w:rPr>
        <w:fldChar w:fldCharType="end"/>
      </w:r>
      <w:r w:rsidRPr="004E2894">
        <w:rPr>
          <w:snapToGrid w:val="0"/>
        </w:rPr>
        <w:tab/>
      </w:r>
      <w:r w:rsidR="00685162" w:rsidRPr="004E2894">
        <w:rPr>
          <w:snapToGrid w:val="0"/>
        </w:rPr>
        <w:t>The TWC agreed to invite members</w:t>
      </w:r>
      <w:r w:rsidRPr="004E2894">
        <w:rPr>
          <w:snapToGrid w:val="0"/>
        </w:rPr>
        <w:t xml:space="preserve"> of the Union</w:t>
      </w:r>
      <w:r w:rsidR="00685162" w:rsidRPr="004E2894">
        <w:rPr>
          <w:snapToGrid w:val="0"/>
        </w:rPr>
        <w:t xml:space="preserve"> to make presentations on the use of different molecular marker techniques in DUS examination</w:t>
      </w:r>
      <w:r w:rsidRPr="004E2894">
        <w:rPr>
          <w:snapToGrid w:val="0"/>
        </w:rPr>
        <w:t xml:space="preserve"> at its thirty-sixth session</w:t>
      </w:r>
      <w:r w:rsidR="00685162" w:rsidRPr="004E2894">
        <w:rPr>
          <w:snapToGrid w:val="0"/>
        </w:rPr>
        <w:t xml:space="preserve"> to explore possibilities for cooperation with the work of the BMT</w:t>
      </w:r>
      <w:r w:rsidRPr="004E2894">
        <w:rPr>
          <w:snapToGrid w:val="0"/>
        </w:rPr>
        <w:t xml:space="preserve"> and noted the offer of the </w:t>
      </w:r>
      <w:r w:rsidRPr="004E2894">
        <w:rPr>
          <w:rFonts w:cs="Arial"/>
          <w:snapToGrid w:val="0"/>
          <w:color w:val="000000"/>
        </w:rPr>
        <w:t>Netherlands</w:t>
      </w:r>
      <w:r w:rsidRPr="004E2894">
        <w:rPr>
          <w:snapToGrid w:val="0"/>
        </w:rPr>
        <w:t xml:space="preserve"> to make such a presentation</w:t>
      </w:r>
      <w:r w:rsidR="00685162" w:rsidRPr="004E2894">
        <w:rPr>
          <w:snapToGrid w:val="0"/>
        </w:rPr>
        <w:t>.</w:t>
      </w:r>
      <w:r w:rsidR="00685162" w:rsidRPr="004E2894">
        <w:rPr>
          <w:snapToGrid w:val="0"/>
          <w:highlight w:val="cyan"/>
        </w:rPr>
        <w:t xml:space="preserve">  </w:t>
      </w:r>
    </w:p>
    <w:p w:rsidR="00244470" w:rsidRPr="004E2894" w:rsidRDefault="00244470" w:rsidP="00244470">
      <w:pPr>
        <w:rPr>
          <w:snapToGrid w:val="0"/>
        </w:rPr>
      </w:pPr>
    </w:p>
    <w:p w:rsidR="00145043" w:rsidRPr="004E2894" w:rsidRDefault="00C719B6" w:rsidP="00244470">
      <w:pPr>
        <w:rPr>
          <w:snapToGrid w:val="0"/>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r>
      <w:r w:rsidR="004C567F" w:rsidRPr="004E2894">
        <w:rPr>
          <w:snapToGrid w:val="0"/>
        </w:rPr>
        <w:t xml:space="preserve">The TWC considered the scheduling of the preparatory workshops on the same day as the opening of the TWP sessions and agreed that holding a preparatory workshop </w:t>
      </w:r>
      <w:r w:rsidR="00A006CE" w:rsidRPr="004E2894">
        <w:rPr>
          <w:snapToGrid w:val="0"/>
        </w:rPr>
        <w:t xml:space="preserve">at </w:t>
      </w:r>
      <w:r w:rsidR="004C567F" w:rsidRPr="004E2894">
        <w:rPr>
          <w:snapToGrid w:val="0"/>
        </w:rPr>
        <w:t xml:space="preserve">the </w:t>
      </w:r>
      <w:r w:rsidR="00A006CE" w:rsidRPr="004E2894">
        <w:rPr>
          <w:snapToGrid w:val="0"/>
        </w:rPr>
        <w:t xml:space="preserve">start of the </w:t>
      </w:r>
      <w:r w:rsidR="004C567F" w:rsidRPr="004E2894">
        <w:rPr>
          <w:snapToGrid w:val="0"/>
        </w:rPr>
        <w:t>session was an opportunity for capacity</w:t>
      </w:r>
      <w:r w:rsidR="00A006CE" w:rsidRPr="004E2894">
        <w:rPr>
          <w:snapToGrid w:val="0"/>
        </w:rPr>
        <w:t>-</w:t>
      </w:r>
      <w:r w:rsidR="004C567F" w:rsidRPr="004E2894">
        <w:rPr>
          <w:snapToGrid w:val="0"/>
        </w:rPr>
        <w:t xml:space="preserve">building </w:t>
      </w:r>
      <w:r w:rsidR="00A006CE" w:rsidRPr="004E2894">
        <w:rPr>
          <w:snapToGrid w:val="0"/>
        </w:rPr>
        <w:t xml:space="preserve">for </w:t>
      </w:r>
      <w:r w:rsidR="004C567F" w:rsidRPr="004E2894">
        <w:rPr>
          <w:snapToGrid w:val="0"/>
        </w:rPr>
        <w:t xml:space="preserve">local staff.  </w:t>
      </w:r>
      <w:r w:rsidR="00145043" w:rsidRPr="004E2894">
        <w:rPr>
          <w:snapToGrid w:val="0"/>
        </w:rPr>
        <w:t xml:space="preserve">The TWC considered ways to further increase the participation of experts to the </w:t>
      </w:r>
      <w:r w:rsidR="00D0300C" w:rsidRPr="004E2894">
        <w:rPr>
          <w:snapToGrid w:val="0"/>
        </w:rPr>
        <w:t>preparatory</w:t>
      </w:r>
      <w:r w:rsidR="00145043" w:rsidRPr="004E2894">
        <w:rPr>
          <w:snapToGrid w:val="0"/>
        </w:rPr>
        <w:t xml:space="preserve"> workshops and agreed that the following proposals could be further explored: </w:t>
      </w:r>
    </w:p>
    <w:p w:rsidR="00145043" w:rsidRPr="004E2894" w:rsidRDefault="00145043" w:rsidP="00244470">
      <w:pPr>
        <w:rPr>
          <w:snapToGrid w:val="0"/>
        </w:rPr>
      </w:pPr>
    </w:p>
    <w:p w:rsidR="00145043" w:rsidRPr="004E2894" w:rsidRDefault="00145043" w:rsidP="00145043">
      <w:pPr>
        <w:pStyle w:val="ListParagraph"/>
        <w:numPr>
          <w:ilvl w:val="0"/>
          <w:numId w:val="18"/>
        </w:numPr>
        <w:ind w:left="1134" w:hanging="567"/>
        <w:rPr>
          <w:snapToGrid w:val="0"/>
        </w:rPr>
      </w:pPr>
      <w:r w:rsidRPr="004E2894">
        <w:rPr>
          <w:snapToGrid w:val="0"/>
        </w:rPr>
        <w:t xml:space="preserve">to </w:t>
      </w:r>
      <w:r w:rsidR="004C567F" w:rsidRPr="004E2894">
        <w:rPr>
          <w:snapToGrid w:val="0"/>
        </w:rPr>
        <w:t xml:space="preserve">distribute </w:t>
      </w:r>
      <w:r w:rsidR="00244470" w:rsidRPr="004E2894">
        <w:rPr>
          <w:snapToGrid w:val="0"/>
        </w:rPr>
        <w:t>the conten</w:t>
      </w:r>
      <w:r w:rsidR="00A006CE" w:rsidRPr="004E2894">
        <w:rPr>
          <w:snapToGrid w:val="0"/>
        </w:rPr>
        <w:t>t</w:t>
      </w:r>
      <w:r w:rsidR="00244470" w:rsidRPr="004E2894">
        <w:rPr>
          <w:snapToGrid w:val="0"/>
        </w:rPr>
        <w:t xml:space="preserve"> of the preparatory workshop throughout </w:t>
      </w:r>
      <w:r w:rsidR="004C567F" w:rsidRPr="004E2894">
        <w:rPr>
          <w:snapToGrid w:val="0"/>
        </w:rPr>
        <w:t xml:space="preserve">the agenda of </w:t>
      </w:r>
      <w:r w:rsidR="00244470" w:rsidRPr="004E2894">
        <w:rPr>
          <w:snapToGrid w:val="0"/>
        </w:rPr>
        <w:t xml:space="preserve">the TWPs </w:t>
      </w:r>
      <w:r w:rsidRPr="004E2894">
        <w:rPr>
          <w:snapToGrid w:val="0"/>
        </w:rPr>
        <w:t xml:space="preserve">as an </w:t>
      </w:r>
      <w:r w:rsidR="00244470" w:rsidRPr="004E2894">
        <w:rPr>
          <w:snapToGrid w:val="0"/>
        </w:rPr>
        <w:t xml:space="preserve">introduction to </w:t>
      </w:r>
      <w:r w:rsidRPr="004E2894">
        <w:rPr>
          <w:snapToGrid w:val="0"/>
        </w:rPr>
        <w:t>the relevant topics;</w:t>
      </w:r>
    </w:p>
    <w:p w:rsidR="00244470" w:rsidRPr="004E2894" w:rsidRDefault="00145043" w:rsidP="00145043">
      <w:pPr>
        <w:pStyle w:val="ListParagraph"/>
        <w:numPr>
          <w:ilvl w:val="0"/>
          <w:numId w:val="18"/>
        </w:numPr>
        <w:ind w:left="1134" w:hanging="567"/>
        <w:rPr>
          <w:snapToGrid w:val="0"/>
        </w:rPr>
      </w:pPr>
      <w:r w:rsidRPr="004E2894">
        <w:rPr>
          <w:snapToGrid w:val="0"/>
        </w:rPr>
        <w:t xml:space="preserve">to revise the content of the </w:t>
      </w:r>
      <w:r w:rsidR="00244470" w:rsidRPr="004E2894">
        <w:rPr>
          <w:snapToGrid w:val="0"/>
        </w:rPr>
        <w:t xml:space="preserve">preparatory workshop </w:t>
      </w:r>
      <w:r w:rsidRPr="004E2894">
        <w:rPr>
          <w:snapToGrid w:val="0"/>
        </w:rPr>
        <w:t xml:space="preserve">in line with the </w:t>
      </w:r>
      <w:r w:rsidR="00244470" w:rsidRPr="004E2894">
        <w:rPr>
          <w:snapToGrid w:val="0"/>
        </w:rPr>
        <w:t xml:space="preserve">program of </w:t>
      </w:r>
      <w:r w:rsidR="00A006CE" w:rsidRPr="004E2894">
        <w:rPr>
          <w:snapToGrid w:val="0"/>
        </w:rPr>
        <w:t>work</w:t>
      </w:r>
      <w:r w:rsidRPr="004E2894">
        <w:rPr>
          <w:snapToGrid w:val="0"/>
        </w:rPr>
        <w:t xml:space="preserve"> for each TWP.</w:t>
      </w:r>
    </w:p>
    <w:p w:rsidR="00244470" w:rsidRPr="004E2894" w:rsidRDefault="00244470" w:rsidP="00244470">
      <w:pPr>
        <w:rPr>
          <w:snapToGrid w:val="0"/>
        </w:rPr>
      </w:pPr>
    </w:p>
    <w:p w:rsidR="00244470" w:rsidRPr="004E2894" w:rsidRDefault="002B7CB8" w:rsidP="00244470">
      <w:pPr>
        <w:rPr>
          <w:snapToGrid w:val="0"/>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00244470" w:rsidRPr="004E2894">
        <w:rPr>
          <w:snapToGrid w:val="0"/>
        </w:rPr>
        <w:t>agree</w:t>
      </w:r>
      <w:r w:rsidRPr="004E2894">
        <w:rPr>
          <w:snapToGrid w:val="0"/>
        </w:rPr>
        <w:t xml:space="preserve">d </w:t>
      </w:r>
      <w:r w:rsidR="00244470" w:rsidRPr="004E2894">
        <w:rPr>
          <w:snapToGrid w:val="0"/>
        </w:rPr>
        <w:t xml:space="preserve">that </w:t>
      </w:r>
      <w:r w:rsidRPr="004E2894">
        <w:rPr>
          <w:snapToGrid w:val="0"/>
        </w:rPr>
        <w:t xml:space="preserve">TWP </w:t>
      </w:r>
      <w:r w:rsidR="00244470" w:rsidRPr="004E2894">
        <w:rPr>
          <w:snapToGrid w:val="0"/>
        </w:rPr>
        <w:t>documents</w:t>
      </w:r>
      <w:r w:rsidR="00A006CE" w:rsidRPr="004E2894">
        <w:rPr>
          <w:snapToGrid w:val="0"/>
        </w:rPr>
        <w:t xml:space="preserve"> concerning methods</w:t>
      </w:r>
      <w:r w:rsidR="00244470" w:rsidRPr="004E2894">
        <w:rPr>
          <w:snapToGrid w:val="0"/>
        </w:rPr>
        <w:t xml:space="preserve"> should </w:t>
      </w:r>
      <w:r w:rsidR="00195CFF" w:rsidRPr="004E2894">
        <w:rPr>
          <w:snapToGrid w:val="0"/>
        </w:rPr>
        <w:t>provide</w:t>
      </w:r>
      <w:r w:rsidR="00244470" w:rsidRPr="004E2894">
        <w:rPr>
          <w:snapToGrid w:val="0"/>
        </w:rPr>
        <w:t xml:space="preserve"> a concise introduction to </w:t>
      </w:r>
      <w:r w:rsidR="00195CFF" w:rsidRPr="004E2894">
        <w:rPr>
          <w:snapToGrid w:val="0"/>
        </w:rPr>
        <w:t>context in which the method was used</w:t>
      </w:r>
      <w:r w:rsidR="00244470" w:rsidRPr="004E2894">
        <w:rPr>
          <w:snapToGrid w:val="0"/>
        </w:rPr>
        <w:t xml:space="preserve">.  </w:t>
      </w:r>
      <w:r w:rsidR="00195CFF" w:rsidRPr="004E2894">
        <w:rPr>
          <w:snapToGrid w:val="0"/>
        </w:rPr>
        <w:t xml:space="preserve">The TWC </w:t>
      </w:r>
      <w:r w:rsidR="00A006CE" w:rsidRPr="004E2894">
        <w:rPr>
          <w:snapToGrid w:val="0"/>
        </w:rPr>
        <w:t xml:space="preserve">also </w:t>
      </w:r>
      <w:r w:rsidR="00195CFF" w:rsidRPr="004E2894">
        <w:rPr>
          <w:snapToGrid w:val="0"/>
        </w:rPr>
        <w:t xml:space="preserve">agreed that </w:t>
      </w:r>
      <w:r w:rsidR="00244470" w:rsidRPr="004E2894">
        <w:rPr>
          <w:snapToGrid w:val="0"/>
        </w:rPr>
        <w:t>expert</w:t>
      </w:r>
      <w:r w:rsidR="002B2575" w:rsidRPr="004E2894">
        <w:rPr>
          <w:snapToGrid w:val="0"/>
        </w:rPr>
        <w:t>s</w:t>
      </w:r>
      <w:r w:rsidR="00195CFF" w:rsidRPr="004E2894">
        <w:rPr>
          <w:snapToGrid w:val="0"/>
        </w:rPr>
        <w:t xml:space="preserve"> present at the meeting </w:t>
      </w:r>
      <w:r w:rsidR="002B2575" w:rsidRPr="004E2894">
        <w:rPr>
          <w:snapToGrid w:val="0"/>
        </w:rPr>
        <w:t xml:space="preserve">should be invited to </w:t>
      </w:r>
      <w:r w:rsidR="00244470" w:rsidRPr="004E2894">
        <w:rPr>
          <w:snapToGrid w:val="0"/>
        </w:rPr>
        <w:t>provide an introduction to the topic b</w:t>
      </w:r>
      <w:r w:rsidR="002B2575" w:rsidRPr="004E2894">
        <w:rPr>
          <w:snapToGrid w:val="0"/>
        </w:rPr>
        <w:t>efore discussing the document.</w:t>
      </w:r>
    </w:p>
    <w:p w:rsidR="005819D9" w:rsidRPr="004E2894" w:rsidRDefault="005819D9" w:rsidP="00C3189A"/>
    <w:p w:rsidR="005136D2" w:rsidRPr="004E2894" w:rsidRDefault="005136D2" w:rsidP="005136D2">
      <w:pPr>
        <w:rPr>
          <w:i/>
        </w:rPr>
      </w:pPr>
    </w:p>
    <w:p w:rsidR="005136D2" w:rsidRPr="004E2894" w:rsidRDefault="005136D2" w:rsidP="005136D2">
      <w:pPr>
        <w:pStyle w:val="Heading2"/>
      </w:pPr>
      <w:r w:rsidRPr="004E2894">
        <w:t>Assessing Uniformity by Off-Types on the Basis of More than One Growing Cycle or on the Basis of Sub</w:t>
      </w:r>
      <w:r w:rsidRPr="004E2894">
        <w:noBreakHyphen/>
        <w:t>Samples</w:t>
      </w:r>
    </w:p>
    <w:p w:rsidR="005136D2" w:rsidRPr="004E2894" w:rsidRDefault="005136D2" w:rsidP="005136D2">
      <w:pPr>
        <w:rPr>
          <w:u w:val="single"/>
        </w:rPr>
      </w:pPr>
    </w:p>
    <w:p w:rsidR="005136D2" w:rsidRPr="004E2894" w:rsidRDefault="005136D2" w:rsidP="005136D2">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 xml:space="preserve">ocument </w:t>
      </w:r>
      <w:hyperlink r:id="rId12" w:history="1">
        <w:r w:rsidRPr="006A6FAD">
          <w:rPr>
            <w:rStyle w:val="Hyperlink"/>
          </w:rPr>
          <w:t>TWP/1/17 Rev</w:t>
        </w:r>
      </w:hyperlink>
      <w:r w:rsidRPr="004E2894">
        <w:t>.</w:t>
      </w:r>
    </w:p>
    <w:p w:rsidR="005136D2" w:rsidRPr="004E2894" w:rsidRDefault="005136D2" w:rsidP="005136D2"/>
    <w:p w:rsidR="005136D2" w:rsidRPr="004E2894" w:rsidRDefault="005136D2" w:rsidP="005136D2">
      <w:r w:rsidRPr="005948AF">
        <w:fldChar w:fldCharType="begin"/>
      </w:r>
      <w:r w:rsidRPr="004E2894">
        <w:instrText xml:space="preserve"> AUTONUM  </w:instrText>
      </w:r>
      <w:r w:rsidRPr="005948AF">
        <w:fldChar w:fldCharType="end"/>
      </w:r>
      <w:r w:rsidRPr="004E2894">
        <w:tab/>
        <w:t>The TWC considered the draft guidance presented in Annexes I and II of document TWP/1/17 Rev. as amended by the TWPs, at their sessions in 2016, for inclusion in a future revision of document TGP/10.</w:t>
      </w:r>
    </w:p>
    <w:p w:rsidR="009467A1" w:rsidRPr="004E2894" w:rsidRDefault="009467A1" w:rsidP="009467A1"/>
    <w:p w:rsidR="009467A1" w:rsidRPr="004E2894" w:rsidRDefault="009467A1" w:rsidP="009467A1">
      <w:r w:rsidRPr="005948AF">
        <w:fldChar w:fldCharType="begin"/>
      </w:r>
      <w:r w:rsidRPr="004E2894">
        <w:instrText xml:space="preserve"> AUTONUM  </w:instrText>
      </w:r>
      <w:r w:rsidRPr="005948AF">
        <w:fldChar w:fldCharType="end"/>
      </w:r>
      <w:r w:rsidRPr="004E2894">
        <w:tab/>
        <w:t>The TWC agreed with the TWA that the new sentence introduced in the draft guidance, Annex I, should be amended to read as follows:</w:t>
      </w:r>
    </w:p>
    <w:p w:rsidR="009467A1" w:rsidRPr="004E2894" w:rsidRDefault="009467A1" w:rsidP="009467A1"/>
    <w:p w:rsidR="009467A1" w:rsidRPr="004E2894" w:rsidRDefault="009467A1" w:rsidP="009467A1">
      <w:pPr>
        <w:ind w:left="567" w:right="567"/>
        <w:rPr>
          <w:sz w:val="18"/>
          <w:u w:val="single"/>
        </w:rPr>
      </w:pPr>
      <w:r w:rsidRPr="004E2894">
        <w:rPr>
          <w:sz w:val="18"/>
        </w:rPr>
        <w:t>“It is important to identify whether differences in number of off</w:t>
      </w:r>
      <w:r w:rsidRPr="004E2894">
        <w:rPr>
          <w:sz w:val="18"/>
        </w:rPr>
        <w:noBreakHyphen/>
        <w:t xml:space="preserve">types between growing cycles were due to </w:t>
      </w:r>
      <w:r w:rsidRPr="004E2894">
        <w:rPr>
          <w:strike/>
          <w:sz w:val="18"/>
          <w:highlight w:val="lightGray"/>
        </w:rPr>
        <w:t>biological</w:t>
      </w:r>
      <w:r w:rsidRPr="004E2894">
        <w:rPr>
          <w:sz w:val="18"/>
          <w:highlight w:val="lightGray"/>
          <w:u w:val="single"/>
        </w:rPr>
        <w:t xml:space="preserve"> environmental</w:t>
      </w:r>
      <w:r w:rsidRPr="004E2894">
        <w:rPr>
          <w:sz w:val="18"/>
          <w:u w:val="single"/>
        </w:rPr>
        <w:t xml:space="preserve"> </w:t>
      </w:r>
      <w:r w:rsidRPr="004E2894">
        <w:rPr>
          <w:sz w:val="18"/>
        </w:rPr>
        <w:t>reasons or sampling variation.”</w:t>
      </w:r>
    </w:p>
    <w:p w:rsidR="009467A1" w:rsidRPr="004E2894" w:rsidRDefault="009467A1" w:rsidP="009467A1"/>
    <w:p w:rsidR="009467A1" w:rsidRPr="004E2894" w:rsidRDefault="009467A1" w:rsidP="009467A1">
      <w:pPr>
        <w:rPr>
          <w:rFonts w:cs="Arial"/>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considered </w:t>
      </w:r>
      <w:r w:rsidRPr="004E2894">
        <w:t>whether a more general criteria should be used in Annex I for a variety to be rejected after a single growing cycle rather than the specific case of having exceeded the allowed number of off</w:t>
      </w:r>
      <w:r w:rsidR="009E02A9" w:rsidRPr="004E2894">
        <w:t>-</w:t>
      </w:r>
      <w:r w:rsidRPr="004E2894">
        <w:t>types in two growing cycles.</w:t>
      </w:r>
      <w:r w:rsidRPr="004E2894">
        <w:rPr>
          <w:snapToGrid w:val="0"/>
        </w:rPr>
        <w:t xml:space="preserve">  The TWC </w:t>
      </w:r>
      <w:r w:rsidRPr="004E2894">
        <w:t xml:space="preserve">agreed that the </w:t>
      </w:r>
      <w:r w:rsidR="009E02A9" w:rsidRPr="004E2894">
        <w:t>predefined upper limit of the allowed number of off</w:t>
      </w:r>
      <w:r w:rsidR="009E02A9" w:rsidRPr="004E2894">
        <w:noBreakHyphen/>
        <w:t xml:space="preserve">types in two growing cycles was </w:t>
      </w:r>
      <w:r w:rsidR="00A006CE" w:rsidRPr="004E2894">
        <w:t xml:space="preserve">a </w:t>
      </w:r>
      <w:r w:rsidR="009E02A9" w:rsidRPr="004E2894">
        <w:t xml:space="preserve">useful reference for </w:t>
      </w:r>
      <w:r w:rsidR="00175DE4" w:rsidRPr="004E2894">
        <w:t>many</w:t>
      </w:r>
      <w:r w:rsidR="009E02A9" w:rsidRPr="004E2894">
        <w:t xml:space="preserve"> crops and agreed to propose </w:t>
      </w:r>
      <w:r w:rsidRPr="004E2894">
        <w:t xml:space="preserve">the draft guidance </w:t>
      </w:r>
      <w:r w:rsidR="00A6204D" w:rsidRPr="004E2894">
        <w:t xml:space="preserve">in approaches 1 and 2 </w:t>
      </w:r>
      <w:r w:rsidRPr="004E2894">
        <w:t>to read as follows:</w:t>
      </w:r>
    </w:p>
    <w:p w:rsidR="009467A1" w:rsidRPr="004E2894" w:rsidRDefault="009467A1" w:rsidP="009467A1"/>
    <w:p w:rsidR="00C32D1A" w:rsidRPr="004E2894" w:rsidRDefault="009E02A9" w:rsidP="00D0300C">
      <w:pPr>
        <w:keepNext/>
        <w:keepLines/>
        <w:ind w:left="567" w:right="567"/>
        <w:rPr>
          <w:rFonts w:eastAsia="SimSun"/>
          <w:sz w:val="18"/>
          <w:szCs w:val="24"/>
          <w:lang w:eastAsia="zh-CN"/>
        </w:rPr>
      </w:pPr>
      <w:r w:rsidRPr="004E2894">
        <w:rPr>
          <w:rFonts w:eastAsia="SimSun"/>
          <w:sz w:val="18"/>
          <w:szCs w:val="24"/>
          <w:lang w:eastAsia="zh-CN"/>
        </w:rPr>
        <w:t xml:space="preserve">“Furthermore, </w:t>
      </w:r>
      <w:r w:rsidRPr="004E2894">
        <w:rPr>
          <w:rFonts w:eastAsia="SimSun"/>
          <w:strike/>
          <w:sz w:val="18"/>
          <w:szCs w:val="24"/>
          <w:highlight w:val="lightGray"/>
          <w:lang w:eastAsia="zh-CN"/>
        </w:rPr>
        <w:t>on the basis of a clear lack of uniformity, a</w:t>
      </w:r>
      <w:r w:rsidRPr="004E2894">
        <w:rPr>
          <w:rFonts w:eastAsia="SimSun"/>
          <w:sz w:val="18"/>
          <w:szCs w:val="24"/>
          <w:lang w:eastAsia="zh-CN"/>
        </w:rPr>
        <w:t xml:space="preserve"> if a variety </w:t>
      </w:r>
      <w:r w:rsidRPr="004E2894">
        <w:rPr>
          <w:rFonts w:eastAsia="SimSun"/>
          <w:sz w:val="18"/>
          <w:szCs w:val="24"/>
          <w:highlight w:val="lightGray"/>
          <w:u w:val="single"/>
          <w:lang w:eastAsia="zh-CN"/>
        </w:rPr>
        <w:t>clearly</w:t>
      </w:r>
      <w:r w:rsidRPr="004E2894">
        <w:rPr>
          <w:rFonts w:eastAsia="SimSun"/>
          <w:sz w:val="18"/>
          <w:szCs w:val="24"/>
          <w:lang w:eastAsia="zh-CN"/>
        </w:rPr>
        <w:t xml:space="preserve"> exceeds in the first growing cycle the allowed number of off-types in two growing cycles, the variety may be rejected after a single growing cycle.</w:t>
      </w:r>
      <w:r w:rsidR="00D0300C" w:rsidRPr="004E2894">
        <w:rPr>
          <w:rFonts w:eastAsia="SimSun"/>
          <w:sz w:val="18"/>
          <w:szCs w:val="24"/>
          <w:lang w:eastAsia="zh-CN"/>
        </w:rPr>
        <w:t>”</w:t>
      </w:r>
    </w:p>
    <w:p w:rsidR="005136D2" w:rsidRPr="004E2894" w:rsidRDefault="005136D2" w:rsidP="005136D2">
      <w:pPr>
        <w:rPr>
          <w:snapToGrid w:val="0"/>
        </w:rPr>
      </w:pPr>
    </w:p>
    <w:p w:rsidR="005136D2" w:rsidRPr="004E2894" w:rsidRDefault="005136D2" w:rsidP="005136D2">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The TWC noted that a proposal for revision of guidance in document TGP/8/2: Part II: Section 8: “The method of uniformity assessment on the basis of off</w:t>
      </w:r>
      <w:r w:rsidRPr="004E2894">
        <w:rPr>
          <w:snapToGrid w:val="0"/>
        </w:rPr>
        <w:noBreakHyphen/>
        <w:t xml:space="preserve">types”, </w:t>
      </w:r>
      <w:r w:rsidR="00771847" w:rsidRPr="004E2894">
        <w:rPr>
          <w:snapToGrid w:val="0"/>
        </w:rPr>
        <w:t>would</w:t>
      </w:r>
      <w:r w:rsidRPr="004E2894">
        <w:rPr>
          <w:snapToGrid w:val="0"/>
        </w:rPr>
        <w:t xml:space="preserve"> be considered in document TWP/1/1 Rev. “TGP Documents”.</w:t>
      </w:r>
    </w:p>
    <w:p w:rsidR="005136D2" w:rsidRPr="004E2894" w:rsidRDefault="005136D2" w:rsidP="005136D2">
      <w:pPr>
        <w:ind w:left="567"/>
      </w:pPr>
    </w:p>
    <w:p w:rsidR="005136D2" w:rsidRPr="004E2894" w:rsidRDefault="005136D2" w:rsidP="005136D2">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TWC/35/8 and received a presentation by an expert from the Netherlands on “</w:t>
      </w:r>
      <w:r w:rsidRPr="004E2894">
        <w:rPr>
          <w:bCs/>
        </w:rPr>
        <w:t xml:space="preserve">Assessing Uniformity by Off-types </w:t>
      </w:r>
      <w:r w:rsidR="00D0300C" w:rsidRPr="004E2894">
        <w:rPr>
          <w:bCs/>
        </w:rPr>
        <w:t>on the</w:t>
      </w:r>
      <w:r w:rsidRPr="004E2894">
        <w:rPr>
          <w:bCs/>
        </w:rPr>
        <w:t xml:space="preserve"> Basis of More than One Growing Cycle: examples from NL</w:t>
      </w:r>
      <w:r w:rsidRPr="004E2894">
        <w:t>”, a copy of which is reproduced in the Annex to document TWC/35/8.</w:t>
      </w:r>
    </w:p>
    <w:p w:rsidR="005136D2" w:rsidRPr="004E2894" w:rsidRDefault="005136D2" w:rsidP="005136D2"/>
    <w:p w:rsidR="005136D2" w:rsidRPr="004E2894" w:rsidRDefault="005136D2" w:rsidP="005136D2">
      <w:r w:rsidRPr="005948AF">
        <w:fldChar w:fldCharType="begin"/>
      </w:r>
      <w:r w:rsidRPr="004E2894">
        <w:instrText xml:space="preserve"> AUTONUM  </w:instrText>
      </w:r>
      <w:r w:rsidRPr="005948AF">
        <w:fldChar w:fldCharType="end"/>
      </w:r>
      <w:r w:rsidRPr="004E2894">
        <w:tab/>
      </w:r>
      <w:r w:rsidR="00771847" w:rsidRPr="004E2894">
        <w:t xml:space="preserve">The TWC agreed that the different approaches used in the assessment of off-types on the basis of more than one growing cycle produced </w:t>
      </w:r>
      <w:r w:rsidR="00834EF7" w:rsidRPr="004E2894">
        <w:t xml:space="preserve">different </w:t>
      </w:r>
      <w:r w:rsidR="00771847" w:rsidRPr="004E2894">
        <w:t xml:space="preserve">results </w:t>
      </w:r>
      <w:r w:rsidR="00834EF7" w:rsidRPr="004E2894">
        <w:t>in some</w:t>
      </w:r>
      <w:r w:rsidR="00771847" w:rsidRPr="004E2894">
        <w:t xml:space="preserve"> cases.  The TWC agreed that smaller sample sizes and number of off-types allowed (e.g. vegetable crops) could highlight borderline cases where </w:t>
      </w:r>
      <w:r w:rsidR="00834EF7" w:rsidRPr="004E2894">
        <w:t xml:space="preserve">different </w:t>
      </w:r>
      <w:r w:rsidR="00771847" w:rsidRPr="004E2894">
        <w:t xml:space="preserve">results could be </w:t>
      </w:r>
      <w:r w:rsidR="00834EF7" w:rsidRPr="004E2894">
        <w:t>produced</w:t>
      </w:r>
      <w:r w:rsidR="00771847" w:rsidRPr="004E2894">
        <w:t xml:space="preserve"> </w:t>
      </w:r>
      <w:r w:rsidR="00834EF7" w:rsidRPr="004E2894">
        <w:t xml:space="preserve">when </w:t>
      </w:r>
      <w:r w:rsidR="00771847" w:rsidRPr="004E2894">
        <w:t xml:space="preserve">using different approaches.  </w:t>
      </w:r>
    </w:p>
    <w:p w:rsidR="00771847" w:rsidRPr="004E2894" w:rsidRDefault="00771847" w:rsidP="005136D2"/>
    <w:p w:rsidR="00771847" w:rsidRPr="004E2894" w:rsidRDefault="00771847" w:rsidP="005136D2">
      <w:r w:rsidRPr="005948AF">
        <w:fldChar w:fldCharType="begin"/>
      </w:r>
      <w:r w:rsidRPr="004E2894">
        <w:instrText xml:space="preserve"> AUTONUM  </w:instrText>
      </w:r>
      <w:r w:rsidRPr="005948AF">
        <w:fldChar w:fldCharType="end"/>
      </w:r>
      <w:r w:rsidRPr="004E2894">
        <w:tab/>
        <w:t>The TWC agreed that the different results obtained using the different approaches for the assessment of off-types on the basis of more than one growing cycle</w:t>
      </w:r>
      <w:r w:rsidR="00B96EB2" w:rsidRPr="004E2894">
        <w:t xml:space="preserve"> were due </w:t>
      </w:r>
      <w:r w:rsidR="006C6F4D" w:rsidRPr="004E2894">
        <w:t xml:space="preserve">in part </w:t>
      </w:r>
      <w:r w:rsidR="00B96EB2" w:rsidRPr="004E2894">
        <w:t xml:space="preserve">to the different risks of type I and type II errors associated with each approach.  The TWC agreed to invite the experts from Germany, </w:t>
      </w:r>
      <w:r w:rsidR="00D0300C" w:rsidRPr="004E2894">
        <w:t>the United</w:t>
      </w:r>
      <w:r w:rsidR="00FC423F" w:rsidRPr="004E2894">
        <w:t> </w:t>
      </w:r>
      <w:r w:rsidR="00E71614" w:rsidRPr="004E2894">
        <w:t>Kingdom</w:t>
      </w:r>
      <w:r w:rsidR="00B96EB2" w:rsidRPr="004E2894">
        <w:t xml:space="preserve"> and other members</w:t>
      </w:r>
      <w:r w:rsidR="00834EF7" w:rsidRPr="004E2894">
        <w:t xml:space="preserve"> of the Union</w:t>
      </w:r>
      <w:r w:rsidR="00B96EB2" w:rsidRPr="004E2894">
        <w:t xml:space="preserve"> to submit papers on the analysis of risks associated with each approach to be considered at its thirty-sixth session.</w:t>
      </w:r>
    </w:p>
    <w:p w:rsidR="005136D2" w:rsidRPr="004E2894" w:rsidRDefault="005136D2" w:rsidP="005136D2">
      <w:pPr>
        <w:rPr>
          <w:rFonts w:eastAsia="MS Mincho"/>
        </w:rPr>
      </w:pPr>
    </w:p>
    <w:p w:rsidR="00940EE8" w:rsidRPr="004E2894" w:rsidRDefault="00940EE8" w:rsidP="005136D2">
      <w:pPr>
        <w:rPr>
          <w:rFonts w:eastAsia="MS Mincho"/>
        </w:rPr>
      </w:pPr>
    </w:p>
    <w:p w:rsidR="005136D2" w:rsidRPr="004E2894" w:rsidRDefault="005136D2" w:rsidP="005136D2">
      <w:pPr>
        <w:pStyle w:val="Heading2"/>
      </w:pPr>
      <w:r w:rsidRPr="004E2894">
        <w:t xml:space="preserve">Consideration of possible reorganization of TGP/8 </w:t>
      </w:r>
    </w:p>
    <w:p w:rsidR="005136D2" w:rsidRPr="004E2894" w:rsidRDefault="005136D2" w:rsidP="005136D2">
      <w:pPr>
        <w:rPr>
          <w:u w:val="single"/>
        </w:rPr>
      </w:pPr>
    </w:p>
    <w:p w:rsidR="005136D2" w:rsidRPr="004E2894" w:rsidRDefault="005136D2" w:rsidP="005136D2">
      <w:pPr>
        <w:pStyle w:val="ListParagraph"/>
        <w:ind w:left="0"/>
        <w:rPr>
          <w:i/>
        </w:rPr>
      </w:pPr>
      <w:r w:rsidRPr="004E2894">
        <w:rPr>
          <w:i/>
        </w:rPr>
        <w:t xml:space="preserve">Consideration of possible reorganization of TGP/8: a proposal from China </w:t>
      </w:r>
    </w:p>
    <w:p w:rsidR="005136D2" w:rsidRPr="004E2894" w:rsidRDefault="005136D2" w:rsidP="005136D2">
      <w:pPr>
        <w:rPr>
          <w:i/>
        </w:rPr>
      </w:pPr>
    </w:p>
    <w:p w:rsidR="005136D2" w:rsidRPr="004E2894" w:rsidRDefault="005136D2" w:rsidP="005136D2">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 xml:space="preserve">ocument </w:t>
      </w:r>
      <w:hyperlink r:id="rId13" w:history="1">
        <w:r w:rsidRPr="006A6FAD">
          <w:rPr>
            <w:rStyle w:val="Hyperlink"/>
          </w:rPr>
          <w:t>TWC/35/11</w:t>
        </w:r>
      </w:hyperlink>
      <w:r w:rsidRPr="004E2894">
        <w:t xml:space="preserve"> and </w:t>
      </w:r>
      <w:r w:rsidR="00C24D30" w:rsidRPr="004E2894">
        <w:t>agreed to i</w:t>
      </w:r>
      <w:r w:rsidR="00C24D30" w:rsidRPr="004E2894">
        <w:rPr>
          <w:rFonts w:eastAsia="SimSun" w:cs="Arial"/>
          <w:lang w:eastAsia="ja-JP"/>
        </w:rPr>
        <w:t xml:space="preserve">nvite experts from China to provide further information on the </w:t>
      </w:r>
      <w:r w:rsidR="00834EF7" w:rsidRPr="004E2894">
        <w:rPr>
          <w:rFonts w:eastAsia="SimSun" w:cs="Arial"/>
          <w:lang w:eastAsia="ja-JP"/>
        </w:rPr>
        <w:t xml:space="preserve">background to </w:t>
      </w:r>
      <w:r w:rsidR="00C24D30" w:rsidRPr="004E2894">
        <w:rPr>
          <w:rFonts w:eastAsia="SimSun" w:cs="Arial"/>
          <w:lang w:eastAsia="ja-JP"/>
        </w:rPr>
        <w:t xml:space="preserve">the proposed revision of document TGP/8.  The TWC agree to invite experts from Germany to </w:t>
      </w:r>
      <w:r w:rsidR="00834EF7" w:rsidRPr="004E2894">
        <w:rPr>
          <w:rFonts w:eastAsia="SimSun" w:cs="Arial"/>
          <w:lang w:eastAsia="ja-JP"/>
        </w:rPr>
        <w:t xml:space="preserve">offer to </w:t>
      </w:r>
      <w:r w:rsidR="00C24D30" w:rsidRPr="004E2894">
        <w:rPr>
          <w:rFonts w:eastAsia="SimSun" w:cs="Arial"/>
          <w:lang w:eastAsia="ja-JP"/>
        </w:rPr>
        <w:t xml:space="preserve">cooperate </w:t>
      </w:r>
      <w:r w:rsidR="00834EF7" w:rsidRPr="004E2894">
        <w:rPr>
          <w:rFonts w:eastAsia="SimSun" w:cs="Arial"/>
          <w:lang w:eastAsia="ja-JP"/>
        </w:rPr>
        <w:t xml:space="preserve">with the experts from China </w:t>
      </w:r>
      <w:r w:rsidR="00C24D30" w:rsidRPr="004E2894">
        <w:rPr>
          <w:rFonts w:eastAsia="SimSun" w:cs="Arial"/>
          <w:lang w:eastAsia="ja-JP"/>
        </w:rPr>
        <w:t>in developing the proposal and agreed that the topic should be further discussed at its thirty-sixth session.</w:t>
      </w:r>
    </w:p>
    <w:p w:rsidR="00E350FD" w:rsidRPr="004E2894" w:rsidRDefault="00E350FD" w:rsidP="00E350FD"/>
    <w:p w:rsidR="00E350FD" w:rsidRPr="004E2894" w:rsidRDefault="00E350FD" w:rsidP="00E350FD"/>
    <w:p w:rsidR="00E350FD" w:rsidRPr="004E2894" w:rsidRDefault="00E350FD" w:rsidP="00770275">
      <w:pPr>
        <w:pStyle w:val="Heading2"/>
      </w:pPr>
      <w:r w:rsidRPr="004E2894">
        <w:t xml:space="preserve">TGP documents </w:t>
      </w:r>
    </w:p>
    <w:p w:rsidR="00E350FD" w:rsidRPr="004E2894" w:rsidRDefault="00E350FD" w:rsidP="00E350FD"/>
    <w:p w:rsidR="00E350FD" w:rsidRPr="004E2894" w:rsidRDefault="00E350FD" w:rsidP="00E350FD">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w:t>
      </w:r>
      <w:r w:rsidR="00DA5470" w:rsidRPr="004E2894">
        <w:t>s</w:t>
      </w:r>
      <w:r w:rsidRPr="004E2894">
        <w:t xml:space="preserve"> </w:t>
      </w:r>
      <w:hyperlink r:id="rId14" w:history="1">
        <w:r w:rsidRPr="006A6FAD">
          <w:rPr>
            <w:rStyle w:val="Hyperlink"/>
          </w:rPr>
          <w:t>TWP/1/1 Rev</w:t>
        </w:r>
      </w:hyperlink>
      <w:r w:rsidRPr="004E2894">
        <w:t>.</w:t>
      </w:r>
      <w:r w:rsidR="00DA5470" w:rsidRPr="004E2894">
        <w:t xml:space="preserve">, </w:t>
      </w:r>
      <w:hyperlink r:id="rId15" w:history="1">
        <w:r w:rsidR="00DA5470" w:rsidRPr="006A6FAD">
          <w:rPr>
            <w:rStyle w:val="Hyperlink"/>
          </w:rPr>
          <w:t>TWP/1/9</w:t>
        </w:r>
      </w:hyperlink>
      <w:r w:rsidR="00DA5470" w:rsidRPr="004E2894">
        <w:t xml:space="preserve">, </w:t>
      </w:r>
      <w:hyperlink r:id="rId16" w:history="1">
        <w:r w:rsidR="00DA5470" w:rsidRPr="006A6FAD">
          <w:rPr>
            <w:rStyle w:val="Hyperlink"/>
          </w:rPr>
          <w:t>TWP/1/11,</w:t>
        </w:r>
      </w:hyperlink>
      <w:r w:rsidR="00DA5470" w:rsidRPr="004E2894">
        <w:t xml:space="preserve"> </w:t>
      </w:r>
      <w:hyperlink r:id="rId17" w:history="1">
        <w:r w:rsidR="00DA5470" w:rsidRPr="006A6FAD">
          <w:rPr>
            <w:rStyle w:val="Hyperlink"/>
          </w:rPr>
          <w:t>TWP/1/12</w:t>
        </w:r>
      </w:hyperlink>
      <w:r w:rsidR="00DA5470" w:rsidRPr="004E2894">
        <w:t xml:space="preserve"> and </w:t>
      </w:r>
      <w:hyperlink r:id="rId18" w:history="1">
        <w:r w:rsidR="00DA5470" w:rsidRPr="006A6FAD">
          <w:rPr>
            <w:rStyle w:val="Hyperlink"/>
          </w:rPr>
          <w:t>TWP/1/18</w:t>
        </w:r>
      </w:hyperlink>
      <w:r w:rsidR="00DA5470" w:rsidRPr="004E2894">
        <w:t>.</w:t>
      </w:r>
    </w:p>
    <w:p w:rsidR="006A6A94" w:rsidRPr="004E2894" w:rsidRDefault="006A6A94" w:rsidP="00E350FD"/>
    <w:p w:rsidR="00DA5470" w:rsidRPr="004E2894" w:rsidRDefault="00DA5470" w:rsidP="00DA5470">
      <w:r w:rsidRPr="005948AF">
        <w:fldChar w:fldCharType="begin"/>
      </w:r>
      <w:r w:rsidRPr="004E2894">
        <w:instrText xml:space="preserve"> AUTONUM  </w:instrText>
      </w:r>
      <w:r w:rsidRPr="005948AF">
        <w:fldChar w:fldCharType="end"/>
      </w:r>
      <w:r w:rsidRPr="004E2894">
        <w:tab/>
        <w:t xml:space="preserve">The TWC noted the revisions of </w:t>
      </w:r>
      <w:r w:rsidRPr="004E2894">
        <w:rPr>
          <w:lang w:eastAsia="ja-JP"/>
        </w:rPr>
        <w:t>d</w:t>
      </w:r>
      <w:r w:rsidRPr="004E2894">
        <w:t>ocuments TGP/5, TGP/7 and TGP/14 agreed by the TC, as set out in document TWP/1/1 Rev., paragraphs 6 to 14 and Annexes I and II.</w:t>
      </w:r>
    </w:p>
    <w:p w:rsidR="00DA5470" w:rsidRPr="004E2894" w:rsidRDefault="00DA5470" w:rsidP="00E350FD"/>
    <w:p w:rsidR="004E0AE8" w:rsidRPr="004E2894" w:rsidRDefault="004E0AE8" w:rsidP="004E0AE8">
      <w:pPr>
        <w:rPr>
          <w:iCs/>
          <w:snapToGrid w:val="0"/>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noted </w:t>
      </w:r>
      <w:r w:rsidRPr="004E2894">
        <w:t>the proposals for future revisions of TGP documents to be discussed by the TWPs at their sessions in 2017, which would be dealt with under separate documents</w:t>
      </w:r>
      <w:r w:rsidRPr="004E2894">
        <w:rPr>
          <w:iCs/>
          <w:snapToGrid w:val="0"/>
        </w:rPr>
        <w:t>.</w:t>
      </w:r>
    </w:p>
    <w:p w:rsidR="004E0AE8" w:rsidRPr="004E2894" w:rsidRDefault="004E0AE8" w:rsidP="004E0AE8">
      <w:pPr>
        <w:rPr>
          <w:iCs/>
          <w:snapToGrid w:val="0"/>
        </w:rPr>
      </w:pPr>
    </w:p>
    <w:p w:rsidR="004E0AE8" w:rsidRPr="004E2894" w:rsidRDefault="004E0AE8" w:rsidP="004E0AE8">
      <w:r w:rsidRPr="005948AF">
        <w:rPr>
          <w:iCs/>
          <w:snapToGrid w:val="0"/>
        </w:rPr>
        <w:fldChar w:fldCharType="begin"/>
      </w:r>
      <w:r w:rsidRPr="004E2894">
        <w:rPr>
          <w:iCs/>
          <w:snapToGrid w:val="0"/>
        </w:rPr>
        <w:instrText xml:space="preserve"> AUTONUM  </w:instrText>
      </w:r>
      <w:r w:rsidRPr="005948AF">
        <w:rPr>
          <w:iCs/>
          <w:snapToGrid w:val="0"/>
        </w:rPr>
        <w:fldChar w:fldCharType="end"/>
      </w:r>
      <w:r w:rsidRPr="004E2894">
        <w:rPr>
          <w:iCs/>
          <w:snapToGrid w:val="0"/>
        </w:rPr>
        <w:tab/>
        <w:t xml:space="preserve">The TWC noted </w:t>
      </w:r>
      <w:r w:rsidRPr="004E2894">
        <w:t xml:space="preserve">the program for the development of TGP documents, as set out in document TWP/1/1 Rev., Annex III. </w:t>
      </w:r>
    </w:p>
    <w:p w:rsidR="004E0AE8" w:rsidRPr="004E2894" w:rsidRDefault="004E0AE8" w:rsidP="00E07077">
      <w:pPr>
        <w:pStyle w:val="Heading3"/>
        <w:rPr>
          <w:snapToGrid w:val="0"/>
        </w:rPr>
      </w:pPr>
      <w:r w:rsidRPr="004E2894">
        <w:rPr>
          <w:snapToGrid w:val="0"/>
        </w:rPr>
        <w:t xml:space="preserve">TGP/5:  Section 1: Model Administrative Agreement for International Cooperation in the Testing of Varieties </w:t>
      </w:r>
    </w:p>
    <w:p w:rsidR="004E0AE8" w:rsidRPr="004E2894" w:rsidRDefault="004E0AE8" w:rsidP="004E0AE8">
      <w:pPr>
        <w:keepNext/>
      </w:pPr>
    </w:p>
    <w:p w:rsidR="004E0AE8" w:rsidRPr="004E2894" w:rsidRDefault="004E0AE8" w:rsidP="004E0AE8">
      <w:pPr>
        <w:pStyle w:val="Heading4"/>
        <w:rPr>
          <w:rFonts w:cs="Arial"/>
          <w:lang w:val="en-US"/>
        </w:rPr>
      </w:pPr>
      <w:r w:rsidRPr="004E2894">
        <w:rPr>
          <w:lang w:val="en-US"/>
        </w:rPr>
        <w:t xml:space="preserve">Confidentiality of molecular information </w:t>
      </w:r>
    </w:p>
    <w:p w:rsidR="004E0AE8" w:rsidRPr="004E2894" w:rsidRDefault="004E0AE8" w:rsidP="004E0AE8">
      <w:pPr>
        <w:keepNext/>
        <w:rPr>
          <w:snapToGrid w:val="0"/>
        </w:rPr>
      </w:pPr>
    </w:p>
    <w:p w:rsidR="004E0AE8" w:rsidRPr="004E2894" w:rsidRDefault="004E0AE8" w:rsidP="004E0AE8">
      <w:pPr>
        <w:keepNext/>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The TW</w:t>
      </w:r>
      <w:r w:rsidR="009B7528" w:rsidRPr="004E2894">
        <w:rPr>
          <w:snapToGrid w:val="0"/>
        </w:rPr>
        <w:t>C</w:t>
      </w:r>
      <w:r w:rsidRPr="004E2894">
        <w:rPr>
          <w:snapToGrid w:val="0"/>
        </w:rPr>
        <w:t xml:space="preserve"> considered </w:t>
      </w:r>
      <w:r w:rsidRPr="004E2894">
        <w:t>document TWP/1/9.</w:t>
      </w:r>
    </w:p>
    <w:p w:rsidR="006A6A94" w:rsidRPr="004E2894" w:rsidRDefault="006A6A94" w:rsidP="006A6A94"/>
    <w:p w:rsidR="009B7528" w:rsidRPr="004E2894" w:rsidRDefault="009B7528" w:rsidP="009B7528">
      <w:r w:rsidRPr="005948AF">
        <w:fldChar w:fldCharType="begin"/>
      </w:r>
      <w:r w:rsidRPr="004E2894">
        <w:instrText xml:space="preserve"> AUTONUM  </w:instrText>
      </w:r>
      <w:r w:rsidRPr="005948AF">
        <w:fldChar w:fldCharType="end"/>
      </w:r>
      <w:r w:rsidRPr="004E2894">
        <w:tab/>
        <w:t xml:space="preserve">The TWC considered the proposed </w:t>
      </w:r>
      <w:r w:rsidRPr="004E2894">
        <w:rPr>
          <w:snapToGrid w:val="0"/>
        </w:rPr>
        <w:t>guidance on confidentiality of molecular information for inclusion in document TGP/5, Section 1, as set out in document TWP/1/9, paragraph 4 (reproduced below).</w:t>
      </w:r>
    </w:p>
    <w:p w:rsidR="009B7528" w:rsidRPr="004E2894" w:rsidRDefault="009B7528" w:rsidP="009B7528"/>
    <w:p w:rsidR="009B7528" w:rsidRPr="004E2894" w:rsidRDefault="009B7528" w:rsidP="009B7528">
      <w:pPr>
        <w:ind w:left="567" w:right="567"/>
        <w:rPr>
          <w:sz w:val="18"/>
        </w:rPr>
      </w:pPr>
      <w:r w:rsidRPr="004E2894">
        <w:rPr>
          <w:sz w:val="18"/>
        </w:rPr>
        <w:t>“4.</w:t>
      </w:r>
      <w:r w:rsidRPr="004E2894">
        <w:rPr>
          <w:sz w:val="18"/>
        </w:rPr>
        <w:tab/>
        <w:t xml:space="preserve">It is proposed that Articles 4 and 6 of document TGP/5, Section 1 be revised to read as follows (proposed insertion of text indicated by </w:t>
      </w:r>
      <w:r w:rsidRPr="004E2894">
        <w:rPr>
          <w:sz w:val="18"/>
          <w:highlight w:val="lightGray"/>
          <w:u w:val="single"/>
        </w:rPr>
        <w:t>highlighting and underlining):</w:t>
      </w:r>
    </w:p>
    <w:p w:rsidR="009B7528" w:rsidRPr="004E2894" w:rsidRDefault="009B7528" w:rsidP="009B7528">
      <w:pPr>
        <w:ind w:left="567" w:right="567"/>
        <w:rPr>
          <w:sz w:val="18"/>
        </w:rPr>
      </w:pPr>
    </w:p>
    <w:p w:rsidR="009B7528" w:rsidRPr="004E2894" w:rsidRDefault="009B7528" w:rsidP="009B7528">
      <w:pPr>
        <w:ind w:left="1134" w:right="1134"/>
        <w:rPr>
          <w:sz w:val="18"/>
          <w:szCs w:val="18"/>
        </w:rPr>
      </w:pPr>
      <w:r w:rsidRPr="004E2894">
        <w:rPr>
          <w:sz w:val="18"/>
          <w:szCs w:val="18"/>
          <w:u w:val="single"/>
        </w:rPr>
        <w:t>‘Article 4</w:t>
      </w:r>
    </w:p>
    <w:p w:rsidR="009B7528" w:rsidRPr="004E2894" w:rsidRDefault="009B7528" w:rsidP="009B7528">
      <w:pPr>
        <w:ind w:left="1134" w:right="1134"/>
        <w:rPr>
          <w:sz w:val="18"/>
          <w:szCs w:val="18"/>
        </w:rPr>
      </w:pPr>
    </w:p>
    <w:p w:rsidR="009B7528" w:rsidRPr="004E2894" w:rsidRDefault="009B7528" w:rsidP="009B7528">
      <w:pPr>
        <w:tabs>
          <w:tab w:val="left" w:pos="1560"/>
        </w:tabs>
        <w:ind w:left="1134" w:right="1134"/>
        <w:rPr>
          <w:sz w:val="18"/>
          <w:szCs w:val="18"/>
        </w:rPr>
      </w:pPr>
      <w:r w:rsidRPr="004E2894">
        <w:rPr>
          <w:sz w:val="18"/>
          <w:szCs w:val="18"/>
        </w:rPr>
        <w:t>‘(1)</w:t>
      </w:r>
      <w:r w:rsidRPr="004E2894">
        <w:rPr>
          <w:sz w:val="18"/>
          <w:szCs w:val="18"/>
        </w:rPr>
        <w:tab/>
        <w:t>The Authorities shall take all necessary steps to safeguard the rights of the applicant.</w:t>
      </w:r>
    </w:p>
    <w:p w:rsidR="009B7528" w:rsidRPr="004E2894" w:rsidRDefault="009B7528" w:rsidP="009B7528">
      <w:pPr>
        <w:tabs>
          <w:tab w:val="left" w:pos="1560"/>
        </w:tabs>
        <w:ind w:left="1134" w:right="1134"/>
        <w:rPr>
          <w:sz w:val="18"/>
          <w:szCs w:val="18"/>
        </w:rPr>
      </w:pPr>
    </w:p>
    <w:p w:rsidR="009B7528" w:rsidRPr="004E2894" w:rsidRDefault="009B7528" w:rsidP="009B7528">
      <w:pPr>
        <w:tabs>
          <w:tab w:val="left" w:pos="1560"/>
        </w:tabs>
        <w:ind w:left="1134" w:right="1134"/>
        <w:rPr>
          <w:sz w:val="18"/>
          <w:szCs w:val="18"/>
        </w:rPr>
      </w:pPr>
      <w:r w:rsidRPr="004E2894">
        <w:rPr>
          <w:sz w:val="18"/>
          <w:szCs w:val="18"/>
        </w:rPr>
        <w:t>‘(2)</w:t>
      </w:r>
      <w:r w:rsidRPr="004E2894">
        <w:rPr>
          <w:sz w:val="18"/>
          <w:szCs w:val="18"/>
        </w:rPr>
        <w:tab/>
        <w:t xml:space="preserve">Except with the specific authorization of the Receiving Authority and the applicant, the Executing Authority shall refrain from passing on to a third person any material </w:t>
      </w:r>
      <w:r w:rsidRPr="004E2894">
        <w:rPr>
          <w:sz w:val="18"/>
          <w:highlight w:val="lightGray"/>
          <w:u w:val="single"/>
        </w:rPr>
        <w:t>or molecular information</w:t>
      </w:r>
      <w:r w:rsidRPr="004E2894">
        <w:rPr>
          <w:sz w:val="18"/>
          <w:szCs w:val="18"/>
        </w:rPr>
        <w:t xml:space="preserve"> of the varieties for which testing has been requested.</w:t>
      </w:r>
    </w:p>
    <w:p w:rsidR="009B7528" w:rsidRPr="004E2894" w:rsidRDefault="009B7528" w:rsidP="009B7528">
      <w:pPr>
        <w:ind w:left="1134" w:right="1134"/>
        <w:rPr>
          <w:sz w:val="18"/>
          <w:szCs w:val="18"/>
        </w:rPr>
      </w:pPr>
    </w:p>
    <w:p w:rsidR="009B7528" w:rsidRPr="004E2894" w:rsidRDefault="009B7528" w:rsidP="009B7528">
      <w:pPr>
        <w:ind w:left="1134" w:right="1134"/>
        <w:rPr>
          <w:sz w:val="18"/>
          <w:szCs w:val="18"/>
        </w:rPr>
      </w:pPr>
      <w:r w:rsidRPr="004E2894">
        <w:rPr>
          <w:sz w:val="18"/>
          <w:szCs w:val="18"/>
        </w:rPr>
        <w:t xml:space="preserve">[…] </w:t>
      </w:r>
    </w:p>
    <w:p w:rsidR="009B7528" w:rsidRPr="004E2894" w:rsidRDefault="009B7528" w:rsidP="009B7528">
      <w:pPr>
        <w:ind w:left="1134" w:right="1134"/>
        <w:rPr>
          <w:sz w:val="18"/>
          <w:szCs w:val="18"/>
        </w:rPr>
      </w:pPr>
    </w:p>
    <w:p w:rsidR="009B7528" w:rsidRPr="004E2894" w:rsidRDefault="009B7528" w:rsidP="009B7528">
      <w:pPr>
        <w:keepNext/>
        <w:ind w:left="1134" w:right="1134"/>
        <w:rPr>
          <w:sz w:val="18"/>
          <w:szCs w:val="18"/>
        </w:rPr>
      </w:pPr>
      <w:r w:rsidRPr="004E2894">
        <w:rPr>
          <w:sz w:val="18"/>
          <w:szCs w:val="18"/>
          <w:u w:val="single"/>
        </w:rPr>
        <w:t>‘Article 6</w:t>
      </w:r>
    </w:p>
    <w:p w:rsidR="009B7528" w:rsidRPr="004E2894" w:rsidRDefault="009B7528" w:rsidP="009B7528">
      <w:pPr>
        <w:keepNext/>
        <w:ind w:left="1134" w:right="1134"/>
        <w:rPr>
          <w:sz w:val="18"/>
          <w:szCs w:val="18"/>
        </w:rPr>
      </w:pPr>
    </w:p>
    <w:p w:rsidR="009B7528" w:rsidRPr="004E2894" w:rsidRDefault="009B7528" w:rsidP="009B7528">
      <w:pPr>
        <w:keepNext/>
        <w:tabs>
          <w:tab w:val="left" w:pos="1560"/>
        </w:tabs>
        <w:ind w:left="1134" w:right="1134"/>
        <w:rPr>
          <w:sz w:val="18"/>
          <w:szCs w:val="18"/>
        </w:rPr>
      </w:pPr>
      <w:r w:rsidRPr="004E2894">
        <w:rPr>
          <w:sz w:val="18"/>
          <w:szCs w:val="18"/>
        </w:rPr>
        <w:tab/>
        <w:t xml:space="preserve">‘Practical details arising out of this Agreement –regarding in particular the provisions relating to the considerations, application forms, technical questionnaires and requirements as to propagating material, testing methods, exchange of reference samples, </w:t>
      </w:r>
      <w:r w:rsidRPr="004E2894">
        <w:rPr>
          <w:sz w:val="18"/>
          <w:highlight w:val="lightGray"/>
          <w:u w:val="single"/>
        </w:rPr>
        <w:t>exchange of molecular information</w:t>
      </w:r>
      <w:r w:rsidRPr="004E2894">
        <w:rPr>
          <w:sz w:val="18"/>
          <w:szCs w:val="18"/>
          <w:u w:val="single"/>
        </w:rPr>
        <w:t>,</w:t>
      </w:r>
      <w:r w:rsidRPr="004E2894">
        <w:rPr>
          <w:sz w:val="18"/>
          <w:szCs w:val="18"/>
        </w:rPr>
        <w:t xml:space="preserve"> maintenance of reference collections and the presentation of the results– shall be specified in this Agreement or settled between the Authorities by correspondence.’”</w:t>
      </w:r>
    </w:p>
    <w:p w:rsidR="009B7528" w:rsidRPr="004E2894" w:rsidRDefault="009B7528" w:rsidP="009B7528">
      <w:pPr>
        <w:rPr>
          <w:snapToGrid w:val="0"/>
          <w:sz w:val="18"/>
          <w:szCs w:val="18"/>
        </w:rPr>
      </w:pPr>
    </w:p>
    <w:p w:rsidR="009B7528" w:rsidRPr="004E2894" w:rsidRDefault="009B7528" w:rsidP="009B7528">
      <w:r w:rsidRPr="005948AF">
        <w:fldChar w:fldCharType="begin"/>
      </w:r>
      <w:r w:rsidRPr="004E2894">
        <w:instrText xml:space="preserve"> AUTONUM  </w:instrText>
      </w:r>
      <w:r w:rsidRPr="005948AF">
        <w:fldChar w:fldCharType="end"/>
      </w:r>
      <w:r w:rsidRPr="004E2894">
        <w:tab/>
        <w:t>The TWC agreed with the TWA, TWV, TWO and the TWF</w:t>
      </w:r>
      <w:r w:rsidRPr="004E2894">
        <w:rPr>
          <w:snapToGrid w:val="0"/>
        </w:rPr>
        <w:t xml:space="preserve"> that clarification was needed to make sure that the term “material” includes “DNA material” and agreed to propose that Article 4(2) should read as follows:</w:t>
      </w:r>
    </w:p>
    <w:p w:rsidR="009B7528" w:rsidRPr="004E2894" w:rsidRDefault="009B7528" w:rsidP="009B7528">
      <w:pPr>
        <w:ind w:left="567" w:right="567"/>
        <w:rPr>
          <w:sz w:val="18"/>
        </w:rPr>
      </w:pPr>
    </w:p>
    <w:p w:rsidR="009B7528" w:rsidRPr="004E2894" w:rsidRDefault="009B7528" w:rsidP="009B7528">
      <w:pPr>
        <w:ind w:left="567" w:right="567"/>
        <w:rPr>
          <w:sz w:val="18"/>
        </w:rPr>
      </w:pPr>
      <w:r w:rsidRPr="004E2894">
        <w:rPr>
          <w:sz w:val="18"/>
        </w:rPr>
        <w:t>“(2)</w:t>
      </w:r>
      <w:r w:rsidRPr="004E2894">
        <w:rPr>
          <w:sz w:val="18"/>
        </w:rPr>
        <w:tab/>
        <w:t xml:space="preserve">Except with the specific authorization of the Receiving Authority and the applicant, the Executing Authority shall refrain from passing on to a third person any material, </w:t>
      </w:r>
      <w:r w:rsidRPr="004E2894">
        <w:rPr>
          <w:sz w:val="18"/>
          <w:highlight w:val="lightGray"/>
          <w:u w:val="single"/>
        </w:rPr>
        <w:t>including DNA, or molecular information</w:t>
      </w:r>
      <w:r w:rsidRPr="004E2894">
        <w:rPr>
          <w:sz w:val="18"/>
        </w:rPr>
        <w:t xml:space="preserve"> of the varieties for which testing has been requested.”</w:t>
      </w:r>
    </w:p>
    <w:p w:rsidR="009B7528" w:rsidRPr="004E2894" w:rsidRDefault="009B7528" w:rsidP="009B7528">
      <w:pPr>
        <w:ind w:left="567" w:right="567"/>
        <w:rPr>
          <w:sz w:val="18"/>
        </w:rPr>
      </w:pPr>
    </w:p>
    <w:p w:rsidR="009B7528" w:rsidRPr="00E07077" w:rsidRDefault="009B7528" w:rsidP="00E07077">
      <w:pPr>
        <w:spacing w:after="360"/>
        <w:rPr>
          <w:spacing w:val="-2"/>
        </w:rPr>
      </w:pPr>
      <w:r w:rsidRPr="00E07077">
        <w:rPr>
          <w:spacing w:val="-2"/>
        </w:rPr>
        <w:fldChar w:fldCharType="begin"/>
      </w:r>
      <w:r w:rsidRPr="00E07077">
        <w:rPr>
          <w:spacing w:val="-2"/>
        </w:rPr>
        <w:instrText xml:space="preserve"> AUTONUM  </w:instrText>
      </w:r>
      <w:r w:rsidRPr="00E07077">
        <w:rPr>
          <w:spacing w:val="-2"/>
        </w:rPr>
        <w:fldChar w:fldCharType="end"/>
      </w:r>
      <w:r w:rsidRPr="00E07077">
        <w:rPr>
          <w:spacing w:val="-2"/>
        </w:rPr>
        <w:tab/>
        <w:t xml:space="preserve">The TWC </w:t>
      </w:r>
      <w:r w:rsidR="00FD24D0" w:rsidRPr="00E07077">
        <w:rPr>
          <w:spacing w:val="-2"/>
        </w:rPr>
        <w:t xml:space="preserve">agreed with the TWF </w:t>
      </w:r>
      <w:r w:rsidRPr="00E07077">
        <w:rPr>
          <w:spacing w:val="-2"/>
        </w:rPr>
        <w:t>that certain information provided by the applicant might not be available due to trade secret agreement signed between the authority in charge of DUS and the applicant.  In contrast, national legislation regarding official information may require passing other information to a third person.</w:t>
      </w:r>
    </w:p>
    <w:p w:rsidR="00940EE8" w:rsidRPr="004E2894" w:rsidRDefault="00940EE8" w:rsidP="00E07077">
      <w:pPr>
        <w:pStyle w:val="Heading3"/>
        <w:rPr>
          <w:snapToGrid w:val="0"/>
        </w:rPr>
      </w:pPr>
      <w:r w:rsidRPr="004E2894">
        <w:rPr>
          <w:snapToGrid w:val="0"/>
        </w:rPr>
        <w:t xml:space="preserve">TGP/7:  Development of Test Guidelines </w:t>
      </w:r>
    </w:p>
    <w:p w:rsidR="00940EE8" w:rsidRPr="004E2894" w:rsidRDefault="00940EE8" w:rsidP="00940EE8">
      <w:pPr>
        <w:keepNext/>
      </w:pPr>
    </w:p>
    <w:p w:rsidR="00940EE8" w:rsidRPr="004E2894" w:rsidRDefault="00940EE8" w:rsidP="00940EE8">
      <w:pPr>
        <w:pStyle w:val="Heading4"/>
        <w:rPr>
          <w:rFonts w:cs="Arial"/>
          <w:lang w:val="en-US"/>
        </w:rPr>
      </w:pPr>
      <w:r w:rsidRPr="004E2894">
        <w:rPr>
          <w:lang w:val="en-US"/>
        </w:rPr>
        <w:t xml:space="preserve">Duration of DUS tests </w:t>
      </w:r>
    </w:p>
    <w:p w:rsidR="00940EE8" w:rsidRPr="004E2894" w:rsidRDefault="00940EE8" w:rsidP="00940EE8">
      <w:pPr>
        <w:keepNext/>
      </w:pPr>
    </w:p>
    <w:p w:rsidR="00940EE8" w:rsidRPr="004E2894" w:rsidRDefault="00940EE8" w:rsidP="00940EE8">
      <w:pPr>
        <w:keepNext/>
        <w:rPr>
          <w:rFonts w:cs="Arial"/>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considered </w:t>
      </w:r>
      <w:r w:rsidRPr="004E2894">
        <w:t>document TWP/1/</w:t>
      </w:r>
      <w:r w:rsidRPr="004E2894">
        <w:rPr>
          <w:rFonts w:cs="Arial"/>
        </w:rPr>
        <w:t xml:space="preserve">11. </w:t>
      </w:r>
    </w:p>
    <w:p w:rsidR="00940EE8" w:rsidRPr="004E2894" w:rsidRDefault="00940EE8" w:rsidP="00940EE8">
      <w:pPr>
        <w:keepNext/>
        <w:rPr>
          <w:rFonts w:cs="Arial"/>
        </w:rPr>
      </w:pPr>
    </w:p>
    <w:p w:rsidR="00940EE8" w:rsidRPr="004E2894" w:rsidRDefault="00940EE8" w:rsidP="00940EE8">
      <w:pPr>
        <w:rPr>
          <w:rFonts w:cs="Arial"/>
        </w:rPr>
      </w:pPr>
      <w:r w:rsidRPr="005948AF">
        <w:rPr>
          <w:rFonts w:cs="Arial"/>
          <w:snapToGrid w:val="0"/>
        </w:rPr>
        <w:fldChar w:fldCharType="begin"/>
      </w:r>
      <w:r w:rsidRPr="004E2894">
        <w:rPr>
          <w:rFonts w:cs="Arial"/>
          <w:snapToGrid w:val="0"/>
        </w:rPr>
        <w:instrText xml:space="preserve"> AUTONUM  </w:instrText>
      </w:r>
      <w:r w:rsidRPr="005948AF">
        <w:rPr>
          <w:rFonts w:cs="Arial"/>
          <w:snapToGrid w:val="0"/>
        </w:rPr>
        <w:fldChar w:fldCharType="end"/>
      </w:r>
      <w:r w:rsidRPr="004E2894">
        <w:rPr>
          <w:rFonts w:cs="Arial"/>
          <w:snapToGrid w:val="0"/>
        </w:rPr>
        <w:tab/>
        <w:t>The TWC considered the proposed revision of document TGP/7 to clarify the duration of DUS testing, as set out in document TWP/1/11, paragraph 11:</w:t>
      </w:r>
    </w:p>
    <w:p w:rsidR="00940EE8" w:rsidRPr="004E2894" w:rsidRDefault="00940EE8" w:rsidP="00940EE8"/>
    <w:p w:rsidR="00940EE8" w:rsidRPr="004E2894" w:rsidRDefault="00940EE8" w:rsidP="00940EE8">
      <w:pPr>
        <w:autoSpaceDE w:val="0"/>
        <w:autoSpaceDN w:val="0"/>
        <w:adjustRightInd w:val="0"/>
        <w:ind w:left="567" w:right="567"/>
        <w:rPr>
          <w:sz w:val="18"/>
        </w:rPr>
      </w:pPr>
      <w:r w:rsidRPr="004E2894">
        <w:rPr>
          <w:sz w:val="18"/>
        </w:rPr>
        <w:t>“11.</w:t>
      </w:r>
      <w:r w:rsidRPr="004E2894">
        <w:rPr>
          <w:sz w:val="18"/>
        </w:rPr>
        <w:tab/>
        <w:t>The following proposal has been developed on the basis of the comments of the TC:</w:t>
      </w:r>
    </w:p>
    <w:p w:rsidR="00940EE8" w:rsidRPr="004E2894" w:rsidRDefault="00940EE8" w:rsidP="00940EE8">
      <w:pPr>
        <w:ind w:left="567" w:right="567"/>
        <w:jc w:val="left"/>
        <w:rPr>
          <w:sz w:val="18"/>
        </w:rPr>
      </w:pPr>
    </w:p>
    <w:p w:rsidR="00940EE8" w:rsidRPr="004E2894" w:rsidRDefault="00940EE8" w:rsidP="00940EE8">
      <w:pPr>
        <w:pStyle w:val="Heading2"/>
        <w:ind w:left="567" w:right="567"/>
        <w:rPr>
          <w:sz w:val="18"/>
        </w:rPr>
      </w:pPr>
      <w:bookmarkStart w:id="2" w:name="_Toc485133361"/>
      <w:r w:rsidRPr="004E2894">
        <w:rPr>
          <w:sz w:val="18"/>
          <w:u w:val="none"/>
        </w:rPr>
        <w:t>“</w:t>
      </w:r>
      <w:r w:rsidRPr="004E2894">
        <w:rPr>
          <w:sz w:val="18"/>
        </w:rPr>
        <w:t>ASW 2(a):</w:t>
      </w:r>
      <w:bookmarkEnd w:id="2"/>
    </w:p>
    <w:p w:rsidR="00940EE8" w:rsidRPr="004E2894" w:rsidRDefault="00940EE8" w:rsidP="00940EE8">
      <w:pPr>
        <w:ind w:left="567" w:right="567"/>
        <w:jc w:val="left"/>
        <w:rPr>
          <w:sz w:val="18"/>
        </w:rPr>
      </w:pPr>
    </w:p>
    <w:p w:rsidR="00940EE8" w:rsidRPr="004E2894" w:rsidRDefault="00940EE8" w:rsidP="00940EE8">
      <w:pPr>
        <w:ind w:left="1134" w:right="567"/>
        <w:jc w:val="left"/>
        <w:rPr>
          <w:sz w:val="18"/>
        </w:rPr>
      </w:pPr>
      <w:r w:rsidRPr="004E2894">
        <w:rPr>
          <w:sz w:val="18"/>
        </w:rPr>
        <w:t>‘3.</w:t>
      </w:r>
      <w:r w:rsidRPr="004E2894">
        <w:rPr>
          <w:sz w:val="18"/>
        </w:rPr>
        <w:tab/>
        <w:t>Method of Examination</w:t>
      </w:r>
    </w:p>
    <w:p w:rsidR="00940EE8" w:rsidRPr="004E2894" w:rsidRDefault="00940EE8" w:rsidP="00940EE8">
      <w:pPr>
        <w:ind w:left="1134" w:right="567"/>
        <w:jc w:val="left"/>
        <w:rPr>
          <w:sz w:val="18"/>
        </w:rPr>
      </w:pPr>
    </w:p>
    <w:p w:rsidR="00940EE8" w:rsidRPr="004E2894" w:rsidRDefault="00940EE8" w:rsidP="00940EE8">
      <w:pPr>
        <w:ind w:left="1134" w:right="567"/>
        <w:jc w:val="left"/>
        <w:rPr>
          <w:sz w:val="18"/>
        </w:rPr>
      </w:pPr>
      <w:r w:rsidRPr="004E2894">
        <w:rPr>
          <w:sz w:val="18"/>
        </w:rPr>
        <w:t>‘3.1</w:t>
      </w:r>
      <w:r w:rsidRPr="004E2894">
        <w:rPr>
          <w:sz w:val="18"/>
        </w:rPr>
        <w:tab/>
        <w:t>Number of Growing Cycles</w:t>
      </w:r>
    </w:p>
    <w:p w:rsidR="00940EE8" w:rsidRPr="004E2894" w:rsidRDefault="00940EE8" w:rsidP="00940EE8">
      <w:pPr>
        <w:ind w:left="1134" w:right="567"/>
        <w:rPr>
          <w:sz w:val="18"/>
        </w:rPr>
      </w:pPr>
    </w:p>
    <w:p w:rsidR="00940EE8" w:rsidRPr="004E2894" w:rsidRDefault="00940EE8" w:rsidP="00940EE8">
      <w:pPr>
        <w:autoSpaceDE w:val="0"/>
        <w:autoSpaceDN w:val="0"/>
        <w:adjustRightInd w:val="0"/>
        <w:ind w:left="1134" w:right="567"/>
        <w:rPr>
          <w:rFonts w:eastAsia="Cambria" w:cs="Arial"/>
          <w:sz w:val="18"/>
          <w:lang w:eastAsia="fr-FR"/>
        </w:rPr>
      </w:pPr>
      <w:r w:rsidRPr="004E2894">
        <w:rPr>
          <w:rFonts w:eastAsia="Cambria" w:cs="Arial"/>
          <w:sz w:val="18"/>
        </w:rPr>
        <w:t xml:space="preserve">‘The </w:t>
      </w:r>
      <w:r w:rsidRPr="004E2894">
        <w:rPr>
          <w:rFonts w:eastAsia="Cambria" w:cs="Arial"/>
          <w:strike/>
          <w:sz w:val="18"/>
          <w:highlight w:val="lightGray"/>
        </w:rPr>
        <w:t>minimum</w:t>
      </w:r>
      <w:r w:rsidRPr="004E2894">
        <w:rPr>
          <w:rFonts w:eastAsia="Cambria" w:cs="Arial"/>
          <w:sz w:val="18"/>
        </w:rPr>
        <w:t xml:space="preserve"> duration of tests should </w:t>
      </w:r>
      <w:r w:rsidRPr="004E2894">
        <w:rPr>
          <w:sz w:val="18"/>
          <w:highlight w:val="lightGray"/>
          <w:u w:val="single"/>
        </w:rPr>
        <w:t>[normally]/[typically]</w:t>
      </w:r>
      <w:r w:rsidRPr="004E2894">
        <w:rPr>
          <w:rFonts w:eastAsia="Cambria" w:cs="Arial"/>
          <w:sz w:val="18"/>
        </w:rPr>
        <w:t xml:space="preserve"> be a single growing cycle.</w:t>
      </w:r>
      <w:r w:rsidRPr="004E2894">
        <w:rPr>
          <w:rFonts w:eastAsia="Cambria" w:cs="Arial"/>
          <w:sz w:val="18"/>
          <w:lang w:eastAsia="fr-FR"/>
        </w:rPr>
        <w:t xml:space="preserve"> </w:t>
      </w:r>
    </w:p>
    <w:p w:rsidR="00940EE8" w:rsidRPr="004E2894" w:rsidRDefault="00940EE8" w:rsidP="00940EE8">
      <w:pPr>
        <w:ind w:left="567" w:right="567"/>
        <w:rPr>
          <w:rFonts w:eastAsia="Cambria"/>
          <w:sz w:val="18"/>
        </w:rPr>
      </w:pPr>
    </w:p>
    <w:p w:rsidR="00940EE8" w:rsidRPr="004E2894" w:rsidRDefault="00940EE8" w:rsidP="00940EE8">
      <w:pPr>
        <w:autoSpaceDE w:val="0"/>
        <w:autoSpaceDN w:val="0"/>
        <w:adjustRightInd w:val="0"/>
        <w:ind w:left="1134" w:right="567"/>
        <w:rPr>
          <w:sz w:val="18"/>
          <w:highlight w:val="lightGray"/>
          <w:u w:val="single"/>
        </w:rPr>
      </w:pPr>
      <w:r w:rsidRPr="004E2894">
        <w:rPr>
          <w:sz w:val="18"/>
          <w:highlight w:val="lightGray"/>
          <w:u w:val="single"/>
        </w:rPr>
        <w:t>‘However, the testing of a variety may be terminated earlier if a negative conclusion on distinctness, uniformity or stability has already been reached.’</w:t>
      </w:r>
    </w:p>
    <w:p w:rsidR="00940EE8" w:rsidRPr="004E2894" w:rsidRDefault="00940EE8" w:rsidP="00940EE8">
      <w:pPr>
        <w:shd w:val="clear" w:color="auto" w:fill="FFFFFF" w:themeFill="background1"/>
        <w:autoSpaceDE w:val="0"/>
        <w:autoSpaceDN w:val="0"/>
        <w:adjustRightInd w:val="0"/>
        <w:ind w:left="1134" w:right="567"/>
        <w:rPr>
          <w:sz w:val="18"/>
          <w:highlight w:val="lightGray"/>
          <w:u w:val="single"/>
        </w:rPr>
      </w:pPr>
    </w:p>
    <w:p w:rsidR="00940EE8" w:rsidRPr="004E2894" w:rsidRDefault="00940EE8" w:rsidP="00940EE8">
      <w:pPr>
        <w:shd w:val="clear" w:color="auto" w:fill="FFFFFF" w:themeFill="background1"/>
        <w:autoSpaceDE w:val="0"/>
        <w:autoSpaceDN w:val="0"/>
        <w:adjustRightInd w:val="0"/>
        <w:ind w:left="1134" w:right="567"/>
        <w:rPr>
          <w:rFonts w:eastAsia="Cambria" w:cs="Arial"/>
          <w:sz w:val="18"/>
          <w:szCs w:val="18"/>
          <w:u w:val="single"/>
          <w:lang w:eastAsia="fr-FR"/>
        </w:rPr>
      </w:pPr>
      <w:r w:rsidRPr="004E2894">
        <w:rPr>
          <w:sz w:val="18"/>
          <w:highlight w:val="lightGray"/>
          <w:u w:val="single"/>
        </w:rPr>
        <w:t>‘Alternatively, the testing of a variety may be continued if a conclusion on distinctness, uniformity or stability has not been reached after the [normal]/[typical] duration of tests.</w:t>
      </w:r>
    </w:p>
    <w:p w:rsidR="00940EE8" w:rsidRPr="004E2894" w:rsidRDefault="00940EE8" w:rsidP="00940EE8">
      <w:pPr>
        <w:pStyle w:val="Heading2"/>
        <w:ind w:left="567" w:right="567"/>
        <w:rPr>
          <w:sz w:val="18"/>
        </w:rPr>
      </w:pPr>
    </w:p>
    <w:p w:rsidR="00940EE8" w:rsidRPr="004E2894" w:rsidRDefault="00940EE8" w:rsidP="00940EE8">
      <w:pPr>
        <w:pStyle w:val="Heading2"/>
        <w:ind w:left="567" w:right="567"/>
        <w:rPr>
          <w:sz w:val="18"/>
        </w:rPr>
      </w:pPr>
      <w:bookmarkStart w:id="3" w:name="_Toc485133362"/>
      <w:r w:rsidRPr="004E2894">
        <w:rPr>
          <w:sz w:val="18"/>
          <w:u w:val="none"/>
        </w:rPr>
        <w:t>“</w:t>
      </w:r>
      <w:r w:rsidRPr="004E2894">
        <w:rPr>
          <w:sz w:val="18"/>
        </w:rPr>
        <w:t>ASW 2(b):</w:t>
      </w:r>
      <w:bookmarkEnd w:id="3"/>
    </w:p>
    <w:p w:rsidR="00940EE8" w:rsidRPr="004E2894" w:rsidRDefault="00940EE8" w:rsidP="00940EE8">
      <w:pPr>
        <w:ind w:left="567" w:right="567"/>
        <w:jc w:val="left"/>
        <w:rPr>
          <w:sz w:val="18"/>
        </w:rPr>
      </w:pPr>
    </w:p>
    <w:p w:rsidR="00940EE8" w:rsidRPr="004E2894" w:rsidRDefault="00940EE8" w:rsidP="00940EE8">
      <w:pPr>
        <w:ind w:left="1134" w:right="567"/>
        <w:jc w:val="left"/>
        <w:rPr>
          <w:sz w:val="18"/>
        </w:rPr>
      </w:pPr>
      <w:r w:rsidRPr="004E2894">
        <w:rPr>
          <w:sz w:val="18"/>
        </w:rPr>
        <w:t>‘3.</w:t>
      </w:r>
      <w:r w:rsidRPr="004E2894">
        <w:rPr>
          <w:sz w:val="18"/>
        </w:rPr>
        <w:tab/>
        <w:t>Method of Examination</w:t>
      </w:r>
    </w:p>
    <w:p w:rsidR="00940EE8" w:rsidRPr="004E2894" w:rsidRDefault="00940EE8" w:rsidP="00940EE8">
      <w:pPr>
        <w:ind w:left="1134" w:right="567"/>
        <w:jc w:val="left"/>
        <w:rPr>
          <w:sz w:val="18"/>
        </w:rPr>
      </w:pPr>
    </w:p>
    <w:p w:rsidR="00940EE8" w:rsidRPr="004E2894" w:rsidRDefault="00940EE8" w:rsidP="00940EE8">
      <w:pPr>
        <w:ind w:left="1134" w:right="567"/>
        <w:jc w:val="left"/>
        <w:rPr>
          <w:sz w:val="18"/>
        </w:rPr>
      </w:pPr>
      <w:r w:rsidRPr="004E2894">
        <w:rPr>
          <w:sz w:val="18"/>
        </w:rPr>
        <w:t>‘3.1</w:t>
      </w:r>
      <w:r w:rsidRPr="004E2894">
        <w:rPr>
          <w:sz w:val="18"/>
        </w:rPr>
        <w:tab/>
        <w:t>Number of Growing Cycles</w:t>
      </w:r>
    </w:p>
    <w:p w:rsidR="00940EE8" w:rsidRPr="004E2894" w:rsidRDefault="00940EE8" w:rsidP="00940EE8">
      <w:pPr>
        <w:ind w:left="1134" w:right="567"/>
        <w:jc w:val="left"/>
        <w:rPr>
          <w:sz w:val="18"/>
        </w:rPr>
      </w:pPr>
    </w:p>
    <w:p w:rsidR="00940EE8" w:rsidRPr="004E2894" w:rsidRDefault="00940EE8" w:rsidP="00940EE8">
      <w:pPr>
        <w:autoSpaceDE w:val="0"/>
        <w:autoSpaceDN w:val="0"/>
        <w:adjustRightInd w:val="0"/>
        <w:ind w:left="1134" w:right="567"/>
        <w:rPr>
          <w:rFonts w:eastAsia="Cambria" w:cs="Arial"/>
          <w:sz w:val="18"/>
        </w:rPr>
      </w:pPr>
      <w:r w:rsidRPr="004E2894">
        <w:rPr>
          <w:rFonts w:eastAsia="Cambria" w:cs="Arial"/>
          <w:sz w:val="18"/>
        </w:rPr>
        <w:t xml:space="preserve">‘The </w:t>
      </w:r>
      <w:r w:rsidRPr="004E2894">
        <w:rPr>
          <w:rFonts w:eastAsia="Cambria" w:cs="Arial"/>
          <w:strike/>
          <w:sz w:val="18"/>
          <w:highlight w:val="lightGray"/>
        </w:rPr>
        <w:t>minimum</w:t>
      </w:r>
      <w:r w:rsidRPr="004E2894">
        <w:rPr>
          <w:rFonts w:eastAsia="Cambria" w:cs="Arial"/>
          <w:sz w:val="18"/>
        </w:rPr>
        <w:t xml:space="preserve"> duration of tests should </w:t>
      </w:r>
      <w:r w:rsidRPr="004E2894">
        <w:rPr>
          <w:rFonts w:eastAsia="Cambria" w:cs="Arial"/>
          <w:sz w:val="18"/>
          <w:highlight w:val="lightGray"/>
        </w:rPr>
        <w:t>[normally]/[</w:t>
      </w:r>
      <w:r w:rsidRPr="004E2894">
        <w:rPr>
          <w:rFonts w:eastAsia="Cambria" w:cs="Arial"/>
          <w:sz w:val="18"/>
          <w:highlight w:val="lightGray"/>
          <w:u w:val="single"/>
        </w:rPr>
        <w:t>typically]</w:t>
      </w:r>
      <w:r w:rsidRPr="004E2894">
        <w:rPr>
          <w:rFonts w:eastAsia="Cambria" w:cs="Arial"/>
          <w:sz w:val="18"/>
        </w:rPr>
        <w:t xml:space="preserve"> be two independent growing cycles. </w:t>
      </w:r>
    </w:p>
    <w:p w:rsidR="00940EE8" w:rsidRPr="004E2894" w:rsidRDefault="00940EE8" w:rsidP="00940EE8">
      <w:pPr>
        <w:ind w:left="567" w:right="567"/>
        <w:rPr>
          <w:rFonts w:eastAsia="Cambria"/>
          <w:sz w:val="18"/>
        </w:rPr>
      </w:pPr>
    </w:p>
    <w:p w:rsidR="00940EE8" w:rsidRPr="004E2894" w:rsidRDefault="00940EE8" w:rsidP="00940EE8">
      <w:pPr>
        <w:autoSpaceDE w:val="0"/>
        <w:autoSpaceDN w:val="0"/>
        <w:adjustRightInd w:val="0"/>
        <w:ind w:left="1134" w:right="567"/>
        <w:rPr>
          <w:sz w:val="18"/>
          <w:highlight w:val="lightGray"/>
          <w:u w:val="single"/>
        </w:rPr>
      </w:pPr>
      <w:r w:rsidRPr="004E2894">
        <w:rPr>
          <w:sz w:val="18"/>
          <w:highlight w:val="lightGray"/>
          <w:u w:val="single"/>
        </w:rPr>
        <w:t>‘However, the testing of a variety may be terminated earlier if a negative conclusion on distinctness, uniformity or stability has already been reached.’</w:t>
      </w:r>
    </w:p>
    <w:p w:rsidR="00940EE8" w:rsidRPr="004E2894" w:rsidRDefault="00940EE8" w:rsidP="00940EE8">
      <w:pPr>
        <w:shd w:val="clear" w:color="auto" w:fill="FFFFFF" w:themeFill="background1"/>
        <w:autoSpaceDE w:val="0"/>
        <w:autoSpaceDN w:val="0"/>
        <w:adjustRightInd w:val="0"/>
        <w:ind w:left="1134" w:right="567"/>
        <w:rPr>
          <w:rFonts w:eastAsia="Cambria" w:cs="Arial"/>
          <w:sz w:val="18"/>
          <w:szCs w:val="18"/>
          <w:highlight w:val="lightGray"/>
          <w:u w:val="single"/>
          <w:lang w:eastAsia="fr-FR"/>
        </w:rPr>
      </w:pPr>
    </w:p>
    <w:p w:rsidR="00940EE8" w:rsidRPr="004E2894" w:rsidRDefault="00940EE8" w:rsidP="00940EE8">
      <w:pPr>
        <w:shd w:val="clear" w:color="auto" w:fill="FFFFFF" w:themeFill="background1"/>
        <w:autoSpaceDE w:val="0"/>
        <w:autoSpaceDN w:val="0"/>
        <w:adjustRightInd w:val="0"/>
        <w:ind w:left="1134" w:right="567"/>
        <w:rPr>
          <w:rFonts w:eastAsia="Cambria" w:cs="Arial"/>
          <w:sz w:val="18"/>
          <w:szCs w:val="18"/>
          <w:u w:val="single"/>
          <w:lang w:eastAsia="fr-FR"/>
        </w:rPr>
      </w:pPr>
      <w:r w:rsidRPr="004E2894">
        <w:rPr>
          <w:rFonts w:eastAsia="Cambria" w:cs="Arial"/>
          <w:sz w:val="18"/>
          <w:szCs w:val="18"/>
          <w:highlight w:val="lightGray"/>
          <w:u w:val="single"/>
          <w:lang w:eastAsia="fr-FR"/>
        </w:rPr>
        <w:t xml:space="preserve">‘Alternatively, the testing of a variety may be continued if a conclusion on distinctness, uniformity or stability has not been reached after the </w:t>
      </w:r>
      <w:r w:rsidRPr="004E2894">
        <w:rPr>
          <w:rFonts w:eastAsia="Cambria" w:cs="Arial"/>
          <w:sz w:val="18"/>
          <w:highlight w:val="lightGray"/>
          <w:u w:val="single"/>
        </w:rPr>
        <w:t>[normal]/[typical] duration of tests.</w:t>
      </w:r>
      <w:r w:rsidRPr="004E2894">
        <w:rPr>
          <w:rFonts w:eastAsia="Cambria" w:cs="Arial"/>
          <w:sz w:val="18"/>
          <w:highlight w:val="lightGray"/>
        </w:rPr>
        <w:t>’</w:t>
      </w:r>
      <w:r w:rsidRPr="004E2894">
        <w:rPr>
          <w:rFonts w:eastAsia="Cambria" w:cs="Arial"/>
          <w:sz w:val="18"/>
        </w:rPr>
        <w:t xml:space="preserve"> ”</w:t>
      </w:r>
    </w:p>
    <w:p w:rsidR="00940EE8" w:rsidRPr="004E2894" w:rsidRDefault="00940EE8" w:rsidP="00940EE8"/>
    <w:p w:rsidR="00940EE8" w:rsidRPr="004E2894" w:rsidRDefault="00940EE8" w:rsidP="00940EE8">
      <w:pPr>
        <w:rPr>
          <w:rFonts w:cs="Arial"/>
          <w:snapToGrid w:val="0"/>
        </w:rPr>
      </w:pPr>
      <w:r w:rsidRPr="005948AF">
        <w:rPr>
          <w:rFonts w:cs="Arial"/>
          <w:snapToGrid w:val="0"/>
        </w:rPr>
        <w:fldChar w:fldCharType="begin"/>
      </w:r>
      <w:r w:rsidRPr="004E2894">
        <w:rPr>
          <w:rFonts w:cs="Arial"/>
          <w:snapToGrid w:val="0"/>
        </w:rPr>
        <w:instrText xml:space="preserve"> AUTONUM  </w:instrText>
      </w:r>
      <w:r w:rsidRPr="005948AF">
        <w:rPr>
          <w:rFonts w:cs="Arial"/>
          <w:snapToGrid w:val="0"/>
        </w:rPr>
        <w:fldChar w:fldCharType="end"/>
      </w:r>
      <w:r w:rsidRPr="004E2894">
        <w:rPr>
          <w:rFonts w:cs="Arial"/>
          <w:snapToGrid w:val="0"/>
        </w:rPr>
        <w:tab/>
        <w:t xml:space="preserve">The TWC agreed with the TWA, TWV, TWO and the TWF that the term “normally” was preferred and should be used throughout the guidance in ASW 2. </w:t>
      </w:r>
    </w:p>
    <w:p w:rsidR="00940EE8" w:rsidRPr="004E2894" w:rsidRDefault="00940EE8" w:rsidP="00940EE8">
      <w:pPr>
        <w:rPr>
          <w:rFonts w:cs="Arial"/>
          <w:snapToGrid w:val="0"/>
        </w:rPr>
      </w:pPr>
    </w:p>
    <w:p w:rsidR="00940EE8" w:rsidRPr="004E2894" w:rsidRDefault="00940EE8" w:rsidP="00940EE8">
      <w:pPr>
        <w:rPr>
          <w:rFonts w:cs="Arial"/>
          <w:snapToGrid w:val="0"/>
        </w:rPr>
      </w:pPr>
      <w:r w:rsidRPr="005948AF">
        <w:rPr>
          <w:rFonts w:cs="Arial"/>
          <w:snapToGrid w:val="0"/>
        </w:rPr>
        <w:fldChar w:fldCharType="begin"/>
      </w:r>
      <w:r w:rsidRPr="004E2894">
        <w:rPr>
          <w:rFonts w:cs="Arial"/>
          <w:snapToGrid w:val="0"/>
        </w:rPr>
        <w:instrText xml:space="preserve"> AUTONUM  </w:instrText>
      </w:r>
      <w:r w:rsidRPr="005948AF">
        <w:rPr>
          <w:rFonts w:cs="Arial"/>
          <w:snapToGrid w:val="0"/>
        </w:rPr>
        <w:fldChar w:fldCharType="end"/>
      </w:r>
      <w:r w:rsidRPr="004E2894">
        <w:rPr>
          <w:rFonts w:cs="Arial"/>
          <w:snapToGrid w:val="0"/>
        </w:rPr>
        <w:tab/>
        <w:t xml:space="preserve">The TWC noted the different views expressed by the TWA, TWV, TWO and TWF in relation to the text in </w:t>
      </w:r>
      <w:r w:rsidR="006C6F4D" w:rsidRPr="004E2894">
        <w:rPr>
          <w:rFonts w:cs="Arial"/>
          <w:snapToGrid w:val="0"/>
        </w:rPr>
        <w:t>Additional Standard Wording (</w:t>
      </w:r>
      <w:r w:rsidRPr="004E2894">
        <w:rPr>
          <w:rFonts w:cs="Arial"/>
          <w:snapToGrid w:val="0"/>
        </w:rPr>
        <w:t>ASW</w:t>
      </w:r>
      <w:r w:rsidR="006C6F4D" w:rsidRPr="004E2894">
        <w:rPr>
          <w:rFonts w:cs="Arial"/>
          <w:snapToGrid w:val="0"/>
        </w:rPr>
        <w:t xml:space="preserve">) </w:t>
      </w:r>
      <w:r w:rsidRPr="004E2894">
        <w:rPr>
          <w:rFonts w:cs="Arial"/>
          <w:snapToGrid w:val="0"/>
        </w:rPr>
        <w:t xml:space="preserve">2 and </w:t>
      </w:r>
      <w:r w:rsidR="006C6F4D" w:rsidRPr="004E2894">
        <w:rPr>
          <w:rFonts w:cs="Arial"/>
          <w:snapToGrid w:val="0"/>
        </w:rPr>
        <w:t>Guidance Note (</w:t>
      </w:r>
      <w:r w:rsidRPr="004E2894">
        <w:rPr>
          <w:rFonts w:cs="Arial"/>
          <w:snapToGrid w:val="0"/>
        </w:rPr>
        <w:t>GN</w:t>
      </w:r>
      <w:r w:rsidR="006C6F4D" w:rsidRPr="004E2894">
        <w:rPr>
          <w:rFonts w:cs="Arial"/>
          <w:snapToGrid w:val="0"/>
        </w:rPr>
        <w:t>)</w:t>
      </w:r>
      <w:r w:rsidRPr="004E2894">
        <w:rPr>
          <w:rFonts w:cs="Arial"/>
          <w:snapToGrid w:val="0"/>
        </w:rPr>
        <w:t xml:space="preserve"> 8 and agreed that it should be possible for the authority to terminate examination when the outcome of the test was determined.</w:t>
      </w:r>
    </w:p>
    <w:p w:rsidR="00940EE8" w:rsidRPr="004E2894" w:rsidRDefault="00940EE8" w:rsidP="00940EE8"/>
    <w:p w:rsidR="00940EE8" w:rsidRPr="004E2894" w:rsidRDefault="00940EE8" w:rsidP="00940EE8">
      <w:pPr>
        <w:pStyle w:val="Heading4"/>
        <w:rPr>
          <w:lang w:val="en-US"/>
        </w:rPr>
      </w:pPr>
      <w:r w:rsidRPr="004E2894">
        <w:rPr>
          <w:lang w:val="en-US"/>
        </w:rPr>
        <w:t>Characteristics which only apply to certain varieties</w:t>
      </w:r>
    </w:p>
    <w:p w:rsidR="00940EE8" w:rsidRPr="004E2894" w:rsidRDefault="00940EE8" w:rsidP="00940EE8">
      <w:pPr>
        <w:keepNext/>
      </w:pPr>
    </w:p>
    <w:p w:rsidR="00940EE8" w:rsidRPr="004E2894" w:rsidRDefault="00940EE8" w:rsidP="00940EE8">
      <w:pPr>
        <w:keepNext/>
        <w:rPr>
          <w:rFonts w:cs="Arial"/>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considered </w:t>
      </w:r>
      <w:r w:rsidRPr="004E2894">
        <w:t>document TWP/1/</w:t>
      </w:r>
      <w:r w:rsidRPr="004E2894">
        <w:rPr>
          <w:rFonts w:cs="Arial"/>
        </w:rPr>
        <w:t>12.</w:t>
      </w:r>
    </w:p>
    <w:p w:rsidR="00940EE8" w:rsidRPr="004E2894" w:rsidRDefault="00940EE8" w:rsidP="00940EE8">
      <w:pPr>
        <w:keepNext/>
        <w:rPr>
          <w:rFonts w:cs="Arial"/>
        </w:rPr>
      </w:pPr>
    </w:p>
    <w:p w:rsidR="00940EE8" w:rsidRPr="004E2894" w:rsidRDefault="00940EE8" w:rsidP="00940EE8">
      <w:r w:rsidRPr="005948AF">
        <w:fldChar w:fldCharType="begin"/>
      </w:r>
      <w:r w:rsidRPr="004E2894">
        <w:instrText xml:space="preserve"> AUTONUM  </w:instrText>
      </w:r>
      <w:r w:rsidRPr="005948AF">
        <w:fldChar w:fldCharType="end"/>
      </w:r>
      <w:r w:rsidRPr="004E2894">
        <w:tab/>
        <w:t>The TWC agreed with the TWA, TWV, TWO and the TWF on the possibility to exclude varieties from observation on the basis of a preceding pseudo-qualitative or quantitative characteristic under particular circumstances, such as the impossibility to describe an organ that was not present in a variety or when variation existed only within a particular group of a crop.</w:t>
      </w:r>
    </w:p>
    <w:p w:rsidR="00940EE8" w:rsidRPr="004E2894" w:rsidRDefault="00940EE8" w:rsidP="00940EE8"/>
    <w:p w:rsidR="00940EE8" w:rsidRPr="004E2894" w:rsidRDefault="00940EE8" w:rsidP="00940EE8">
      <w:r w:rsidRPr="005948AF">
        <w:fldChar w:fldCharType="begin"/>
      </w:r>
      <w:r w:rsidRPr="004E2894">
        <w:instrText xml:space="preserve"> AUTONUM  </w:instrText>
      </w:r>
      <w:r w:rsidRPr="005948AF">
        <w:fldChar w:fldCharType="end"/>
      </w:r>
      <w:r w:rsidRPr="004E2894">
        <w:tab/>
        <w:t>The TWC agreed with the TWV, the TWO and the TWF that the approach of excluding varieties from observation on the basis of preceding PQ or QN characteristics should be used carefully and based on experience and discussions during the drafting of Test Guidelines, in order to be fully aware on the consequences.</w:t>
      </w:r>
    </w:p>
    <w:p w:rsidR="00940EE8" w:rsidRPr="004E2894" w:rsidRDefault="00940EE8" w:rsidP="00940EE8"/>
    <w:p w:rsidR="00940EE8" w:rsidRPr="004E2894" w:rsidRDefault="00940EE8" w:rsidP="00E07077">
      <w:pPr>
        <w:pStyle w:val="Heading3"/>
        <w:rPr>
          <w:snapToGrid w:val="0"/>
        </w:rPr>
      </w:pPr>
      <w:r w:rsidRPr="004E2894">
        <w:rPr>
          <w:snapToGrid w:val="0"/>
        </w:rPr>
        <w:t>TGP/14:</w:t>
      </w:r>
      <w:r w:rsidRPr="004E2894">
        <w:rPr>
          <w:snapToGrid w:val="0"/>
        </w:rPr>
        <w:tab/>
        <w:t>Glossary of Terms Used in UPOV Documents</w:t>
      </w:r>
    </w:p>
    <w:p w:rsidR="00940EE8" w:rsidRPr="004E2894" w:rsidRDefault="00940EE8" w:rsidP="00940EE8">
      <w:pPr>
        <w:keepNext/>
      </w:pPr>
    </w:p>
    <w:p w:rsidR="00940EE8" w:rsidRPr="004E2894" w:rsidRDefault="00940EE8" w:rsidP="00940EE8">
      <w:pPr>
        <w:pStyle w:val="Heading4"/>
        <w:rPr>
          <w:snapToGrid w:val="0"/>
          <w:lang w:val="en-US"/>
        </w:rPr>
      </w:pPr>
      <w:r w:rsidRPr="004E2894">
        <w:rPr>
          <w:lang w:val="en-US"/>
        </w:rPr>
        <w:t xml:space="preserve">Illustrations for shape and ratio characteristics </w:t>
      </w:r>
    </w:p>
    <w:p w:rsidR="00940EE8" w:rsidRPr="004E2894" w:rsidRDefault="00940EE8" w:rsidP="00940EE8">
      <w:pPr>
        <w:keepNext/>
      </w:pPr>
    </w:p>
    <w:p w:rsidR="00940EE8" w:rsidRPr="004E2894" w:rsidRDefault="00940EE8" w:rsidP="00E07077">
      <w:pPr>
        <w:keepNext/>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considered </w:t>
      </w:r>
      <w:r w:rsidRPr="004E2894">
        <w:t>document TWP/1/18.</w:t>
      </w:r>
    </w:p>
    <w:p w:rsidR="00940EE8" w:rsidRPr="004E2894" w:rsidRDefault="00940EE8" w:rsidP="00940EE8"/>
    <w:p w:rsidR="00940EE8" w:rsidRPr="004E2894" w:rsidRDefault="00940EE8" w:rsidP="00940EE8">
      <w:r w:rsidRPr="005948AF">
        <w:fldChar w:fldCharType="begin"/>
      </w:r>
      <w:r w:rsidRPr="004E2894">
        <w:instrText xml:space="preserve"> AUTONUM  </w:instrText>
      </w:r>
      <w:r w:rsidRPr="005948AF">
        <w:fldChar w:fldCharType="end"/>
      </w:r>
      <w:r w:rsidRPr="004E2894">
        <w:tab/>
        <w:t xml:space="preserve">The TWC agreed with the TWA, TWV and TWF that no additional examples were available at this time for improving the guidance on providing illustrations for shape and ratio characteristics in document TGP/14. </w:t>
      </w:r>
    </w:p>
    <w:p w:rsidR="00077F74" w:rsidRDefault="00077F74" w:rsidP="00077F74">
      <w:pPr>
        <w:rPr>
          <w:rFonts w:eastAsia="MS Mincho"/>
        </w:rPr>
      </w:pPr>
    </w:p>
    <w:p w:rsidR="00E07077" w:rsidRPr="004E2894" w:rsidRDefault="00E07077" w:rsidP="00077F74">
      <w:pPr>
        <w:rPr>
          <w:rFonts w:eastAsia="MS Mincho"/>
        </w:rPr>
      </w:pPr>
    </w:p>
    <w:p w:rsidR="00077F74" w:rsidRPr="004E2894" w:rsidRDefault="00077F74" w:rsidP="00077F74">
      <w:pPr>
        <w:pStyle w:val="Heading2"/>
        <w:rPr>
          <w:rFonts w:eastAsia="MS Mincho"/>
        </w:rPr>
      </w:pPr>
      <w:r w:rsidRPr="004E2894">
        <w:rPr>
          <w:rFonts w:eastAsia="MS Mincho"/>
        </w:rPr>
        <w:t xml:space="preserve">Number of growing cycles in DUS examination </w:t>
      </w:r>
    </w:p>
    <w:p w:rsidR="00077F74" w:rsidRPr="004E2894" w:rsidRDefault="00077F74" w:rsidP="00077F74">
      <w:pPr>
        <w:rPr>
          <w:rFonts w:eastAsia="MS Mincho"/>
          <w:u w:val="single"/>
        </w:rPr>
      </w:pPr>
    </w:p>
    <w:p w:rsidR="00077F74" w:rsidRPr="004E2894" w:rsidRDefault="00077F74" w:rsidP="00077F74">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TWP/1/21.</w:t>
      </w:r>
    </w:p>
    <w:p w:rsidR="00077F74" w:rsidRPr="004E2894" w:rsidRDefault="00077F74" w:rsidP="00077F74">
      <w:pPr>
        <w:rPr>
          <w:rFonts w:eastAsia="MS Mincho"/>
          <w:u w:val="single"/>
        </w:rPr>
      </w:pPr>
    </w:p>
    <w:p w:rsidR="00077F74" w:rsidRPr="004E2894" w:rsidRDefault="00077F74" w:rsidP="00077F74">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 xml:space="preserve">noted the presentations made to the TWPs at their sessions in 2016, simulating the impact of using different numbers of growing cycles on DUS decisions using actual data, as set out in the Annexes to document TWP/1/21. </w:t>
      </w:r>
    </w:p>
    <w:p w:rsidR="00077F74" w:rsidRPr="004E2894" w:rsidRDefault="00077F74" w:rsidP="00077F74"/>
    <w:p w:rsidR="00077F74" w:rsidRPr="004E2894" w:rsidRDefault="00077F74" w:rsidP="00077F74">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noted that the TC had agreed that the number of growing cycles for DUS examination should be the minimum necessary for a robust DUS decision and the establishment of a reliable variety description.</w:t>
      </w:r>
    </w:p>
    <w:p w:rsidR="00077F74" w:rsidRPr="004E2894" w:rsidRDefault="00077F74" w:rsidP="00077F74">
      <w:pPr>
        <w:rPr>
          <w:rFonts w:eastAsia="MS Mincho"/>
          <w:u w:val="single"/>
        </w:rPr>
      </w:pPr>
    </w:p>
    <w:p w:rsidR="00077F74" w:rsidRPr="004E2894" w:rsidRDefault="00077F74" w:rsidP="00077F74">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r>
      <w:r w:rsidRPr="004E2894">
        <w:t>The TWC noted that the TC had agreed that it was not appropriate to generalize that ornamental varieties should be examined in a single growing trial while other types of crops should be examined in two growing cycles and had agreed that the typical number of growing cycles should be established on a crop</w:t>
      </w:r>
      <w:r w:rsidRPr="004E2894">
        <w:noBreakHyphen/>
        <w:t>by-crop basis</w:t>
      </w:r>
    </w:p>
    <w:p w:rsidR="00077F74" w:rsidRPr="004E2894" w:rsidRDefault="00077F74" w:rsidP="00077F74"/>
    <w:p w:rsidR="00D1151F" w:rsidRPr="004E2894" w:rsidRDefault="00077F74" w:rsidP="00077F74">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TWC/35/7 and received a presentation by an expert from the Netherlands on “</w:t>
      </w:r>
      <w:r w:rsidRPr="004E2894">
        <w:rPr>
          <w:bCs/>
        </w:rPr>
        <w:t>Number of Growing Cycles in Potato</w:t>
      </w:r>
      <w:r w:rsidRPr="004E2894">
        <w:t xml:space="preserve">”, </w:t>
      </w:r>
      <w:r w:rsidR="00773628" w:rsidRPr="004E2894">
        <w:t xml:space="preserve">containing </w:t>
      </w:r>
      <w:r w:rsidR="00733818" w:rsidRPr="004E2894">
        <w:t>the results of the simulation on the impact of using different numbers of growing cycles on DUS decisions using actual data for potato.  A</w:t>
      </w:r>
      <w:r w:rsidRPr="004E2894">
        <w:t xml:space="preserve"> copy of </w:t>
      </w:r>
      <w:r w:rsidR="00733818" w:rsidRPr="004E2894">
        <w:t>the presentation</w:t>
      </w:r>
      <w:r w:rsidRPr="004E2894">
        <w:t xml:space="preserve"> is reproduced in the Annex to document</w:t>
      </w:r>
      <w:r w:rsidR="00D1151F" w:rsidRPr="004E2894">
        <w:t> </w:t>
      </w:r>
      <w:r w:rsidRPr="004E2894">
        <w:t>TWC/35/7.</w:t>
      </w:r>
      <w:r w:rsidR="0058314F" w:rsidRPr="004E2894">
        <w:t xml:space="preserve">  </w:t>
      </w:r>
    </w:p>
    <w:p w:rsidR="00D1151F" w:rsidRPr="004E2894" w:rsidRDefault="00D1151F" w:rsidP="00077F74"/>
    <w:p w:rsidR="00D1151F" w:rsidRPr="004E2894" w:rsidRDefault="00D1151F" w:rsidP="00077F74">
      <w:r w:rsidRPr="005948AF">
        <w:fldChar w:fldCharType="begin"/>
      </w:r>
      <w:r w:rsidRPr="004E2894">
        <w:instrText xml:space="preserve"> AUTONUM  </w:instrText>
      </w:r>
      <w:r w:rsidRPr="005948AF">
        <w:fldChar w:fldCharType="end"/>
      </w:r>
      <w:r w:rsidRPr="004E2894">
        <w:tab/>
      </w:r>
      <w:r w:rsidR="0058314F" w:rsidRPr="004E2894">
        <w:t xml:space="preserve">The TWC noted </w:t>
      </w:r>
      <w:r w:rsidR="00733818" w:rsidRPr="004E2894">
        <w:t xml:space="preserve">that the </w:t>
      </w:r>
      <w:r w:rsidR="00773628" w:rsidRPr="004E2894">
        <w:t xml:space="preserve">results </w:t>
      </w:r>
      <w:r w:rsidR="00733818" w:rsidRPr="004E2894">
        <w:t xml:space="preserve">demonstrated that </w:t>
      </w:r>
      <w:r w:rsidR="009B429F" w:rsidRPr="004E2894">
        <w:t xml:space="preserve">from the 37 characteristics observed, </w:t>
      </w:r>
      <w:r w:rsidR="00733818" w:rsidRPr="004E2894">
        <w:t xml:space="preserve">73% </w:t>
      </w:r>
      <w:r w:rsidR="00773628" w:rsidRPr="004E2894">
        <w:t xml:space="preserve">would have </w:t>
      </w:r>
      <w:r w:rsidR="00733818" w:rsidRPr="004E2894">
        <w:t xml:space="preserve">had the same score </w:t>
      </w:r>
      <w:r w:rsidR="009B429F" w:rsidRPr="004E2894">
        <w:t xml:space="preserve">and </w:t>
      </w:r>
      <w:r w:rsidR="00733818" w:rsidRPr="004E2894">
        <w:t xml:space="preserve">24% </w:t>
      </w:r>
      <w:r w:rsidR="00773628" w:rsidRPr="004E2894">
        <w:t xml:space="preserve">would have </w:t>
      </w:r>
      <w:r w:rsidR="00733818" w:rsidRPr="004E2894">
        <w:t xml:space="preserve">had differences </w:t>
      </w:r>
      <w:r w:rsidR="00773628" w:rsidRPr="004E2894">
        <w:t>of only</w:t>
      </w:r>
      <w:r w:rsidR="00733818" w:rsidRPr="004E2894">
        <w:t xml:space="preserve"> one note</w:t>
      </w:r>
      <w:r w:rsidR="009B429F" w:rsidRPr="004E2894">
        <w:t xml:space="preserve"> between the first</w:t>
      </w:r>
      <w:r w:rsidR="00773628" w:rsidRPr="004E2894">
        <w:t xml:space="preserve"> growing cycle</w:t>
      </w:r>
      <w:r w:rsidR="009B429F" w:rsidRPr="004E2894">
        <w:t xml:space="preserve"> and</w:t>
      </w:r>
      <w:r w:rsidR="009D4668" w:rsidRPr="004E2894">
        <w:t xml:space="preserve"> the </w:t>
      </w:r>
      <w:r w:rsidR="00773628" w:rsidRPr="004E2894">
        <w:t>note from the</w:t>
      </w:r>
      <w:r w:rsidR="009D4668" w:rsidRPr="004E2894">
        <w:t xml:space="preserve"> first and</w:t>
      </w:r>
      <w:r w:rsidR="009B429F" w:rsidRPr="004E2894">
        <w:t xml:space="preserve"> </w:t>
      </w:r>
      <w:r w:rsidR="00D0300C" w:rsidRPr="004E2894">
        <w:t>second</w:t>
      </w:r>
      <w:r w:rsidR="009B429F" w:rsidRPr="004E2894">
        <w:t xml:space="preserve"> growing cycles</w:t>
      </w:r>
      <w:r w:rsidR="009D4668" w:rsidRPr="004E2894">
        <w:t xml:space="preserve"> combined</w:t>
      </w:r>
      <w:r w:rsidR="00733818" w:rsidRPr="004E2894">
        <w:t>.</w:t>
      </w:r>
      <w:r w:rsidRPr="004E2894">
        <w:t xml:space="preserve"> </w:t>
      </w:r>
    </w:p>
    <w:p w:rsidR="00077F74" w:rsidRPr="004E2894" w:rsidRDefault="00077F74" w:rsidP="00077F74"/>
    <w:p w:rsidR="003F28FC" w:rsidRPr="004E2894" w:rsidRDefault="003F28FC" w:rsidP="003F28FC">
      <w:r w:rsidRPr="005948AF">
        <w:fldChar w:fldCharType="begin"/>
      </w:r>
      <w:r w:rsidRPr="004E2894">
        <w:instrText xml:space="preserve"> AUTONUM  </w:instrText>
      </w:r>
      <w:r w:rsidRPr="005948AF">
        <w:fldChar w:fldCharType="end"/>
      </w:r>
      <w:r w:rsidRPr="004E2894">
        <w:tab/>
        <w:t xml:space="preserve">The TWC noted that the Netherlands was exploring the possibility </w:t>
      </w:r>
      <w:r w:rsidR="00773628" w:rsidRPr="004E2894">
        <w:t>of using</w:t>
      </w:r>
      <w:r w:rsidRPr="004E2894">
        <w:t xml:space="preserve"> molecular marker information to reduce the number of growing cycles for DUS examination of potato varieties.  </w:t>
      </w:r>
    </w:p>
    <w:p w:rsidR="00077F74" w:rsidRDefault="00077F74" w:rsidP="00077F74"/>
    <w:p w:rsidR="00E07077" w:rsidRPr="004E2894" w:rsidRDefault="00E07077" w:rsidP="00077F74"/>
    <w:p w:rsidR="00077F74" w:rsidRPr="004E2894" w:rsidRDefault="00077F74" w:rsidP="00077F74">
      <w:pPr>
        <w:pStyle w:val="Heading2"/>
      </w:pPr>
      <w:r w:rsidRPr="004E2894">
        <w:t>Data Processing for the Assessment of Distinctness and for Producing Variety Descriptions</w:t>
      </w:r>
    </w:p>
    <w:p w:rsidR="00077F74" w:rsidRPr="004E2894" w:rsidRDefault="00077F74" w:rsidP="00077F74">
      <w:pPr>
        <w:rPr>
          <w:u w:val="single"/>
        </w:rPr>
      </w:pPr>
    </w:p>
    <w:p w:rsidR="00077F74" w:rsidRPr="004E2894" w:rsidRDefault="00077F74" w:rsidP="00077F74">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TWP/1/15.</w:t>
      </w:r>
    </w:p>
    <w:p w:rsidR="00077F74" w:rsidRPr="004E2894" w:rsidRDefault="00077F74" w:rsidP="00077F74"/>
    <w:p w:rsidR="00507417" w:rsidRPr="004E2894" w:rsidRDefault="00077F74" w:rsidP="00077F74">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noted </w:t>
      </w:r>
      <w:r w:rsidRPr="004E2894">
        <w:t xml:space="preserve">that the TC had agreed to invite the experts from France to check the highlighted values in the table in document TWP/1/15, Annex II “Comparison of methods used for producing variety descriptions: results of the practical exercise”, paragraph 6, for possible data inconsistency. </w:t>
      </w:r>
      <w:r w:rsidR="005D35B7" w:rsidRPr="004E2894">
        <w:t xml:space="preserve"> </w:t>
      </w:r>
    </w:p>
    <w:p w:rsidR="00507417" w:rsidRPr="004E2894" w:rsidRDefault="00507417" w:rsidP="00077F74"/>
    <w:p w:rsidR="00077F74" w:rsidRPr="004E2894" w:rsidRDefault="00893871" w:rsidP="00077F74">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r>
      <w:r w:rsidR="00507417" w:rsidRPr="004E2894">
        <w:t xml:space="preserve">The TWC considered </w:t>
      </w:r>
      <w:r w:rsidR="009917D5" w:rsidRPr="004E2894">
        <w:t xml:space="preserve">document TWC/35/9 “Comparison of methods used for producing variety descriptions: results of the practical exercise” and the revised information provided </w:t>
      </w:r>
      <w:r w:rsidR="00507417" w:rsidRPr="004E2894">
        <w:t>by an expert from France in relation to the comparison of methods used for producing variety descriptions</w:t>
      </w:r>
      <w:r w:rsidR="009917D5" w:rsidRPr="004E2894">
        <w:t xml:space="preserve">.  The TWC agreed that the </w:t>
      </w:r>
      <w:r w:rsidR="00A340C2" w:rsidRPr="004E2894">
        <w:t xml:space="preserve">document provided a useful </w:t>
      </w:r>
      <w:r w:rsidR="009917D5" w:rsidRPr="004E2894">
        <w:t xml:space="preserve">comparison of methods </w:t>
      </w:r>
      <w:r w:rsidR="00B64FF5" w:rsidRPr="004E2894">
        <w:t xml:space="preserve">for the future guidance on converting observations into notes. </w:t>
      </w:r>
      <w:r w:rsidR="00A340C2" w:rsidRPr="004E2894">
        <w:t xml:space="preserve"> The TWC agreed that the </w:t>
      </w:r>
      <w:r w:rsidR="00BD0EE1" w:rsidRPr="004E2894">
        <w:t xml:space="preserve">table of notes attributed to candidate varieties using the different methods as provided </w:t>
      </w:r>
      <w:r w:rsidR="00A340C2" w:rsidRPr="004E2894">
        <w:t xml:space="preserve">in document TWC/35/9 should replace </w:t>
      </w:r>
      <w:r w:rsidR="00BD0EE1" w:rsidRPr="004E2894">
        <w:t>that of document TWP/1/15, Annex II.</w:t>
      </w:r>
    </w:p>
    <w:p w:rsidR="00077F74" w:rsidRPr="004E2894" w:rsidRDefault="00077F74" w:rsidP="00077F74"/>
    <w:p w:rsidR="00077F74" w:rsidRPr="004E2894" w:rsidRDefault="00077F74" w:rsidP="00077F74">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noted that the TC had agreed to invite participants in the practical exercise to provide a short description of their methods to transform measurements into notes and provide examples when these methods might be used, such as for particular characteristics, types of propagation or different situations, on the basis of the short descriptions provided by France and the United Kingdom, as set out in document TWP/1/15, Annexes III to V.</w:t>
      </w:r>
    </w:p>
    <w:p w:rsidR="00077F74" w:rsidRPr="004E2894" w:rsidRDefault="00077F74" w:rsidP="00077F74"/>
    <w:p w:rsidR="00077F74" w:rsidRPr="004E2894" w:rsidRDefault="00077F74" w:rsidP="00077F74">
      <w:pPr>
        <w:rPr>
          <w:bCs/>
        </w:rPr>
      </w:pPr>
      <w:r w:rsidRPr="005948AF">
        <w:fldChar w:fldCharType="begin"/>
      </w:r>
      <w:r w:rsidRPr="004E2894">
        <w:instrText xml:space="preserve"> AUTONUM  </w:instrText>
      </w:r>
      <w:r w:rsidRPr="005948AF">
        <w:fldChar w:fldCharType="end"/>
      </w:r>
      <w:r w:rsidRPr="004E2894">
        <w:tab/>
      </w:r>
      <w:r w:rsidR="00B64FF5" w:rsidRPr="004E2894">
        <w:t>The TWC considered documents TWC/35/10 “Guidance for development of variety descriptions: the Italian experience”, TWC/35/12 “Short explanation on the Japanese methods for assessment table for producing variety descriptions”, TWC/35/14 “</w:t>
      </w:r>
      <w:r w:rsidR="00B64FF5" w:rsidRPr="004E2894">
        <w:rPr>
          <w:bCs/>
        </w:rPr>
        <w:t>Reasons and situations when the approaches described in the United Kingdom practical exercise (TWC/30/32) would/would not be appropriate for transforming observations into notes on measured, quantitative characteristics”, and TWC/35/15 “</w:t>
      </w:r>
      <w:r w:rsidR="00687115" w:rsidRPr="004E2894">
        <w:rPr>
          <w:bCs/>
        </w:rPr>
        <w:t>Short explanation on some United Kingdom methods for data processing for the assessment of distinctness and for producing variety descriptions for quantitative characteristics”</w:t>
      </w:r>
      <w:r w:rsidR="00FC1241" w:rsidRPr="004E2894">
        <w:rPr>
          <w:bCs/>
        </w:rPr>
        <w:t xml:space="preserve"> and </w:t>
      </w:r>
      <w:r w:rsidR="00687115" w:rsidRPr="004E2894">
        <w:t>reviewed the explanations provided by the participants in the practical exercise to be considered as a possible basis for guidance for revision of document TGP/8.</w:t>
      </w:r>
    </w:p>
    <w:p w:rsidR="00687115" w:rsidRPr="004E2894" w:rsidRDefault="00687115" w:rsidP="00077F74">
      <w:pPr>
        <w:rPr>
          <w:bCs/>
        </w:rPr>
      </w:pPr>
    </w:p>
    <w:p w:rsidR="00077F74" w:rsidRPr="004E2894" w:rsidRDefault="00077F74" w:rsidP="00077F74">
      <w:r w:rsidRPr="005948AF">
        <w:fldChar w:fldCharType="begin"/>
      </w:r>
      <w:r w:rsidRPr="004E2894">
        <w:instrText xml:space="preserve"> AUTONUM  </w:instrText>
      </w:r>
      <w:r w:rsidRPr="005948AF">
        <w:fldChar w:fldCharType="end"/>
      </w:r>
      <w:r w:rsidRPr="004E2894">
        <w:tab/>
        <w:t xml:space="preserve">The TWC </w:t>
      </w:r>
      <w:r w:rsidR="00687115" w:rsidRPr="004E2894">
        <w:t>noted the explanation by the expert from Italy that the method described in document TWC/35/10 was still under development and agreed that it should be included in the draft guidance at a future stage.</w:t>
      </w:r>
    </w:p>
    <w:p w:rsidR="006C45BC" w:rsidRPr="004E2894" w:rsidRDefault="006C45BC" w:rsidP="006C45BC"/>
    <w:p w:rsidR="006C45BC" w:rsidRPr="004E2894" w:rsidRDefault="006C45BC" w:rsidP="006C45BC">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agreed to </w:t>
      </w:r>
      <w:r w:rsidRPr="004E2894">
        <w:t>invite Germany to provide a short description of their method to transform measurements into notes and provide examples when these methods might be used, such as for particular characteristics, types of propagation or different situations.</w:t>
      </w:r>
    </w:p>
    <w:p w:rsidR="006C45BC" w:rsidRPr="004E2894" w:rsidRDefault="009B7035" w:rsidP="009B7035">
      <w:pPr>
        <w:spacing w:before="240"/>
      </w:pPr>
      <w:r w:rsidRPr="005948AF">
        <w:fldChar w:fldCharType="begin"/>
      </w:r>
      <w:r w:rsidRPr="004E2894">
        <w:instrText xml:space="preserve"> AUTONUM  </w:instrText>
      </w:r>
      <w:r w:rsidRPr="005948AF">
        <w:fldChar w:fldCharType="end"/>
      </w:r>
      <w:r w:rsidRPr="004E2894">
        <w:tab/>
      </w:r>
      <w:r w:rsidR="006C45BC" w:rsidRPr="004E2894">
        <w:t xml:space="preserve">The TWC agreed that the </w:t>
      </w:r>
      <w:r w:rsidR="00A340C2" w:rsidRPr="004E2894">
        <w:t>explanation provided by the expert from the United Kingdom</w:t>
      </w:r>
      <w:r w:rsidR="006C45BC" w:rsidRPr="004E2894">
        <w:t xml:space="preserve"> in document</w:t>
      </w:r>
      <w:r w:rsidR="00A340C2" w:rsidRPr="004E2894">
        <w:t> </w:t>
      </w:r>
      <w:r w:rsidR="006C45BC" w:rsidRPr="004E2894">
        <w:t>TWC/35/14, paragraph 5 sh</w:t>
      </w:r>
      <w:r w:rsidR="009464DA" w:rsidRPr="004E2894">
        <w:t>o</w:t>
      </w:r>
      <w:r w:rsidR="006C45BC" w:rsidRPr="004E2894">
        <w:t xml:space="preserve">uld be amended to read as follows:  </w:t>
      </w:r>
    </w:p>
    <w:p w:rsidR="00401D53" w:rsidRPr="004E2894" w:rsidRDefault="00401D53" w:rsidP="00401D53"/>
    <w:p w:rsidR="009B7035" w:rsidRPr="004E2894" w:rsidRDefault="006C45BC" w:rsidP="006C45BC">
      <w:pPr>
        <w:ind w:left="567"/>
        <w:rPr>
          <w:sz w:val="18"/>
        </w:rPr>
      </w:pPr>
      <w:r w:rsidRPr="004E2894">
        <w:rPr>
          <w:sz w:val="18"/>
        </w:rPr>
        <w:t>“</w:t>
      </w:r>
      <w:r w:rsidR="009B7035" w:rsidRPr="004E2894">
        <w:rPr>
          <w:sz w:val="18"/>
        </w:rPr>
        <w:t>Equal-spaced states would be used if</w:t>
      </w:r>
      <w:r w:rsidRPr="004E2894">
        <w:rPr>
          <w:sz w:val="18"/>
        </w:rPr>
        <w:t>:</w:t>
      </w:r>
      <w:r w:rsidR="009B7035" w:rsidRPr="004E2894">
        <w:rPr>
          <w:sz w:val="18"/>
        </w:rPr>
        <w:t xml:space="preserve"> </w:t>
      </w:r>
    </w:p>
    <w:p w:rsidR="009B7035" w:rsidRPr="004E2894" w:rsidRDefault="006C45BC" w:rsidP="006C45BC">
      <w:pPr>
        <w:ind w:left="567"/>
        <w:jc w:val="left"/>
        <w:rPr>
          <w:sz w:val="18"/>
        </w:rPr>
      </w:pPr>
      <w:r w:rsidRPr="004E2894">
        <w:rPr>
          <w:sz w:val="18"/>
        </w:rPr>
        <w:t>[…]</w:t>
      </w:r>
    </w:p>
    <w:p w:rsidR="009B7035" w:rsidRPr="004E2894" w:rsidRDefault="006C45BC" w:rsidP="006A6FAD">
      <w:pPr>
        <w:pStyle w:val="ListParagraph"/>
        <w:numPr>
          <w:ilvl w:val="0"/>
          <w:numId w:val="19"/>
        </w:numPr>
        <w:ind w:left="1134" w:hanging="357"/>
        <w:jc w:val="left"/>
        <w:rPr>
          <w:sz w:val="18"/>
        </w:rPr>
      </w:pPr>
      <w:r w:rsidRPr="004E2894">
        <w:rPr>
          <w:strike/>
          <w:sz w:val="18"/>
          <w:highlight w:val="lightGray"/>
        </w:rPr>
        <w:t>where</w:t>
      </w:r>
      <w:r w:rsidRPr="004E2894">
        <w:rPr>
          <w:sz w:val="18"/>
        </w:rPr>
        <w:t xml:space="preserve"> </w:t>
      </w:r>
      <w:r w:rsidR="009B7035" w:rsidRPr="004E2894">
        <w:rPr>
          <w:sz w:val="18"/>
        </w:rPr>
        <w:t>the range of values is continuous</w:t>
      </w:r>
      <w:r w:rsidRPr="004E2894">
        <w:rPr>
          <w:sz w:val="18"/>
        </w:rPr>
        <w:t>”</w:t>
      </w:r>
    </w:p>
    <w:p w:rsidR="00A340C2" w:rsidRPr="004E2894" w:rsidRDefault="00A340C2" w:rsidP="00A340C2">
      <w:pPr>
        <w:rPr>
          <w:highlight w:val="cyan"/>
        </w:rPr>
      </w:pPr>
    </w:p>
    <w:p w:rsidR="00A340C2" w:rsidRPr="004E2894" w:rsidRDefault="00A340C2" w:rsidP="00A340C2">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r>
      <w:r w:rsidRPr="004E2894">
        <w:t xml:space="preserve">The TWC noted that explanations provided by the participants in the practical exercise presented information in different ways.  The TWC agreed to request the expert from the United Kingdom to prepare a document for the thirty-sixth session of the TWC compiling all explanations received using </w:t>
      </w:r>
      <w:r w:rsidR="00850286" w:rsidRPr="004E2894">
        <w:t xml:space="preserve">the </w:t>
      </w:r>
      <w:r w:rsidRPr="004E2894">
        <w:t>same format</w:t>
      </w:r>
      <w:r w:rsidR="00F40058" w:rsidRPr="004E2894">
        <w:t xml:space="preserve"> and clarifying the differences</w:t>
      </w:r>
      <w:r w:rsidRPr="004E2894">
        <w:t xml:space="preserve">.  </w:t>
      </w:r>
    </w:p>
    <w:p w:rsidR="00A340C2" w:rsidRPr="004E2894" w:rsidRDefault="00A340C2" w:rsidP="00C91F8B"/>
    <w:p w:rsidR="00C91F8B" w:rsidRPr="004E2894" w:rsidRDefault="00077F74" w:rsidP="00C91F8B">
      <w:r w:rsidRPr="005948AF">
        <w:fldChar w:fldCharType="begin"/>
      </w:r>
      <w:r w:rsidRPr="004E2894">
        <w:instrText xml:space="preserve"> AUTONUM  </w:instrText>
      </w:r>
      <w:r w:rsidRPr="005948AF">
        <w:fldChar w:fldCharType="end"/>
      </w:r>
      <w:r w:rsidRPr="004E2894">
        <w:tab/>
        <w:t xml:space="preserve">The TWC considered </w:t>
      </w:r>
      <w:r w:rsidR="00C91F8B" w:rsidRPr="004E2894">
        <w:t xml:space="preserve">document TWC/35/5 “Characteristics, genotype by environment interaction (GEI) and DUS trials” which </w:t>
      </w:r>
      <w:r w:rsidR="00850286" w:rsidRPr="004E2894">
        <w:t xml:space="preserve">was </w:t>
      </w:r>
      <w:r w:rsidR="00C91F8B" w:rsidRPr="004E2894">
        <w:t xml:space="preserve">a summary of </w:t>
      </w:r>
      <w:r w:rsidRPr="004E2894">
        <w:t>the presentation in document TWC/34/1</w:t>
      </w:r>
      <w:r w:rsidR="00C91F8B" w:rsidRPr="004E2894">
        <w:t>7 “Genotype by environment interaction (GEI) - DUS Test and data transformation into notes”</w:t>
      </w:r>
      <w:r w:rsidRPr="004E2894">
        <w:t xml:space="preserve">, </w:t>
      </w:r>
      <w:r w:rsidR="00850286" w:rsidRPr="004E2894">
        <w:t xml:space="preserve">made </w:t>
      </w:r>
      <w:r w:rsidRPr="004E2894">
        <w:t>by experts from Finland and Italy</w:t>
      </w:r>
      <w:r w:rsidR="00C91F8B" w:rsidRPr="004E2894">
        <w:t>.</w:t>
      </w:r>
      <w:r w:rsidR="009464DA" w:rsidRPr="004E2894">
        <w:t xml:space="preserve">  The TWC agreed that document TWC/35/5 provided relevant information </w:t>
      </w:r>
      <w:r w:rsidR="00BD0EE1" w:rsidRPr="004E2894">
        <w:t>for future guidance on transformation of observations into notes and agreed to request the expert from the United Kingdom to take that information into consideration when preparing the document compiling the explanations of methods received</w:t>
      </w:r>
      <w:r w:rsidR="00F40058" w:rsidRPr="004E2894">
        <w:t xml:space="preserve"> and clarifying the differences</w:t>
      </w:r>
      <w:r w:rsidR="00BD0EE1" w:rsidRPr="004E2894">
        <w:t>.</w:t>
      </w:r>
    </w:p>
    <w:p w:rsidR="00077F74" w:rsidRPr="004E2894" w:rsidRDefault="00077F74" w:rsidP="00077F74"/>
    <w:p w:rsidR="00077F74" w:rsidRPr="004E2894" w:rsidRDefault="00077F74" w:rsidP="00077F74">
      <w:r w:rsidRPr="005948AF">
        <w:fldChar w:fldCharType="begin"/>
      </w:r>
      <w:r w:rsidRPr="004E2894">
        <w:instrText xml:space="preserve"> AUTONUM  </w:instrText>
      </w:r>
      <w:r w:rsidRPr="005948AF">
        <w:fldChar w:fldCharType="end"/>
      </w:r>
      <w:r w:rsidRPr="004E2894">
        <w:tab/>
        <w:t>The TWC considered the report on the work done by Germany on “Variability of assessment data over years in apple”, on the basis of the presentation reproduced in document TWP/1/15, Annex VI.</w:t>
      </w:r>
      <w:r w:rsidR="00BD0EE1" w:rsidRPr="004E2894">
        <w:t xml:space="preserve">  </w:t>
      </w:r>
      <w:r w:rsidR="00DB1038" w:rsidRPr="004E2894">
        <w:t xml:space="preserve">The TWC noted that the variety descriptions </w:t>
      </w:r>
      <w:r w:rsidR="00C8090A" w:rsidRPr="004E2894">
        <w:t>were produced on the basis of assessing</w:t>
      </w:r>
      <w:r w:rsidR="00DB1038" w:rsidRPr="004E2894">
        <w:t xml:space="preserve"> the same trees in different years.  </w:t>
      </w:r>
      <w:r w:rsidR="00BD0EE1" w:rsidRPr="004E2894">
        <w:t xml:space="preserve">The TWC agreed </w:t>
      </w:r>
      <w:r w:rsidR="00DB1038" w:rsidRPr="004E2894">
        <w:t xml:space="preserve">that </w:t>
      </w:r>
      <w:r w:rsidR="00B91FDC" w:rsidRPr="004E2894">
        <w:t xml:space="preserve">the </w:t>
      </w:r>
      <w:r w:rsidR="00590BF9" w:rsidRPr="004E2894">
        <w:t xml:space="preserve">growing trial needed appropriate management in order </w:t>
      </w:r>
      <w:r w:rsidR="00843BAE" w:rsidRPr="004E2894">
        <w:t>for</w:t>
      </w:r>
      <w:r w:rsidR="00590BF9" w:rsidRPr="004E2894">
        <w:t xml:space="preserve"> the </w:t>
      </w:r>
      <w:r w:rsidR="00B91FDC" w:rsidRPr="004E2894">
        <w:t>replications over years</w:t>
      </w:r>
      <w:r w:rsidR="00590BF9" w:rsidRPr="004E2894">
        <w:t xml:space="preserve"> </w:t>
      </w:r>
      <w:r w:rsidR="00843BAE" w:rsidRPr="004E2894">
        <w:t>to be considered as</w:t>
      </w:r>
      <w:r w:rsidR="00590BF9" w:rsidRPr="004E2894">
        <w:t xml:space="preserve"> independent growing cycles and </w:t>
      </w:r>
      <w:r w:rsidR="00C7298C" w:rsidRPr="004E2894">
        <w:t xml:space="preserve">to </w:t>
      </w:r>
      <w:r w:rsidR="00590BF9" w:rsidRPr="004E2894">
        <w:t>produce consistent descriptions</w:t>
      </w:r>
      <w:r w:rsidR="009B429F" w:rsidRPr="004E2894">
        <w:t xml:space="preserve">. </w:t>
      </w:r>
      <w:r w:rsidR="00B91FDC" w:rsidRPr="004E2894">
        <w:t xml:space="preserve"> </w:t>
      </w:r>
    </w:p>
    <w:p w:rsidR="009C0814" w:rsidRDefault="009C0814" w:rsidP="009C0814">
      <w:pPr>
        <w:rPr>
          <w:rFonts w:eastAsia="MS Mincho"/>
        </w:rPr>
      </w:pPr>
    </w:p>
    <w:p w:rsidR="00E07077" w:rsidRPr="004E2894" w:rsidRDefault="00E07077" w:rsidP="009C0814">
      <w:pPr>
        <w:rPr>
          <w:rFonts w:eastAsia="MS Mincho"/>
        </w:rPr>
      </w:pPr>
    </w:p>
    <w:p w:rsidR="009C0814" w:rsidRPr="004E2894" w:rsidRDefault="009C0814" w:rsidP="009C0814">
      <w:pPr>
        <w:pStyle w:val="Heading2"/>
      </w:pPr>
      <w:r w:rsidRPr="004E2894">
        <w:t>Molecular Techniques</w:t>
      </w:r>
    </w:p>
    <w:p w:rsidR="009C0814" w:rsidRPr="004E2894" w:rsidRDefault="009C0814" w:rsidP="009C0814">
      <w:pPr>
        <w:rPr>
          <w:u w:val="single"/>
        </w:rPr>
      </w:pPr>
    </w:p>
    <w:p w:rsidR="009C0814" w:rsidRPr="004E2894" w:rsidRDefault="009C0814" w:rsidP="009C0814">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 xml:space="preserve">ocument </w:t>
      </w:r>
      <w:hyperlink r:id="rId19" w:history="1">
        <w:r w:rsidRPr="006A6FAD">
          <w:rPr>
            <w:rStyle w:val="Hyperlink"/>
          </w:rPr>
          <w:t>TWP/1/7</w:t>
        </w:r>
      </w:hyperlink>
      <w:r w:rsidRPr="004E2894">
        <w:t>.</w:t>
      </w:r>
    </w:p>
    <w:p w:rsidR="009C0814" w:rsidRPr="004E2894" w:rsidRDefault="009C0814" w:rsidP="00E07077">
      <w:pPr>
        <w:pStyle w:val="Heading3"/>
        <w:rPr>
          <w:snapToGrid w:val="0"/>
        </w:rPr>
      </w:pPr>
      <w:bookmarkStart w:id="4" w:name="_Toc484072187"/>
      <w:r w:rsidRPr="004E2894">
        <w:rPr>
          <w:snapToGrid w:val="0"/>
          <w:lang w:eastAsia="ja-JP"/>
        </w:rPr>
        <w:t xml:space="preserve">Developments in the TC, the </w:t>
      </w:r>
      <w:r w:rsidRPr="004E2894">
        <w:rPr>
          <w:snapToGrid w:val="0"/>
        </w:rPr>
        <w:t>TWPs and the BMT in 2016</w:t>
      </w:r>
      <w:bookmarkEnd w:id="4"/>
    </w:p>
    <w:p w:rsidR="009C0814" w:rsidRPr="004E2894" w:rsidRDefault="009C0814" w:rsidP="009C0814">
      <w:pPr>
        <w:keepNext/>
        <w:rPr>
          <w:snapToGrid w:val="0"/>
        </w:rPr>
      </w:pPr>
    </w:p>
    <w:p w:rsidR="009C0814" w:rsidRPr="004E2894" w:rsidRDefault="009C0814" w:rsidP="009C0814">
      <w:pPr>
        <w:rPr>
          <w:lang w:eastAsia="ja-JP"/>
        </w:rPr>
      </w:pPr>
      <w:r w:rsidRPr="005948AF">
        <w:rPr>
          <w:lang w:eastAsia="ja-JP"/>
        </w:rPr>
        <w:fldChar w:fldCharType="begin"/>
      </w:r>
      <w:r w:rsidRPr="004E2894">
        <w:rPr>
          <w:lang w:eastAsia="ja-JP"/>
        </w:rPr>
        <w:instrText xml:space="preserve"> AUTONUM  </w:instrText>
      </w:r>
      <w:r w:rsidRPr="005948AF">
        <w:rPr>
          <w:lang w:eastAsia="ja-JP"/>
        </w:rPr>
        <w:fldChar w:fldCharType="end"/>
      </w:r>
      <w:r w:rsidRPr="004E2894">
        <w:rPr>
          <w:lang w:eastAsia="ja-JP"/>
        </w:rPr>
        <w:tab/>
        <w:t>The TWC noted the report on developments in the TC, the TWPs and the BMT, as set out in document </w:t>
      </w:r>
      <w:r w:rsidRPr="004E2894">
        <w:rPr>
          <w:snapToGrid w:val="0"/>
        </w:rPr>
        <w:t xml:space="preserve">TWP/1/7, </w:t>
      </w:r>
      <w:r w:rsidRPr="004E2894">
        <w:rPr>
          <w:lang w:eastAsia="ja-JP"/>
        </w:rPr>
        <w:t>paragraphs 5 to 24.</w:t>
      </w:r>
    </w:p>
    <w:p w:rsidR="009C0814" w:rsidRPr="004E2894" w:rsidRDefault="009C0814" w:rsidP="00E07077">
      <w:pPr>
        <w:pStyle w:val="Heading3"/>
        <w:rPr>
          <w:lang w:eastAsia="ja-JP"/>
        </w:rPr>
      </w:pPr>
      <w:bookmarkStart w:id="5" w:name="_Toc484072193"/>
      <w:r w:rsidRPr="004E2894">
        <w:rPr>
          <w:lang w:eastAsia="ja-JP"/>
        </w:rPr>
        <w:t>OECD/UPOV/ISTA/AOSA Joint Workshop on Molecular Techniques</w:t>
      </w:r>
      <w:bookmarkEnd w:id="5"/>
    </w:p>
    <w:p w:rsidR="009C0814" w:rsidRPr="004E2894" w:rsidRDefault="009C0814" w:rsidP="009C0814">
      <w:pPr>
        <w:keepNext/>
        <w:rPr>
          <w:lang w:eastAsia="ja-JP"/>
        </w:rPr>
      </w:pPr>
    </w:p>
    <w:p w:rsidR="009C0814" w:rsidRPr="004E2894" w:rsidRDefault="009C0814" w:rsidP="009C0814">
      <w:pPr>
        <w:rPr>
          <w:lang w:eastAsia="ja-JP"/>
        </w:rPr>
      </w:pPr>
      <w:r w:rsidRPr="005948AF">
        <w:rPr>
          <w:snapToGrid w:val="0"/>
          <w:lang w:eastAsia="ja-JP"/>
        </w:rPr>
        <w:fldChar w:fldCharType="begin"/>
      </w:r>
      <w:r w:rsidRPr="004E2894">
        <w:rPr>
          <w:snapToGrid w:val="0"/>
          <w:lang w:eastAsia="ja-JP"/>
        </w:rPr>
        <w:instrText xml:space="preserve"> AUTONUM  </w:instrText>
      </w:r>
      <w:r w:rsidRPr="005948AF">
        <w:rPr>
          <w:snapToGrid w:val="0"/>
          <w:lang w:eastAsia="ja-JP"/>
        </w:rPr>
        <w:fldChar w:fldCharType="end"/>
      </w:r>
      <w:r w:rsidRPr="004E2894">
        <w:rPr>
          <w:snapToGrid w:val="0"/>
          <w:lang w:eastAsia="ja-JP"/>
        </w:rPr>
        <w:tab/>
        <w:t xml:space="preserve">The TWC noted that </w:t>
      </w:r>
      <w:r w:rsidRPr="004E2894">
        <w:rPr>
          <w:lang w:eastAsia="ja-JP"/>
        </w:rPr>
        <w:t>a Joint OECD/UPOV/ISTA/AOSA Workshop on Biochemical and Molecular Methods had been held in Paris on June 8, 2016, and that the recommendations of the Joint OECD/UPOV/ISTA/AOSA Workshop, as reproduced below, had been approved by the Annual Meeting of the OECD Seed Schemes, held in Paris on June 9 and 10, 2016:</w:t>
      </w:r>
    </w:p>
    <w:p w:rsidR="009C0814" w:rsidRPr="004E2894" w:rsidRDefault="009C0814" w:rsidP="009C0814">
      <w:pPr>
        <w:ind w:firstLine="567"/>
        <w:rPr>
          <w:lang w:eastAsia="ja-JP"/>
        </w:rPr>
      </w:pPr>
    </w:p>
    <w:p w:rsidR="009C0814" w:rsidRPr="004E2894" w:rsidRDefault="009C0814" w:rsidP="009C0814">
      <w:pPr>
        <w:pStyle w:val="ListParagraph"/>
        <w:numPr>
          <w:ilvl w:val="0"/>
          <w:numId w:val="15"/>
        </w:numPr>
        <w:spacing w:after="240"/>
        <w:ind w:left="1134" w:right="567" w:hanging="567"/>
        <w:rPr>
          <w:rFonts w:cs="Arial"/>
          <w:sz w:val="18"/>
          <w:lang w:eastAsia="ja-JP"/>
        </w:rPr>
      </w:pPr>
      <w:r w:rsidRPr="004E2894">
        <w:rPr>
          <w:sz w:val="18"/>
          <w:lang w:eastAsia="ja-JP"/>
        </w:rPr>
        <w:t xml:space="preserve">“To develop a joint document explaining the principal features (e.g. DUS, variety identification, </w:t>
      </w:r>
      <w:r w:rsidRPr="004E2894">
        <w:rPr>
          <w:rFonts w:cs="Arial"/>
          <w:sz w:val="18"/>
          <w:lang w:eastAsia="ja-JP"/>
        </w:rPr>
        <w:t>variety purity, etc.) of the systems of OECD, UPOV, AOSA and ISTA and, for mutual understanding, to repeat the joint workshop at relevant meetings of the OECD and ISTA;</w:t>
      </w:r>
    </w:p>
    <w:p w:rsidR="009C0814" w:rsidRPr="004E2894" w:rsidRDefault="009C0814" w:rsidP="009C0814">
      <w:pPr>
        <w:pStyle w:val="ListParagraph"/>
        <w:numPr>
          <w:ilvl w:val="0"/>
          <w:numId w:val="15"/>
        </w:numPr>
        <w:ind w:left="1134" w:right="567" w:hanging="567"/>
        <w:contextualSpacing/>
        <w:rPr>
          <w:rFonts w:cs="Arial"/>
          <w:sz w:val="18"/>
          <w:lang w:eastAsia="ja-JP"/>
        </w:rPr>
      </w:pPr>
      <w:r w:rsidRPr="004E2894">
        <w:rPr>
          <w:rFonts w:cs="Arial"/>
          <w:sz w:val="18"/>
          <w:lang w:eastAsia="ja-JP"/>
        </w:rPr>
        <w:t>“To carry out a joint inventory by UPOV, OECD, AOSA and ISTA of the use of molecular marker techniques, by crop, with a view to developing a document containing that information. The OECD will contribute to the document by sharing the ongoing list of molecular techniques used by National Designated Authorities (NDAs) and continuously collected by the Secretariat;</w:t>
      </w:r>
    </w:p>
    <w:p w:rsidR="009C0814" w:rsidRPr="004E2894" w:rsidRDefault="009C0814" w:rsidP="009C0814">
      <w:pPr>
        <w:pStyle w:val="ListParagraph"/>
        <w:ind w:left="1134" w:right="567" w:hanging="567"/>
        <w:rPr>
          <w:rFonts w:cs="Arial"/>
          <w:sz w:val="18"/>
          <w:lang w:eastAsia="ja-JP"/>
        </w:rPr>
      </w:pPr>
    </w:p>
    <w:p w:rsidR="009C0814" w:rsidRPr="004E2894" w:rsidRDefault="009C0814" w:rsidP="009C0814">
      <w:pPr>
        <w:pStyle w:val="ListParagraph"/>
        <w:numPr>
          <w:ilvl w:val="0"/>
          <w:numId w:val="15"/>
        </w:numPr>
        <w:ind w:left="1134" w:right="567" w:hanging="567"/>
        <w:contextualSpacing/>
        <w:rPr>
          <w:rFonts w:cs="Arial"/>
          <w:sz w:val="18"/>
          <w:lang w:eastAsia="ja-JP"/>
        </w:rPr>
      </w:pPr>
      <w:r w:rsidRPr="004E2894">
        <w:rPr>
          <w:rFonts w:cs="Arial"/>
          <w:sz w:val="18"/>
          <w:lang w:eastAsia="ja-JP"/>
        </w:rPr>
        <w:t>“To develop a list of terms and their definitions as used by OECD, UPOV, AOSA and ISTA and to make an attempt to harmonize these;</w:t>
      </w:r>
    </w:p>
    <w:p w:rsidR="009C0814" w:rsidRPr="004E2894" w:rsidRDefault="009C0814" w:rsidP="009C0814">
      <w:pPr>
        <w:pStyle w:val="ListParagraph"/>
        <w:ind w:left="1134" w:right="567" w:hanging="567"/>
        <w:rPr>
          <w:rFonts w:cs="Arial"/>
          <w:sz w:val="18"/>
          <w:lang w:eastAsia="ja-JP"/>
        </w:rPr>
      </w:pPr>
    </w:p>
    <w:p w:rsidR="009C0814" w:rsidRPr="004E2894" w:rsidRDefault="009C0814" w:rsidP="009C0814">
      <w:pPr>
        <w:pStyle w:val="ListParagraph"/>
        <w:numPr>
          <w:ilvl w:val="0"/>
          <w:numId w:val="15"/>
        </w:numPr>
        <w:ind w:left="1134" w:right="567" w:hanging="567"/>
        <w:contextualSpacing/>
        <w:rPr>
          <w:rFonts w:cs="Arial"/>
          <w:sz w:val="18"/>
          <w:lang w:eastAsia="ja-JP"/>
        </w:rPr>
      </w:pPr>
      <w:r w:rsidRPr="004E2894">
        <w:rPr>
          <w:rFonts w:cs="Arial"/>
          <w:sz w:val="18"/>
          <w:lang w:eastAsia="ja-JP"/>
        </w:rPr>
        <w:t>“To consider organizing another similar workshop in three years’ time;  and</w:t>
      </w:r>
    </w:p>
    <w:p w:rsidR="009C0814" w:rsidRPr="004E2894" w:rsidRDefault="009C0814" w:rsidP="009C0814">
      <w:pPr>
        <w:pStyle w:val="ListParagraph"/>
        <w:ind w:left="1134" w:right="567" w:hanging="567"/>
        <w:rPr>
          <w:rFonts w:cs="Arial"/>
          <w:sz w:val="18"/>
          <w:lang w:eastAsia="ja-JP"/>
        </w:rPr>
      </w:pPr>
    </w:p>
    <w:p w:rsidR="009C0814" w:rsidRPr="004E2894" w:rsidRDefault="009C0814" w:rsidP="009C0814">
      <w:pPr>
        <w:pStyle w:val="ListParagraph"/>
        <w:numPr>
          <w:ilvl w:val="0"/>
          <w:numId w:val="15"/>
        </w:numPr>
        <w:ind w:left="1134" w:right="567" w:hanging="567"/>
        <w:contextualSpacing/>
        <w:rPr>
          <w:rFonts w:cs="Arial"/>
          <w:sz w:val="18"/>
          <w:lang w:eastAsia="ja-JP"/>
        </w:rPr>
      </w:pPr>
      <w:r w:rsidRPr="004E2894">
        <w:rPr>
          <w:rFonts w:cs="Arial"/>
          <w:sz w:val="18"/>
          <w:lang w:eastAsia="ja-JP"/>
        </w:rPr>
        <w:t>“To consider replacing the term used in the OECD Seed Schemes for the status of DNA based techniques from “internationally validated” to another term such as “internationally harmonized.</w:t>
      </w:r>
      <w:r w:rsidRPr="004E2894">
        <w:rPr>
          <w:rFonts w:cs="Arial"/>
          <w:lang w:eastAsia="ja-JP"/>
        </w:rPr>
        <w:t>”</w:t>
      </w:r>
    </w:p>
    <w:p w:rsidR="009C0814" w:rsidRPr="004E2894" w:rsidRDefault="009C0814" w:rsidP="00E07077">
      <w:pPr>
        <w:pStyle w:val="Heading3"/>
        <w:rPr>
          <w:lang w:eastAsia="ja-JP"/>
        </w:rPr>
      </w:pPr>
      <w:bookmarkStart w:id="6" w:name="_Toc484072194"/>
      <w:r w:rsidRPr="004E2894">
        <w:rPr>
          <w:lang w:eastAsia="ja-JP"/>
        </w:rPr>
        <w:t>Presentation of information on the situation in UPOV with regard to the use of molecular techniques</w:t>
      </w:r>
      <w:bookmarkEnd w:id="6"/>
    </w:p>
    <w:p w:rsidR="009C0814" w:rsidRPr="004E2894" w:rsidRDefault="009C0814" w:rsidP="009C0814">
      <w:pPr>
        <w:keepNext/>
        <w:rPr>
          <w:lang w:eastAsia="ja-JP"/>
        </w:rPr>
      </w:pPr>
    </w:p>
    <w:p w:rsidR="009C0814" w:rsidRPr="00E07077" w:rsidRDefault="009C0814" w:rsidP="009C0814">
      <w:pPr>
        <w:rPr>
          <w:spacing w:val="-2"/>
          <w:lang w:eastAsia="ja-JP"/>
        </w:rPr>
      </w:pPr>
      <w:r w:rsidRPr="00E07077">
        <w:rPr>
          <w:snapToGrid w:val="0"/>
          <w:spacing w:val="-2"/>
          <w:lang w:eastAsia="ja-JP"/>
        </w:rPr>
        <w:fldChar w:fldCharType="begin"/>
      </w:r>
      <w:r w:rsidRPr="00E07077">
        <w:rPr>
          <w:snapToGrid w:val="0"/>
          <w:spacing w:val="-2"/>
          <w:lang w:eastAsia="ja-JP"/>
        </w:rPr>
        <w:instrText xml:space="preserve"> AUTONUM  </w:instrText>
      </w:r>
      <w:r w:rsidRPr="00E07077">
        <w:rPr>
          <w:snapToGrid w:val="0"/>
          <w:spacing w:val="-2"/>
          <w:lang w:eastAsia="ja-JP"/>
        </w:rPr>
        <w:fldChar w:fldCharType="end"/>
      </w:r>
      <w:r w:rsidRPr="00E07077">
        <w:rPr>
          <w:snapToGrid w:val="0"/>
          <w:spacing w:val="-2"/>
          <w:lang w:eastAsia="ja-JP"/>
        </w:rPr>
        <w:tab/>
        <w:t xml:space="preserve">The TWC noted </w:t>
      </w:r>
      <w:r w:rsidRPr="00E07077">
        <w:rPr>
          <w:spacing w:val="-2"/>
          <w:lang w:eastAsia="ja-JP"/>
        </w:rPr>
        <w:t>that the following question and answer (FAQ) concerning the information on the situation in UPOV with regard to the use of molecular techniques for a wider audience, including the public in general, had been adopted by the Council, at its fiftieth ordinary session held in Geneva on October 28, 2016:</w:t>
      </w:r>
    </w:p>
    <w:p w:rsidR="009C0814" w:rsidRPr="004E2894" w:rsidRDefault="009C0814" w:rsidP="009C0814">
      <w:pPr>
        <w:rPr>
          <w:lang w:eastAsia="ja-JP"/>
        </w:rPr>
      </w:pPr>
    </w:p>
    <w:p w:rsidR="009C0814" w:rsidRPr="004E2894" w:rsidRDefault="009C0814" w:rsidP="009C0814">
      <w:pPr>
        <w:ind w:left="567" w:right="567"/>
        <w:rPr>
          <w:rFonts w:cs="Arial"/>
          <w:sz w:val="18"/>
          <w:szCs w:val="17"/>
        </w:rPr>
      </w:pPr>
      <w:r w:rsidRPr="004E2894">
        <w:rPr>
          <w:rFonts w:cs="Arial"/>
          <w:sz w:val="18"/>
          <w:szCs w:val="17"/>
        </w:rPr>
        <w:t>“Is it possible to obtain protection of a variety on the basis of its DNA-profile?</w:t>
      </w:r>
    </w:p>
    <w:p w:rsidR="009C0814" w:rsidRPr="004E2894" w:rsidRDefault="009C0814" w:rsidP="009C0814">
      <w:pPr>
        <w:ind w:left="567" w:right="567"/>
        <w:rPr>
          <w:rFonts w:cs="Arial"/>
          <w:sz w:val="18"/>
          <w:szCs w:val="17"/>
        </w:rPr>
      </w:pPr>
    </w:p>
    <w:p w:rsidR="009C0814" w:rsidRPr="004E2894" w:rsidRDefault="009C0814" w:rsidP="009C0814">
      <w:pPr>
        <w:ind w:left="567" w:right="567"/>
        <w:rPr>
          <w:rFonts w:cs="Arial"/>
          <w:sz w:val="18"/>
          <w:szCs w:val="17"/>
        </w:rPr>
      </w:pPr>
      <w:r w:rsidRPr="004E2894">
        <w:rPr>
          <w:rFonts w:cs="Arial"/>
          <w:sz w:val="18"/>
          <w:szCs w:val="17"/>
        </w:rPr>
        <w:t>“For a variety to be protected, it needs to be clearly distinguishable from all existing varieties on the basis of characteristics that are physically expressed, e.g. plant height, time of flowering, fruit color, disease resistance etc.  The DNA-profile is not the basis for obtaining the protection of a variety, although this information may be used as supporting information.</w:t>
      </w:r>
    </w:p>
    <w:p w:rsidR="009C0814" w:rsidRPr="004E2894" w:rsidRDefault="009C0814" w:rsidP="009C0814">
      <w:pPr>
        <w:ind w:left="567" w:right="567"/>
        <w:rPr>
          <w:rFonts w:cs="Arial"/>
          <w:sz w:val="18"/>
          <w:szCs w:val="17"/>
        </w:rPr>
      </w:pPr>
    </w:p>
    <w:p w:rsidR="009C0814" w:rsidRPr="004E2894" w:rsidRDefault="009C0814" w:rsidP="009C0814">
      <w:pPr>
        <w:keepNext/>
        <w:ind w:left="567" w:right="567"/>
        <w:rPr>
          <w:rFonts w:cs="Arial"/>
          <w:sz w:val="18"/>
          <w:szCs w:val="17"/>
        </w:rPr>
      </w:pPr>
      <w:r w:rsidRPr="004E2894">
        <w:rPr>
          <w:rFonts w:cs="Arial"/>
          <w:sz w:val="18"/>
          <w:szCs w:val="17"/>
        </w:rPr>
        <w:t>“A more detailed explanation is provided in the FAQ ‘Does UPOV allow molecular techniques (DNA profiles) in the examination of Distinctness, Uniformity and Stability (‘DUS’)?</w:t>
      </w:r>
    </w:p>
    <w:p w:rsidR="009C0814" w:rsidRPr="004E2894" w:rsidRDefault="009C0814" w:rsidP="009C0814">
      <w:pPr>
        <w:keepNext/>
        <w:ind w:left="567" w:right="567"/>
        <w:rPr>
          <w:rFonts w:cs="Arial"/>
          <w:sz w:val="18"/>
          <w:szCs w:val="17"/>
        </w:rPr>
      </w:pPr>
    </w:p>
    <w:p w:rsidR="009C0814" w:rsidRPr="004E2894" w:rsidRDefault="009C0814" w:rsidP="006A6FAD">
      <w:pPr>
        <w:ind w:left="567" w:right="567"/>
        <w:rPr>
          <w:rFonts w:cs="Arial"/>
          <w:sz w:val="18"/>
          <w:szCs w:val="17"/>
          <w:lang w:eastAsia="ja-JP"/>
        </w:rPr>
      </w:pPr>
      <w:r w:rsidRPr="004E2894">
        <w:rPr>
          <w:rFonts w:cs="Arial"/>
          <w:sz w:val="18"/>
          <w:szCs w:val="17"/>
        </w:rPr>
        <w:t>“See also: ‘What are the requirements for protecting a new plant variety?’”</w:t>
      </w:r>
    </w:p>
    <w:p w:rsidR="009C0814" w:rsidRPr="004E2894" w:rsidRDefault="009C0814" w:rsidP="009C0814">
      <w:pPr>
        <w:rPr>
          <w:lang w:eastAsia="ja-JP"/>
        </w:rPr>
      </w:pPr>
    </w:p>
    <w:p w:rsidR="009C0814" w:rsidRPr="004E2894" w:rsidRDefault="009C0814" w:rsidP="009C0814">
      <w:pPr>
        <w:rPr>
          <w:lang w:eastAsia="ja-JP"/>
        </w:rPr>
      </w:pPr>
      <w:r w:rsidRPr="005948AF">
        <w:rPr>
          <w:snapToGrid w:val="0"/>
          <w:lang w:eastAsia="ja-JP"/>
        </w:rPr>
        <w:fldChar w:fldCharType="begin"/>
      </w:r>
      <w:r w:rsidRPr="004E2894">
        <w:rPr>
          <w:snapToGrid w:val="0"/>
          <w:lang w:eastAsia="ja-JP"/>
        </w:rPr>
        <w:instrText xml:space="preserve"> AUTONUM  </w:instrText>
      </w:r>
      <w:r w:rsidRPr="005948AF">
        <w:rPr>
          <w:snapToGrid w:val="0"/>
          <w:lang w:eastAsia="ja-JP"/>
        </w:rPr>
        <w:fldChar w:fldCharType="end"/>
      </w:r>
      <w:r w:rsidRPr="004E2894">
        <w:rPr>
          <w:snapToGrid w:val="0"/>
          <w:lang w:eastAsia="ja-JP"/>
        </w:rPr>
        <w:tab/>
        <w:t xml:space="preserve">The TWC noted </w:t>
      </w:r>
      <w:r w:rsidRPr="004E2894">
        <w:rPr>
          <w:lang w:eastAsia="ja-JP"/>
        </w:rPr>
        <w:t xml:space="preserve">that the TC, at its session in 2017, had agreed that possible future collaboration between UPOV, the </w:t>
      </w:r>
      <w:r w:rsidRPr="004E2894">
        <w:rPr>
          <w:snapToGrid w:val="0"/>
          <w:lang w:eastAsia="ja-JP"/>
        </w:rPr>
        <w:t>Organization for Economic Co-operation and Development (OECD)</w:t>
      </w:r>
      <w:r w:rsidRPr="004E2894">
        <w:rPr>
          <w:lang w:eastAsia="ja-JP"/>
        </w:rPr>
        <w:t xml:space="preserve"> and the </w:t>
      </w:r>
      <w:r w:rsidRPr="004E2894">
        <w:rPr>
          <w:lang w:eastAsia="fr-FR"/>
        </w:rPr>
        <w:t>International Seed Testing Association (ISTA)</w:t>
      </w:r>
      <w:r w:rsidRPr="004E2894">
        <w:rPr>
          <w:lang w:eastAsia="ja-JP"/>
        </w:rPr>
        <w:t xml:space="preserve"> might include the harmonization of terms and methodologies used for different crops and the possible development of standards, after agreement by those organizations.</w:t>
      </w:r>
    </w:p>
    <w:p w:rsidR="009C0814" w:rsidRPr="004E2894" w:rsidRDefault="009C0814" w:rsidP="009C0814">
      <w:pPr>
        <w:rPr>
          <w:lang w:eastAsia="ja-JP"/>
        </w:rPr>
      </w:pPr>
      <w:r w:rsidRPr="004E2894">
        <w:rPr>
          <w:lang w:eastAsia="ja-JP"/>
        </w:rPr>
        <w:t xml:space="preserve"> </w:t>
      </w:r>
    </w:p>
    <w:p w:rsidR="009C0814" w:rsidRPr="004E2894" w:rsidRDefault="009C0814" w:rsidP="009C0814">
      <w:pPr>
        <w:rPr>
          <w:lang w:eastAsia="ja-JP"/>
        </w:rPr>
      </w:pPr>
      <w:r w:rsidRPr="005948AF">
        <w:rPr>
          <w:snapToGrid w:val="0"/>
          <w:lang w:eastAsia="ja-JP"/>
        </w:rPr>
        <w:fldChar w:fldCharType="begin"/>
      </w:r>
      <w:r w:rsidRPr="004E2894">
        <w:rPr>
          <w:snapToGrid w:val="0"/>
          <w:lang w:eastAsia="ja-JP"/>
        </w:rPr>
        <w:instrText xml:space="preserve"> AUTONUM  </w:instrText>
      </w:r>
      <w:r w:rsidRPr="005948AF">
        <w:rPr>
          <w:snapToGrid w:val="0"/>
          <w:lang w:eastAsia="ja-JP"/>
        </w:rPr>
        <w:fldChar w:fldCharType="end"/>
      </w:r>
      <w:r w:rsidRPr="004E2894">
        <w:rPr>
          <w:snapToGrid w:val="0"/>
          <w:lang w:eastAsia="ja-JP"/>
        </w:rPr>
        <w:tab/>
        <w:t xml:space="preserve">The TWC noted </w:t>
      </w:r>
      <w:r w:rsidRPr="004E2894">
        <w:rPr>
          <w:lang w:eastAsia="ja-JP"/>
        </w:rPr>
        <w:t xml:space="preserve">that </w:t>
      </w:r>
      <w:r w:rsidR="00146ED9" w:rsidRPr="004E2894">
        <w:rPr>
          <w:lang w:eastAsia="ja-JP"/>
        </w:rPr>
        <w:t>two</w:t>
      </w:r>
      <w:r w:rsidRPr="004E2894">
        <w:rPr>
          <w:lang w:eastAsia="ja-JP"/>
        </w:rPr>
        <w:t xml:space="preserve"> practical workshop</w:t>
      </w:r>
      <w:r w:rsidR="00146ED9" w:rsidRPr="004E2894">
        <w:rPr>
          <w:lang w:eastAsia="ja-JP"/>
        </w:rPr>
        <w:t>s on</w:t>
      </w:r>
      <w:r w:rsidRPr="004E2894">
        <w:rPr>
          <w:lang w:eastAsia="ja-JP"/>
        </w:rPr>
        <w:t xml:space="preserve"> “DNA Techniques and Variety Identification” had been held in Roelofarendsveen, Netherlands, from May 8 to 10, 2017, and </w:t>
      </w:r>
      <w:r w:rsidR="00146ED9" w:rsidRPr="004E2894">
        <w:rPr>
          <w:lang w:eastAsia="ja-JP"/>
        </w:rPr>
        <w:t xml:space="preserve">from </w:t>
      </w:r>
      <w:r w:rsidRPr="004E2894">
        <w:rPr>
          <w:lang w:eastAsia="ja-JP"/>
        </w:rPr>
        <w:t>September 20 to 22, 2017.</w:t>
      </w:r>
    </w:p>
    <w:p w:rsidR="009C0814" w:rsidRPr="004E2894" w:rsidRDefault="009C0814" w:rsidP="009C0814">
      <w:pPr>
        <w:rPr>
          <w:lang w:eastAsia="ja-JP"/>
        </w:rPr>
      </w:pPr>
    </w:p>
    <w:p w:rsidR="009C0814" w:rsidRPr="004E2894" w:rsidRDefault="009C0814" w:rsidP="009C0814">
      <w:pPr>
        <w:rPr>
          <w:lang w:eastAsia="ja-JP"/>
        </w:rPr>
      </w:pPr>
      <w:r w:rsidRPr="005948AF">
        <w:rPr>
          <w:snapToGrid w:val="0"/>
          <w:lang w:eastAsia="ja-JP"/>
        </w:rPr>
        <w:fldChar w:fldCharType="begin"/>
      </w:r>
      <w:r w:rsidRPr="004E2894">
        <w:rPr>
          <w:snapToGrid w:val="0"/>
          <w:lang w:eastAsia="ja-JP"/>
        </w:rPr>
        <w:instrText xml:space="preserve"> AUTONUM  </w:instrText>
      </w:r>
      <w:r w:rsidRPr="005948AF">
        <w:rPr>
          <w:snapToGrid w:val="0"/>
          <w:lang w:eastAsia="ja-JP"/>
        </w:rPr>
        <w:fldChar w:fldCharType="end"/>
      </w:r>
      <w:r w:rsidRPr="004E2894">
        <w:rPr>
          <w:snapToGrid w:val="0"/>
          <w:lang w:eastAsia="ja-JP"/>
        </w:rPr>
        <w:tab/>
        <w:t>The TWC noted</w:t>
      </w:r>
      <w:r w:rsidRPr="004E2894">
        <w:rPr>
          <w:lang w:eastAsia="ja-JP"/>
        </w:rPr>
        <w:t xml:space="preserve"> that the TC had agreed that UPOV and the OECD should consider making progress in collaboration on the matters above if ISTA was unable to participate in the near future. </w:t>
      </w:r>
    </w:p>
    <w:p w:rsidR="009C0814" w:rsidRPr="004E2894" w:rsidRDefault="009C0814" w:rsidP="009C0814">
      <w:pPr>
        <w:rPr>
          <w:lang w:eastAsia="ja-JP"/>
        </w:rPr>
      </w:pPr>
    </w:p>
    <w:p w:rsidR="009C0814" w:rsidRPr="004E2894" w:rsidRDefault="009C0814" w:rsidP="009C0814">
      <w:pPr>
        <w:rPr>
          <w:lang w:eastAsia="ja-JP"/>
        </w:rPr>
      </w:pPr>
      <w:r w:rsidRPr="005948AF">
        <w:rPr>
          <w:snapToGrid w:val="0"/>
          <w:lang w:eastAsia="ja-JP"/>
        </w:rPr>
        <w:fldChar w:fldCharType="begin"/>
      </w:r>
      <w:r w:rsidRPr="004E2894">
        <w:rPr>
          <w:snapToGrid w:val="0"/>
          <w:lang w:eastAsia="ja-JP"/>
        </w:rPr>
        <w:instrText xml:space="preserve"> AUTONUM  </w:instrText>
      </w:r>
      <w:r w:rsidRPr="005948AF">
        <w:rPr>
          <w:snapToGrid w:val="0"/>
          <w:lang w:eastAsia="ja-JP"/>
        </w:rPr>
        <w:fldChar w:fldCharType="end"/>
      </w:r>
      <w:r w:rsidRPr="004E2894">
        <w:rPr>
          <w:snapToGrid w:val="0"/>
          <w:lang w:eastAsia="ja-JP"/>
        </w:rPr>
        <w:tab/>
        <w:t xml:space="preserve">The TWC noted </w:t>
      </w:r>
      <w:r w:rsidRPr="004E2894">
        <w:rPr>
          <w:lang w:eastAsia="ja-JP"/>
        </w:rPr>
        <w:t>that the TC had agreed to propose that the meetings of the BMT be held on an annual basis and that consideration be given to organizing the sessions of the TWC and BMT back-to-back in the same location to facilitate exchange of information.</w:t>
      </w:r>
    </w:p>
    <w:p w:rsidR="009C0814" w:rsidRPr="004E2894" w:rsidRDefault="009C0814" w:rsidP="009C0814">
      <w:pPr>
        <w:rPr>
          <w:rFonts w:eastAsia="MS Mincho"/>
          <w:highlight w:val="magenta"/>
        </w:rPr>
      </w:pPr>
    </w:p>
    <w:p w:rsidR="00E2063F" w:rsidRPr="004E2894" w:rsidRDefault="009C0814" w:rsidP="009C0814">
      <w:r w:rsidRPr="005948AF">
        <w:fldChar w:fldCharType="begin"/>
      </w:r>
      <w:r w:rsidRPr="004E2894">
        <w:instrText xml:space="preserve"> AUTONUM  </w:instrText>
      </w:r>
      <w:r w:rsidRPr="005948AF">
        <w:fldChar w:fldCharType="end"/>
      </w:r>
      <w:r w:rsidRPr="004E2894">
        <w:tab/>
        <w:t xml:space="preserve">The TWC </w:t>
      </w:r>
      <w:r w:rsidR="00E2063F" w:rsidRPr="004E2894">
        <w:t xml:space="preserve">received an oral presentation by an expert from </w:t>
      </w:r>
      <w:r w:rsidR="00146ED9" w:rsidRPr="004E2894">
        <w:t>Argentina</w:t>
      </w:r>
      <w:r w:rsidR="00E2063F" w:rsidRPr="004E2894">
        <w:t>.  The TWC noted that Argentina</w:t>
      </w:r>
      <w:r w:rsidR="00146ED9" w:rsidRPr="004E2894">
        <w:t xml:space="preserve"> </w:t>
      </w:r>
      <w:r w:rsidR="00E2063F" w:rsidRPr="004E2894">
        <w:t xml:space="preserve">was using molecular marker information for the management of variety collections and planned to integrate this information with the GAIA software.  </w:t>
      </w:r>
    </w:p>
    <w:p w:rsidR="00E2063F" w:rsidRPr="004E2894" w:rsidRDefault="00E2063F" w:rsidP="009C0814"/>
    <w:p w:rsidR="009C0814" w:rsidRPr="00E07077" w:rsidRDefault="00E2063F" w:rsidP="009C0814">
      <w:pPr>
        <w:rPr>
          <w:rFonts w:eastAsia="MS Mincho"/>
          <w:spacing w:val="-2"/>
          <w:highlight w:val="lightGray"/>
        </w:rPr>
      </w:pPr>
      <w:r w:rsidRPr="00E07077">
        <w:rPr>
          <w:spacing w:val="-2"/>
        </w:rPr>
        <w:fldChar w:fldCharType="begin"/>
      </w:r>
      <w:r w:rsidRPr="00E07077">
        <w:rPr>
          <w:spacing w:val="-2"/>
        </w:rPr>
        <w:instrText xml:space="preserve"> AUTONUM  </w:instrText>
      </w:r>
      <w:r w:rsidRPr="00E07077">
        <w:rPr>
          <w:spacing w:val="-2"/>
        </w:rPr>
        <w:fldChar w:fldCharType="end"/>
      </w:r>
      <w:r w:rsidRPr="00E07077">
        <w:rPr>
          <w:spacing w:val="-2"/>
        </w:rPr>
        <w:tab/>
        <w:t xml:space="preserve">The TWC noted that Argentina was considering the </w:t>
      </w:r>
      <w:r w:rsidR="006C6F4D" w:rsidRPr="00E07077">
        <w:rPr>
          <w:spacing w:val="-2"/>
        </w:rPr>
        <w:t>use of GAIA software</w:t>
      </w:r>
      <w:r w:rsidRPr="00E07077">
        <w:rPr>
          <w:spacing w:val="-2"/>
        </w:rPr>
        <w:t xml:space="preserve"> to manage molecular marker information and agreed to invite Argentina to make a presentation at its thirty-sixth session on their experience in b</w:t>
      </w:r>
      <w:r w:rsidRPr="00E07077">
        <w:rPr>
          <w:rFonts w:eastAsia="MS Mincho"/>
          <w:spacing w:val="-2"/>
        </w:rPr>
        <w:t>uilding a database with molecular marker information for the management of variety collections.</w:t>
      </w:r>
    </w:p>
    <w:p w:rsidR="005B147B" w:rsidRPr="004E2894" w:rsidRDefault="005B147B" w:rsidP="00023499"/>
    <w:p w:rsidR="00293FC2" w:rsidRPr="004E2894" w:rsidRDefault="00293FC2" w:rsidP="00293FC2"/>
    <w:p w:rsidR="00293FC2" w:rsidRPr="004E2894" w:rsidRDefault="00293FC2" w:rsidP="00293FC2">
      <w:pPr>
        <w:pStyle w:val="Heading2"/>
        <w:rPr>
          <w:rFonts w:eastAsia="MS Mincho"/>
        </w:rPr>
      </w:pPr>
      <w:r w:rsidRPr="004E2894">
        <w:t>Sta</w:t>
      </w:r>
      <w:r w:rsidRPr="004E2894">
        <w:rPr>
          <w:rFonts w:eastAsia="MS Mincho"/>
        </w:rPr>
        <w:t>tistical methods</w:t>
      </w:r>
    </w:p>
    <w:p w:rsidR="00293FC2" w:rsidRPr="004E2894" w:rsidRDefault="00293FC2" w:rsidP="00293FC2">
      <w:pPr>
        <w:rPr>
          <w:u w:val="single"/>
        </w:rPr>
      </w:pPr>
    </w:p>
    <w:p w:rsidR="00293FC2" w:rsidRPr="004E2894" w:rsidRDefault="00293FC2" w:rsidP="00293FC2">
      <w:pPr>
        <w:rPr>
          <w:rFonts w:eastAsia="MS Mincho"/>
          <w:i/>
        </w:rPr>
      </w:pPr>
      <w:r w:rsidRPr="004E2894">
        <w:rPr>
          <w:rFonts w:eastAsia="MS Mincho"/>
          <w:i/>
        </w:rPr>
        <w:t xml:space="preserve">Excluding varieties of common knowledge from the second growing cycle </w:t>
      </w:r>
    </w:p>
    <w:p w:rsidR="00293FC2" w:rsidRPr="004E2894" w:rsidRDefault="00293FC2" w:rsidP="00293FC2">
      <w:pPr>
        <w:rPr>
          <w:i/>
        </w:rPr>
      </w:pPr>
    </w:p>
    <w:p w:rsidR="00293FC2" w:rsidRPr="004E2894" w:rsidRDefault="00293FC2" w:rsidP="00293FC2">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 xml:space="preserve">ocuments </w:t>
      </w:r>
      <w:hyperlink r:id="rId20" w:history="1">
        <w:r w:rsidRPr="006A6FAD">
          <w:rPr>
            <w:rStyle w:val="Hyperlink"/>
          </w:rPr>
          <w:t>TWP/1/22</w:t>
        </w:r>
      </w:hyperlink>
      <w:r w:rsidRPr="004E2894">
        <w:t xml:space="preserve"> and </w:t>
      </w:r>
      <w:hyperlink r:id="rId21" w:history="1">
        <w:r w:rsidRPr="006A6FAD">
          <w:rPr>
            <w:rStyle w:val="Hyperlink"/>
          </w:rPr>
          <w:t>TWC/35/13</w:t>
        </w:r>
      </w:hyperlink>
      <w:r w:rsidRPr="004E2894">
        <w:t xml:space="preserve"> “</w:t>
      </w:r>
      <w:r w:rsidRPr="004E2894">
        <w:rPr>
          <w:snapToGrid w:val="0"/>
        </w:rPr>
        <w:t xml:space="preserve">Thresholds for Excluding Varieties of Common Knowledge from the Second Growing Cycle when COYD is used” and </w:t>
      </w:r>
      <w:r w:rsidRPr="004E2894">
        <w:t xml:space="preserve">received a presentation by an expert from the United Kingdom, a copy of which is reproduced in the Annex to document </w:t>
      </w:r>
      <w:hyperlink r:id="rId22" w:history="1">
        <w:r w:rsidRPr="006A6FAD">
          <w:rPr>
            <w:rStyle w:val="Hyperlink"/>
          </w:rPr>
          <w:t>TWC/35/13</w:t>
        </w:r>
        <w:r w:rsidR="0063325F" w:rsidRPr="006A6FAD">
          <w:rPr>
            <w:rStyle w:val="Hyperlink"/>
          </w:rPr>
          <w:t> </w:t>
        </w:r>
        <w:r w:rsidRPr="006A6FAD">
          <w:rPr>
            <w:rStyle w:val="Hyperlink"/>
          </w:rPr>
          <w:t>Add</w:t>
        </w:r>
      </w:hyperlink>
      <w:r w:rsidRPr="004E2894">
        <w:t>.</w:t>
      </w:r>
    </w:p>
    <w:p w:rsidR="00293FC2" w:rsidRPr="004E2894" w:rsidRDefault="00293FC2" w:rsidP="00293FC2">
      <w:pPr>
        <w:rPr>
          <w:rFonts w:eastAsia="MS Mincho"/>
        </w:rPr>
      </w:pPr>
    </w:p>
    <w:p w:rsidR="00293FC2" w:rsidRPr="004E2894" w:rsidRDefault="00293FC2" w:rsidP="00293FC2">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 xml:space="preserve">noted the recent developments and the </w:t>
      </w:r>
      <w:r w:rsidR="00A87D35" w:rsidRPr="004E2894">
        <w:t xml:space="preserve">indications of COYD </w:t>
      </w:r>
      <w:r w:rsidRPr="004E2894">
        <w:t xml:space="preserve">thresholds for excluding varieties of common knowledge from the second growing cycle </w:t>
      </w:r>
      <w:r w:rsidR="00A87D35" w:rsidRPr="004E2894">
        <w:t>on the basis of</w:t>
      </w:r>
      <w:r w:rsidRPr="004E2894">
        <w:t xml:space="preserve"> data sets of meadow fescue, red clover, timothy, perennial ryegrass, pea (semi-leafless) and pea (conventional).</w:t>
      </w:r>
    </w:p>
    <w:p w:rsidR="00293FC2" w:rsidRPr="004E2894" w:rsidRDefault="00293FC2" w:rsidP="00293FC2"/>
    <w:p w:rsidR="00293FC2" w:rsidRPr="004E2894" w:rsidRDefault="00293FC2" w:rsidP="00293FC2">
      <w:pPr>
        <w:rPr>
          <w:rFonts w:eastAsia="MS Mincho"/>
        </w:rPr>
      </w:pPr>
      <w:r w:rsidRPr="005948AF">
        <w:rPr>
          <w:rFonts w:eastAsia="MS Mincho"/>
        </w:rPr>
        <w:fldChar w:fldCharType="begin"/>
      </w:r>
      <w:r w:rsidRPr="004E2894">
        <w:rPr>
          <w:rFonts w:eastAsia="MS Mincho"/>
        </w:rPr>
        <w:instrText xml:space="preserve"> AUTONUM  </w:instrText>
      </w:r>
      <w:r w:rsidRPr="005948AF">
        <w:rPr>
          <w:rFonts w:eastAsia="MS Mincho"/>
        </w:rPr>
        <w:fldChar w:fldCharType="end"/>
      </w:r>
      <w:r w:rsidRPr="004E2894">
        <w:rPr>
          <w:rFonts w:eastAsia="MS Mincho"/>
        </w:rPr>
        <w:tab/>
        <w:t>The TWC noted that the method was most applicable to crops with large numbers of varieties of common knowledge and where current trial sizes are large.  The TWC noted the plans of the United Kingdom to test the method on a large data set of oilseed rape.</w:t>
      </w:r>
    </w:p>
    <w:p w:rsidR="00293FC2" w:rsidRPr="004E2894" w:rsidRDefault="00293FC2" w:rsidP="00293FC2">
      <w:pPr>
        <w:rPr>
          <w:rFonts w:eastAsia="MS Mincho"/>
        </w:rPr>
      </w:pPr>
    </w:p>
    <w:p w:rsidR="00293FC2" w:rsidRPr="004E2894" w:rsidRDefault="00293FC2" w:rsidP="00293FC2">
      <w:pPr>
        <w:rPr>
          <w:rFonts w:eastAsia="MS Mincho"/>
        </w:rPr>
      </w:pPr>
      <w:r w:rsidRPr="005948AF">
        <w:rPr>
          <w:rFonts w:eastAsia="MS Mincho"/>
        </w:rPr>
        <w:fldChar w:fldCharType="begin"/>
      </w:r>
      <w:r w:rsidRPr="004E2894">
        <w:rPr>
          <w:rFonts w:eastAsia="MS Mincho"/>
        </w:rPr>
        <w:instrText xml:space="preserve"> AUTONUM  </w:instrText>
      </w:r>
      <w:r w:rsidRPr="005948AF">
        <w:rPr>
          <w:rFonts w:eastAsia="MS Mincho"/>
        </w:rPr>
        <w:fldChar w:fldCharType="end"/>
      </w:r>
      <w:r w:rsidRPr="004E2894">
        <w:rPr>
          <w:rFonts w:eastAsia="MS Mincho"/>
        </w:rPr>
        <w:tab/>
        <w:t xml:space="preserve">The TWC noted that the code had been developed using “R” software which could be linked to the </w:t>
      </w:r>
      <w:r w:rsidR="0063325F" w:rsidRPr="004E2894">
        <w:rPr>
          <w:rFonts w:eastAsia="MS Mincho"/>
        </w:rPr>
        <w:t xml:space="preserve">GAIA </w:t>
      </w:r>
      <w:r w:rsidRPr="004E2894">
        <w:rPr>
          <w:rFonts w:eastAsia="MS Mincho"/>
        </w:rPr>
        <w:t>software to support determining the thresholds for excluding varieties from the second growing cycle when COYD was used.</w:t>
      </w:r>
    </w:p>
    <w:p w:rsidR="00293FC2" w:rsidRPr="004E2894" w:rsidRDefault="00293FC2" w:rsidP="00E07077">
      <w:pPr>
        <w:pStyle w:val="Heading3"/>
        <w:rPr>
          <w:rFonts w:eastAsia="MS Mincho"/>
        </w:rPr>
      </w:pPr>
      <w:r w:rsidRPr="004E2894">
        <w:rPr>
          <w:rFonts w:eastAsia="MS Mincho"/>
        </w:rPr>
        <w:t xml:space="preserve">Statistical methods and software for visually observed characteristics </w:t>
      </w:r>
    </w:p>
    <w:p w:rsidR="00293FC2" w:rsidRPr="004E2894" w:rsidRDefault="00293FC2" w:rsidP="00293FC2">
      <w:pPr>
        <w:rPr>
          <w:i/>
        </w:rPr>
      </w:pPr>
    </w:p>
    <w:p w:rsidR="00293FC2" w:rsidRPr="004E2894" w:rsidRDefault="00293FC2" w:rsidP="00293FC2">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 xml:space="preserve">ocument TWP/1/23 </w:t>
      </w:r>
    </w:p>
    <w:p w:rsidR="00293FC2" w:rsidRPr="004E2894" w:rsidRDefault="00293FC2" w:rsidP="00293FC2"/>
    <w:p w:rsidR="00293FC2" w:rsidRPr="004E2894" w:rsidRDefault="00293FC2" w:rsidP="00293FC2">
      <w:r w:rsidRPr="005948AF">
        <w:fldChar w:fldCharType="begin"/>
      </w:r>
      <w:r w:rsidRPr="004E2894">
        <w:instrText xml:space="preserve"> AUTONUM  </w:instrText>
      </w:r>
      <w:r w:rsidRPr="005948AF">
        <w:fldChar w:fldCharType="end"/>
      </w:r>
      <w:r w:rsidRPr="004E2894">
        <w:tab/>
        <w:t>The TWC noted that the TC, at its fifty-third session, had agreed that the appropriate naming and drafting of guidance on the method developed by experts from Denmark and Poland should be considered once further experience had been acquired and software had been made available to facilitate its use in DUS examination.</w:t>
      </w:r>
    </w:p>
    <w:p w:rsidR="00293FC2" w:rsidRPr="004E2894" w:rsidRDefault="00293FC2" w:rsidP="00293FC2">
      <w:pPr>
        <w:rPr>
          <w:rFonts w:eastAsia="MS Mincho"/>
        </w:rPr>
      </w:pPr>
    </w:p>
    <w:p w:rsidR="00293FC2" w:rsidRPr="004E2894" w:rsidRDefault="00293FC2" w:rsidP="00293FC2">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noted </w:t>
      </w:r>
      <w:r w:rsidRPr="004E2894">
        <w:t xml:space="preserve">the report by an expert from France that software to implement the method developed by experts from Denmark and Poland could only be developed once the development of the statistical method was completed.  </w:t>
      </w:r>
    </w:p>
    <w:p w:rsidR="00293FC2" w:rsidRPr="004E2894" w:rsidRDefault="00293FC2" w:rsidP="00293FC2">
      <w:pPr>
        <w:rPr>
          <w:rFonts w:eastAsia="MS Mincho"/>
        </w:rPr>
      </w:pPr>
    </w:p>
    <w:p w:rsidR="00293FC2" w:rsidRPr="004E2894" w:rsidRDefault="00293FC2" w:rsidP="00293FC2">
      <w:r w:rsidRPr="005948AF">
        <w:fldChar w:fldCharType="begin"/>
      </w:r>
      <w:r w:rsidRPr="004E2894">
        <w:instrText xml:space="preserve"> AUTONUM  </w:instrText>
      </w:r>
      <w:r w:rsidRPr="005948AF">
        <w:fldChar w:fldCharType="end"/>
      </w:r>
      <w:r w:rsidRPr="004E2894">
        <w:tab/>
        <w:t xml:space="preserve">The TWC agreed to invite the experts from France and the United Kingdom to further develop the method and invited contributions of examples applying the method in </w:t>
      </w:r>
      <w:r w:rsidR="00260C22" w:rsidRPr="004E2894">
        <w:t xml:space="preserve">suitable </w:t>
      </w:r>
      <w:r w:rsidRPr="004E2894">
        <w:t>characteristics for other crops</w:t>
      </w:r>
      <w:r w:rsidR="00A24D80" w:rsidRPr="004E2894">
        <w:t xml:space="preserve"> to be presented at its thirty-sixth session</w:t>
      </w:r>
      <w:r w:rsidRPr="004E2894">
        <w:t>.</w:t>
      </w:r>
    </w:p>
    <w:p w:rsidR="00293FC2" w:rsidRPr="004E2894" w:rsidRDefault="00293FC2" w:rsidP="00E07077">
      <w:pPr>
        <w:pStyle w:val="Heading3"/>
      </w:pPr>
      <w:r w:rsidRPr="004E2894">
        <w:t>The Combined-Over-Years Uniformity Criterion (COYU)</w:t>
      </w:r>
    </w:p>
    <w:p w:rsidR="00293FC2" w:rsidRPr="004E2894" w:rsidRDefault="00293FC2" w:rsidP="00293FC2">
      <w:pPr>
        <w:rPr>
          <w:i/>
        </w:rPr>
      </w:pPr>
    </w:p>
    <w:p w:rsidR="00293FC2" w:rsidRPr="004E2894" w:rsidRDefault="00293FC2" w:rsidP="00293FC2">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 xml:space="preserve">ocuments TWP/1/13 </w:t>
      </w:r>
      <w:r w:rsidR="00A06C53" w:rsidRPr="004E2894">
        <w:t xml:space="preserve">and </w:t>
      </w:r>
      <w:r w:rsidRPr="004E2894">
        <w:t>TWC/35/6 “Method of calculation of COYU: practical exercise, probability levels, extrapolation and software” and received a presentation by the United Kingdom, a copy of which is provided in document TWC/35/6 Add.</w:t>
      </w:r>
    </w:p>
    <w:p w:rsidR="00293FC2" w:rsidRPr="004E2894" w:rsidRDefault="00293FC2" w:rsidP="00293FC2"/>
    <w:p w:rsidR="00293FC2" w:rsidRPr="004E2894" w:rsidRDefault="00293FC2" w:rsidP="00293FC2">
      <w:r w:rsidRPr="005948AF">
        <w:fldChar w:fldCharType="begin"/>
      </w:r>
      <w:r w:rsidRPr="004E2894">
        <w:instrText xml:space="preserve"> AUTONUM  </w:instrText>
      </w:r>
      <w:r w:rsidRPr="005948AF">
        <w:fldChar w:fldCharType="end"/>
      </w:r>
      <w:r w:rsidRPr="004E2894">
        <w:tab/>
        <w:t xml:space="preserve">The TWC considered the report on developments concerning the new method of calculation of COYU, provided by an expert from the United Kingdom and noted that the statistical development of the method had been completed.  </w:t>
      </w:r>
    </w:p>
    <w:p w:rsidR="00293FC2" w:rsidRPr="004E2894" w:rsidRDefault="00293FC2" w:rsidP="00293FC2"/>
    <w:p w:rsidR="00293FC2" w:rsidRPr="004E2894" w:rsidRDefault="00293FC2" w:rsidP="00293FC2">
      <w:r w:rsidRPr="005948AF">
        <w:fldChar w:fldCharType="begin"/>
      </w:r>
      <w:r w:rsidRPr="004E2894">
        <w:instrText xml:space="preserve"> AUTONUM  </w:instrText>
      </w:r>
      <w:r w:rsidRPr="005948AF">
        <w:fldChar w:fldCharType="end"/>
      </w:r>
      <w:r w:rsidRPr="004E2894">
        <w:tab/>
        <w:t xml:space="preserve">The TWC noted the results of the practical exercise and higher probability levels required by the new method </w:t>
      </w:r>
      <w:r w:rsidRPr="004E2894">
        <w:rPr>
          <w:bCs/>
        </w:rPr>
        <w:t xml:space="preserve">to most closely match decisions using the current method for calculation of COYU </w:t>
      </w:r>
    </w:p>
    <w:p w:rsidR="00293FC2" w:rsidRPr="004E2894" w:rsidRDefault="00293FC2" w:rsidP="00293FC2"/>
    <w:p w:rsidR="00293FC2" w:rsidRPr="004E2894" w:rsidRDefault="00293FC2" w:rsidP="00293FC2">
      <w:pPr>
        <w:numPr>
          <w:ilvl w:val="2"/>
          <w:numId w:val="23"/>
        </w:numPr>
        <w:tabs>
          <w:tab w:val="clear" w:pos="2160"/>
          <w:tab w:val="left" w:pos="1134"/>
          <w:tab w:val="num" w:pos="1843"/>
        </w:tabs>
        <w:ind w:hanging="1593"/>
      </w:pPr>
      <w:r w:rsidRPr="004E2894">
        <w:rPr>
          <w:bCs/>
        </w:rPr>
        <w:t>probability levels 0.003  to match 0.001 for current COYU</w:t>
      </w:r>
    </w:p>
    <w:p w:rsidR="00293FC2" w:rsidRPr="004E2894" w:rsidRDefault="00293FC2" w:rsidP="00293FC2">
      <w:pPr>
        <w:numPr>
          <w:ilvl w:val="2"/>
          <w:numId w:val="23"/>
        </w:numPr>
        <w:tabs>
          <w:tab w:val="clear" w:pos="2160"/>
          <w:tab w:val="left" w:pos="1134"/>
          <w:tab w:val="num" w:pos="1843"/>
        </w:tabs>
        <w:ind w:hanging="1593"/>
      </w:pPr>
      <w:r w:rsidRPr="004E2894">
        <w:rPr>
          <w:bCs/>
        </w:rPr>
        <w:t>probability levels 0.02  to match 0.01 for current COYU</w:t>
      </w:r>
    </w:p>
    <w:p w:rsidR="00293FC2" w:rsidRPr="004E2894" w:rsidRDefault="00293FC2" w:rsidP="00293FC2"/>
    <w:p w:rsidR="00293FC2" w:rsidRPr="004E2894" w:rsidRDefault="00293FC2" w:rsidP="00293FC2">
      <w:r w:rsidRPr="005948AF">
        <w:fldChar w:fldCharType="begin"/>
      </w:r>
      <w:r w:rsidRPr="004E2894">
        <w:instrText xml:space="preserve"> AUTONUM  </w:instrText>
      </w:r>
      <w:r w:rsidRPr="005948AF">
        <w:fldChar w:fldCharType="end"/>
      </w:r>
      <w:r w:rsidRPr="004E2894">
        <w:tab/>
        <w:t xml:space="preserve">The TWC noted the following areas identified for further improving the software using the new method of calculation of COYU and agreed to invite the expert from the United Kingdom to report </w:t>
      </w:r>
      <w:r w:rsidR="00A06C53" w:rsidRPr="004E2894">
        <w:t xml:space="preserve">on </w:t>
      </w:r>
      <w:r w:rsidRPr="004E2894">
        <w:t>developments at its thirty-sixth session:</w:t>
      </w:r>
    </w:p>
    <w:p w:rsidR="00293FC2" w:rsidRPr="004E2894" w:rsidRDefault="00293FC2" w:rsidP="00293FC2"/>
    <w:p w:rsidR="00293FC2" w:rsidRPr="004E2894" w:rsidRDefault="00293FC2" w:rsidP="00293FC2">
      <w:pPr>
        <w:numPr>
          <w:ilvl w:val="0"/>
          <w:numId w:val="27"/>
        </w:numPr>
        <w:tabs>
          <w:tab w:val="clear" w:pos="720"/>
          <w:tab w:val="num" w:pos="1134"/>
        </w:tabs>
        <w:ind w:left="1134" w:hanging="567"/>
      </w:pPr>
      <w:r w:rsidRPr="004E2894">
        <w:rPr>
          <w:bCs/>
        </w:rPr>
        <w:t>Improve installation with DUST</w:t>
      </w:r>
    </w:p>
    <w:p w:rsidR="00293FC2" w:rsidRPr="004E2894" w:rsidRDefault="00293FC2" w:rsidP="00293FC2">
      <w:pPr>
        <w:numPr>
          <w:ilvl w:val="0"/>
          <w:numId w:val="27"/>
        </w:numPr>
        <w:tabs>
          <w:tab w:val="clear" w:pos="720"/>
          <w:tab w:val="num" w:pos="1134"/>
        </w:tabs>
        <w:ind w:left="1134" w:hanging="567"/>
      </w:pPr>
      <w:r w:rsidRPr="004E2894">
        <w:rPr>
          <w:bCs/>
        </w:rPr>
        <w:t>Improve error messages</w:t>
      </w:r>
    </w:p>
    <w:p w:rsidR="00293FC2" w:rsidRPr="004E2894" w:rsidRDefault="00293FC2" w:rsidP="00293FC2">
      <w:pPr>
        <w:numPr>
          <w:ilvl w:val="0"/>
          <w:numId w:val="27"/>
        </w:numPr>
        <w:tabs>
          <w:tab w:val="clear" w:pos="720"/>
          <w:tab w:val="num" w:pos="1134"/>
        </w:tabs>
        <w:ind w:left="1134" w:hanging="567"/>
      </w:pPr>
      <w:r w:rsidRPr="004E2894">
        <w:rPr>
          <w:bCs/>
        </w:rPr>
        <w:t>Ensur</w:t>
      </w:r>
      <w:r w:rsidR="00A06C53" w:rsidRPr="004E2894">
        <w:rPr>
          <w:bCs/>
        </w:rPr>
        <w:t>e</w:t>
      </w:r>
      <w:r w:rsidRPr="004E2894">
        <w:rPr>
          <w:bCs/>
        </w:rPr>
        <w:t xml:space="preserve"> that problematic data sets can be dealt with appropriately</w:t>
      </w:r>
    </w:p>
    <w:p w:rsidR="00293FC2" w:rsidRPr="004E2894" w:rsidRDefault="00293FC2" w:rsidP="00293FC2">
      <w:pPr>
        <w:numPr>
          <w:ilvl w:val="0"/>
          <w:numId w:val="27"/>
        </w:numPr>
        <w:tabs>
          <w:tab w:val="clear" w:pos="720"/>
          <w:tab w:val="num" w:pos="1134"/>
        </w:tabs>
        <w:ind w:left="1134" w:hanging="567"/>
      </w:pPr>
      <w:r w:rsidRPr="004E2894">
        <w:rPr>
          <w:bCs/>
        </w:rPr>
        <w:t>Produce extrapolation flags according to approach agreed by TWC</w:t>
      </w:r>
    </w:p>
    <w:p w:rsidR="00293FC2" w:rsidRPr="004E2894" w:rsidRDefault="00293FC2" w:rsidP="00293FC2">
      <w:pPr>
        <w:numPr>
          <w:ilvl w:val="0"/>
          <w:numId w:val="27"/>
        </w:numPr>
        <w:tabs>
          <w:tab w:val="clear" w:pos="720"/>
          <w:tab w:val="num" w:pos="1134"/>
        </w:tabs>
        <w:ind w:left="1134" w:hanging="567"/>
      </w:pPr>
      <w:r w:rsidRPr="004E2894">
        <w:rPr>
          <w:bCs/>
        </w:rPr>
        <w:t>Ensur</w:t>
      </w:r>
      <w:r w:rsidR="00A06C53" w:rsidRPr="004E2894">
        <w:rPr>
          <w:bCs/>
        </w:rPr>
        <w:t>e</w:t>
      </w:r>
      <w:r w:rsidRPr="004E2894">
        <w:rPr>
          <w:bCs/>
        </w:rPr>
        <w:t xml:space="preserve"> that the algorithm works well for unbalanced data (for cyclic planting).</w:t>
      </w:r>
    </w:p>
    <w:p w:rsidR="00293FC2" w:rsidRPr="004E2894" w:rsidRDefault="00293FC2" w:rsidP="00293FC2"/>
    <w:p w:rsidR="00293FC2" w:rsidRPr="004E2894" w:rsidRDefault="00293FC2" w:rsidP="00411528"/>
    <w:p w:rsidR="00411528" w:rsidRPr="004E2894" w:rsidRDefault="00411528" w:rsidP="00411528">
      <w:pPr>
        <w:pStyle w:val="Heading2"/>
      </w:pPr>
      <w:r w:rsidRPr="004E2894">
        <w:t xml:space="preserve">Image analysis </w:t>
      </w:r>
    </w:p>
    <w:p w:rsidR="00411528" w:rsidRPr="004E2894" w:rsidRDefault="00411528" w:rsidP="00411528">
      <w:pPr>
        <w:rPr>
          <w:u w:val="single"/>
        </w:rPr>
      </w:pPr>
    </w:p>
    <w:p w:rsidR="00B52F21" w:rsidRPr="004E2894" w:rsidRDefault="00411528" w:rsidP="00411528">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 xml:space="preserve">ocument TWP/1/10 and noted the invitation of China for experts to join its project for the improvement of software for image analysis </w:t>
      </w:r>
    </w:p>
    <w:p w:rsidR="00411528" w:rsidRPr="004E2894" w:rsidRDefault="00411528" w:rsidP="00411528">
      <w:pPr>
        <w:rPr>
          <w:rFonts w:eastAsia="MS Mincho"/>
        </w:rPr>
      </w:pPr>
    </w:p>
    <w:p w:rsidR="00B52F21" w:rsidRPr="004E2894" w:rsidRDefault="00411528" w:rsidP="00B52F21">
      <w:pPr>
        <w:rPr>
          <w:snapToGrid w:val="0"/>
        </w:rPr>
      </w:pPr>
      <w:r w:rsidRPr="005948AF">
        <w:fldChar w:fldCharType="begin"/>
      </w:r>
      <w:r w:rsidRPr="004E2894">
        <w:instrText xml:space="preserve"> AUTONUM  </w:instrText>
      </w:r>
      <w:r w:rsidRPr="005948AF">
        <w:fldChar w:fldCharType="end"/>
      </w:r>
      <w:r w:rsidRPr="004E2894">
        <w:tab/>
      </w:r>
      <w:r w:rsidR="00B52F21" w:rsidRPr="004E2894">
        <w:t xml:space="preserve">The TWC agreed that it would be useful to have </w:t>
      </w:r>
      <w:r w:rsidR="00B52F21" w:rsidRPr="004E2894">
        <w:rPr>
          <w:snapToGrid w:val="0"/>
        </w:rPr>
        <w:t xml:space="preserve">information on latest developments on the project for improving the software by China and agreed to invite China to make presentation at </w:t>
      </w:r>
      <w:r w:rsidR="00945C12" w:rsidRPr="004E2894">
        <w:rPr>
          <w:snapToGrid w:val="0"/>
        </w:rPr>
        <w:t xml:space="preserve">its thirty-sixty session.  The TWC agreed that the </w:t>
      </w:r>
      <w:r w:rsidR="00B52F21" w:rsidRPr="004E2894">
        <w:rPr>
          <w:snapToGrid w:val="0"/>
        </w:rPr>
        <w:t xml:space="preserve">translation of </w:t>
      </w:r>
      <w:r w:rsidR="00945C12" w:rsidRPr="004E2894">
        <w:rPr>
          <w:snapToGrid w:val="0"/>
        </w:rPr>
        <w:t xml:space="preserve">user interfaces using </w:t>
      </w:r>
      <w:r w:rsidR="00D0300C" w:rsidRPr="004E2894">
        <w:rPr>
          <w:snapToGrid w:val="0"/>
        </w:rPr>
        <w:t>Roman</w:t>
      </w:r>
      <w:r w:rsidR="00945C12" w:rsidRPr="004E2894">
        <w:rPr>
          <w:snapToGrid w:val="0"/>
        </w:rPr>
        <w:t xml:space="preserve"> alphabet could facilitate future cooperation on the project.</w:t>
      </w:r>
    </w:p>
    <w:p w:rsidR="00B52F21" w:rsidRPr="004E2894" w:rsidRDefault="00B52F21" w:rsidP="00B52F21">
      <w:pPr>
        <w:rPr>
          <w:snapToGrid w:val="0"/>
        </w:rPr>
      </w:pPr>
    </w:p>
    <w:p w:rsidR="00945C12" w:rsidRPr="004E2894" w:rsidRDefault="00945C12" w:rsidP="00B52F21">
      <w:pPr>
        <w:rPr>
          <w:snapToGrid w:val="0"/>
        </w:rPr>
      </w:pPr>
      <w:r w:rsidRPr="005948AF">
        <w:fldChar w:fldCharType="begin"/>
      </w:r>
      <w:r w:rsidRPr="004E2894">
        <w:instrText xml:space="preserve"> AUTONUM  </w:instrText>
      </w:r>
      <w:r w:rsidRPr="005948AF">
        <w:fldChar w:fldCharType="end"/>
      </w:r>
      <w:r w:rsidRPr="004E2894">
        <w:tab/>
      </w:r>
      <w:r w:rsidRPr="004E2894">
        <w:rPr>
          <w:snapToGrid w:val="0"/>
        </w:rPr>
        <w:t xml:space="preserve">The TWC noted the </w:t>
      </w:r>
      <w:r w:rsidR="00B52F21" w:rsidRPr="004E2894">
        <w:rPr>
          <w:snapToGrid w:val="0"/>
        </w:rPr>
        <w:t xml:space="preserve">difficulty </w:t>
      </w:r>
      <w:r w:rsidRPr="004E2894">
        <w:rPr>
          <w:snapToGrid w:val="0"/>
        </w:rPr>
        <w:t xml:space="preserve">reported by members </w:t>
      </w:r>
      <w:r w:rsidR="00B52F21" w:rsidRPr="004E2894">
        <w:rPr>
          <w:snapToGrid w:val="0"/>
        </w:rPr>
        <w:t xml:space="preserve">to establish algorithms that </w:t>
      </w:r>
      <w:r w:rsidRPr="004E2894">
        <w:rPr>
          <w:snapToGrid w:val="0"/>
        </w:rPr>
        <w:t>could adequately</w:t>
      </w:r>
      <w:r w:rsidR="00B52F21" w:rsidRPr="004E2894">
        <w:rPr>
          <w:snapToGrid w:val="0"/>
        </w:rPr>
        <w:t xml:space="preserve"> manage </w:t>
      </w:r>
      <w:r w:rsidRPr="004E2894">
        <w:rPr>
          <w:snapToGrid w:val="0"/>
        </w:rPr>
        <w:t xml:space="preserve">different </w:t>
      </w:r>
      <w:r w:rsidR="00B52F21" w:rsidRPr="004E2894">
        <w:rPr>
          <w:snapToGrid w:val="0"/>
        </w:rPr>
        <w:t xml:space="preserve">shapes </w:t>
      </w:r>
      <w:r w:rsidRPr="004E2894">
        <w:rPr>
          <w:snapToGrid w:val="0"/>
        </w:rPr>
        <w:t>and</w:t>
      </w:r>
      <w:r w:rsidR="00B52F21" w:rsidRPr="004E2894">
        <w:rPr>
          <w:snapToGrid w:val="0"/>
        </w:rPr>
        <w:t xml:space="preserve"> plant structures (e.g. wavy leaves</w:t>
      </w:r>
      <w:r w:rsidRPr="004E2894">
        <w:rPr>
          <w:snapToGrid w:val="0"/>
        </w:rPr>
        <w:t>, wrinkled surfaces).</w:t>
      </w:r>
    </w:p>
    <w:p w:rsidR="00945C12" w:rsidRPr="004E2894" w:rsidRDefault="00945C12" w:rsidP="00B52F21">
      <w:pPr>
        <w:rPr>
          <w:snapToGrid w:val="0"/>
        </w:rPr>
      </w:pPr>
    </w:p>
    <w:p w:rsidR="00B52F21" w:rsidRPr="004E2894" w:rsidRDefault="00945C12" w:rsidP="00B52F21">
      <w:r w:rsidRPr="005948AF">
        <w:fldChar w:fldCharType="begin"/>
      </w:r>
      <w:r w:rsidRPr="004E2894">
        <w:instrText xml:space="preserve"> AUTONUM  </w:instrText>
      </w:r>
      <w:r w:rsidRPr="005948AF">
        <w:fldChar w:fldCharType="end"/>
      </w:r>
      <w:r w:rsidRPr="004E2894">
        <w:tab/>
        <w:t xml:space="preserve">The TWC </w:t>
      </w:r>
      <w:r w:rsidR="00780A68" w:rsidRPr="004E2894">
        <w:t>noted the experiences reported on the use of image analysis by the following members:</w:t>
      </w:r>
    </w:p>
    <w:p w:rsidR="00780A68" w:rsidRPr="004E2894" w:rsidRDefault="00780A68" w:rsidP="00B52F21">
      <w:pPr>
        <w:rPr>
          <w:snapToGrid w:val="0"/>
        </w:rPr>
      </w:pPr>
    </w:p>
    <w:p w:rsidR="00780A68" w:rsidRPr="004E2894" w:rsidRDefault="00780A68" w:rsidP="00780A68">
      <w:pPr>
        <w:pStyle w:val="ListParagraph"/>
        <w:numPr>
          <w:ilvl w:val="0"/>
          <w:numId w:val="28"/>
        </w:numPr>
        <w:tabs>
          <w:tab w:val="left" w:pos="1701"/>
        </w:tabs>
        <w:ind w:left="1134" w:hanging="567"/>
        <w:rPr>
          <w:snapToGrid w:val="0"/>
        </w:rPr>
      </w:pPr>
      <w:r w:rsidRPr="004E2894">
        <w:rPr>
          <w:snapToGrid w:val="0"/>
        </w:rPr>
        <w:t>Czech Republic – analysis in oilseed rape and pea Matlab software</w:t>
      </w:r>
      <w:r w:rsidR="00FC679A" w:rsidRPr="004E2894">
        <w:rPr>
          <w:snapToGrid w:val="0"/>
        </w:rPr>
        <w:t>;</w:t>
      </w:r>
    </w:p>
    <w:p w:rsidR="00780A68" w:rsidRPr="004E2894" w:rsidRDefault="00780A68" w:rsidP="00780A68">
      <w:pPr>
        <w:pStyle w:val="ListParagraph"/>
        <w:numPr>
          <w:ilvl w:val="0"/>
          <w:numId w:val="28"/>
        </w:numPr>
        <w:tabs>
          <w:tab w:val="left" w:pos="1701"/>
        </w:tabs>
        <w:ind w:left="1134" w:hanging="567"/>
        <w:rPr>
          <w:snapToGrid w:val="0"/>
        </w:rPr>
      </w:pPr>
      <w:r w:rsidRPr="004E2894">
        <w:rPr>
          <w:snapToGrid w:val="0"/>
        </w:rPr>
        <w:t xml:space="preserve">France –assessment of color in ornamental plants (RHS Colour Chart), estimation of foliar area for disease infection </w:t>
      </w:r>
      <w:r w:rsidR="00FC679A" w:rsidRPr="004E2894">
        <w:rPr>
          <w:snapToGrid w:val="0"/>
        </w:rPr>
        <w:t xml:space="preserve">using </w:t>
      </w:r>
      <w:r w:rsidRPr="004E2894">
        <w:rPr>
          <w:snapToGrid w:val="0"/>
        </w:rPr>
        <w:t>software</w:t>
      </w:r>
      <w:r w:rsidR="00FC679A" w:rsidRPr="004E2894">
        <w:rPr>
          <w:snapToGrid w:val="0"/>
        </w:rPr>
        <w:t>s</w:t>
      </w:r>
      <w:r w:rsidRPr="004E2894">
        <w:rPr>
          <w:snapToGrid w:val="0"/>
        </w:rPr>
        <w:t xml:space="preserve"> AIM </w:t>
      </w:r>
      <w:r w:rsidR="00FC679A" w:rsidRPr="004E2894">
        <w:rPr>
          <w:snapToGrid w:val="0"/>
        </w:rPr>
        <w:t>and IMAGEJ;</w:t>
      </w:r>
    </w:p>
    <w:p w:rsidR="00780A68" w:rsidRPr="004E2894" w:rsidRDefault="00780A68" w:rsidP="00780A68">
      <w:pPr>
        <w:pStyle w:val="ListParagraph"/>
        <w:numPr>
          <w:ilvl w:val="0"/>
          <w:numId w:val="28"/>
        </w:numPr>
        <w:tabs>
          <w:tab w:val="left" w:pos="1701"/>
        </w:tabs>
        <w:ind w:left="1134" w:hanging="567"/>
        <w:rPr>
          <w:snapToGrid w:val="0"/>
        </w:rPr>
      </w:pPr>
      <w:r w:rsidRPr="004E2894">
        <w:rPr>
          <w:snapToGrid w:val="0"/>
        </w:rPr>
        <w:t xml:space="preserve">Finland – rye seed length </w:t>
      </w:r>
      <w:r w:rsidR="00FC679A" w:rsidRPr="004E2894">
        <w:rPr>
          <w:snapToGrid w:val="0"/>
        </w:rPr>
        <w:t xml:space="preserve">using </w:t>
      </w:r>
      <w:r w:rsidRPr="004E2894">
        <w:rPr>
          <w:snapToGrid w:val="0"/>
        </w:rPr>
        <w:t>Image Tool software</w:t>
      </w:r>
      <w:r w:rsidR="00FC679A" w:rsidRPr="004E2894">
        <w:rPr>
          <w:snapToGrid w:val="0"/>
        </w:rPr>
        <w:t>;</w:t>
      </w:r>
    </w:p>
    <w:p w:rsidR="00B52F21" w:rsidRPr="004E2894" w:rsidRDefault="00780A68" w:rsidP="00780A68">
      <w:pPr>
        <w:pStyle w:val="ListParagraph"/>
        <w:numPr>
          <w:ilvl w:val="0"/>
          <w:numId w:val="28"/>
        </w:numPr>
        <w:tabs>
          <w:tab w:val="left" w:pos="1701"/>
        </w:tabs>
        <w:ind w:left="1134" w:hanging="567"/>
        <w:rPr>
          <w:snapToGrid w:val="0"/>
        </w:rPr>
      </w:pPr>
      <w:r w:rsidRPr="004E2894">
        <w:rPr>
          <w:snapToGrid w:val="0"/>
        </w:rPr>
        <w:t>Germany – some ornamentals and agricultural crops</w:t>
      </w:r>
      <w:r w:rsidR="00FC679A" w:rsidRPr="004E2894">
        <w:rPr>
          <w:snapToGrid w:val="0"/>
        </w:rPr>
        <w:t xml:space="preserve"> using </w:t>
      </w:r>
      <w:r w:rsidRPr="004E2894">
        <w:rPr>
          <w:snapToGrid w:val="0"/>
        </w:rPr>
        <w:t xml:space="preserve">in-house developed </w:t>
      </w:r>
      <w:r w:rsidR="00FC679A" w:rsidRPr="004E2894">
        <w:rPr>
          <w:snapToGrid w:val="0"/>
        </w:rPr>
        <w:t>software;</w:t>
      </w:r>
    </w:p>
    <w:p w:rsidR="00B52F21" w:rsidRPr="004E2894" w:rsidRDefault="00780A68" w:rsidP="00780A68">
      <w:pPr>
        <w:pStyle w:val="ListParagraph"/>
        <w:numPr>
          <w:ilvl w:val="0"/>
          <w:numId w:val="28"/>
        </w:numPr>
        <w:tabs>
          <w:tab w:val="left" w:pos="1701"/>
        </w:tabs>
        <w:ind w:left="1134" w:hanging="567"/>
        <w:rPr>
          <w:snapToGrid w:val="0"/>
        </w:rPr>
      </w:pPr>
      <w:r w:rsidRPr="004E2894">
        <w:rPr>
          <w:snapToGrid w:val="0"/>
        </w:rPr>
        <w:t>Italy</w:t>
      </w:r>
      <w:r w:rsidR="00B52F21" w:rsidRPr="004E2894">
        <w:rPr>
          <w:snapToGrid w:val="0"/>
        </w:rPr>
        <w:t xml:space="preserve"> – rice seed: length and width</w:t>
      </w:r>
      <w:r w:rsidR="00FC679A" w:rsidRPr="004E2894">
        <w:rPr>
          <w:snapToGrid w:val="0"/>
        </w:rPr>
        <w:t>;</w:t>
      </w:r>
    </w:p>
    <w:p w:rsidR="00780A68" w:rsidRPr="004E2894" w:rsidRDefault="00780A68" w:rsidP="00780A68">
      <w:pPr>
        <w:pStyle w:val="ListParagraph"/>
        <w:numPr>
          <w:ilvl w:val="0"/>
          <w:numId w:val="28"/>
        </w:numPr>
        <w:tabs>
          <w:tab w:val="left" w:pos="1701"/>
        </w:tabs>
        <w:ind w:left="1134" w:hanging="567"/>
        <w:rPr>
          <w:snapToGrid w:val="0"/>
        </w:rPr>
      </w:pPr>
      <w:r w:rsidRPr="004E2894">
        <w:rPr>
          <w:snapToGrid w:val="0"/>
        </w:rPr>
        <w:t>Netherlands</w:t>
      </w:r>
      <w:r w:rsidR="00B52F21" w:rsidRPr="004E2894">
        <w:rPr>
          <w:snapToGrid w:val="0"/>
        </w:rPr>
        <w:t xml:space="preserve"> – flax length</w:t>
      </w:r>
      <w:r w:rsidR="001009E5" w:rsidRPr="004E2894">
        <w:rPr>
          <w:snapToGrid w:val="0"/>
        </w:rPr>
        <w:t xml:space="preserve">/width ratio, </w:t>
      </w:r>
      <w:r w:rsidR="00B52F21" w:rsidRPr="004E2894">
        <w:rPr>
          <w:snapToGrid w:val="0"/>
        </w:rPr>
        <w:t>sugar</w:t>
      </w:r>
      <w:r w:rsidR="001009E5" w:rsidRPr="004E2894">
        <w:rPr>
          <w:snapToGrid w:val="0"/>
        </w:rPr>
        <w:t xml:space="preserve"> </w:t>
      </w:r>
      <w:r w:rsidR="00B52F21" w:rsidRPr="004E2894">
        <w:rPr>
          <w:snapToGrid w:val="0"/>
        </w:rPr>
        <w:t>beet cotyledons, pea, bean, shape of carrots and onions</w:t>
      </w:r>
      <w:r w:rsidR="00FC679A" w:rsidRPr="004E2894">
        <w:rPr>
          <w:snapToGrid w:val="0"/>
        </w:rPr>
        <w:t>;</w:t>
      </w:r>
    </w:p>
    <w:p w:rsidR="00780A68" w:rsidRPr="004E2894" w:rsidRDefault="00780A68" w:rsidP="00780A68">
      <w:pPr>
        <w:pStyle w:val="ListParagraph"/>
        <w:numPr>
          <w:ilvl w:val="0"/>
          <w:numId w:val="28"/>
        </w:numPr>
        <w:tabs>
          <w:tab w:val="left" w:pos="1701"/>
        </w:tabs>
        <w:ind w:left="1134" w:hanging="567"/>
        <w:rPr>
          <w:snapToGrid w:val="0"/>
        </w:rPr>
      </w:pPr>
      <w:r w:rsidRPr="004E2894">
        <w:rPr>
          <w:snapToGrid w:val="0"/>
        </w:rPr>
        <w:t>United Kingdom – pea: pods, leaflets, stems; parsnip</w:t>
      </w:r>
      <w:r w:rsidR="00FC679A" w:rsidRPr="004E2894">
        <w:rPr>
          <w:snapToGrid w:val="0"/>
        </w:rPr>
        <w:t>;</w:t>
      </w:r>
    </w:p>
    <w:p w:rsidR="00A06C53" w:rsidRPr="004E2894" w:rsidRDefault="00A06C53" w:rsidP="00B52F21">
      <w:pPr>
        <w:rPr>
          <w:snapToGrid w:val="0"/>
        </w:rPr>
      </w:pPr>
    </w:p>
    <w:p w:rsidR="00780A68" w:rsidRPr="004E2894" w:rsidRDefault="00780A68" w:rsidP="00780A68">
      <w:r w:rsidRPr="005948AF">
        <w:fldChar w:fldCharType="begin"/>
      </w:r>
      <w:r w:rsidRPr="004E2894">
        <w:instrText xml:space="preserve"> AUTONUM  </w:instrText>
      </w:r>
      <w:r w:rsidRPr="005948AF">
        <w:fldChar w:fldCharType="end"/>
      </w:r>
      <w:r w:rsidR="00412B9B" w:rsidRPr="004E2894">
        <w:tab/>
        <w:t xml:space="preserve">The TWC agreed that </w:t>
      </w:r>
      <w:r w:rsidR="00A06C53" w:rsidRPr="004E2894">
        <w:t xml:space="preserve">new advances </w:t>
      </w:r>
      <w:r w:rsidR="00412B9B" w:rsidRPr="004E2894">
        <w:t>on</w:t>
      </w:r>
      <w:r w:rsidRPr="004E2894">
        <w:t xml:space="preserve"> image analysis </w:t>
      </w:r>
      <w:r w:rsidR="00412B9B" w:rsidRPr="004E2894">
        <w:t xml:space="preserve">should be reported at </w:t>
      </w:r>
      <w:r w:rsidRPr="004E2894">
        <w:t xml:space="preserve">its thirty-sixth session. </w:t>
      </w:r>
    </w:p>
    <w:p w:rsidR="00B52F21" w:rsidRPr="004E2894" w:rsidRDefault="00B52F21" w:rsidP="00411528">
      <w:pPr>
        <w:rPr>
          <w:u w:val="single"/>
        </w:rPr>
      </w:pPr>
    </w:p>
    <w:p w:rsidR="00411528" w:rsidRPr="004E2894" w:rsidRDefault="00411528" w:rsidP="00411528">
      <w:pPr>
        <w:rPr>
          <w:u w:val="single"/>
        </w:rPr>
      </w:pPr>
    </w:p>
    <w:p w:rsidR="00411528" w:rsidRPr="004E2894" w:rsidRDefault="00411528" w:rsidP="00411528">
      <w:pPr>
        <w:pStyle w:val="Heading2"/>
      </w:pPr>
      <w:r w:rsidRPr="004E2894">
        <w:t xml:space="preserve">Guidance for drafters of Test Guidelines </w:t>
      </w:r>
    </w:p>
    <w:p w:rsidR="00411528" w:rsidRPr="004E2894" w:rsidRDefault="00411528" w:rsidP="00411528">
      <w:pPr>
        <w:rPr>
          <w:u w:val="single"/>
        </w:rPr>
      </w:pPr>
    </w:p>
    <w:p w:rsidR="00411528" w:rsidRPr="004E2894" w:rsidRDefault="00411528" w:rsidP="00411528">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TWP/1/8</w:t>
      </w:r>
      <w:r w:rsidR="00ED55C0" w:rsidRPr="004E2894">
        <w:t xml:space="preserve"> and received a demonstration of the web-based TG template by the Office of the Union</w:t>
      </w:r>
      <w:r w:rsidRPr="004E2894">
        <w:t>.</w:t>
      </w:r>
    </w:p>
    <w:p w:rsidR="00411528" w:rsidRPr="004E2894" w:rsidRDefault="00411528" w:rsidP="00411528">
      <w:pPr>
        <w:rPr>
          <w:rFonts w:eastAsia="MS Mincho"/>
        </w:rPr>
      </w:pPr>
    </w:p>
    <w:p w:rsidR="00411528" w:rsidRPr="004E2894" w:rsidRDefault="00411528" w:rsidP="00411528">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noted </w:t>
      </w:r>
      <w:r w:rsidRPr="004E2894">
        <w:t>the items resolved in Version 1.0 of the web-based TG template, as set out in document</w:t>
      </w:r>
      <w:r w:rsidR="00ED55C0" w:rsidRPr="004E2894">
        <w:t> </w:t>
      </w:r>
      <w:r w:rsidRPr="004E2894">
        <w:t>TWP/1/8, paragraph 18.</w:t>
      </w:r>
      <w:r w:rsidR="00ED55C0" w:rsidRPr="004E2894">
        <w:t xml:space="preserve">  </w:t>
      </w:r>
      <w:r w:rsidR="00ED55C0" w:rsidRPr="004E2894">
        <w:rPr>
          <w:snapToGrid w:val="0"/>
        </w:rPr>
        <w:t xml:space="preserve">The TWC </w:t>
      </w:r>
      <w:r w:rsidR="00ED55C0" w:rsidRPr="004E2894">
        <w:t xml:space="preserve">noted the issues currently addressed on the web-based TG template for inclusion during the second semester of 2017, as set out in document TWP/1/8, paragraph 30.  </w:t>
      </w:r>
      <w:r w:rsidRPr="004E2894">
        <w:rPr>
          <w:snapToGrid w:val="0"/>
        </w:rPr>
        <w:t xml:space="preserve">The TWC </w:t>
      </w:r>
      <w:r w:rsidRPr="004E2894">
        <w:t>noted that a general revision of the software code was underway to eliminate remaining reported malfunctioning issues and to stabilize the system.</w:t>
      </w:r>
    </w:p>
    <w:p w:rsidR="00411528" w:rsidRPr="004E2894" w:rsidRDefault="00411528" w:rsidP="00411528"/>
    <w:p w:rsidR="00411528" w:rsidRPr="004E2894" w:rsidRDefault="00411528" w:rsidP="00411528">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noted </w:t>
      </w:r>
      <w:r w:rsidRPr="004E2894">
        <w:t>the issues to be considered for inclusion in Version 2 of the web-based TG Template, as set out in document TWP/1/8, paragraph 21.</w:t>
      </w:r>
      <w:r w:rsidR="00ED55C0" w:rsidRPr="004E2894">
        <w:t xml:space="preserve">  </w:t>
      </w:r>
    </w:p>
    <w:p w:rsidR="00ED55C0" w:rsidRPr="004E2894" w:rsidRDefault="00ED55C0" w:rsidP="00411528">
      <w:pPr>
        <w:rPr>
          <w:sz w:val="18"/>
          <w:u w:val="single"/>
        </w:rPr>
      </w:pPr>
    </w:p>
    <w:p w:rsidR="00411528" w:rsidRPr="004E2894" w:rsidRDefault="00411528" w:rsidP="00411528">
      <w:r w:rsidRPr="005948AF">
        <w:fldChar w:fldCharType="begin"/>
      </w:r>
      <w:r w:rsidRPr="004E2894">
        <w:instrText xml:space="preserve"> AUTONUM  </w:instrText>
      </w:r>
      <w:r w:rsidRPr="005948AF">
        <w:fldChar w:fldCharType="end"/>
      </w:r>
      <w:r w:rsidRPr="004E2894">
        <w:tab/>
        <w:t xml:space="preserve">The TWC noted that training on the use of the web-based TG template would be offered to the TWPs at their sessions in 2017, during the preparatory workshops of the sessions and during discussions on agenda item “guidance for drafters of Test Guidelines”.  </w:t>
      </w:r>
    </w:p>
    <w:p w:rsidR="00411528" w:rsidRPr="004E2894" w:rsidRDefault="00411528" w:rsidP="00411528">
      <w:pPr>
        <w:rPr>
          <w:rFonts w:eastAsia="MS Mincho"/>
        </w:rPr>
      </w:pPr>
    </w:p>
    <w:p w:rsidR="00411528" w:rsidRPr="004E2894" w:rsidRDefault="00411528" w:rsidP="00411528">
      <w:r w:rsidRPr="005948AF">
        <w:fldChar w:fldCharType="begin"/>
      </w:r>
      <w:r w:rsidRPr="004E2894">
        <w:instrText xml:space="preserve"> AUTONUM  </w:instrText>
      </w:r>
      <w:r w:rsidRPr="005948AF">
        <w:fldChar w:fldCharType="end"/>
      </w:r>
      <w:r w:rsidRPr="004E2894">
        <w:tab/>
        <w:t>The TWC noted that feedback and questions could be provided directly via the web-bases TG template, as set out in document TWP/1/8, paragraph 33.</w:t>
      </w:r>
    </w:p>
    <w:p w:rsidR="00416EBB" w:rsidRPr="004E2894" w:rsidRDefault="00416EBB" w:rsidP="00E350FD">
      <w:pPr>
        <w:rPr>
          <w:u w:val="single"/>
        </w:rPr>
      </w:pPr>
    </w:p>
    <w:p w:rsidR="00940EE8" w:rsidRPr="004E2894" w:rsidRDefault="00940EE8" w:rsidP="00E350FD">
      <w:pPr>
        <w:rPr>
          <w:u w:val="single"/>
        </w:rPr>
      </w:pPr>
    </w:p>
    <w:p w:rsidR="002E55DF" w:rsidRPr="004E2894" w:rsidRDefault="002E55DF" w:rsidP="002E55DF">
      <w:pPr>
        <w:pStyle w:val="Heading2"/>
      </w:pPr>
      <w:r w:rsidRPr="004E2894">
        <w:t>Software, Information and databases</w:t>
      </w:r>
    </w:p>
    <w:p w:rsidR="002E55DF" w:rsidRPr="004E2894" w:rsidRDefault="002E55DF" w:rsidP="002E55DF">
      <w:pPr>
        <w:keepNext/>
        <w:rPr>
          <w:u w:val="single"/>
        </w:rPr>
      </w:pPr>
    </w:p>
    <w:p w:rsidR="002E55DF" w:rsidRPr="004E2894" w:rsidRDefault="002E55DF" w:rsidP="002E55DF">
      <w:pPr>
        <w:rPr>
          <w:i/>
        </w:rPr>
      </w:pPr>
      <w:r w:rsidRPr="004E2894">
        <w:rPr>
          <w:i/>
        </w:rPr>
        <w:t xml:space="preserve">Exchange and use of software and equipment </w:t>
      </w:r>
    </w:p>
    <w:p w:rsidR="002E55DF" w:rsidRPr="004E2894" w:rsidRDefault="002E55DF" w:rsidP="002E55DF">
      <w:pPr>
        <w:rPr>
          <w:i/>
        </w:rPr>
      </w:pPr>
    </w:p>
    <w:p w:rsidR="002E55DF" w:rsidRPr="004E2894" w:rsidRDefault="002E55DF" w:rsidP="002E55DF">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TWP/1/5.</w:t>
      </w:r>
    </w:p>
    <w:p w:rsidR="002E55DF" w:rsidRPr="004E2894" w:rsidRDefault="002E55DF" w:rsidP="002E55DF">
      <w:pPr>
        <w:rPr>
          <w:rFonts w:eastAsia="MS Mincho"/>
        </w:rPr>
      </w:pPr>
    </w:p>
    <w:p w:rsidR="002E55DF" w:rsidRPr="004E2894" w:rsidRDefault="002E55DF" w:rsidP="002E55DF">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noted that the Council, at its fiftieth ordinary session, held in Geneva, on October 28, 2016, had adopted document UPOV/INF/16/6 “Exchangeable Software”, with the deletion of the SIVAVE software.</w:t>
      </w:r>
    </w:p>
    <w:p w:rsidR="00357208" w:rsidRPr="004E2894" w:rsidRDefault="00357208" w:rsidP="00357208">
      <w:pPr>
        <w:rPr>
          <w:rFonts w:eastAsia="MS Mincho"/>
          <w:snapToGrid w:val="0"/>
          <w:lang w:eastAsia="ja-JP"/>
        </w:rPr>
      </w:pPr>
    </w:p>
    <w:p w:rsidR="00357208" w:rsidRPr="004E2894" w:rsidRDefault="00357208" w:rsidP="00357208">
      <w:pPr>
        <w:rPr>
          <w:rFonts w:eastAsia="MS Mincho"/>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 xml:space="preserve">noted that the Council had adopted document UPOV/INF/16/7 at its fifty-first ordinary session held on October 26, 2017, on the basis on the proposals of the TC, at its fifty-third session, as agreed by the CAJ at its seventy-fourth session. </w:t>
      </w:r>
    </w:p>
    <w:p w:rsidR="002E55DF" w:rsidRPr="004E2894" w:rsidRDefault="002E55DF" w:rsidP="002E55DF"/>
    <w:p w:rsidR="002E55DF" w:rsidRPr="004E2894" w:rsidRDefault="002E55DF" w:rsidP="002E55DF">
      <w:pPr>
        <w:rPr>
          <w:rFonts w:eastAsia="MS Mincho"/>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noted that the TC had agreed that the information presented in document UPOV/INF/16 should be made available in a searchable form on the UPOV website, and had noted that the Office of the Union would investigate a tool for that purpose.</w:t>
      </w:r>
    </w:p>
    <w:p w:rsidR="002E55DF" w:rsidRPr="004E2894" w:rsidRDefault="002E55DF" w:rsidP="002E55DF">
      <w:pPr>
        <w:rPr>
          <w:rFonts w:eastAsia="MS Mincho"/>
        </w:rPr>
      </w:pPr>
    </w:p>
    <w:p w:rsidR="002E55DF" w:rsidRPr="004E2894" w:rsidRDefault="002E55DF" w:rsidP="006A6FAD">
      <w:pPr>
        <w:spacing w:after="240"/>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noted that the Council, at its fiftieth ordinary session, held in Geneva, on October 28, 2016, had adopted document UPOV/INF/22/3 “Software and equipment used by members of the Union”.</w:t>
      </w:r>
    </w:p>
    <w:p w:rsidR="002E55DF" w:rsidRPr="004E2894" w:rsidRDefault="002E55DF" w:rsidP="002E55DF">
      <w:pPr>
        <w:rPr>
          <w:rFonts w:eastAsia="MS Mincho"/>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 xml:space="preserve">noted the information </w:t>
      </w:r>
      <w:r w:rsidRPr="004E2894">
        <w:rPr>
          <w:color w:val="000000"/>
          <w:lang w:eastAsia="ja-JP" w:bidi="km-KH"/>
        </w:rPr>
        <w:t>received from Estonia, the Russian Federation and the United Kingdom in response to circular E-16/290 as approved by the TC at its fifty-third session, was included in document</w:t>
      </w:r>
      <w:r w:rsidR="00357208" w:rsidRPr="004E2894">
        <w:rPr>
          <w:color w:val="000000"/>
          <w:lang w:eastAsia="ja-JP" w:bidi="km-KH"/>
        </w:rPr>
        <w:t> </w:t>
      </w:r>
      <w:r w:rsidRPr="004E2894">
        <w:rPr>
          <w:color w:val="000000"/>
          <w:lang w:eastAsia="ja-JP" w:bidi="km-KH"/>
        </w:rPr>
        <w:t>TWP/1/5, Annex II.</w:t>
      </w:r>
    </w:p>
    <w:p w:rsidR="002E55DF" w:rsidRPr="004E2894" w:rsidRDefault="002E55DF" w:rsidP="002E55DF">
      <w:pPr>
        <w:rPr>
          <w:rFonts w:eastAsia="MS Mincho"/>
        </w:rPr>
      </w:pPr>
    </w:p>
    <w:p w:rsidR="002E55DF" w:rsidRPr="004E2894" w:rsidRDefault="002E55DF" w:rsidP="002E55DF">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noted that the TC, at its fifty-third session, had agreed to propose the addition of a disclaimer to document UPOV/INF/22 explaining that the document was intended to provide information on the use of software and equipment by members of the Union and to clarify that that neither UPOV nor the contributing Authority were responsible for the performance of the software or equipment.</w:t>
      </w:r>
    </w:p>
    <w:p w:rsidR="002E55DF" w:rsidRPr="004E2894" w:rsidRDefault="002E55DF" w:rsidP="002E55DF"/>
    <w:p w:rsidR="002E55DF" w:rsidRPr="004E2894" w:rsidRDefault="002E55DF" w:rsidP="002E55DF">
      <w:pPr>
        <w:rPr>
          <w:rFonts w:eastAsia="MS Mincho"/>
          <w:snapToGrid w:val="0"/>
          <w:lang w:eastAsia="ja-JP"/>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 xml:space="preserve">noted that </w:t>
      </w:r>
      <w:r w:rsidRPr="004E2894">
        <w:rPr>
          <w:lang w:eastAsia="ja-JP"/>
        </w:rPr>
        <w:t xml:space="preserve">the TC had </w:t>
      </w:r>
      <w:r w:rsidRPr="004E2894">
        <w:rPr>
          <w:rFonts w:eastAsia="MS Mincho"/>
          <w:snapToGrid w:val="0"/>
          <w:lang w:eastAsia="ja-JP"/>
        </w:rPr>
        <w:t>considered whether the information in document UPOV/INF/22 should be presented in an alternative form (e.g. on-line format) rather than an INF document and had agreed that only the existing document UPOV/INF/22 format should be maintained.</w:t>
      </w:r>
    </w:p>
    <w:p w:rsidR="002E55DF" w:rsidRPr="004E2894" w:rsidRDefault="002E55DF" w:rsidP="002E55DF">
      <w:pPr>
        <w:rPr>
          <w:rFonts w:eastAsia="MS Mincho"/>
          <w:snapToGrid w:val="0"/>
          <w:lang w:eastAsia="ja-JP"/>
        </w:rPr>
      </w:pPr>
    </w:p>
    <w:p w:rsidR="002E55DF" w:rsidRPr="004E2894" w:rsidRDefault="002E55DF" w:rsidP="002E55DF">
      <w:pPr>
        <w:rPr>
          <w:rFonts w:eastAsia="MS Mincho"/>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 xml:space="preserve">noted that the Council had adopted document UPOV/INF/22/4 at its fifty-first ordinary session held on October 26, 2017, on the basis on the proposals of the TC, at its fifty-third session, as agreed by the CAJ at its seventy-fourth session. </w:t>
      </w:r>
    </w:p>
    <w:p w:rsidR="002E55DF" w:rsidRPr="004E2894" w:rsidRDefault="002E55DF" w:rsidP="002E55DF">
      <w:pPr>
        <w:rPr>
          <w:rFonts w:eastAsia="MS Mincho"/>
        </w:rPr>
      </w:pPr>
    </w:p>
    <w:p w:rsidR="00816565" w:rsidRPr="004E2894" w:rsidRDefault="002E55DF" w:rsidP="00816565">
      <w:r w:rsidRPr="005948AF">
        <w:fldChar w:fldCharType="begin"/>
      </w:r>
      <w:r w:rsidRPr="004E2894">
        <w:instrText xml:space="preserve"> AUTONUM  </w:instrText>
      </w:r>
      <w:r w:rsidRPr="005948AF">
        <w:fldChar w:fldCharType="end"/>
      </w:r>
      <w:r w:rsidRPr="004E2894">
        <w:tab/>
      </w:r>
      <w:r w:rsidR="00357208" w:rsidRPr="004E2894">
        <w:t>The TWC received a presentation by an expert from Argentina on “</w:t>
      </w:r>
      <w:r w:rsidR="00816565" w:rsidRPr="004E2894">
        <w:t xml:space="preserve">Argentine experience on </w:t>
      </w:r>
      <w:r w:rsidR="00CC0991" w:rsidRPr="004E2894">
        <w:t xml:space="preserve">GAIA </w:t>
      </w:r>
      <w:r w:rsidR="00816565" w:rsidRPr="004E2894">
        <w:t xml:space="preserve">software”, a copy </w:t>
      </w:r>
      <w:r w:rsidR="00412B9B" w:rsidRPr="004E2894">
        <w:t>of which would be provided as document TWC/35/19</w:t>
      </w:r>
      <w:r w:rsidR="00816565" w:rsidRPr="004E2894">
        <w:t xml:space="preserve">.  The TWC noted that Argentina was currently working on GAIA thresholds to </w:t>
      </w:r>
      <w:r w:rsidR="00D0300C" w:rsidRPr="004E2894">
        <w:t>select similar varieties</w:t>
      </w:r>
      <w:r w:rsidR="00816565" w:rsidRPr="004E2894">
        <w:t xml:space="preserve"> in soybean, wheat, grapevine and sunflower.  The TWC noted that Argentina planned to include molecular markers information </w:t>
      </w:r>
      <w:r w:rsidR="00D0300C" w:rsidRPr="004E2894">
        <w:t>for the</w:t>
      </w:r>
      <w:r w:rsidR="00412E09" w:rsidRPr="004E2894">
        <w:t xml:space="preserve"> management of variety collections </w:t>
      </w:r>
      <w:r w:rsidR="00CC0991" w:rsidRPr="004E2894">
        <w:t>with the aim of reducing the</w:t>
      </w:r>
      <w:r w:rsidR="00412E09" w:rsidRPr="004E2894">
        <w:t xml:space="preserve"> size of trials for the assessment of </w:t>
      </w:r>
      <w:r w:rsidR="00816565" w:rsidRPr="004E2894">
        <w:t xml:space="preserve">distinctness </w:t>
      </w:r>
      <w:r w:rsidR="00412E09" w:rsidRPr="004E2894">
        <w:t>in</w:t>
      </w:r>
      <w:r w:rsidR="00816565" w:rsidRPr="004E2894">
        <w:t xml:space="preserve"> soybean. </w:t>
      </w:r>
    </w:p>
    <w:p w:rsidR="002E55DF" w:rsidRPr="004E2894" w:rsidRDefault="002E55DF" w:rsidP="00E07077">
      <w:pPr>
        <w:pStyle w:val="Heading3"/>
      </w:pPr>
      <w:r w:rsidRPr="004E2894">
        <w:t xml:space="preserve">Electronic application systems </w:t>
      </w:r>
    </w:p>
    <w:p w:rsidR="002E55DF" w:rsidRPr="004E2894" w:rsidRDefault="002E55DF" w:rsidP="002E55DF">
      <w:pPr>
        <w:rPr>
          <w:i/>
        </w:rPr>
      </w:pPr>
    </w:p>
    <w:p w:rsidR="002E55DF" w:rsidRPr="004E2894" w:rsidRDefault="002E55DF" w:rsidP="002E55DF">
      <w:pPr>
        <w:rPr>
          <w:rFonts w:cs="Arial"/>
        </w:rPr>
      </w:pPr>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 xml:space="preserve">ocument TWP/1/3 </w:t>
      </w:r>
      <w:r w:rsidR="00F06AC1" w:rsidRPr="004E2894">
        <w:t>and received a presentation by the Office of the Union</w:t>
      </w:r>
      <w:r w:rsidR="004F560D" w:rsidRPr="004E2894">
        <w:t xml:space="preserve"> on “Electronic application form”</w:t>
      </w:r>
      <w:r w:rsidR="00F06AC1" w:rsidRPr="004E2894">
        <w:t xml:space="preserve">, a copy of which would be provided as an Addendum to document TWP/1/3.  </w:t>
      </w:r>
    </w:p>
    <w:p w:rsidR="004F560D" w:rsidRPr="004E2894" w:rsidRDefault="004F560D" w:rsidP="002E55DF">
      <w:pPr>
        <w:rPr>
          <w:rFonts w:eastAsia="MS Mincho"/>
        </w:rPr>
      </w:pPr>
    </w:p>
    <w:p w:rsidR="002E55DF" w:rsidRPr="004E2894" w:rsidRDefault="002E55DF" w:rsidP="002E55DF">
      <w:r w:rsidRPr="005948AF">
        <w:fldChar w:fldCharType="begin"/>
      </w:r>
      <w:r w:rsidRPr="004E2894">
        <w:instrText xml:space="preserve"> AUTONUM  </w:instrText>
      </w:r>
      <w:r w:rsidRPr="005948AF">
        <w:fldChar w:fldCharType="end"/>
      </w:r>
      <w:r w:rsidRPr="004E2894">
        <w:tab/>
      </w:r>
      <w:r w:rsidR="004F560D" w:rsidRPr="004E2894">
        <w:t xml:space="preserve">The TWC noted that the electronic application form was </w:t>
      </w:r>
      <w:r w:rsidR="00CC0991" w:rsidRPr="004E2894">
        <w:t>to be re-</w:t>
      </w:r>
      <w:r w:rsidR="004F560D" w:rsidRPr="004E2894">
        <w:t>named “</w:t>
      </w:r>
      <w:r w:rsidR="00CC0991" w:rsidRPr="004E2894">
        <w:t>PRISMA</w:t>
      </w:r>
      <w:r w:rsidR="004F560D" w:rsidRPr="004E2894">
        <w:t>”.  The TWC noted that</w:t>
      </w:r>
      <w:r w:rsidR="00CC0991" w:rsidRPr="004E2894">
        <w:t xml:space="preserve"> an interface had been created between</w:t>
      </w:r>
      <w:r w:rsidR="004F560D" w:rsidRPr="004E2894">
        <w:t xml:space="preserve"> the </w:t>
      </w:r>
      <w:r w:rsidR="00CC0991" w:rsidRPr="004E2894">
        <w:t xml:space="preserve">web-based TG Template and PRISMA in order for PRISMA to use the information </w:t>
      </w:r>
      <w:r w:rsidR="004F560D" w:rsidRPr="004E2894">
        <w:t xml:space="preserve">on characteristics in the </w:t>
      </w:r>
      <w:r w:rsidR="00CC0991" w:rsidRPr="004E2894">
        <w:t xml:space="preserve">Technical Questionnaire </w:t>
      </w:r>
      <w:r w:rsidR="004F560D" w:rsidRPr="004E2894">
        <w:t xml:space="preserve">of Test Guidelines.  The TWC </w:t>
      </w:r>
      <w:r w:rsidR="00CC0991" w:rsidRPr="004E2894">
        <w:t xml:space="preserve">noted </w:t>
      </w:r>
      <w:r w:rsidR="004F560D" w:rsidRPr="004E2894">
        <w:t xml:space="preserve"> </w:t>
      </w:r>
      <w:r w:rsidR="00CC0991" w:rsidRPr="004E2894">
        <w:t xml:space="preserve">the importance of informing </w:t>
      </w:r>
      <w:r w:rsidR="004F560D" w:rsidRPr="004E2894">
        <w:t xml:space="preserve">breeders about </w:t>
      </w:r>
      <w:r w:rsidR="00CC0991" w:rsidRPr="004E2894">
        <w:t xml:space="preserve">PRISMA </w:t>
      </w:r>
      <w:r w:rsidR="004F560D" w:rsidRPr="004E2894">
        <w:t xml:space="preserve">and invited members to provide information through UPOV sources (e.g. </w:t>
      </w:r>
      <w:r w:rsidR="00940EE8" w:rsidRPr="004E2894">
        <w:t>UPOV PRISMA web page, LinkedIn showcase page</w:t>
      </w:r>
      <w:r w:rsidR="004F560D" w:rsidRPr="004E2894">
        <w:t xml:space="preserve">). </w:t>
      </w:r>
    </w:p>
    <w:p w:rsidR="002E55DF" w:rsidRPr="004E2894" w:rsidRDefault="002E55DF" w:rsidP="00E07077">
      <w:pPr>
        <w:pStyle w:val="Heading3"/>
      </w:pPr>
      <w:r w:rsidRPr="004E2894">
        <w:t xml:space="preserve">Implementation of a Document Management System for Variety Files </w:t>
      </w:r>
    </w:p>
    <w:p w:rsidR="002E55DF" w:rsidRPr="004E2894" w:rsidRDefault="002E55DF" w:rsidP="002E55DF"/>
    <w:p w:rsidR="002E55DF" w:rsidRPr="004E2894" w:rsidRDefault="002E55DF" w:rsidP="002E55DF">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TWC/35/16</w:t>
      </w:r>
      <w:r w:rsidR="0036021C" w:rsidRPr="004E2894">
        <w:t>.</w:t>
      </w:r>
    </w:p>
    <w:p w:rsidR="0036021C" w:rsidRPr="004E2894" w:rsidRDefault="0036021C" w:rsidP="002E55DF"/>
    <w:p w:rsidR="00015449" w:rsidRPr="004E2894" w:rsidRDefault="002E55DF" w:rsidP="006B0433">
      <w:r w:rsidRPr="005948AF">
        <w:fldChar w:fldCharType="begin"/>
      </w:r>
      <w:r w:rsidRPr="004E2894">
        <w:instrText xml:space="preserve"> AUTONUM  </w:instrText>
      </w:r>
      <w:r w:rsidRPr="005948AF">
        <w:fldChar w:fldCharType="end"/>
      </w:r>
      <w:r w:rsidRPr="004E2894">
        <w:tab/>
      </w:r>
      <w:r w:rsidR="00465C32" w:rsidRPr="004E2894">
        <w:t xml:space="preserve">The TWC received an oral presentation by an expert from Germany and noted the new functions added to the system, such as </w:t>
      </w:r>
      <w:r w:rsidR="00015449" w:rsidRPr="004E2894">
        <w:t xml:space="preserve">separate post inboxes for users and groups </w:t>
      </w:r>
      <w:r w:rsidR="00465C32" w:rsidRPr="004E2894">
        <w:t xml:space="preserve">and </w:t>
      </w:r>
      <w:r w:rsidR="00015449" w:rsidRPr="004E2894">
        <w:t>definition of favorite files</w:t>
      </w:r>
      <w:r w:rsidR="00465C32" w:rsidRPr="004E2894">
        <w:t xml:space="preserve">.  The TWC noted that the system provided electronic management of </w:t>
      </w:r>
      <w:r w:rsidR="00015449" w:rsidRPr="004E2894">
        <w:t>different</w:t>
      </w:r>
      <w:r w:rsidR="00465C32" w:rsidRPr="004E2894">
        <w:t xml:space="preserve"> types of documents, including applications for plant variety protection, internal communications</w:t>
      </w:r>
      <w:r w:rsidR="00015449" w:rsidRPr="004E2894">
        <w:t xml:space="preserve"> and procurement files.   </w:t>
      </w:r>
    </w:p>
    <w:p w:rsidR="002E55DF" w:rsidRPr="004E2894" w:rsidRDefault="002E55DF" w:rsidP="00E07077">
      <w:pPr>
        <w:pStyle w:val="Heading3"/>
      </w:pPr>
      <w:r w:rsidRPr="004E2894">
        <w:t xml:space="preserve">Software for statistical analysis </w:t>
      </w:r>
    </w:p>
    <w:p w:rsidR="002E55DF" w:rsidRPr="004E2894" w:rsidRDefault="002E55DF" w:rsidP="002E55DF">
      <w:pPr>
        <w:rPr>
          <w:i/>
        </w:rPr>
      </w:pPr>
    </w:p>
    <w:p w:rsidR="002E55DF" w:rsidRPr="004E2894" w:rsidRDefault="002E55DF" w:rsidP="002E55DF">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TWP/1/16 and noted the developments concerning software for statistical analysis in DUS examination, as set out in document TWP/1/16, paragraphs 3 to 7.</w:t>
      </w:r>
    </w:p>
    <w:p w:rsidR="00015449" w:rsidRPr="004E2894" w:rsidRDefault="00015449" w:rsidP="00E07077">
      <w:pPr>
        <w:pStyle w:val="Heading3"/>
      </w:pPr>
      <w:r w:rsidRPr="004E2894">
        <w:rPr>
          <w:rFonts w:eastAsia="MS Mincho"/>
        </w:rPr>
        <w:t xml:space="preserve">A single tool for DUS computation process </w:t>
      </w:r>
    </w:p>
    <w:p w:rsidR="00015449" w:rsidRPr="004E2894" w:rsidRDefault="00015449" w:rsidP="00015449"/>
    <w:p w:rsidR="00015449" w:rsidRPr="004E2894" w:rsidRDefault="00015449" w:rsidP="00015449">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TWC/35/17 and received a presentation by an expert from France on “</w:t>
      </w:r>
      <w:r w:rsidRPr="004E2894">
        <w:rPr>
          <w:snapToGrid w:val="0"/>
        </w:rPr>
        <w:t>A single tool for DUS computation process</w:t>
      </w:r>
      <w:r w:rsidRPr="004E2894">
        <w:t>”, a copy of which is reproduced in the Annex to document</w:t>
      </w:r>
      <w:r w:rsidR="00AD3C8A" w:rsidRPr="004E2894">
        <w:t> </w:t>
      </w:r>
      <w:r w:rsidRPr="004E2894">
        <w:t xml:space="preserve">TWC/35/17. </w:t>
      </w:r>
    </w:p>
    <w:p w:rsidR="001D1D73" w:rsidRPr="004E2894" w:rsidRDefault="001D1D73" w:rsidP="00015449"/>
    <w:p w:rsidR="00FC4AF2" w:rsidRPr="004E2894" w:rsidRDefault="00FC4AF2" w:rsidP="00015449">
      <w:r w:rsidRPr="005948AF">
        <w:fldChar w:fldCharType="begin"/>
      </w:r>
      <w:r w:rsidRPr="004E2894">
        <w:instrText xml:space="preserve"> AUTONUM  </w:instrText>
      </w:r>
      <w:r w:rsidRPr="005948AF">
        <w:fldChar w:fldCharType="end"/>
      </w:r>
      <w:r w:rsidRPr="004E2894">
        <w:tab/>
        <w:t>The TWC noted the structure of the interface with the statistical parts of the COYD and COYU processes</w:t>
      </w:r>
      <w:r w:rsidR="00DC06B3" w:rsidRPr="004E2894">
        <w:t>, storage of statistical data and reports generated by the GAIA software.</w:t>
      </w:r>
    </w:p>
    <w:p w:rsidR="00FC4AF2" w:rsidRPr="004E2894" w:rsidRDefault="00FC4AF2" w:rsidP="00015449"/>
    <w:p w:rsidR="001D1D73" w:rsidRPr="004E2894" w:rsidRDefault="001D1D73" w:rsidP="00E07077">
      <w:r w:rsidRPr="005948AF">
        <w:fldChar w:fldCharType="begin"/>
      </w:r>
      <w:r w:rsidRPr="004E2894">
        <w:instrText xml:space="preserve"> AUTONUM  </w:instrText>
      </w:r>
      <w:r w:rsidRPr="005948AF">
        <w:fldChar w:fldCharType="end"/>
      </w:r>
      <w:r w:rsidRPr="004E2894">
        <w:tab/>
        <w:t>The TWC agreed to invite France to report on progress in the development of a single tool for DUS computation process at the thirty-sixth session of the TWC.</w:t>
      </w:r>
    </w:p>
    <w:p w:rsidR="002E55DF" w:rsidRPr="004E2894" w:rsidRDefault="002E55DF" w:rsidP="00E07077">
      <w:pPr>
        <w:pStyle w:val="Heading3"/>
      </w:pPr>
      <w:r w:rsidRPr="004E2894">
        <w:t xml:space="preserve">Management of variety collections </w:t>
      </w:r>
    </w:p>
    <w:p w:rsidR="002E55DF" w:rsidRPr="004E2894" w:rsidRDefault="002E55DF" w:rsidP="002E55DF">
      <w:pPr>
        <w:rPr>
          <w:i/>
        </w:rPr>
      </w:pPr>
    </w:p>
    <w:p w:rsidR="002E55DF" w:rsidRPr="004E2894" w:rsidRDefault="002E55DF" w:rsidP="002E55DF">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TWP/1/14 and noted the developments reported to the TC at its fifty</w:t>
      </w:r>
      <w:r w:rsidRPr="004E2894">
        <w:noBreakHyphen/>
        <w:t>third session in 2017, on management of variety collections.</w:t>
      </w:r>
    </w:p>
    <w:p w:rsidR="002E55DF" w:rsidRPr="004E2894" w:rsidRDefault="002E55DF" w:rsidP="00E07077">
      <w:pPr>
        <w:pStyle w:val="Heading3"/>
        <w:rPr>
          <w:rFonts w:eastAsia="MS Mincho"/>
        </w:rPr>
      </w:pPr>
      <w:r w:rsidRPr="004E2894">
        <w:rPr>
          <w:rFonts w:eastAsia="MS Mincho"/>
        </w:rPr>
        <w:t>Management of databases</w:t>
      </w:r>
    </w:p>
    <w:p w:rsidR="002E55DF" w:rsidRPr="004E2894" w:rsidRDefault="002E55DF" w:rsidP="002E55DF"/>
    <w:p w:rsidR="002E55DF" w:rsidRPr="004E2894" w:rsidRDefault="002E55DF" w:rsidP="002E55DF">
      <w:r w:rsidRPr="005948AF">
        <w:fldChar w:fldCharType="begin"/>
      </w:r>
      <w:r w:rsidRPr="004E2894">
        <w:instrText xml:space="preserve"> AUTONUM  </w:instrText>
      </w:r>
      <w:r w:rsidRPr="005948AF">
        <w:fldChar w:fldCharType="end"/>
      </w:r>
      <w:r w:rsidRPr="004E2894">
        <w:tab/>
        <w:t xml:space="preserve">The TWC considered </w:t>
      </w:r>
      <w:r w:rsidR="00AD3C8A" w:rsidRPr="004E2894">
        <w:t>document TWC/35/4 and received a presentation by the Office of the Union on “Information Retrieval from UPOV Databases using national systems”, a copy of which would be made available as an addendum to document TWC/35/4.</w:t>
      </w:r>
    </w:p>
    <w:p w:rsidR="00AD3C8A" w:rsidRPr="004E2894" w:rsidRDefault="00AD3C8A" w:rsidP="002E55DF"/>
    <w:p w:rsidR="002E55DF" w:rsidRPr="004E2894" w:rsidRDefault="00AD3C8A" w:rsidP="00AD3C8A">
      <w:r w:rsidRPr="005948AF">
        <w:fldChar w:fldCharType="begin"/>
      </w:r>
      <w:r w:rsidRPr="004E2894">
        <w:instrText xml:space="preserve"> AUTONUM  </w:instrText>
      </w:r>
      <w:r w:rsidRPr="005948AF">
        <w:fldChar w:fldCharType="end"/>
      </w:r>
      <w:r w:rsidRPr="004E2894">
        <w:tab/>
        <w:t>The TWC noted that the use of robots to retrieve information from the GENIE database generated dense traffic</w:t>
      </w:r>
      <w:r w:rsidR="00E70A5C" w:rsidRPr="004E2894">
        <w:t>,</w:t>
      </w:r>
      <w:r w:rsidRPr="004E2894">
        <w:t xml:space="preserve"> causing the UPOV server to crash.  The TWC noted that UPOV offered web services (machine</w:t>
      </w:r>
      <w:r w:rsidR="00E70A5C" w:rsidRPr="004E2894">
        <w:t>–</w:t>
      </w:r>
      <w:r w:rsidRPr="004E2894">
        <w:t>to</w:t>
      </w:r>
      <w:r w:rsidR="00E70A5C" w:rsidRPr="004E2894">
        <w:t xml:space="preserve">-machine </w:t>
      </w:r>
      <w:r w:rsidRPr="004E2894">
        <w:t>communication) to exchange data with external systems based on defined input and output formats (contract).</w:t>
      </w:r>
    </w:p>
    <w:p w:rsidR="00AD3C8A" w:rsidRPr="004E2894" w:rsidRDefault="00AD3C8A" w:rsidP="00AD3C8A"/>
    <w:p w:rsidR="00AD3C8A" w:rsidRPr="004E2894" w:rsidRDefault="00AD3C8A" w:rsidP="00AD3C8A">
      <w:pPr>
        <w:rPr>
          <w:rFonts w:eastAsia="MS Mincho"/>
        </w:rPr>
      </w:pPr>
      <w:r w:rsidRPr="005948AF">
        <w:fldChar w:fldCharType="begin"/>
      </w:r>
      <w:r w:rsidRPr="004E2894">
        <w:instrText xml:space="preserve"> AUTONUM  </w:instrText>
      </w:r>
      <w:r w:rsidRPr="005948AF">
        <w:fldChar w:fldCharType="end"/>
      </w:r>
      <w:r w:rsidRPr="004E2894">
        <w:tab/>
        <w:t>The TWC</w:t>
      </w:r>
      <w:r w:rsidR="00DB7A19" w:rsidRPr="004E2894">
        <w:t xml:space="preserve"> </w:t>
      </w:r>
      <w:r w:rsidR="00E70A5C" w:rsidRPr="004E2894">
        <w:t>suggested that</w:t>
      </w:r>
      <w:r w:rsidR="00DB7A19" w:rsidRPr="004E2894">
        <w:t xml:space="preserve"> the</w:t>
      </w:r>
      <w:r w:rsidR="00E70A5C" w:rsidRPr="004E2894">
        <w:t xml:space="preserve"> Office of the Union provide </w:t>
      </w:r>
      <w:r w:rsidR="00DB7A19" w:rsidRPr="004E2894">
        <w:t xml:space="preserve">documentation </w:t>
      </w:r>
      <w:r w:rsidR="00E70A5C" w:rsidRPr="004E2894">
        <w:t>on the UPOV website</w:t>
      </w:r>
      <w:r w:rsidR="00DB7A19" w:rsidRPr="004E2894">
        <w:t xml:space="preserve"> on the web services offered.  .</w:t>
      </w:r>
    </w:p>
    <w:p w:rsidR="002E55DF" w:rsidRPr="004E2894" w:rsidRDefault="002E55DF" w:rsidP="00E07077">
      <w:pPr>
        <w:pStyle w:val="Heading3"/>
      </w:pPr>
      <w:r w:rsidRPr="004E2894">
        <w:t xml:space="preserve">UPOV information databases </w:t>
      </w:r>
    </w:p>
    <w:p w:rsidR="002E55DF" w:rsidRPr="004E2894" w:rsidRDefault="002E55DF" w:rsidP="002E55DF">
      <w:pPr>
        <w:keepNext/>
        <w:rPr>
          <w:i/>
        </w:rPr>
      </w:pPr>
    </w:p>
    <w:p w:rsidR="002E55DF" w:rsidRPr="004E2894" w:rsidRDefault="002E55DF" w:rsidP="002E55DF">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TWP/1/4.</w:t>
      </w:r>
    </w:p>
    <w:p w:rsidR="002E55DF" w:rsidRPr="004E2894" w:rsidRDefault="002E55DF" w:rsidP="002E55DF"/>
    <w:p w:rsidR="002E55DF" w:rsidRPr="004E2894" w:rsidRDefault="002E55DF" w:rsidP="002E55DF">
      <w:pPr>
        <w:pStyle w:val="Heading4"/>
        <w:rPr>
          <w:lang w:val="en-US"/>
        </w:rPr>
      </w:pPr>
      <w:r w:rsidRPr="004E2894">
        <w:rPr>
          <w:lang w:val="en-US"/>
        </w:rPr>
        <w:t>GENIE database</w:t>
      </w:r>
    </w:p>
    <w:p w:rsidR="002E55DF" w:rsidRPr="004E2894" w:rsidRDefault="002E55DF" w:rsidP="002E55DF">
      <w:pPr>
        <w:keepNext/>
        <w:rPr>
          <w:snapToGrid w:val="0"/>
        </w:rPr>
      </w:pPr>
    </w:p>
    <w:p w:rsidR="002E55DF" w:rsidRPr="004E2894" w:rsidRDefault="002E55DF" w:rsidP="002E55DF">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noted </w:t>
      </w:r>
      <w:r w:rsidRPr="004E2894">
        <w:t>that a specification document explaining the data structure and functions of the GENIE database was being developed by the Office of the Union in order that IT related maintenance could be provided in the future.</w:t>
      </w:r>
    </w:p>
    <w:p w:rsidR="00BF6A58" w:rsidRPr="004E2894" w:rsidRDefault="00BF6A58" w:rsidP="002E55DF"/>
    <w:p w:rsidR="002E55DF" w:rsidRPr="004E2894" w:rsidRDefault="002E55DF" w:rsidP="002E55DF">
      <w:pPr>
        <w:pStyle w:val="Heading4"/>
        <w:rPr>
          <w:lang w:val="en-US"/>
        </w:rPr>
      </w:pPr>
      <w:r w:rsidRPr="004E2894">
        <w:rPr>
          <w:lang w:val="en-US"/>
        </w:rPr>
        <w:t>UPOV code system</w:t>
      </w:r>
    </w:p>
    <w:p w:rsidR="002E55DF" w:rsidRPr="004E2894" w:rsidRDefault="002E55DF" w:rsidP="002E55DF">
      <w:pPr>
        <w:keepNext/>
        <w:tabs>
          <w:tab w:val="left" w:pos="2040"/>
        </w:tabs>
      </w:pPr>
    </w:p>
    <w:p w:rsidR="002E55DF" w:rsidRPr="004E2894" w:rsidRDefault="002E55DF" w:rsidP="002E55DF">
      <w:pPr>
        <w:keepNext/>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noted that:</w:t>
      </w:r>
    </w:p>
    <w:p w:rsidR="002E55DF" w:rsidRPr="004E2894" w:rsidRDefault="002E55DF" w:rsidP="002E55DF"/>
    <w:p w:rsidR="002E55DF" w:rsidRPr="004E2894" w:rsidRDefault="002E55DF" w:rsidP="002E55DF">
      <w:pPr>
        <w:pStyle w:val="ListParagraph"/>
        <w:numPr>
          <w:ilvl w:val="0"/>
          <w:numId w:val="16"/>
        </w:numPr>
        <w:ind w:left="0" w:firstLine="567"/>
        <w:contextualSpacing/>
      </w:pPr>
      <w:r w:rsidRPr="004E2894">
        <w:t>173 new UPOV codes had been created in 2016 and that a total of 8,149 UPOV codes were included in the GENIE database.</w:t>
      </w:r>
    </w:p>
    <w:p w:rsidR="002E55DF" w:rsidRPr="004E2894" w:rsidRDefault="002E55DF" w:rsidP="002E55DF"/>
    <w:p w:rsidR="002E55DF" w:rsidRPr="004E2894" w:rsidRDefault="002E55DF" w:rsidP="002E55DF">
      <w:pPr>
        <w:pStyle w:val="ListParagraph"/>
        <w:numPr>
          <w:ilvl w:val="0"/>
          <w:numId w:val="16"/>
        </w:numPr>
        <w:ind w:left="0" w:firstLine="567"/>
        <w:contextualSpacing/>
      </w:pPr>
      <w:r w:rsidRPr="004E2894">
        <w:t>the Office of the Union had received a request from the OECD to create new UPOV codes for 191 forest-tree species moving in international trade under the OECD certification schemes.</w:t>
      </w:r>
    </w:p>
    <w:p w:rsidR="002E55DF" w:rsidRPr="004E2894" w:rsidRDefault="002E55DF" w:rsidP="002E55DF"/>
    <w:p w:rsidR="002E55DF" w:rsidRPr="004E2894" w:rsidRDefault="002E55DF" w:rsidP="002E55DF">
      <w:pPr>
        <w:pStyle w:val="ListParagraph"/>
        <w:numPr>
          <w:ilvl w:val="0"/>
          <w:numId w:val="16"/>
        </w:numPr>
        <w:ind w:left="0" w:firstLine="567"/>
        <w:contextualSpacing/>
      </w:pPr>
      <w:r w:rsidRPr="004E2894">
        <w:t xml:space="preserve">the TC, at its fifty-third session, had agreed that it would not be appropriate to revise the Guide to the UPOV Code System in relation to the principal botanical name for inter-generic and interspecific hybrids, as set out in </w:t>
      </w:r>
      <w:r w:rsidRPr="004E2894">
        <w:rPr>
          <w:rFonts w:cs="Arial"/>
        </w:rPr>
        <w:t>document </w:t>
      </w:r>
      <w:r w:rsidRPr="004E2894">
        <w:t>TWP/1/</w:t>
      </w:r>
      <w:r w:rsidRPr="004E2894">
        <w:rPr>
          <w:rFonts w:cs="Arial"/>
        </w:rPr>
        <w:t>4</w:t>
      </w:r>
      <w:r w:rsidRPr="004E2894">
        <w:t>, paragraph 18.</w:t>
      </w:r>
    </w:p>
    <w:p w:rsidR="002E55DF" w:rsidRPr="004E2894" w:rsidRDefault="002E55DF" w:rsidP="002E55DF"/>
    <w:p w:rsidR="002E55DF" w:rsidRPr="004E2894" w:rsidRDefault="002E55DF" w:rsidP="002E55DF">
      <w:pPr>
        <w:pStyle w:val="ListParagraph"/>
        <w:numPr>
          <w:ilvl w:val="0"/>
          <w:numId w:val="16"/>
        </w:numPr>
        <w:ind w:left="0" w:firstLine="567"/>
        <w:contextualSpacing/>
      </w:pPr>
      <w:r w:rsidRPr="004E2894">
        <w:t>the TC had noted that, in order to avoid any misinterpretation, the CPVO would make it clear that the information provided to the Office of the Union would be in alphabetical order.</w:t>
      </w:r>
    </w:p>
    <w:p w:rsidR="002E55DF" w:rsidRPr="004E2894" w:rsidRDefault="002E55DF" w:rsidP="002E55DF"/>
    <w:p w:rsidR="002E55DF" w:rsidRPr="004E2894" w:rsidRDefault="002E55DF" w:rsidP="002E55DF">
      <w:pPr>
        <w:pStyle w:val="Heading4"/>
        <w:rPr>
          <w:lang w:val="en-US"/>
        </w:rPr>
      </w:pPr>
      <w:r w:rsidRPr="004E2894">
        <w:rPr>
          <w:lang w:val="en-US"/>
        </w:rPr>
        <w:t>PLUTO database</w:t>
      </w:r>
    </w:p>
    <w:p w:rsidR="002E55DF" w:rsidRPr="004E2894" w:rsidRDefault="002E55DF" w:rsidP="002E55DF">
      <w:pPr>
        <w:keepNext/>
      </w:pPr>
    </w:p>
    <w:p w:rsidR="002E55DF" w:rsidRPr="004E2894" w:rsidRDefault="002E55DF" w:rsidP="002E55DF">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noted </w:t>
      </w:r>
      <w:r w:rsidRPr="004E2894">
        <w:t xml:space="preserve">the summary of contributions to the PLUTO database from 2013 to 2016 and the current situation of members of the Union on data contribution, as presented in document TWP/1/4, Annex I. </w:t>
      </w:r>
    </w:p>
    <w:p w:rsidR="002E55DF" w:rsidRPr="004E2894" w:rsidRDefault="002E55DF" w:rsidP="002E55DF"/>
    <w:p w:rsidR="002E55DF" w:rsidRPr="004E2894" w:rsidRDefault="002E55DF" w:rsidP="002E55DF">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noted </w:t>
      </w:r>
      <w:r w:rsidRPr="004E2894">
        <w:t xml:space="preserve">that the WG-DEN, at its third meeting, held in Geneva on April 7, 2017, </w:t>
      </w:r>
      <w:r w:rsidR="005237E9">
        <w:t xml:space="preserve">had </w:t>
      </w:r>
      <w:r w:rsidRPr="004E2894">
        <w:t>agreed that agenda item 5 “Expansion of the content of the PLUTO database” would be considered at a later meeting on the basis of the document presented at its second meeting.</w:t>
      </w:r>
    </w:p>
    <w:p w:rsidR="002E55DF" w:rsidRPr="004E2894" w:rsidRDefault="002E55DF" w:rsidP="00E07077">
      <w:pPr>
        <w:pStyle w:val="Heading3"/>
      </w:pPr>
      <w:r w:rsidRPr="004E2894">
        <w:t xml:space="preserve">Variety description databases </w:t>
      </w:r>
    </w:p>
    <w:p w:rsidR="002E55DF" w:rsidRPr="004E2894" w:rsidRDefault="002E55DF" w:rsidP="006A6FAD">
      <w:pPr>
        <w:keepNext/>
        <w:rPr>
          <w:i/>
        </w:rPr>
      </w:pPr>
    </w:p>
    <w:p w:rsidR="002E55DF" w:rsidRPr="004E2894" w:rsidRDefault="002E55DF" w:rsidP="006A6FAD">
      <w:pPr>
        <w:keepNext/>
      </w:pPr>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TWP/1/2.</w:t>
      </w:r>
    </w:p>
    <w:p w:rsidR="002E55DF" w:rsidRPr="004E2894" w:rsidRDefault="002E55DF" w:rsidP="006A6FAD">
      <w:pPr>
        <w:keepNext/>
        <w:rPr>
          <w:rFonts w:eastAsia="MS Mincho"/>
        </w:rPr>
      </w:pPr>
    </w:p>
    <w:p w:rsidR="002E55DF" w:rsidRPr="004E2894" w:rsidRDefault="002E55DF" w:rsidP="002E55DF">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noted the information on presentations on databases made at the BMT and TWV at their sessions in 2016</w:t>
      </w:r>
      <w:r w:rsidRPr="004E2894">
        <w:rPr>
          <w:rFonts w:cs="Arial"/>
        </w:rPr>
        <w:t>.</w:t>
      </w:r>
    </w:p>
    <w:p w:rsidR="002E55DF" w:rsidRPr="004E2894" w:rsidRDefault="002E55DF" w:rsidP="002E55DF"/>
    <w:p w:rsidR="002E55DF" w:rsidRPr="004E2894" w:rsidRDefault="002E55DF" w:rsidP="002E55DF">
      <w:pPr>
        <w:rPr>
          <w:snapToGrid w:val="0"/>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noted </w:t>
      </w:r>
      <w:r w:rsidRPr="004E2894">
        <w:t xml:space="preserve">that the TC had agreed that UPOV </w:t>
      </w:r>
      <w:r w:rsidR="005237E9">
        <w:t>might</w:t>
      </w:r>
      <w:r w:rsidRPr="004E2894">
        <w:t xml:space="preserve"> be able to facilitate cooperation in the establishment of common databases containing molecular information by the provision of training and sharing of information.</w:t>
      </w:r>
    </w:p>
    <w:p w:rsidR="002E55DF" w:rsidRPr="004E2894" w:rsidRDefault="002E55DF" w:rsidP="002E55DF"/>
    <w:p w:rsidR="002E55DF" w:rsidRPr="004E2894" w:rsidRDefault="002E55DF" w:rsidP="002E55DF">
      <w:pPr>
        <w:rPr>
          <w:snapToGrid w:val="0"/>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The TWC noted that the TC had agreed on the value of inviting the contribution of breeders and academic institutions to UPOV’s work on the constitution and maintenance of databases.</w:t>
      </w:r>
    </w:p>
    <w:p w:rsidR="002E55DF" w:rsidRPr="004E2894" w:rsidRDefault="002E55DF" w:rsidP="002E55DF"/>
    <w:p w:rsidR="002E55DF" w:rsidRPr="004E2894" w:rsidRDefault="002E55DF" w:rsidP="002E55DF">
      <w:pPr>
        <w:rPr>
          <w:snapToGrid w:val="0"/>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The TWC noted that Information collected on existing databases containing morphological and/or molecular data could be included in the GENIE database, subject to the availability of resources for the modification of the GENIE database.</w:t>
      </w:r>
      <w:r w:rsidR="00A32CA7" w:rsidRPr="004E2894">
        <w:rPr>
          <w:snapToGrid w:val="0"/>
        </w:rPr>
        <w:t xml:space="preserve">  </w:t>
      </w:r>
    </w:p>
    <w:p w:rsidR="002E55DF" w:rsidRPr="004E2894" w:rsidRDefault="002E55DF" w:rsidP="002E55DF">
      <w:pPr>
        <w:rPr>
          <w:rFonts w:eastAsia="MS Mincho"/>
        </w:rPr>
      </w:pPr>
    </w:p>
    <w:p w:rsidR="00411528" w:rsidRPr="004E2894" w:rsidRDefault="00BF6A58" w:rsidP="00411528">
      <w:pPr>
        <w:rPr>
          <w:u w:val="single"/>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The TWC received a presentation by the Office of the Union on “Standards for databases containing molecular information”, a copy of which would be provided as document TWC/35/20.  The TWC noted the offer for interested members to participate in the test campaigns to develop the ST-</w:t>
      </w:r>
      <w:r w:rsidR="005237E9">
        <w:rPr>
          <w:snapToGrid w:val="0"/>
        </w:rPr>
        <w:t>2</w:t>
      </w:r>
      <w:r w:rsidRPr="004E2894">
        <w:rPr>
          <w:snapToGrid w:val="0"/>
        </w:rPr>
        <w:t xml:space="preserve">6 </w:t>
      </w:r>
      <w:r w:rsidRPr="004E2894">
        <w:t>standard for the presentation of nucleotide and amino acid sequence listings using XML.</w:t>
      </w:r>
    </w:p>
    <w:p w:rsidR="00BF6A58" w:rsidRPr="004E2894" w:rsidRDefault="00BF6A58" w:rsidP="00411528">
      <w:pPr>
        <w:rPr>
          <w:u w:val="single"/>
        </w:rPr>
      </w:pPr>
    </w:p>
    <w:p w:rsidR="00BF6A58" w:rsidRPr="004E2894" w:rsidRDefault="00BF6A58" w:rsidP="00411528">
      <w:pPr>
        <w:rPr>
          <w:u w:val="single"/>
        </w:rPr>
      </w:pPr>
    </w:p>
    <w:p w:rsidR="00411528" w:rsidRPr="004E2894" w:rsidRDefault="00411528" w:rsidP="00411528">
      <w:pPr>
        <w:pStyle w:val="Heading2"/>
      </w:pPr>
      <w:r w:rsidRPr="004E2894">
        <w:t>Procedure for partial revision of UPOV Test Guidelines</w:t>
      </w:r>
    </w:p>
    <w:p w:rsidR="00411528" w:rsidRPr="004E2894" w:rsidRDefault="00411528" w:rsidP="00411528">
      <w:pPr>
        <w:rPr>
          <w:u w:val="single"/>
        </w:rPr>
      </w:pPr>
    </w:p>
    <w:p w:rsidR="00411528" w:rsidRPr="004E2894" w:rsidRDefault="00411528" w:rsidP="00411528">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TWP/1/20.</w:t>
      </w:r>
    </w:p>
    <w:p w:rsidR="00411528" w:rsidRPr="004E2894" w:rsidRDefault="00411528" w:rsidP="00411528">
      <w:pPr>
        <w:rPr>
          <w:rFonts w:eastAsia="MS Mincho"/>
        </w:rPr>
      </w:pPr>
    </w:p>
    <w:p w:rsidR="00411528" w:rsidRPr="004E2894" w:rsidRDefault="00411528" w:rsidP="00411528">
      <w:pPr>
        <w:rPr>
          <w:rFonts w:eastAsia="MS Mincho"/>
        </w:rPr>
      </w:pPr>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noted </w:t>
      </w:r>
      <w:r w:rsidRPr="004E2894">
        <w:t>the procedures for notification of new characteristics or states expression in document</w:t>
      </w:r>
      <w:r w:rsidR="00A32CA7" w:rsidRPr="004E2894">
        <w:t> </w:t>
      </w:r>
      <w:r w:rsidRPr="004E2894">
        <w:t>TGP/5, Section 10: “Notification of additional characteristics and states of expression”.</w:t>
      </w:r>
    </w:p>
    <w:p w:rsidR="00411528" w:rsidRPr="004E2894" w:rsidRDefault="00411528" w:rsidP="00411528">
      <w:pPr>
        <w:rPr>
          <w:rFonts w:eastAsia="MS Mincho"/>
        </w:rPr>
      </w:pPr>
    </w:p>
    <w:p w:rsidR="00411528" w:rsidRPr="006A6FAD" w:rsidRDefault="00411528" w:rsidP="00411528">
      <w:pPr>
        <w:rPr>
          <w:rFonts w:eastAsia="MS Mincho"/>
          <w:spacing w:val="-2"/>
        </w:rPr>
      </w:pPr>
      <w:r w:rsidRPr="006A6FAD">
        <w:rPr>
          <w:snapToGrid w:val="0"/>
          <w:spacing w:val="-2"/>
        </w:rPr>
        <w:fldChar w:fldCharType="begin"/>
      </w:r>
      <w:r w:rsidRPr="006A6FAD">
        <w:rPr>
          <w:snapToGrid w:val="0"/>
          <w:spacing w:val="-2"/>
        </w:rPr>
        <w:instrText xml:space="preserve"> AUTONUM  </w:instrText>
      </w:r>
      <w:r w:rsidRPr="006A6FAD">
        <w:rPr>
          <w:snapToGrid w:val="0"/>
          <w:spacing w:val="-2"/>
        </w:rPr>
        <w:fldChar w:fldCharType="end"/>
      </w:r>
      <w:r w:rsidRPr="006A6FAD">
        <w:rPr>
          <w:snapToGrid w:val="0"/>
          <w:spacing w:val="-2"/>
        </w:rPr>
        <w:tab/>
        <w:t>The TWC noted that the TC had encouraged Authorities to notify the use of new characteristics or states expression using the procedure established in document TGP/5, Section 10.</w:t>
      </w:r>
      <w:r w:rsidR="00880EA0" w:rsidRPr="006A6FAD">
        <w:rPr>
          <w:snapToGrid w:val="0"/>
          <w:spacing w:val="-2"/>
        </w:rPr>
        <w:t xml:space="preserve">  The TWC noted for some UPOV members, characteristics would only be added after being incorporated in UPOV Test Guidelines.</w:t>
      </w:r>
    </w:p>
    <w:p w:rsidR="00411528" w:rsidRPr="004E2894" w:rsidRDefault="00411528" w:rsidP="00411528">
      <w:pPr>
        <w:rPr>
          <w:rFonts w:eastAsia="MS Mincho"/>
        </w:rPr>
      </w:pPr>
    </w:p>
    <w:p w:rsidR="00411528" w:rsidRPr="004E2894" w:rsidRDefault="00411528" w:rsidP="00E350FD">
      <w:pPr>
        <w:rPr>
          <w:u w:val="single"/>
        </w:rPr>
      </w:pPr>
    </w:p>
    <w:p w:rsidR="00AB46AD" w:rsidRPr="004E2894" w:rsidRDefault="00AB46AD" w:rsidP="00AB46AD">
      <w:pPr>
        <w:pStyle w:val="Heading2"/>
      </w:pPr>
      <w:r w:rsidRPr="004E2894">
        <w:t>Variety denominations</w:t>
      </w:r>
    </w:p>
    <w:p w:rsidR="00AB46AD" w:rsidRPr="004E2894" w:rsidRDefault="00AB46AD" w:rsidP="00AB46AD">
      <w:pPr>
        <w:keepNext/>
      </w:pPr>
    </w:p>
    <w:p w:rsidR="00AB46AD" w:rsidRPr="004E2894" w:rsidRDefault="00AB46AD" w:rsidP="00AB46AD">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TWP/1/6.</w:t>
      </w:r>
    </w:p>
    <w:p w:rsidR="00AB46AD" w:rsidRPr="004E2894" w:rsidRDefault="00AB46AD" w:rsidP="00AB46AD"/>
    <w:bookmarkStart w:id="7" w:name="_Toc382388626"/>
    <w:p w:rsidR="00AB46AD" w:rsidRPr="004E2894" w:rsidRDefault="00AB46AD" w:rsidP="00AB46AD">
      <w:pPr>
        <w:rPr>
          <w:rFonts w:eastAsiaTheme="minorEastAsia"/>
          <w:snapToGrid w:val="0"/>
          <w:lang w:eastAsia="ja-JP"/>
        </w:rPr>
      </w:pPr>
      <w:r w:rsidRPr="005948AF">
        <w:rPr>
          <w:rFonts w:eastAsiaTheme="minorEastAsia"/>
        </w:rPr>
        <w:fldChar w:fldCharType="begin"/>
      </w:r>
      <w:r w:rsidRPr="004E2894">
        <w:rPr>
          <w:rFonts w:eastAsiaTheme="minorEastAsia"/>
        </w:rPr>
        <w:instrText xml:space="preserve"> AUTONUM  </w:instrText>
      </w:r>
      <w:r w:rsidRPr="005948AF">
        <w:rPr>
          <w:rFonts w:eastAsiaTheme="minorEastAsia"/>
        </w:rPr>
        <w:fldChar w:fldCharType="end"/>
      </w:r>
      <w:r w:rsidRPr="004E2894">
        <w:rPr>
          <w:rFonts w:eastAsiaTheme="minorEastAsia"/>
        </w:rPr>
        <w:tab/>
        <w:t xml:space="preserve">The TWC </w:t>
      </w:r>
      <w:r w:rsidRPr="004E2894">
        <w:rPr>
          <w:rFonts w:eastAsiaTheme="minorEastAsia"/>
          <w:lang w:eastAsia="ja-JP"/>
        </w:rPr>
        <w:t>note</w:t>
      </w:r>
      <w:bookmarkEnd w:id="7"/>
      <w:r w:rsidRPr="004E2894">
        <w:rPr>
          <w:rFonts w:eastAsiaTheme="minorEastAsia"/>
          <w:lang w:eastAsia="ja-JP"/>
        </w:rPr>
        <w:t xml:space="preserve">d the </w:t>
      </w:r>
      <w:r w:rsidRPr="004E2894">
        <w:rPr>
          <w:rFonts w:eastAsiaTheme="minorEastAsia"/>
          <w:snapToGrid w:val="0"/>
          <w:lang w:eastAsia="ja-JP"/>
        </w:rPr>
        <w:t xml:space="preserve">developments concerning a possible revision of document UPOV/INF/12 “Explanatory Notes on Variety Denominations under the UPOV Convention”, as set out in </w:t>
      </w:r>
      <w:r w:rsidRPr="004E2894">
        <w:rPr>
          <w:rFonts w:cs="Arial"/>
        </w:rPr>
        <w:t>document </w:t>
      </w:r>
      <w:r w:rsidRPr="004E2894">
        <w:t>TWP/1/</w:t>
      </w:r>
      <w:r w:rsidRPr="004E2894">
        <w:rPr>
          <w:rFonts w:cs="Arial"/>
        </w:rPr>
        <w:t xml:space="preserve">6, </w:t>
      </w:r>
      <w:r w:rsidRPr="004E2894">
        <w:rPr>
          <w:rFonts w:eastAsiaTheme="minorEastAsia"/>
          <w:snapToGrid w:val="0"/>
          <w:lang w:eastAsia="ja-JP"/>
        </w:rPr>
        <w:t>paragraphs 5 to 12.</w:t>
      </w:r>
    </w:p>
    <w:p w:rsidR="00AB46AD" w:rsidRPr="004E2894" w:rsidRDefault="00AB46AD" w:rsidP="00AB46AD">
      <w:pPr>
        <w:rPr>
          <w:rFonts w:eastAsiaTheme="minorEastAsia"/>
          <w:snapToGrid w:val="0"/>
          <w:lang w:eastAsia="ja-JP"/>
        </w:rPr>
      </w:pPr>
    </w:p>
    <w:p w:rsidR="00AB46AD" w:rsidRPr="004E2894" w:rsidRDefault="00AB46AD" w:rsidP="00AB46AD">
      <w:pPr>
        <w:rPr>
          <w:rFonts w:eastAsiaTheme="minorEastAsia"/>
          <w:snapToGrid w:val="0"/>
          <w:lang w:eastAsia="ja-JP"/>
        </w:rPr>
      </w:pPr>
      <w:r w:rsidRPr="005948AF">
        <w:rPr>
          <w:rFonts w:eastAsiaTheme="minorEastAsia"/>
          <w:snapToGrid w:val="0"/>
          <w:lang w:eastAsia="ja-JP"/>
        </w:rPr>
        <w:fldChar w:fldCharType="begin"/>
      </w:r>
      <w:r w:rsidRPr="004E2894">
        <w:rPr>
          <w:rFonts w:eastAsiaTheme="minorEastAsia"/>
          <w:snapToGrid w:val="0"/>
          <w:lang w:eastAsia="ja-JP"/>
        </w:rPr>
        <w:instrText xml:space="preserve"> AUTONUM  </w:instrText>
      </w:r>
      <w:r w:rsidRPr="005948AF">
        <w:rPr>
          <w:rFonts w:eastAsiaTheme="minorEastAsia"/>
          <w:snapToGrid w:val="0"/>
          <w:lang w:eastAsia="ja-JP"/>
        </w:rPr>
        <w:fldChar w:fldCharType="end"/>
      </w:r>
      <w:r w:rsidRPr="004E2894">
        <w:rPr>
          <w:rFonts w:eastAsiaTheme="minorEastAsia"/>
          <w:snapToGrid w:val="0"/>
          <w:lang w:eastAsia="ja-JP"/>
        </w:rPr>
        <w:tab/>
        <w:t xml:space="preserve">The TWC noted the developments concerning a UPOV similarity search tool for variety denomination purposes, as set out in </w:t>
      </w:r>
      <w:r w:rsidRPr="004E2894">
        <w:rPr>
          <w:rFonts w:cs="Arial"/>
        </w:rPr>
        <w:t>document </w:t>
      </w:r>
      <w:r w:rsidRPr="004E2894">
        <w:t>TWP/1/</w:t>
      </w:r>
      <w:r w:rsidRPr="004E2894">
        <w:rPr>
          <w:rFonts w:cs="Arial"/>
        </w:rPr>
        <w:t xml:space="preserve">6, </w:t>
      </w:r>
      <w:r w:rsidRPr="004E2894">
        <w:rPr>
          <w:rFonts w:eastAsiaTheme="minorEastAsia"/>
          <w:snapToGrid w:val="0"/>
          <w:lang w:eastAsia="ja-JP"/>
        </w:rPr>
        <w:t>paragraphs 13 to 20.</w:t>
      </w:r>
    </w:p>
    <w:p w:rsidR="00AB46AD" w:rsidRPr="004E2894" w:rsidRDefault="00AB46AD" w:rsidP="00AB46AD">
      <w:pPr>
        <w:rPr>
          <w:rFonts w:eastAsiaTheme="minorEastAsia"/>
          <w:snapToGrid w:val="0"/>
          <w:lang w:eastAsia="ja-JP"/>
        </w:rPr>
      </w:pPr>
    </w:p>
    <w:p w:rsidR="00AB46AD" w:rsidRPr="004E2894" w:rsidRDefault="00AB46AD" w:rsidP="00AB46AD">
      <w:pPr>
        <w:rPr>
          <w:rFonts w:eastAsiaTheme="minorEastAsia"/>
          <w:snapToGrid w:val="0"/>
          <w:lang w:eastAsia="ja-JP"/>
        </w:rPr>
      </w:pPr>
      <w:r w:rsidRPr="005948AF">
        <w:rPr>
          <w:rFonts w:eastAsiaTheme="minorEastAsia"/>
          <w:snapToGrid w:val="0"/>
          <w:lang w:eastAsia="ja-JP"/>
        </w:rPr>
        <w:fldChar w:fldCharType="begin"/>
      </w:r>
      <w:r w:rsidRPr="004E2894">
        <w:rPr>
          <w:rFonts w:eastAsiaTheme="minorEastAsia"/>
          <w:snapToGrid w:val="0"/>
          <w:lang w:eastAsia="ja-JP"/>
        </w:rPr>
        <w:instrText xml:space="preserve"> AUTONUM  </w:instrText>
      </w:r>
      <w:r w:rsidRPr="005948AF">
        <w:rPr>
          <w:rFonts w:eastAsiaTheme="minorEastAsia"/>
          <w:snapToGrid w:val="0"/>
          <w:lang w:eastAsia="ja-JP"/>
        </w:rPr>
        <w:fldChar w:fldCharType="end"/>
      </w:r>
      <w:r w:rsidRPr="004E2894">
        <w:rPr>
          <w:rFonts w:eastAsiaTheme="minorEastAsia"/>
          <w:snapToGrid w:val="0"/>
          <w:lang w:eastAsia="ja-JP"/>
        </w:rPr>
        <w:tab/>
        <w:t xml:space="preserve">The TWC noted the developments concerning the possible expansion of the content of the PLUTO Database, as set out in </w:t>
      </w:r>
      <w:r w:rsidRPr="004E2894">
        <w:rPr>
          <w:rFonts w:cs="Arial"/>
        </w:rPr>
        <w:t>document </w:t>
      </w:r>
      <w:r w:rsidRPr="004E2894">
        <w:t>TWP/1/</w:t>
      </w:r>
      <w:r w:rsidRPr="004E2894">
        <w:rPr>
          <w:rFonts w:cs="Arial"/>
        </w:rPr>
        <w:t xml:space="preserve">6, </w:t>
      </w:r>
      <w:r w:rsidRPr="004E2894">
        <w:rPr>
          <w:rFonts w:eastAsiaTheme="minorEastAsia"/>
          <w:snapToGrid w:val="0"/>
          <w:lang w:eastAsia="ja-JP"/>
        </w:rPr>
        <w:t>paragraphs 21 to 26.</w:t>
      </w:r>
    </w:p>
    <w:p w:rsidR="00AB46AD" w:rsidRPr="004E2894" w:rsidRDefault="00AB46AD" w:rsidP="00AB46AD">
      <w:pPr>
        <w:ind w:left="567"/>
        <w:rPr>
          <w:rFonts w:eastAsiaTheme="minorEastAsia"/>
          <w:snapToGrid w:val="0"/>
          <w:sz w:val="18"/>
          <w:lang w:eastAsia="ja-JP"/>
        </w:rPr>
      </w:pPr>
    </w:p>
    <w:p w:rsidR="00AB46AD" w:rsidRPr="004E2894" w:rsidRDefault="00AB46AD" w:rsidP="00AB46AD">
      <w:pPr>
        <w:rPr>
          <w:rFonts w:eastAsiaTheme="minorEastAsia"/>
          <w:snapToGrid w:val="0"/>
          <w:spacing w:val="-4"/>
          <w:lang w:eastAsia="ja-JP"/>
        </w:rPr>
      </w:pPr>
      <w:r w:rsidRPr="005948AF">
        <w:rPr>
          <w:rFonts w:eastAsiaTheme="minorEastAsia"/>
          <w:snapToGrid w:val="0"/>
          <w:lang w:eastAsia="ja-JP"/>
        </w:rPr>
        <w:fldChar w:fldCharType="begin"/>
      </w:r>
      <w:r w:rsidRPr="004E2894">
        <w:rPr>
          <w:rFonts w:eastAsiaTheme="minorEastAsia"/>
          <w:snapToGrid w:val="0"/>
          <w:lang w:eastAsia="ja-JP"/>
        </w:rPr>
        <w:instrText xml:space="preserve"> AUTONUM  </w:instrText>
      </w:r>
      <w:r w:rsidRPr="005948AF">
        <w:rPr>
          <w:rFonts w:eastAsiaTheme="minorEastAsia"/>
          <w:snapToGrid w:val="0"/>
          <w:lang w:eastAsia="ja-JP"/>
        </w:rPr>
        <w:fldChar w:fldCharType="end"/>
      </w:r>
      <w:r w:rsidRPr="004E2894">
        <w:rPr>
          <w:rFonts w:eastAsiaTheme="minorEastAsia"/>
          <w:snapToGrid w:val="0"/>
          <w:lang w:eastAsia="ja-JP"/>
        </w:rPr>
        <w:tab/>
        <w:t>The TWC noted the d</w:t>
      </w:r>
      <w:r w:rsidRPr="004E2894">
        <w:rPr>
          <w:rFonts w:eastAsiaTheme="minorEastAsia"/>
          <w:snapToGrid w:val="0"/>
          <w:spacing w:val="-4"/>
          <w:lang w:eastAsia="ja-JP"/>
        </w:rPr>
        <w:t>evelopments concerning non</w:t>
      </w:r>
      <w:r w:rsidRPr="004E2894">
        <w:rPr>
          <w:rFonts w:eastAsiaTheme="minorEastAsia"/>
          <w:snapToGrid w:val="0"/>
          <w:spacing w:val="-4"/>
          <w:lang w:eastAsia="ja-JP"/>
        </w:rPr>
        <w:noBreakHyphen/>
        <w:t xml:space="preserve">acceptable terms, as set out in </w:t>
      </w:r>
      <w:r w:rsidRPr="004E2894">
        <w:rPr>
          <w:rFonts w:cs="Arial"/>
        </w:rPr>
        <w:t>document </w:t>
      </w:r>
      <w:r w:rsidRPr="004E2894">
        <w:t>TWP/1/</w:t>
      </w:r>
      <w:r w:rsidRPr="004E2894">
        <w:rPr>
          <w:rFonts w:cs="Arial"/>
        </w:rPr>
        <w:t xml:space="preserve">6, </w:t>
      </w:r>
      <w:r w:rsidRPr="004E2894">
        <w:rPr>
          <w:rFonts w:eastAsiaTheme="minorEastAsia"/>
          <w:snapToGrid w:val="0"/>
          <w:spacing w:val="-4"/>
          <w:lang w:eastAsia="ja-JP"/>
        </w:rPr>
        <w:t>paragraphs 27 to 32.</w:t>
      </w:r>
      <w:r w:rsidRPr="004E2894">
        <w:rPr>
          <w:rFonts w:eastAsiaTheme="minorEastAsia"/>
          <w:snapToGrid w:val="0"/>
          <w:lang w:eastAsia="ja-JP"/>
        </w:rPr>
        <w:t xml:space="preserve"> </w:t>
      </w:r>
    </w:p>
    <w:p w:rsidR="00AB46AD" w:rsidRPr="004E2894" w:rsidRDefault="00AB46AD" w:rsidP="00AB46AD">
      <w:pPr>
        <w:rPr>
          <w:rFonts w:eastAsiaTheme="minorEastAsia"/>
          <w:snapToGrid w:val="0"/>
          <w:lang w:eastAsia="ja-JP"/>
        </w:rPr>
      </w:pPr>
    </w:p>
    <w:p w:rsidR="00AB46AD" w:rsidRPr="004E2894" w:rsidRDefault="00AB46AD" w:rsidP="00AB46AD">
      <w:pPr>
        <w:rPr>
          <w:rFonts w:eastAsiaTheme="minorEastAsia"/>
          <w:snapToGrid w:val="0"/>
          <w:lang w:eastAsia="ja-JP"/>
        </w:rPr>
      </w:pPr>
      <w:r w:rsidRPr="005948AF">
        <w:rPr>
          <w:rFonts w:eastAsiaTheme="minorEastAsia"/>
          <w:snapToGrid w:val="0"/>
          <w:lang w:eastAsia="ja-JP"/>
        </w:rPr>
        <w:fldChar w:fldCharType="begin"/>
      </w:r>
      <w:r w:rsidRPr="004E2894">
        <w:rPr>
          <w:rFonts w:eastAsiaTheme="minorEastAsia"/>
          <w:snapToGrid w:val="0"/>
          <w:lang w:eastAsia="ja-JP"/>
        </w:rPr>
        <w:instrText xml:space="preserve"> AUTONUM  </w:instrText>
      </w:r>
      <w:r w:rsidRPr="005948AF">
        <w:rPr>
          <w:rFonts w:eastAsiaTheme="minorEastAsia"/>
          <w:snapToGrid w:val="0"/>
          <w:lang w:eastAsia="ja-JP"/>
        </w:rPr>
        <w:fldChar w:fldCharType="end"/>
      </w:r>
      <w:r w:rsidRPr="004E2894">
        <w:rPr>
          <w:rFonts w:eastAsiaTheme="minorEastAsia"/>
          <w:snapToGrid w:val="0"/>
          <w:lang w:eastAsia="ja-JP"/>
        </w:rPr>
        <w:tab/>
        <w:t xml:space="preserve">The TWC noted the agenda of the fourth meeting of the </w:t>
      </w:r>
      <w:r w:rsidRPr="004E2894">
        <w:rPr>
          <w:rFonts w:eastAsiaTheme="minorEastAsia" w:cs="Arial"/>
          <w:snapToGrid w:val="0"/>
          <w:lang w:eastAsia="ja-JP"/>
        </w:rPr>
        <w:t>Working Group on Variety Denominations (WG</w:t>
      </w:r>
      <w:r w:rsidRPr="004E2894">
        <w:rPr>
          <w:rFonts w:eastAsiaTheme="minorEastAsia" w:cs="Arial"/>
          <w:snapToGrid w:val="0"/>
          <w:lang w:eastAsia="ja-JP"/>
        </w:rPr>
        <w:noBreakHyphen/>
        <w:t xml:space="preserve">DEN), </w:t>
      </w:r>
      <w:r w:rsidRPr="004E2894">
        <w:rPr>
          <w:rFonts w:eastAsiaTheme="minorEastAsia"/>
          <w:snapToGrid w:val="0"/>
          <w:lang w:eastAsia="ja-JP"/>
        </w:rPr>
        <w:t xml:space="preserve">as set out in </w:t>
      </w:r>
      <w:r w:rsidRPr="004E2894">
        <w:rPr>
          <w:rFonts w:cs="Arial"/>
        </w:rPr>
        <w:t>document </w:t>
      </w:r>
      <w:r w:rsidRPr="004E2894">
        <w:t>TWP/1/</w:t>
      </w:r>
      <w:r w:rsidRPr="004E2894">
        <w:rPr>
          <w:rFonts w:cs="Arial"/>
        </w:rPr>
        <w:t>6, and noted that the meeting</w:t>
      </w:r>
      <w:r w:rsidRPr="004E2894">
        <w:rPr>
          <w:rFonts w:eastAsiaTheme="minorEastAsia"/>
          <w:snapToGrid w:val="0"/>
          <w:lang w:eastAsia="ja-JP"/>
        </w:rPr>
        <w:t xml:space="preserve"> had been held in Geneva, on October 27, 2017.  </w:t>
      </w:r>
    </w:p>
    <w:p w:rsidR="00BF6A58" w:rsidRPr="004E2894" w:rsidRDefault="00BF6A58" w:rsidP="00AB46AD"/>
    <w:p w:rsidR="00782F41" w:rsidRPr="004E2894" w:rsidRDefault="00782F41" w:rsidP="00E350FD">
      <w:pPr>
        <w:rPr>
          <w:u w:val="single"/>
        </w:rPr>
      </w:pPr>
    </w:p>
    <w:p w:rsidR="00E350FD" w:rsidRPr="004E2894" w:rsidRDefault="00E350FD" w:rsidP="00770275">
      <w:pPr>
        <w:pStyle w:val="Heading2"/>
      </w:pPr>
      <w:r w:rsidRPr="004E2894">
        <w:t>Date and place of the next session</w:t>
      </w:r>
    </w:p>
    <w:p w:rsidR="00782F41" w:rsidRPr="004E2894" w:rsidRDefault="00782F41" w:rsidP="002D0AFF"/>
    <w:p w:rsidR="002D0AFF" w:rsidRPr="004E2894" w:rsidRDefault="002D0AFF" w:rsidP="002D0AFF">
      <w:r w:rsidRPr="005948AF">
        <w:fldChar w:fldCharType="begin"/>
      </w:r>
      <w:r w:rsidRPr="004E2894">
        <w:instrText xml:space="preserve"> AUTONUM  </w:instrText>
      </w:r>
      <w:r w:rsidRPr="005948AF">
        <w:fldChar w:fldCharType="end"/>
      </w:r>
      <w:r w:rsidR="00E50063" w:rsidRPr="004E2894">
        <w:tab/>
        <w:t xml:space="preserve">At the invitation of Germany, the TWC agreed to hold its thirty-sixth session </w:t>
      </w:r>
      <w:r w:rsidR="005237E9">
        <w:t>in</w:t>
      </w:r>
      <w:r w:rsidR="00E50063" w:rsidRPr="004E2894">
        <w:t xml:space="preserve"> Hanover, Germany, from July </w:t>
      </w:r>
      <w:r w:rsidR="00880EA0">
        <w:t>2</w:t>
      </w:r>
      <w:r w:rsidR="00880EA0" w:rsidRPr="004E2894">
        <w:t xml:space="preserve"> </w:t>
      </w:r>
      <w:r w:rsidR="00E50063" w:rsidRPr="004E2894">
        <w:t xml:space="preserve">to 6, 2018, with a preparatory workshop on the morning of July </w:t>
      </w:r>
      <w:r w:rsidR="00880EA0">
        <w:t>2</w:t>
      </w:r>
      <w:r w:rsidR="00E50063" w:rsidRPr="004E2894">
        <w:t>, 2018.</w:t>
      </w:r>
    </w:p>
    <w:p w:rsidR="00E50063" w:rsidRPr="004E2894" w:rsidRDefault="00E50063" w:rsidP="002D0AFF"/>
    <w:p w:rsidR="00E350FD" w:rsidRPr="004E2894" w:rsidRDefault="00E350FD" w:rsidP="00770275">
      <w:pPr>
        <w:pStyle w:val="Heading2"/>
      </w:pPr>
      <w:r w:rsidRPr="004E2894">
        <w:t>Future program</w:t>
      </w:r>
    </w:p>
    <w:p w:rsidR="00A32CA7" w:rsidRPr="004E2894" w:rsidRDefault="00A32CA7" w:rsidP="00A32CA7">
      <w:pPr>
        <w:rPr>
          <w:u w:val="single"/>
        </w:rPr>
      </w:pPr>
    </w:p>
    <w:p w:rsidR="00A32CA7" w:rsidRPr="004E2894" w:rsidRDefault="00A32CA7" w:rsidP="00A32CA7">
      <w:pPr>
        <w:rPr>
          <w:rFonts w:cs="Arial"/>
          <w:color w:val="212121"/>
          <w:shd w:val="clear" w:color="auto" w:fill="FFFFFF"/>
        </w:rPr>
      </w:pPr>
      <w:r w:rsidRPr="005948AF">
        <w:rPr>
          <w:rFonts w:eastAsiaTheme="minorEastAsia"/>
          <w:snapToGrid w:val="0"/>
          <w:lang w:eastAsia="ja-JP"/>
        </w:rPr>
        <w:fldChar w:fldCharType="begin"/>
      </w:r>
      <w:r w:rsidRPr="004E2894">
        <w:rPr>
          <w:rFonts w:eastAsiaTheme="minorEastAsia"/>
          <w:snapToGrid w:val="0"/>
          <w:lang w:eastAsia="ja-JP"/>
        </w:rPr>
        <w:instrText xml:space="preserve"> AUTONUM  </w:instrText>
      </w:r>
      <w:r w:rsidRPr="005948AF">
        <w:rPr>
          <w:rFonts w:eastAsiaTheme="minorEastAsia"/>
          <w:snapToGrid w:val="0"/>
          <w:lang w:eastAsia="ja-JP"/>
        </w:rPr>
        <w:fldChar w:fldCharType="end"/>
      </w:r>
      <w:r w:rsidRPr="004E2894">
        <w:rPr>
          <w:rFonts w:eastAsiaTheme="minorEastAsia"/>
          <w:snapToGrid w:val="0"/>
          <w:lang w:eastAsia="ja-JP"/>
        </w:rPr>
        <w:tab/>
      </w:r>
      <w:r w:rsidRPr="004E2894">
        <w:rPr>
          <w:rFonts w:cs="Arial"/>
          <w:color w:val="212121"/>
          <w:shd w:val="clear" w:color="auto" w:fill="FFFFFF"/>
        </w:rPr>
        <w:t>The TWC discussed the assessment of distinctness on the basis of two or more environments in the same year and agreed there was little guidance on the topic.  The TWC recalled that document TG/1/3 “General introduction to the examination of DUS and the development of harmonized descriptions of new varieties of plants”, Section 5.3.3.1.1 states that:</w:t>
      </w:r>
    </w:p>
    <w:p w:rsidR="00A32CA7" w:rsidRPr="004E2894" w:rsidRDefault="00A32CA7" w:rsidP="00A32CA7">
      <w:pPr>
        <w:rPr>
          <w:rFonts w:cs="Arial"/>
          <w:color w:val="212121"/>
          <w:shd w:val="clear" w:color="auto" w:fill="FFFFFF"/>
        </w:rPr>
      </w:pPr>
    </w:p>
    <w:p w:rsidR="00A32CA7" w:rsidRPr="004E2894" w:rsidRDefault="00A32CA7" w:rsidP="00A32CA7">
      <w:pPr>
        <w:ind w:left="567" w:right="567"/>
        <w:rPr>
          <w:rFonts w:cs="Arial"/>
          <w:color w:val="212121"/>
          <w:sz w:val="18"/>
          <w:shd w:val="clear" w:color="auto" w:fill="FFFFFF"/>
        </w:rPr>
      </w:pPr>
      <w:r w:rsidRPr="004E2894">
        <w:rPr>
          <w:rFonts w:cs="Arial"/>
          <w:color w:val="212121"/>
          <w:sz w:val="18"/>
          <w:shd w:val="clear" w:color="auto" w:fill="FFFFFF"/>
        </w:rPr>
        <w:t xml:space="preserve">"One means of ensuring that a difference in a characteristic, observed in a growing trial, is sufficiently consistent is to examine the characteristic on at least two independent occasions. This can be achieved in both annual and perennial varieties by observations made on plantings in two different seasons or, in the case of other perennial varieties, by observations made in two different seasons after a single planting. Guidance on the possible use of other approaches, such as two different environments in the same year, is explored in document TGP/9, “Examining Distinctness.” </w:t>
      </w:r>
    </w:p>
    <w:p w:rsidR="00A32CA7" w:rsidRPr="004E2894" w:rsidRDefault="00A32CA7" w:rsidP="00A32CA7">
      <w:pPr>
        <w:rPr>
          <w:rFonts w:cs="Arial"/>
          <w:color w:val="212121"/>
          <w:shd w:val="clear" w:color="auto" w:fill="FFFFFF"/>
        </w:rPr>
      </w:pPr>
    </w:p>
    <w:p w:rsidR="00A32CA7" w:rsidRPr="004E2894" w:rsidRDefault="00A32CA7" w:rsidP="00A32CA7">
      <w:pPr>
        <w:rPr>
          <w:rFonts w:cs="Arial"/>
          <w:color w:val="212121"/>
          <w:shd w:val="clear" w:color="auto" w:fill="FFFFFF"/>
        </w:rPr>
      </w:pPr>
      <w:r w:rsidRPr="005948AF">
        <w:rPr>
          <w:rFonts w:eastAsiaTheme="minorEastAsia"/>
          <w:snapToGrid w:val="0"/>
          <w:lang w:eastAsia="ja-JP"/>
        </w:rPr>
        <w:fldChar w:fldCharType="begin"/>
      </w:r>
      <w:r w:rsidRPr="004E2894">
        <w:rPr>
          <w:rFonts w:eastAsiaTheme="minorEastAsia"/>
          <w:snapToGrid w:val="0"/>
          <w:lang w:eastAsia="ja-JP"/>
        </w:rPr>
        <w:instrText xml:space="preserve"> AUTONUM  </w:instrText>
      </w:r>
      <w:r w:rsidRPr="005948AF">
        <w:rPr>
          <w:rFonts w:eastAsiaTheme="minorEastAsia"/>
          <w:snapToGrid w:val="0"/>
          <w:lang w:eastAsia="ja-JP"/>
        </w:rPr>
        <w:fldChar w:fldCharType="end"/>
      </w:r>
      <w:r w:rsidRPr="004E2894">
        <w:rPr>
          <w:rFonts w:eastAsiaTheme="minorEastAsia"/>
          <w:snapToGrid w:val="0"/>
          <w:lang w:eastAsia="ja-JP"/>
        </w:rPr>
        <w:tab/>
      </w:r>
      <w:r w:rsidRPr="004E2894">
        <w:rPr>
          <w:rFonts w:cs="Arial"/>
          <w:color w:val="212121"/>
          <w:shd w:val="clear" w:color="auto" w:fill="FFFFFF"/>
        </w:rPr>
        <w:t>Document TGP/8 “Trial Design and Techniques Used in the Examination of Distinctness, Uniformity and Stability”, Section 1.2.2.6 states that "Where two growing cycles are conducted in the same year and at the same time, a suitable distance or a suitable difference in growing conditions between two locations may satisfy the requirement for independence."</w:t>
      </w:r>
    </w:p>
    <w:p w:rsidR="00A32CA7" w:rsidRPr="004E2894" w:rsidRDefault="00A32CA7" w:rsidP="00A32CA7">
      <w:pPr>
        <w:rPr>
          <w:rFonts w:cs="Arial"/>
          <w:color w:val="212121"/>
          <w:shd w:val="clear" w:color="auto" w:fill="FFFFFF"/>
        </w:rPr>
      </w:pPr>
    </w:p>
    <w:p w:rsidR="00A32CA7" w:rsidRPr="004E2894" w:rsidRDefault="00A32CA7" w:rsidP="00A32CA7">
      <w:pPr>
        <w:rPr>
          <w:rFonts w:cs="Arial"/>
        </w:rPr>
      </w:pPr>
      <w:r w:rsidRPr="005948AF">
        <w:rPr>
          <w:rFonts w:eastAsiaTheme="minorEastAsia"/>
          <w:snapToGrid w:val="0"/>
          <w:lang w:eastAsia="ja-JP"/>
        </w:rPr>
        <w:fldChar w:fldCharType="begin"/>
      </w:r>
      <w:r w:rsidRPr="004E2894">
        <w:rPr>
          <w:rFonts w:eastAsiaTheme="minorEastAsia"/>
          <w:snapToGrid w:val="0"/>
          <w:lang w:eastAsia="ja-JP"/>
        </w:rPr>
        <w:instrText xml:space="preserve"> AUTONUM  </w:instrText>
      </w:r>
      <w:r w:rsidRPr="005948AF">
        <w:rPr>
          <w:rFonts w:eastAsiaTheme="minorEastAsia"/>
          <w:snapToGrid w:val="0"/>
          <w:lang w:eastAsia="ja-JP"/>
        </w:rPr>
        <w:fldChar w:fldCharType="end"/>
      </w:r>
      <w:r w:rsidRPr="004E2894">
        <w:rPr>
          <w:rFonts w:eastAsiaTheme="minorEastAsia"/>
          <w:snapToGrid w:val="0"/>
          <w:lang w:eastAsia="ja-JP"/>
        </w:rPr>
        <w:tab/>
      </w:r>
      <w:r w:rsidRPr="004E2894">
        <w:rPr>
          <w:rFonts w:cs="Arial"/>
          <w:color w:val="212121"/>
          <w:shd w:val="clear" w:color="auto" w:fill="FFFFFF"/>
        </w:rPr>
        <w:t xml:space="preserve">The TWC agreed to invite members of the Union to make presentations at its thirty-sixth session on assessing distinctness on the basis of two environments in the same year and noted the offers by France and the Netherlands to make such presentations.  The TWC agreed that presentations might include the factors when considering such an approach, how to choose trial sites as well practical aspects such as management, software and statistical concerns and management of variety collections. </w:t>
      </w:r>
    </w:p>
    <w:p w:rsidR="00A32CA7" w:rsidRDefault="00A32CA7" w:rsidP="00050E16"/>
    <w:p w:rsidR="003E12EF" w:rsidRPr="004E2894" w:rsidRDefault="003E12EF" w:rsidP="00050E16">
      <w:r w:rsidRPr="006B49E3">
        <w:rPr>
          <w:color w:val="000000"/>
        </w:rPr>
        <w:fldChar w:fldCharType="begin"/>
      </w:r>
      <w:r w:rsidRPr="006B49E3">
        <w:rPr>
          <w:color w:val="000000"/>
        </w:rPr>
        <w:instrText xml:space="preserve"> AUTONUM  </w:instrText>
      </w:r>
      <w:r w:rsidRPr="006B49E3">
        <w:rPr>
          <w:color w:val="000000"/>
        </w:rPr>
        <w:fldChar w:fldCharType="end"/>
      </w:r>
      <w:r w:rsidRPr="006B49E3">
        <w:rPr>
          <w:color w:val="000000"/>
        </w:rPr>
        <w:tab/>
      </w:r>
      <w:r w:rsidRPr="006B49E3">
        <w:rPr>
          <w:rFonts w:cs="Arial"/>
        </w:rPr>
        <w:t>The TW</w:t>
      </w:r>
      <w:r>
        <w:rPr>
          <w:rFonts w:cs="Arial"/>
        </w:rPr>
        <w:t>C discussed the provision of web services and agreed to invite presentations on the different web services offered by UPOV and experiences on the provision of similar services provided by members of the Union.</w:t>
      </w:r>
    </w:p>
    <w:p w:rsidR="003B01F4" w:rsidRPr="004E2894" w:rsidRDefault="003B01F4" w:rsidP="00050E16"/>
    <w:p w:rsidR="009C649D" w:rsidRPr="004E2894" w:rsidRDefault="009C649D" w:rsidP="009C649D">
      <w:pPr>
        <w:keepNext/>
        <w:rPr>
          <w:rFonts w:cs="Arial"/>
        </w:rPr>
      </w:pPr>
      <w:r w:rsidRPr="005948AF">
        <w:rPr>
          <w:color w:val="000000"/>
        </w:rPr>
        <w:fldChar w:fldCharType="begin"/>
      </w:r>
      <w:r w:rsidRPr="004E2894">
        <w:rPr>
          <w:color w:val="000000"/>
        </w:rPr>
        <w:instrText xml:space="preserve"> AUTONUM  </w:instrText>
      </w:r>
      <w:r w:rsidRPr="005948AF">
        <w:rPr>
          <w:color w:val="000000"/>
        </w:rPr>
        <w:fldChar w:fldCharType="end"/>
      </w:r>
      <w:r w:rsidRPr="004E2894">
        <w:rPr>
          <w:color w:val="000000"/>
        </w:rPr>
        <w:tab/>
      </w:r>
      <w:r w:rsidRPr="004E2894">
        <w:rPr>
          <w:rFonts w:cs="Arial"/>
        </w:rPr>
        <w:t>The TW</w:t>
      </w:r>
      <w:r w:rsidR="00A961F7">
        <w:rPr>
          <w:rFonts w:cs="Arial"/>
        </w:rPr>
        <w:t>C</w:t>
      </w:r>
      <w:r w:rsidRPr="004E2894">
        <w:rPr>
          <w:rFonts w:cs="Arial"/>
        </w:rPr>
        <w:t xml:space="preserve"> proposed to discuss the following items at its next session:</w:t>
      </w:r>
    </w:p>
    <w:p w:rsidR="009C649D" w:rsidRPr="004E2894" w:rsidRDefault="009C649D" w:rsidP="009C649D">
      <w:pPr>
        <w:keepNext/>
        <w:rPr>
          <w:rFonts w:cs="Arial"/>
        </w:rPr>
      </w:pPr>
    </w:p>
    <w:p w:rsidR="009C649D" w:rsidRPr="00E07077" w:rsidRDefault="009C649D" w:rsidP="00E07077">
      <w:pPr>
        <w:tabs>
          <w:tab w:val="left" w:pos="567"/>
        </w:tabs>
        <w:spacing w:after="120"/>
        <w:ind w:left="567"/>
        <w:rPr>
          <w:sz w:val="18"/>
        </w:rPr>
      </w:pPr>
      <w:r w:rsidRPr="00E07077">
        <w:rPr>
          <w:sz w:val="18"/>
        </w:rPr>
        <w:t>1.</w:t>
      </w:r>
      <w:r w:rsidRPr="00E07077">
        <w:rPr>
          <w:sz w:val="18"/>
        </w:rPr>
        <w:tab/>
        <w:t>Opening of the Session</w:t>
      </w:r>
    </w:p>
    <w:p w:rsidR="009C649D" w:rsidRPr="00E07077" w:rsidRDefault="009C649D" w:rsidP="00E07077">
      <w:pPr>
        <w:tabs>
          <w:tab w:val="left" w:pos="567"/>
        </w:tabs>
        <w:spacing w:after="120"/>
        <w:ind w:left="567"/>
        <w:rPr>
          <w:sz w:val="18"/>
        </w:rPr>
      </w:pPr>
      <w:r w:rsidRPr="00E07077">
        <w:rPr>
          <w:sz w:val="18"/>
        </w:rPr>
        <w:t>2.</w:t>
      </w:r>
      <w:r w:rsidRPr="00E07077">
        <w:rPr>
          <w:sz w:val="18"/>
        </w:rPr>
        <w:tab/>
        <w:t>Adoption of the agenda</w:t>
      </w:r>
    </w:p>
    <w:p w:rsidR="009C649D" w:rsidRPr="00E07077" w:rsidRDefault="009C649D" w:rsidP="00E07077">
      <w:pPr>
        <w:tabs>
          <w:tab w:val="left" w:pos="567"/>
        </w:tabs>
        <w:spacing w:after="120"/>
        <w:ind w:left="567"/>
        <w:rPr>
          <w:sz w:val="18"/>
        </w:rPr>
      </w:pPr>
      <w:r w:rsidRPr="00E07077">
        <w:rPr>
          <w:sz w:val="18"/>
        </w:rPr>
        <w:t>3.</w:t>
      </w:r>
      <w:r w:rsidRPr="00E07077">
        <w:rPr>
          <w:sz w:val="18"/>
        </w:rPr>
        <w:tab/>
        <w:t xml:space="preserve">Short reports on developments in plant variety protection </w:t>
      </w:r>
    </w:p>
    <w:p w:rsidR="009C649D" w:rsidRPr="00E07077" w:rsidRDefault="009C649D" w:rsidP="00E07077">
      <w:pPr>
        <w:spacing w:after="120"/>
        <w:ind w:left="1701" w:hanging="567"/>
        <w:rPr>
          <w:sz w:val="18"/>
        </w:rPr>
      </w:pPr>
      <w:r w:rsidRPr="00E07077">
        <w:rPr>
          <w:sz w:val="18"/>
        </w:rPr>
        <w:t>(a)</w:t>
      </w:r>
      <w:r w:rsidRPr="00E07077">
        <w:rPr>
          <w:sz w:val="18"/>
        </w:rPr>
        <w:tab/>
        <w:t>Reports from members and observers (written reports to be prepared by members and observers)</w:t>
      </w:r>
    </w:p>
    <w:p w:rsidR="009C649D" w:rsidRPr="00E07077" w:rsidRDefault="009C649D" w:rsidP="00E07077">
      <w:pPr>
        <w:spacing w:after="120"/>
        <w:ind w:left="567" w:firstLine="567"/>
        <w:rPr>
          <w:sz w:val="18"/>
        </w:rPr>
      </w:pPr>
      <w:r w:rsidRPr="00E07077">
        <w:rPr>
          <w:sz w:val="18"/>
        </w:rPr>
        <w:t>(b)</w:t>
      </w:r>
      <w:r w:rsidRPr="00E07077">
        <w:rPr>
          <w:sz w:val="18"/>
        </w:rPr>
        <w:tab/>
        <w:t xml:space="preserve">Report on developments within UPOV </w:t>
      </w:r>
      <w:r w:rsidRPr="00E07077">
        <w:rPr>
          <w:rFonts w:cs="Arial"/>
          <w:sz w:val="18"/>
        </w:rPr>
        <w:t>(</w:t>
      </w:r>
      <w:r w:rsidR="005237E9" w:rsidRPr="00E07077">
        <w:rPr>
          <w:rFonts w:cs="Arial"/>
          <w:sz w:val="18"/>
        </w:rPr>
        <w:t xml:space="preserve">document to be prepared </w:t>
      </w:r>
      <w:r w:rsidRPr="00E07077">
        <w:rPr>
          <w:rFonts w:cs="Arial"/>
          <w:sz w:val="18"/>
        </w:rPr>
        <w:t>by the Office of the Union)</w:t>
      </w:r>
    </w:p>
    <w:p w:rsidR="009C649D" w:rsidRPr="00E07077" w:rsidRDefault="009C649D" w:rsidP="00E07077">
      <w:pPr>
        <w:spacing w:after="120"/>
        <w:ind w:left="567"/>
        <w:rPr>
          <w:sz w:val="18"/>
        </w:rPr>
      </w:pPr>
      <w:r w:rsidRPr="00E07077">
        <w:rPr>
          <w:sz w:val="18"/>
        </w:rPr>
        <w:t>4.</w:t>
      </w:r>
      <w:r w:rsidRPr="00E07077">
        <w:rPr>
          <w:sz w:val="18"/>
        </w:rPr>
        <w:tab/>
        <w:t xml:space="preserve">Variety denominations </w:t>
      </w:r>
      <w:r w:rsidRPr="00E07077">
        <w:rPr>
          <w:rFonts w:cs="Arial"/>
          <w:sz w:val="18"/>
        </w:rPr>
        <w:t>(document to be prepared by the Office of the Union)</w:t>
      </w:r>
    </w:p>
    <w:p w:rsidR="009C649D" w:rsidRPr="00E07077" w:rsidRDefault="009C649D" w:rsidP="00E07077">
      <w:pPr>
        <w:spacing w:after="120"/>
        <w:ind w:left="567"/>
        <w:rPr>
          <w:sz w:val="18"/>
        </w:rPr>
      </w:pPr>
      <w:r w:rsidRPr="00E07077">
        <w:rPr>
          <w:sz w:val="18"/>
        </w:rPr>
        <w:t>5.</w:t>
      </w:r>
      <w:r w:rsidRPr="00E07077">
        <w:rPr>
          <w:sz w:val="18"/>
        </w:rPr>
        <w:tab/>
        <w:t xml:space="preserve">TGP documents </w:t>
      </w:r>
      <w:r w:rsidRPr="00E07077">
        <w:rPr>
          <w:rFonts w:cs="Arial"/>
          <w:sz w:val="18"/>
        </w:rPr>
        <w:t>(document to be prepared by the Office of the Union)</w:t>
      </w:r>
    </w:p>
    <w:p w:rsidR="009C649D" w:rsidRPr="00E07077" w:rsidRDefault="009C649D" w:rsidP="00E07077">
      <w:pPr>
        <w:spacing w:after="120"/>
        <w:ind w:left="1134" w:hanging="567"/>
        <w:rPr>
          <w:rFonts w:eastAsia="MS Mincho" w:cs="Arial"/>
          <w:sz w:val="18"/>
          <w:lang w:eastAsia="ja-JP"/>
        </w:rPr>
      </w:pPr>
      <w:r w:rsidRPr="00E07077">
        <w:rPr>
          <w:sz w:val="18"/>
        </w:rPr>
        <w:t>6.</w:t>
      </w:r>
      <w:r w:rsidRPr="00E07077">
        <w:rPr>
          <w:sz w:val="18"/>
        </w:rPr>
        <w:tab/>
        <w:t>Consideration of possible reorganization of document TGP/8 (document to be prepared by China)</w:t>
      </w:r>
    </w:p>
    <w:p w:rsidR="009C649D" w:rsidRPr="00E07077" w:rsidRDefault="009C649D" w:rsidP="00E07077">
      <w:pPr>
        <w:spacing w:after="120"/>
        <w:ind w:left="1134" w:hanging="567"/>
        <w:rPr>
          <w:rFonts w:cs="Arial"/>
          <w:sz w:val="18"/>
        </w:rPr>
      </w:pPr>
      <w:r w:rsidRPr="00E07077">
        <w:rPr>
          <w:sz w:val="18"/>
        </w:rPr>
        <w:t>7.</w:t>
      </w:r>
      <w:r w:rsidRPr="00E07077">
        <w:rPr>
          <w:sz w:val="18"/>
        </w:rPr>
        <w:tab/>
      </w:r>
      <w:r w:rsidRPr="00E07077">
        <w:rPr>
          <w:rFonts w:cs="Arial"/>
          <w:sz w:val="18"/>
        </w:rPr>
        <w:t xml:space="preserve">Assessing </w:t>
      </w:r>
      <w:r w:rsidRPr="00E07077">
        <w:rPr>
          <w:rFonts w:eastAsia="MS Mincho" w:cs="Arial"/>
          <w:sz w:val="18"/>
          <w:lang w:eastAsia="ja-JP"/>
        </w:rPr>
        <w:t>Uniformity</w:t>
      </w:r>
      <w:r w:rsidRPr="00E07077">
        <w:rPr>
          <w:rFonts w:cs="Arial"/>
          <w:sz w:val="18"/>
        </w:rPr>
        <w:t xml:space="preserve"> by Off-Types on the Basis of More than One Growing Cycle or on the Basis of Sub-Samples (document to be prepared by the Office of the Union)</w:t>
      </w:r>
    </w:p>
    <w:p w:rsidR="009C649D" w:rsidRPr="00E07077" w:rsidRDefault="00AC5EE6" w:rsidP="00E07077">
      <w:pPr>
        <w:tabs>
          <w:tab w:val="left" w:pos="1134"/>
        </w:tabs>
        <w:spacing w:after="120"/>
        <w:ind w:left="1701" w:hanging="567"/>
        <w:rPr>
          <w:sz w:val="18"/>
        </w:rPr>
      </w:pPr>
      <w:r w:rsidRPr="00E07077">
        <w:rPr>
          <w:rFonts w:cs="Arial"/>
          <w:sz w:val="18"/>
        </w:rPr>
        <w:t>-</w:t>
      </w:r>
      <w:r w:rsidR="009C649D" w:rsidRPr="00E07077">
        <w:rPr>
          <w:rFonts w:cs="Arial"/>
          <w:sz w:val="18"/>
        </w:rPr>
        <w:tab/>
        <w:t>Risks associated with assessment of uniformity by off-types on the basis of more than one growing cycle (document to be prepared by Germany and the United Kingdom)</w:t>
      </w:r>
      <w:r w:rsidR="009C649D" w:rsidRPr="00E07077">
        <w:rPr>
          <w:rFonts w:cs="Arial"/>
          <w:i/>
          <w:sz w:val="16"/>
        </w:rPr>
        <w:t xml:space="preserve"> </w:t>
      </w:r>
    </w:p>
    <w:p w:rsidR="009C649D" w:rsidRPr="00E07077" w:rsidRDefault="009C649D" w:rsidP="00E07077">
      <w:pPr>
        <w:spacing w:after="120"/>
        <w:ind w:left="1134" w:hanging="567"/>
        <w:rPr>
          <w:sz w:val="18"/>
        </w:rPr>
      </w:pPr>
      <w:r w:rsidRPr="00E07077">
        <w:rPr>
          <w:sz w:val="18"/>
        </w:rPr>
        <w:t>8.</w:t>
      </w:r>
      <w:r w:rsidRPr="00E07077">
        <w:rPr>
          <w:sz w:val="18"/>
        </w:rPr>
        <w:tab/>
        <w:t xml:space="preserve">Molecular Techniques </w:t>
      </w:r>
      <w:r w:rsidRPr="00E07077">
        <w:rPr>
          <w:rFonts w:cs="Arial"/>
          <w:sz w:val="18"/>
        </w:rPr>
        <w:t>(document to be prepared by the Office of the Union, the Netherlands and documents invited)</w:t>
      </w:r>
    </w:p>
    <w:p w:rsidR="009C649D" w:rsidRPr="00E07077" w:rsidRDefault="009C649D" w:rsidP="00E07077">
      <w:pPr>
        <w:spacing w:after="120"/>
        <w:ind w:left="1701" w:hanging="567"/>
        <w:rPr>
          <w:rFonts w:eastAsia="MS Mincho" w:cs="Arial"/>
          <w:sz w:val="18"/>
          <w:lang w:eastAsia="ja-JP"/>
        </w:rPr>
      </w:pPr>
      <w:r w:rsidRPr="00E07077">
        <w:rPr>
          <w:rFonts w:eastAsia="MS Mincho" w:cs="Arial"/>
          <w:sz w:val="18"/>
          <w:lang w:eastAsia="ja-JP"/>
        </w:rPr>
        <w:t>(a)</w:t>
      </w:r>
      <w:r w:rsidRPr="00E07077">
        <w:rPr>
          <w:rFonts w:eastAsia="MS Mincho" w:cs="Arial"/>
          <w:sz w:val="18"/>
          <w:lang w:eastAsia="ja-JP"/>
        </w:rPr>
        <w:tab/>
        <w:t>Selection of similar varieties for maize, rice and wheat using a DNA database (document to be prepared by China)</w:t>
      </w:r>
    </w:p>
    <w:p w:rsidR="009C649D" w:rsidRPr="00E07077" w:rsidRDefault="009C649D" w:rsidP="00E07077">
      <w:pPr>
        <w:spacing w:after="120"/>
        <w:ind w:left="1701" w:hanging="567"/>
        <w:rPr>
          <w:rFonts w:eastAsia="MS Mincho" w:cs="Arial"/>
          <w:sz w:val="18"/>
          <w:lang w:eastAsia="ja-JP"/>
        </w:rPr>
      </w:pPr>
      <w:r w:rsidRPr="00E07077">
        <w:rPr>
          <w:rFonts w:eastAsia="MS Mincho" w:cs="Arial"/>
          <w:sz w:val="18"/>
          <w:lang w:eastAsia="ja-JP"/>
        </w:rPr>
        <w:t>(b)</w:t>
      </w:r>
      <w:r w:rsidRPr="00E07077">
        <w:rPr>
          <w:rFonts w:eastAsia="MS Mincho" w:cs="Arial"/>
          <w:sz w:val="18"/>
          <w:lang w:eastAsia="ja-JP"/>
        </w:rPr>
        <w:tab/>
        <w:t>Statistical methods and software tools for molecular techniques in DUS examination (documents to be prepared by France, Germany and the United Kingdom and documents invited)</w:t>
      </w:r>
    </w:p>
    <w:p w:rsidR="009C649D" w:rsidRPr="00E07077" w:rsidRDefault="009C649D" w:rsidP="00E07077">
      <w:pPr>
        <w:spacing w:after="120"/>
        <w:ind w:left="1134" w:hanging="567"/>
        <w:rPr>
          <w:rFonts w:eastAsia="MS Mincho" w:cs="Arial"/>
          <w:sz w:val="18"/>
          <w:lang w:eastAsia="ja-JP"/>
        </w:rPr>
      </w:pPr>
      <w:r w:rsidRPr="00E07077">
        <w:rPr>
          <w:sz w:val="18"/>
        </w:rPr>
        <w:t>9.</w:t>
      </w:r>
      <w:r w:rsidRPr="00E07077">
        <w:rPr>
          <w:sz w:val="18"/>
        </w:rPr>
        <w:tab/>
      </w:r>
      <w:r w:rsidRPr="00E07077">
        <w:rPr>
          <w:rFonts w:eastAsia="MS Mincho" w:cs="Arial"/>
          <w:sz w:val="18"/>
        </w:rPr>
        <w:t>Number of growing cycles in DUS examination (document to be prepared by the Office of the Union)</w:t>
      </w:r>
    </w:p>
    <w:p w:rsidR="009C649D" w:rsidRPr="00E07077" w:rsidRDefault="009C649D" w:rsidP="00E07077">
      <w:pPr>
        <w:keepNext/>
        <w:spacing w:after="120"/>
        <w:ind w:left="1134" w:hanging="567"/>
        <w:rPr>
          <w:rFonts w:cs="Arial"/>
          <w:sz w:val="18"/>
        </w:rPr>
      </w:pPr>
      <w:r w:rsidRPr="00E07077">
        <w:rPr>
          <w:sz w:val="18"/>
        </w:rPr>
        <w:t>10.</w:t>
      </w:r>
      <w:r w:rsidRPr="00E07077">
        <w:rPr>
          <w:sz w:val="18"/>
        </w:rPr>
        <w:tab/>
      </w:r>
      <w:r w:rsidRPr="00E07077">
        <w:rPr>
          <w:rFonts w:cs="Arial"/>
          <w:sz w:val="18"/>
        </w:rPr>
        <w:t>Data Processing for the Assessment of Distinctness and for Producing Variety Descriptions (document to be prepared by the Office of the Union and documents invited)</w:t>
      </w:r>
    </w:p>
    <w:p w:rsidR="009C649D" w:rsidRPr="00E07077" w:rsidRDefault="006A6FAD" w:rsidP="00E07077">
      <w:pPr>
        <w:spacing w:after="120"/>
        <w:ind w:left="1701" w:hanging="567"/>
        <w:rPr>
          <w:sz w:val="18"/>
        </w:rPr>
      </w:pPr>
      <w:r w:rsidRPr="00E07077">
        <w:rPr>
          <w:rFonts w:cs="Arial"/>
          <w:sz w:val="18"/>
        </w:rPr>
        <w:t>-</w:t>
      </w:r>
      <w:r w:rsidR="009C649D" w:rsidRPr="00E07077">
        <w:rPr>
          <w:rFonts w:cs="Arial"/>
          <w:sz w:val="18"/>
        </w:rPr>
        <w:tab/>
        <w:t>Draft guidance on data processing for the assessment of distinctness and for producing variety descriptions using different methods (document to be prepared by the United Kingdom)</w:t>
      </w:r>
    </w:p>
    <w:p w:rsidR="009C649D" w:rsidRPr="00E07077" w:rsidRDefault="009C649D" w:rsidP="00E07077">
      <w:pPr>
        <w:keepNext/>
        <w:spacing w:after="120"/>
        <w:ind w:left="567"/>
        <w:rPr>
          <w:sz w:val="18"/>
        </w:rPr>
      </w:pPr>
      <w:r w:rsidRPr="00E07077">
        <w:rPr>
          <w:sz w:val="18"/>
        </w:rPr>
        <w:t>11.</w:t>
      </w:r>
      <w:r w:rsidRPr="00E07077">
        <w:rPr>
          <w:sz w:val="18"/>
        </w:rPr>
        <w:tab/>
        <w:t>Software, Information and databases</w:t>
      </w:r>
    </w:p>
    <w:p w:rsidR="000B6059" w:rsidRPr="00E07077" w:rsidRDefault="009C649D" w:rsidP="00E07077">
      <w:pPr>
        <w:keepNext/>
        <w:spacing w:after="120"/>
        <w:ind w:left="1701" w:hanging="567"/>
        <w:rPr>
          <w:rFonts w:cs="Arial"/>
          <w:sz w:val="18"/>
        </w:rPr>
      </w:pPr>
      <w:r w:rsidRPr="00E07077">
        <w:rPr>
          <w:sz w:val="18"/>
        </w:rPr>
        <w:t>(a)</w:t>
      </w:r>
      <w:r w:rsidRPr="00E07077">
        <w:rPr>
          <w:sz w:val="18"/>
        </w:rPr>
        <w:tab/>
        <w:t xml:space="preserve">UPOV information databases </w:t>
      </w:r>
      <w:r w:rsidRPr="00E07077">
        <w:rPr>
          <w:rFonts w:cs="Arial"/>
          <w:sz w:val="18"/>
        </w:rPr>
        <w:t>(document to be prepared by the Office of the Union)</w:t>
      </w:r>
    </w:p>
    <w:p w:rsidR="009C649D" w:rsidRPr="00E07077" w:rsidRDefault="009C649D" w:rsidP="00E07077">
      <w:pPr>
        <w:spacing w:after="120"/>
        <w:ind w:left="1701" w:hanging="567"/>
        <w:rPr>
          <w:sz w:val="18"/>
        </w:rPr>
      </w:pPr>
      <w:r w:rsidRPr="00E07077">
        <w:rPr>
          <w:sz w:val="18"/>
        </w:rPr>
        <w:t>(b)</w:t>
      </w:r>
      <w:r w:rsidRPr="00E07077">
        <w:rPr>
          <w:sz w:val="18"/>
        </w:rPr>
        <w:tab/>
        <w:t xml:space="preserve">Variety description databases </w:t>
      </w:r>
      <w:r w:rsidRPr="00E07077">
        <w:rPr>
          <w:rFonts w:cs="Arial"/>
          <w:sz w:val="18"/>
        </w:rPr>
        <w:t>(document to be prepared by the Office of the Union and documents invited)</w:t>
      </w:r>
    </w:p>
    <w:p w:rsidR="009C649D" w:rsidRPr="00E07077" w:rsidRDefault="009C649D" w:rsidP="00E07077">
      <w:pPr>
        <w:spacing w:after="120"/>
        <w:ind w:left="1701" w:hanging="567"/>
        <w:rPr>
          <w:sz w:val="18"/>
        </w:rPr>
      </w:pPr>
      <w:r w:rsidRPr="00E07077">
        <w:rPr>
          <w:sz w:val="18"/>
        </w:rPr>
        <w:t>(c)</w:t>
      </w:r>
      <w:r w:rsidRPr="00E07077">
        <w:rPr>
          <w:sz w:val="18"/>
        </w:rPr>
        <w:tab/>
        <w:t xml:space="preserve">Exchange and use of software and equipment </w:t>
      </w:r>
      <w:r w:rsidRPr="00E07077">
        <w:rPr>
          <w:rFonts w:cs="Arial"/>
          <w:sz w:val="18"/>
        </w:rPr>
        <w:t>(document to be prepared by the Office of the Union and documents invited)</w:t>
      </w:r>
    </w:p>
    <w:p w:rsidR="009C649D" w:rsidRPr="00E07077" w:rsidRDefault="009C649D" w:rsidP="00E07077">
      <w:pPr>
        <w:spacing w:after="120"/>
        <w:ind w:left="1701" w:hanging="567"/>
        <w:rPr>
          <w:sz w:val="18"/>
        </w:rPr>
      </w:pPr>
      <w:r w:rsidRPr="00E07077">
        <w:rPr>
          <w:sz w:val="18"/>
        </w:rPr>
        <w:t>(d)</w:t>
      </w:r>
      <w:r w:rsidRPr="00E07077">
        <w:rPr>
          <w:sz w:val="18"/>
        </w:rPr>
        <w:tab/>
        <w:t xml:space="preserve">Electronic application systems </w:t>
      </w:r>
      <w:r w:rsidRPr="00E07077">
        <w:rPr>
          <w:rFonts w:cs="Arial"/>
          <w:sz w:val="18"/>
        </w:rPr>
        <w:t>(document to be prepared by the Office of the Union and documents invited)</w:t>
      </w:r>
    </w:p>
    <w:p w:rsidR="009C649D" w:rsidRPr="00E07077" w:rsidRDefault="009C649D" w:rsidP="00E07077">
      <w:pPr>
        <w:spacing w:after="120"/>
        <w:ind w:left="1701" w:hanging="567"/>
        <w:rPr>
          <w:sz w:val="18"/>
        </w:rPr>
      </w:pPr>
      <w:r w:rsidRPr="00E07077">
        <w:rPr>
          <w:sz w:val="18"/>
        </w:rPr>
        <w:t>(e)</w:t>
      </w:r>
      <w:r w:rsidRPr="00E07077">
        <w:rPr>
          <w:sz w:val="18"/>
        </w:rPr>
        <w:tab/>
      </w:r>
      <w:r w:rsidRPr="00E07077">
        <w:rPr>
          <w:rFonts w:eastAsia="MS Mincho" w:cs="Arial"/>
          <w:sz w:val="18"/>
          <w:lang w:eastAsia="ja-JP"/>
        </w:rPr>
        <w:t>A single tool for DUS computation process (document to be prepared by France)</w:t>
      </w:r>
    </w:p>
    <w:p w:rsidR="009C649D" w:rsidRPr="00E07077" w:rsidRDefault="009C649D" w:rsidP="00E07077">
      <w:pPr>
        <w:spacing w:after="120"/>
        <w:ind w:left="1701" w:hanging="567"/>
        <w:rPr>
          <w:rFonts w:eastAsia="MS Mincho" w:cs="Arial"/>
          <w:color w:val="000000"/>
          <w:sz w:val="18"/>
        </w:rPr>
      </w:pPr>
      <w:r w:rsidRPr="00E07077">
        <w:rPr>
          <w:sz w:val="18"/>
        </w:rPr>
        <w:t>(f)</w:t>
      </w:r>
      <w:r w:rsidRPr="00E07077">
        <w:rPr>
          <w:sz w:val="18"/>
        </w:rPr>
        <w:tab/>
      </w:r>
      <w:r w:rsidRPr="00E07077">
        <w:rPr>
          <w:rFonts w:eastAsia="MS Mincho" w:cs="Arial"/>
          <w:color w:val="000000"/>
          <w:sz w:val="18"/>
        </w:rPr>
        <w:t>Management of databases (documents invited)</w:t>
      </w:r>
    </w:p>
    <w:p w:rsidR="009C649D" w:rsidRPr="00E07077" w:rsidRDefault="009C649D" w:rsidP="00E07077">
      <w:pPr>
        <w:spacing w:after="120"/>
        <w:ind w:left="1701" w:hanging="567"/>
        <w:rPr>
          <w:rFonts w:eastAsia="MS Mincho" w:cs="Arial"/>
          <w:color w:val="000000"/>
          <w:sz w:val="18"/>
        </w:rPr>
      </w:pPr>
      <w:r w:rsidRPr="00E07077">
        <w:rPr>
          <w:rFonts w:eastAsia="MS Mincho" w:cs="Arial"/>
          <w:color w:val="000000"/>
          <w:sz w:val="18"/>
        </w:rPr>
        <w:t>(g)</w:t>
      </w:r>
      <w:r w:rsidRPr="00E07077">
        <w:rPr>
          <w:rFonts w:eastAsia="MS Mincho" w:cs="Arial"/>
          <w:color w:val="000000"/>
          <w:sz w:val="18"/>
        </w:rPr>
        <w:tab/>
        <w:t>Building a database with molecular marker information for the management of variety collections (document to be prepared by Argentina)</w:t>
      </w:r>
    </w:p>
    <w:p w:rsidR="009C649D" w:rsidRPr="00E07077" w:rsidRDefault="009C649D" w:rsidP="00E07077">
      <w:pPr>
        <w:spacing w:after="120"/>
        <w:ind w:left="1701" w:hanging="567"/>
        <w:rPr>
          <w:rFonts w:eastAsia="MS Mincho" w:cs="Arial"/>
          <w:color w:val="000000"/>
          <w:sz w:val="18"/>
        </w:rPr>
      </w:pPr>
      <w:r w:rsidRPr="00E07077">
        <w:rPr>
          <w:rFonts w:eastAsia="MS Mincho" w:cs="Arial"/>
          <w:color w:val="000000"/>
          <w:sz w:val="18"/>
        </w:rPr>
        <w:t xml:space="preserve">(h) </w:t>
      </w:r>
      <w:r w:rsidRPr="00E07077">
        <w:rPr>
          <w:rFonts w:eastAsia="MS Mincho" w:cs="Arial"/>
          <w:color w:val="000000"/>
          <w:sz w:val="18"/>
        </w:rPr>
        <w:tab/>
        <w:t>Document management system for variety files (document to be prepared by Germany)</w:t>
      </w:r>
    </w:p>
    <w:p w:rsidR="000B6059" w:rsidRPr="00E07077" w:rsidRDefault="000B6059" w:rsidP="00E07077">
      <w:pPr>
        <w:spacing w:after="120"/>
        <w:ind w:left="1701" w:hanging="567"/>
        <w:rPr>
          <w:sz w:val="18"/>
        </w:rPr>
      </w:pPr>
      <w:r w:rsidRPr="00E07077">
        <w:rPr>
          <w:rFonts w:eastAsia="MS Mincho" w:cs="Arial"/>
          <w:color w:val="000000"/>
          <w:sz w:val="18"/>
        </w:rPr>
        <w:t>(i)</w:t>
      </w:r>
      <w:r w:rsidRPr="00E07077">
        <w:rPr>
          <w:rFonts w:eastAsia="MS Mincho" w:cs="Arial"/>
          <w:color w:val="000000"/>
          <w:sz w:val="18"/>
        </w:rPr>
        <w:tab/>
        <w:t xml:space="preserve">Web services provided by UPOV </w:t>
      </w:r>
      <w:r w:rsidR="00BE4487" w:rsidRPr="00E07077">
        <w:rPr>
          <w:rFonts w:eastAsia="MS Mincho" w:cs="Arial"/>
          <w:color w:val="000000"/>
          <w:sz w:val="18"/>
        </w:rPr>
        <w:t xml:space="preserve">and members of the Union </w:t>
      </w:r>
      <w:r w:rsidRPr="00E07077">
        <w:rPr>
          <w:rFonts w:eastAsia="MS Mincho" w:cs="Arial"/>
          <w:color w:val="000000"/>
          <w:sz w:val="18"/>
        </w:rPr>
        <w:t xml:space="preserve">(document to be </w:t>
      </w:r>
      <w:r w:rsidR="00023905" w:rsidRPr="00E07077">
        <w:rPr>
          <w:rFonts w:eastAsia="MS Mincho" w:cs="Arial"/>
          <w:color w:val="000000"/>
          <w:sz w:val="18"/>
        </w:rPr>
        <w:t>prepared</w:t>
      </w:r>
      <w:r w:rsidRPr="00E07077">
        <w:rPr>
          <w:rFonts w:eastAsia="MS Mincho" w:cs="Arial"/>
          <w:color w:val="000000"/>
          <w:sz w:val="18"/>
        </w:rPr>
        <w:t xml:space="preserve"> by the Office of the Union</w:t>
      </w:r>
      <w:r w:rsidR="00023905" w:rsidRPr="00E07077">
        <w:rPr>
          <w:rFonts w:eastAsia="MS Mincho" w:cs="Arial"/>
          <w:color w:val="000000"/>
          <w:sz w:val="18"/>
        </w:rPr>
        <w:t xml:space="preserve"> and France and documents invited</w:t>
      </w:r>
      <w:r w:rsidRPr="00E07077">
        <w:rPr>
          <w:rFonts w:eastAsia="MS Mincho" w:cs="Arial"/>
          <w:color w:val="000000"/>
          <w:sz w:val="18"/>
        </w:rPr>
        <w:t>)</w:t>
      </w:r>
    </w:p>
    <w:p w:rsidR="009C649D" w:rsidRPr="00E07077" w:rsidRDefault="009C649D" w:rsidP="00E07077">
      <w:pPr>
        <w:spacing w:after="120"/>
        <w:ind w:left="567"/>
        <w:rPr>
          <w:sz w:val="18"/>
        </w:rPr>
      </w:pPr>
      <w:r w:rsidRPr="00E07077">
        <w:rPr>
          <w:sz w:val="18"/>
        </w:rPr>
        <w:t>12.</w:t>
      </w:r>
      <w:r w:rsidRPr="00E07077">
        <w:rPr>
          <w:sz w:val="18"/>
        </w:rPr>
        <w:tab/>
      </w:r>
      <w:r w:rsidRPr="00E07077">
        <w:rPr>
          <w:rFonts w:cs="Arial"/>
          <w:sz w:val="18"/>
        </w:rPr>
        <w:t>Sta</w:t>
      </w:r>
      <w:r w:rsidRPr="00E07077">
        <w:rPr>
          <w:rFonts w:eastAsia="MS Mincho" w:cs="Arial"/>
          <w:sz w:val="18"/>
          <w:lang w:eastAsia="ja-JP"/>
        </w:rPr>
        <w:t>tistical methods</w:t>
      </w:r>
    </w:p>
    <w:p w:rsidR="009C649D" w:rsidRPr="00E07077" w:rsidRDefault="009C649D" w:rsidP="00E07077">
      <w:pPr>
        <w:spacing w:after="120"/>
        <w:ind w:left="1701" w:hanging="567"/>
        <w:rPr>
          <w:sz w:val="18"/>
        </w:rPr>
      </w:pPr>
      <w:r w:rsidRPr="00E07077">
        <w:rPr>
          <w:sz w:val="18"/>
        </w:rPr>
        <w:t>(a)</w:t>
      </w:r>
      <w:r w:rsidRPr="00E07077">
        <w:rPr>
          <w:sz w:val="18"/>
        </w:rPr>
        <w:tab/>
      </w:r>
      <w:r w:rsidRPr="00E07077">
        <w:rPr>
          <w:rFonts w:eastAsia="MS Mincho" w:cs="Arial"/>
          <w:sz w:val="18"/>
          <w:lang w:eastAsia="ja-JP"/>
        </w:rPr>
        <w:t>Statistical methods and software for visually observed characteristics (document to be prepared by France and the United Kingdom and documents invited)</w:t>
      </w:r>
    </w:p>
    <w:p w:rsidR="009C649D" w:rsidRPr="00E07077" w:rsidRDefault="009C649D" w:rsidP="00E07077">
      <w:pPr>
        <w:spacing w:after="120"/>
        <w:ind w:left="1701" w:hanging="567"/>
        <w:rPr>
          <w:rFonts w:cs="Arial"/>
          <w:sz w:val="18"/>
        </w:rPr>
      </w:pPr>
      <w:r w:rsidRPr="00E07077">
        <w:rPr>
          <w:sz w:val="18"/>
        </w:rPr>
        <w:t>(b)</w:t>
      </w:r>
      <w:r w:rsidRPr="00E07077">
        <w:rPr>
          <w:sz w:val="18"/>
        </w:rPr>
        <w:tab/>
      </w:r>
      <w:r w:rsidRPr="00E07077">
        <w:rPr>
          <w:rFonts w:cs="Arial"/>
          <w:sz w:val="18"/>
        </w:rPr>
        <w:t>The Combined-Over-Years Uniformity Criterion (COYU) (document to be prepared by the United Kingdom)</w:t>
      </w:r>
    </w:p>
    <w:p w:rsidR="009C649D" w:rsidRPr="00E07077" w:rsidRDefault="009C649D" w:rsidP="00E07077">
      <w:pPr>
        <w:spacing w:after="120"/>
        <w:ind w:left="567"/>
        <w:rPr>
          <w:sz w:val="18"/>
        </w:rPr>
      </w:pPr>
      <w:r w:rsidRPr="00E07077">
        <w:rPr>
          <w:sz w:val="18"/>
        </w:rPr>
        <w:t>13.</w:t>
      </w:r>
      <w:r w:rsidRPr="00E07077">
        <w:rPr>
          <w:sz w:val="18"/>
        </w:rPr>
        <w:tab/>
        <w:t>Image analysis (documents invited)</w:t>
      </w:r>
    </w:p>
    <w:p w:rsidR="009C649D" w:rsidRPr="00E07077" w:rsidRDefault="009C649D" w:rsidP="00E07077">
      <w:pPr>
        <w:spacing w:after="120"/>
        <w:ind w:left="1134" w:hanging="567"/>
        <w:rPr>
          <w:sz w:val="18"/>
        </w:rPr>
      </w:pPr>
      <w:r w:rsidRPr="00E07077">
        <w:rPr>
          <w:sz w:val="18"/>
        </w:rPr>
        <w:t>14.</w:t>
      </w:r>
      <w:r w:rsidRPr="00E07077">
        <w:rPr>
          <w:sz w:val="18"/>
        </w:rPr>
        <w:tab/>
        <w:t>Experience with using two locations by one year for DUS decisions (documents to be prepared by France and the Netherlands)</w:t>
      </w:r>
    </w:p>
    <w:p w:rsidR="009C649D" w:rsidRPr="00E07077" w:rsidRDefault="009C649D" w:rsidP="00E07077">
      <w:pPr>
        <w:spacing w:after="120"/>
        <w:ind w:left="567"/>
        <w:rPr>
          <w:sz w:val="18"/>
        </w:rPr>
      </w:pPr>
      <w:r w:rsidRPr="00E07077">
        <w:rPr>
          <w:sz w:val="18"/>
        </w:rPr>
        <w:t>15.</w:t>
      </w:r>
      <w:r w:rsidRPr="00E07077">
        <w:rPr>
          <w:sz w:val="18"/>
        </w:rPr>
        <w:tab/>
        <w:t>Guidance for drafters of Test Guidelines (document to be prepared by the Office of the Union)</w:t>
      </w:r>
    </w:p>
    <w:p w:rsidR="009C649D" w:rsidRPr="00E07077" w:rsidRDefault="009C649D" w:rsidP="00E07077">
      <w:pPr>
        <w:spacing w:after="120"/>
        <w:ind w:left="567"/>
        <w:rPr>
          <w:sz w:val="18"/>
        </w:rPr>
      </w:pPr>
      <w:r w:rsidRPr="00E07077">
        <w:rPr>
          <w:sz w:val="18"/>
        </w:rPr>
        <w:t>16.</w:t>
      </w:r>
      <w:r w:rsidRPr="00E07077">
        <w:rPr>
          <w:sz w:val="18"/>
        </w:rPr>
        <w:tab/>
        <w:t>Date and place of the next session</w:t>
      </w:r>
    </w:p>
    <w:p w:rsidR="009C649D" w:rsidRPr="00E07077" w:rsidRDefault="009C649D" w:rsidP="00E07077">
      <w:pPr>
        <w:spacing w:after="120"/>
        <w:ind w:left="567"/>
        <w:rPr>
          <w:sz w:val="18"/>
        </w:rPr>
      </w:pPr>
      <w:r w:rsidRPr="00E07077">
        <w:rPr>
          <w:sz w:val="18"/>
        </w:rPr>
        <w:t>17.</w:t>
      </w:r>
      <w:r w:rsidRPr="00E07077">
        <w:rPr>
          <w:sz w:val="18"/>
        </w:rPr>
        <w:tab/>
        <w:t>Future program</w:t>
      </w:r>
    </w:p>
    <w:p w:rsidR="009C649D" w:rsidRPr="00E07077" w:rsidRDefault="009C649D" w:rsidP="00E07077">
      <w:pPr>
        <w:spacing w:after="120"/>
        <w:ind w:left="567"/>
        <w:rPr>
          <w:sz w:val="18"/>
        </w:rPr>
      </w:pPr>
      <w:r w:rsidRPr="00E07077">
        <w:rPr>
          <w:sz w:val="18"/>
        </w:rPr>
        <w:t>18.</w:t>
      </w:r>
      <w:r w:rsidRPr="00E07077">
        <w:rPr>
          <w:sz w:val="18"/>
        </w:rPr>
        <w:tab/>
        <w:t>Adoption of the Report on the session (if time permits)</w:t>
      </w:r>
    </w:p>
    <w:p w:rsidR="009C649D" w:rsidRPr="00E07077" w:rsidRDefault="009C649D" w:rsidP="00E07077">
      <w:pPr>
        <w:spacing w:after="120"/>
        <w:ind w:left="567"/>
        <w:rPr>
          <w:sz w:val="18"/>
        </w:rPr>
      </w:pPr>
      <w:r w:rsidRPr="00E07077">
        <w:rPr>
          <w:sz w:val="18"/>
        </w:rPr>
        <w:t>19.</w:t>
      </w:r>
      <w:r w:rsidRPr="00E07077">
        <w:rPr>
          <w:sz w:val="18"/>
        </w:rPr>
        <w:tab/>
        <w:t>Closing of the session</w:t>
      </w:r>
    </w:p>
    <w:p w:rsidR="002D0AFF" w:rsidRPr="004E2894" w:rsidRDefault="002D0AFF" w:rsidP="00050E16">
      <w:bookmarkStart w:id="8" w:name="_GoBack"/>
      <w:bookmarkEnd w:id="8"/>
    </w:p>
    <w:p w:rsidR="00050E16" w:rsidRPr="004E2894" w:rsidRDefault="00411528" w:rsidP="00411528">
      <w:pPr>
        <w:ind w:left="4820"/>
        <w:rPr>
          <w:i/>
        </w:rPr>
      </w:pPr>
      <w:r w:rsidRPr="005948AF">
        <w:rPr>
          <w:i/>
        </w:rPr>
        <w:fldChar w:fldCharType="begin"/>
      </w:r>
      <w:r w:rsidRPr="004E2894">
        <w:rPr>
          <w:i/>
        </w:rPr>
        <w:instrText xml:space="preserve"> AUTONUM  </w:instrText>
      </w:r>
      <w:r w:rsidRPr="005948AF">
        <w:rPr>
          <w:i/>
        </w:rPr>
        <w:fldChar w:fldCharType="end"/>
      </w:r>
      <w:r w:rsidRPr="004E2894">
        <w:rPr>
          <w:i/>
        </w:rPr>
        <w:tab/>
        <w:t>The TWC adopted this report at the end of the session.</w:t>
      </w:r>
    </w:p>
    <w:p w:rsidR="00883A54" w:rsidRPr="004E2894" w:rsidRDefault="00883A54" w:rsidP="00050E16"/>
    <w:p w:rsidR="00411528" w:rsidRPr="004E2894" w:rsidRDefault="00411528" w:rsidP="00050E16"/>
    <w:p w:rsidR="00411528" w:rsidRPr="004E2894" w:rsidRDefault="00411528" w:rsidP="00050E16"/>
    <w:p w:rsidR="00050E16" w:rsidRPr="004E2894" w:rsidRDefault="00050E16" w:rsidP="00883A54">
      <w:pPr>
        <w:jc w:val="right"/>
      </w:pPr>
      <w:r w:rsidRPr="004E2894">
        <w:t xml:space="preserve"> [</w:t>
      </w:r>
      <w:r w:rsidR="001D2A30" w:rsidRPr="004E2894">
        <w:t>Annexes follow</w:t>
      </w:r>
      <w:r w:rsidRPr="004E2894">
        <w:t>]</w:t>
      </w:r>
    </w:p>
    <w:p w:rsidR="00411528" w:rsidRPr="004E2894" w:rsidRDefault="00411528" w:rsidP="00883A54">
      <w:pPr>
        <w:jc w:val="right"/>
      </w:pPr>
    </w:p>
    <w:p w:rsidR="001D2A30" w:rsidRPr="004E2894" w:rsidRDefault="001D2A30" w:rsidP="00883A54">
      <w:pPr>
        <w:jc w:val="right"/>
        <w:sectPr w:rsidR="001D2A30" w:rsidRPr="004E2894" w:rsidSect="00906DDC">
          <w:headerReference w:type="default" r:id="rId23"/>
          <w:pgSz w:w="11907" w:h="16840" w:code="9"/>
          <w:pgMar w:top="510" w:right="1134" w:bottom="1134" w:left="1134" w:header="510" w:footer="680" w:gutter="0"/>
          <w:cols w:space="720"/>
          <w:titlePg/>
        </w:sectPr>
      </w:pPr>
    </w:p>
    <w:p w:rsidR="00411528" w:rsidRPr="004E2894" w:rsidRDefault="00411528" w:rsidP="00883A54">
      <w:pPr>
        <w:jc w:val="right"/>
      </w:pPr>
    </w:p>
    <w:p w:rsidR="001D2A30" w:rsidRPr="004E2894" w:rsidRDefault="001D2A30" w:rsidP="001D2A30">
      <w:pPr>
        <w:pStyle w:val="BodyText"/>
        <w:jc w:val="center"/>
        <w:rPr>
          <w:rFonts w:cs="Arial"/>
        </w:rPr>
      </w:pPr>
      <w:r w:rsidRPr="004E2894">
        <w:rPr>
          <w:rFonts w:cs="Arial"/>
        </w:rPr>
        <w:t>[Annexes I to III only available in the pdf version of this report]</w:t>
      </w:r>
    </w:p>
    <w:p w:rsidR="001D2A30" w:rsidRPr="004E2894" w:rsidRDefault="001D2A30" w:rsidP="00883A54">
      <w:pPr>
        <w:jc w:val="right"/>
      </w:pPr>
    </w:p>
    <w:p w:rsidR="001D2A30" w:rsidRPr="004E2894" w:rsidRDefault="001D2A30" w:rsidP="00883A54">
      <w:pPr>
        <w:jc w:val="right"/>
      </w:pPr>
    </w:p>
    <w:p w:rsidR="001D2A30" w:rsidRPr="004E2894" w:rsidRDefault="001D2A30" w:rsidP="00883A54">
      <w:pPr>
        <w:jc w:val="right"/>
      </w:pPr>
    </w:p>
    <w:p w:rsidR="001D2A30" w:rsidRPr="004E2894" w:rsidRDefault="001D2A30" w:rsidP="00883A54">
      <w:pPr>
        <w:jc w:val="right"/>
      </w:pPr>
    </w:p>
    <w:p w:rsidR="001D2A30" w:rsidRPr="004E2894" w:rsidRDefault="001D2A30" w:rsidP="00883A54">
      <w:pPr>
        <w:jc w:val="right"/>
      </w:pPr>
      <w:r w:rsidRPr="004E2894">
        <w:t xml:space="preserve">[End of </w:t>
      </w:r>
      <w:r w:rsidR="00C21571">
        <w:t>document</w:t>
      </w:r>
      <w:r w:rsidRPr="004E2894">
        <w:t>]</w:t>
      </w:r>
    </w:p>
    <w:p w:rsidR="001D2A30" w:rsidRPr="004E2894" w:rsidRDefault="001D2A30" w:rsidP="00883A54">
      <w:pPr>
        <w:jc w:val="right"/>
      </w:pPr>
    </w:p>
    <w:p w:rsidR="001D2A30" w:rsidRPr="004E2894" w:rsidRDefault="001D2A30" w:rsidP="00883A54">
      <w:pPr>
        <w:jc w:val="right"/>
      </w:pPr>
    </w:p>
    <w:sectPr w:rsidR="001D2A30" w:rsidRPr="004E2894" w:rsidSect="00906DDC">
      <w:headerReference w:type="first" r:id="rId2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AD" w:rsidRDefault="006A6FAD" w:rsidP="006655D3">
      <w:r>
        <w:separator/>
      </w:r>
    </w:p>
    <w:p w:rsidR="006A6FAD" w:rsidRDefault="006A6FAD" w:rsidP="006655D3"/>
    <w:p w:rsidR="006A6FAD" w:rsidRDefault="006A6FAD" w:rsidP="006655D3"/>
  </w:endnote>
  <w:endnote w:type="continuationSeparator" w:id="0">
    <w:p w:rsidR="006A6FAD" w:rsidRDefault="006A6FAD" w:rsidP="006655D3">
      <w:r>
        <w:separator/>
      </w:r>
    </w:p>
    <w:p w:rsidR="006A6FAD" w:rsidRPr="00294751" w:rsidRDefault="006A6FAD">
      <w:pPr>
        <w:pStyle w:val="Footer"/>
        <w:spacing w:after="60"/>
        <w:rPr>
          <w:sz w:val="18"/>
          <w:lang w:val="fr-FR"/>
        </w:rPr>
      </w:pPr>
      <w:r w:rsidRPr="00294751">
        <w:rPr>
          <w:sz w:val="18"/>
          <w:lang w:val="fr-FR"/>
        </w:rPr>
        <w:t>[Suite de la note de la page précédente]</w:t>
      </w:r>
    </w:p>
    <w:p w:rsidR="006A6FAD" w:rsidRPr="00294751" w:rsidRDefault="006A6FAD" w:rsidP="006655D3">
      <w:pPr>
        <w:rPr>
          <w:lang w:val="fr-FR"/>
        </w:rPr>
      </w:pPr>
    </w:p>
    <w:p w:rsidR="006A6FAD" w:rsidRPr="00294751" w:rsidRDefault="006A6FAD" w:rsidP="006655D3">
      <w:pPr>
        <w:rPr>
          <w:lang w:val="fr-FR"/>
        </w:rPr>
      </w:pPr>
    </w:p>
  </w:endnote>
  <w:endnote w:type="continuationNotice" w:id="1">
    <w:p w:rsidR="006A6FAD" w:rsidRPr="00294751" w:rsidRDefault="006A6FAD" w:rsidP="006655D3">
      <w:pPr>
        <w:rPr>
          <w:lang w:val="fr-FR"/>
        </w:rPr>
      </w:pPr>
      <w:r w:rsidRPr="00294751">
        <w:rPr>
          <w:lang w:val="fr-FR"/>
        </w:rPr>
        <w:t>[Suite de la note page suivante]</w:t>
      </w:r>
    </w:p>
    <w:p w:rsidR="006A6FAD" w:rsidRPr="00294751" w:rsidRDefault="006A6FAD" w:rsidP="006655D3">
      <w:pPr>
        <w:rPr>
          <w:lang w:val="fr-FR"/>
        </w:rPr>
      </w:pPr>
    </w:p>
    <w:p w:rsidR="006A6FAD" w:rsidRPr="00294751" w:rsidRDefault="006A6FA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AD" w:rsidRDefault="006A6FAD" w:rsidP="006655D3">
      <w:r>
        <w:separator/>
      </w:r>
    </w:p>
  </w:footnote>
  <w:footnote w:type="continuationSeparator" w:id="0">
    <w:p w:rsidR="006A6FAD" w:rsidRDefault="006A6FAD" w:rsidP="006655D3">
      <w:r>
        <w:separator/>
      </w:r>
    </w:p>
  </w:footnote>
  <w:footnote w:type="continuationNotice" w:id="1">
    <w:p w:rsidR="006A6FAD" w:rsidRPr="00AB530F" w:rsidRDefault="006A6FA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AD" w:rsidRPr="00C5280D" w:rsidRDefault="006A6FAD" w:rsidP="00EB048E">
    <w:pPr>
      <w:pStyle w:val="Header"/>
      <w:rPr>
        <w:rStyle w:val="PageNumber"/>
        <w:lang w:val="en-US"/>
      </w:rPr>
    </w:pPr>
    <w:r w:rsidRPr="00293FC2">
      <w:rPr>
        <w:rStyle w:val="PageNumber"/>
        <w:lang w:val="en-US"/>
      </w:rPr>
      <w:t>TWC/35/</w:t>
    </w:r>
    <w:r>
      <w:rPr>
        <w:rStyle w:val="PageNumber"/>
        <w:lang w:val="en-US"/>
      </w:rPr>
      <w:t xml:space="preserve">21 </w:t>
    </w:r>
  </w:p>
  <w:p w:rsidR="006A6FAD" w:rsidRPr="00C5280D" w:rsidRDefault="006A6FA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077F">
      <w:rPr>
        <w:rStyle w:val="PageNumber"/>
        <w:noProof/>
        <w:lang w:val="en-US"/>
      </w:rPr>
      <w:t>8</w:t>
    </w:r>
    <w:r w:rsidRPr="00C5280D">
      <w:rPr>
        <w:rStyle w:val="PageNumber"/>
        <w:lang w:val="en-US"/>
      </w:rPr>
      <w:fldChar w:fldCharType="end"/>
    </w:r>
  </w:p>
  <w:p w:rsidR="006A6FAD" w:rsidRPr="00C5280D" w:rsidRDefault="006A6FA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AD" w:rsidRDefault="006A6FAD">
    <w:pPr>
      <w:pStyle w:val="Header"/>
      <w:rPr>
        <w:lang w:val="en-US"/>
      </w:rPr>
    </w:pPr>
    <w:r>
      <w:rPr>
        <w:lang w:val="en-US"/>
      </w:rPr>
      <w:t xml:space="preserve">TWC/35/21 </w:t>
    </w:r>
  </w:p>
  <w:p w:rsidR="006A6FAD" w:rsidRPr="001D2A30" w:rsidRDefault="006A6FA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4529"/>
    <w:multiLevelType w:val="hybridMultilevel"/>
    <w:tmpl w:val="F1AE4DF2"/>
    <w:lvl w:ilvl="0" w:tplc="8C704DE0">
      <w:start w:val="1"/>
      <w:numFmt w:val="bullet"/>
      <w:lvlText w:val="•"/>
      <w:lvlJc w:val="left"/>
      <w:pPr>
        <w:tabs>
          <w:tab w:val="num" w:pos="720"/>
        </w:tabs>
        <w:ind w:left="720" w:hanging="360"/>
      </w:pPr>
      <w:rPr>
        <w:rFonts w:ascii="Arial" w:hAnsi="Arial" w:hint="default"/>
      </w:rPr>
    </w:lvl>
    <w:lvl w:ilvl="1" w:tplc="1790304A" w:tentative="1">
      <w:start w:val="1"/>
      <w:numFmt w:val="bullet"/>
      <w:lvlText w:val="•"/>
      <w:lvlJc w:val="left"/>
      <w:pPr>
        <w:tabs>
          <w:tab w:val="num" w:pos="1440"/>
        </w:tabs>
        <w:ind w:left="1440" w:hanging="360"/>
      </w:pPr>
      <w:rPr>
        <w:rFonts w:ascii="Arial" w:hAnsi="Arial" w:hint="default"/>
      </w:rPr>
    </w:lvl>
    <w:lvl w:ilvl="2" w:tplc="05BE9480" w:tentative="1">
      <w:start w:val="1"/>
      <w:numFmt w:val="bullet"/>
      <w:lvlText w:val="•"/>
      <w:lvlJc w:val="left"/>
      <w:pPr>
        <w:tabs>
          <w:tab w:val="num" w:pos="2160"/>
        </w:tabs>
        <w:ind w:left="2160" w:hanging="360"/>
      </w:pPr>
      <w:rPr>
        <w:rFonts w:ascii="Arial" w:hAnsi="Arial" w:hint="default"/>
      </w:rPr>
    </w:lvl>
    <w:lvl w:ilvl="3" w:tplc="72409246" w:tentative="1">
      <w:start w:val="1"/>
      <w:numFmt w:val="bullet"/>
      <w:lvlText w:val="•"/>
      <w:lvlJc w:val="left"/>
      <w:pPr>
        <w:tabs>
          <w:tab w:val="num" w:pos="2880"/>
        </w:tabs>
        <w:ind w:left="2880" w:hanging="360"/>
      </w:pPr>
      <w:rPr>
        <w:rFonts w:ascii="Arial" w:hAnsi="Arial" w:hint="default"/>
      </w:rPr>
    </w:lvl>
    <w:lvl w:ilvl="4" w:tplc="2CBA5CB2" w:tentative="1">
      <w:start w:val="1"/>
      <w:numFmt w:val="bullet"/>
      <w:lvlText w:val="•"/>
      <w:lvlJc w:val="left"/>
      <w:pPr>
        <w:tabs>
          <w:tab w:val="num" w:pos="3600"/>
        </w:tabs>
        <w:ind w:left="3600" w:hanging="360"/>
      </w:pPr>
      <w:rPr>
        <w:rFonts w:ascii="Arial" w:hAnsi="Arial" w:hint="default"/>
      </w:rPr>
    </w:lvl>
    <w:lvl w:ilvl="5" w:tplc="71F660C2" w:tentative="1">
      <w:start w:val="1"/>
      <w:numFmt w:val="bullet"/>
      <w:lvlText w:val="•"/>
      <w:lvlJc w:val="left"/>
      <w:pPr>
        <w:tabs>
          <w:tab w:val="num" w:pos="4320"/>
        </w:tabs>
        <w:ind w:left="4320" w:hanging="360"/>
      </w:pPr>
      <w:rPr>
        <w:rFonts w:ascii="Arial" w:hAnsi="Arial" w:hint="default"/>
      </w:rPr>
    </w:lvl>
    <w:lvl w:ilvl="6" w:tplc="70201486" w:tentative="1">
      <w:start w:val="1"/>
      <w:numFmt w:val="bullet"/>
      <w:lvlText w:val="•"/>
      <w:lvlJc w:val="left"/>
      <w:pPr>
        <w:tabs>
          <w:tab w:val="num" w:pos="5040"/>
        </w:tabs>
        <w:ind w:left="5040" w:hanging="360"/>
      </w:pPr>
      <w:rPr>
        <w:rFonts w:ascii="Arial" w:hAnsi="Arial" w:hint="default"/>
      </w:rPr>
    </w:lvl>
    <w:lvl w:ilvl="7" w:tplc="D0003606" w:tentative="1">
      <w:start w:val="1"/>
      <w:numFmt w:val="bullet"/>
      <w:lvlText w:val="•"/>
      <w:lvlJc w:val="left"/>
      <w:pPr>
        <w:tabs>
          <w:tab w:val="num" w:pos="5760"/>
        </w:tabs>
        <w:ind w:left="5760" w:hanging="360"/>
      </w:pPr>
      <w:rPr>
        <w:rFonts w:ascii="Arial" w:hAnsi="Arial" w:hint="default"/>
      </w:rPr>
    </w:lvl>
    <w:lvl w:ilvl="8" w:tplc="D5FCC490" w:tentative="1">
      <w:start w:val="1"/>
      <w:numFmt w:val="bullet"/>
      <w:lvlText w:val="•"/>
      <w:lvlJc w:val="left"/>
      <w:pPr>
        <w:tabs>
          <w:tab w:val="num" w:pos="6480"/>
        </w:tabs>
        <w:ind w:left="6480" w:hanging="360"/>
      </w:pPr>
      <w:rPr>
        <w:rFonts w:ascii="Arial" w:hAnsi="Arial" w:hint="default"/>
      </w:rPr>
    </w:lvl>
  </w:abstractNum>
  <w:abstractNum w:abstractNumId="1">
    <w:nsid w:val="0CC51CE3"/>
    <w:multiLevelType w:val="hybridMultilevel"/>
    <w:tmpl w:val="FA0896CE"/>
    <w:lvl w:ilvl="0" w:tplc="BD9A55EC">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0E3D633B"/>
    <w:multiLevelType w:val="hybridMultilevel"/>
    <w:tmpl w:val="12FEDFBE"/>
    <w:lvl w:ilvl="0" w:tplc="2416B41E">
      <w:start w:val="1"/>
      <w:numFmt w:val="bullet"/>
      <w:lvlText w:val="•"/>
      <w:lvlJc w:val="left"/>
      <w:pPr>
        <w:tabs>
          <w:tab w:val="num" w:pos="720"/>
        </w:tabs>
        <w:ind w:left="720" w:hanging="360"/>
      </w:pPr>
      <w:rPr>
        <w:rFonts w:ascii="Arial" w:hAnsi="Arial" w:hint="default"/>
      </w:rPr>
    </w:lvl>
    <w:lvl w:ilvl="1" w:tplc="801AFEC6">
      <w:start w:val="1"/>
      <w:numFmt w:val="bullet"/>
      <w:lvlText w:val="•"/>
      <w:lvlJc w:val="left"/>
      <w:pPr>
        <w:tabs>
          <w:tab w:val="num" w:pos="1440"/>
        </w:tabs>
        <w:ind w:left="1440" w:hanging="360"/>
      </w:pPr>
      <w:rPr>
        <w:rFonts w:ascii="Arial" w:hAnsi="Arial" w:hint="default"/>
      </w:rPr>
    </w:lvl>
    <w:lvl w:ilvl="2" w:tplc="783C00FE">
      <w:start w:val="110"/>
      <w:numFmt w:val="bullet"/>
      <w:lvlText w:val="•"/>
      <w:lvlJc w:val="left"/>
      <w:pPr>
        <w:tabs>
          <w:tab w:val="num" w:pos="2160"/>
        </w:tabs>
        <w:ind w:left="2160" w:hanging="360"/>
      </w:pPr>
      <w:rPr>
        <w:rFonts w:ascii="Arial" w:hAnsi="Arial" w:hint="default"/>
      </w:rPr>
    </w:lvl>
    <w:lvl w:ilvl="3" w:tplc="7E087B76" w:tentative="1">
      <w:start w:val="1"/>
      <w:numFmt w:val="bullet"/>
      <w:lvlText w:val="•"/>
      <w:lvlJc w:val="left"/>
      <w:pPr>
        <w:tabs>
          <w:tab w:val="num" w:pos="2880"/>
        </w:tabs>
        <w:ind w:left="2880" w:hanging="360"/>
      </w:pPr>
      <w:rPr>
        <w:rFonts w:ascii="Arial" w:hAnsi="Arial" w:hint="default"/>
      </w:rPr>
    </w:lvl>
    <w:lvl w:ilvl="4" w:tplc="E2C67288" w:tentative="1">
      <w:start w:val="1"/>
      <w:numFmt w:val="bullet"/>
      <w:lvlText w:val="•"/>
      <w:lvlJc w:val="left"/>
      <w:pPr>
        <w:tabs>
          <w:tab w:val="num" w:pos="3600"/>
        </w:tabs>
        <w:ind w:left="3600" w:hanging="360"/>
      </w:pPr>
      <w:rPr>
        <w:rFonts w:ascii="Arial" w:hAnsi="Arial" w:hint="default"/>
      </w:rPr>
    </w:lvl>
    <w:lvl w:ilvl="5" w:tplc="2E2E241E" w:tentative="1">
      <w:start w:val="1"/>
      <w:numFmt w:val="bullet"/>
      <w:lvlText w:val="•"/>
      <w:lvlJc w:val="left"/>
      <w:pPr>
        <w:tabs>
          <w:tab w:val="num" w:pos="4320"/>
        </w:tabs>
        <w:ind w:left="4320" w:hanging="360"/>
      </w:pPr>
      <w:rPr>
        <w:rFonts w:ascii="Arial" w:hAnsi="Arial" w:hint="default"/>
      </w:rPr>
    </w:lvl>
    <w:lvl w:ilvl="6" w:tplc="1588705E" w:tentative="1">
      <w:start w:val="1"/>
      <w:numFmt w:val="bullet"/>
      <w:lvlText w:val="•"/>
      <w:lvlJc w:val="left"/>
      <w:pPr>
        <w:tabs>
          <w:tab w:val="num" w:pos="5040"/>
        </w:tabs>
        <w:ind w:left="5040" w:hanging="360"/>
      </w:pPr>
      <w:rPr>
        <w:rFonts w:ascii="Arial" w:hAnsi="Arial" w:hint="default"/>
      </w:rPr>
    </w:lvl>
    <w:lvl w:ilvl="7" w:tplc="3642D058" w:tentative="1">
      <w:start w:val="1"/>
      <w:numFmt w:val="bullet"/>
      <w:lvlText w:val="•"/>
      <w:lvlJc w:val="left"/>
      <w:pPr>
        <w:tabs>
          <w:tab w:val="num" w:pos="5760"/>
        </w:tabs>
        <w:ind w:left="5760" w:hanging="360"/>
      </w:pPr>
      <w:rPr>
        <w:rFonts w:ascii="Arial" w:hAnsi="Arial" w:hint="default"/>
      </w:rPr>
    </w:lvl>
    <w:lvl w:ilvl="8" w:tplc="6D1C30BA" w:tentative="1">
      <w:start w:val="1"/>
      <w:numFmt w:val="bullet"/>
      <w:lvlText w:val="•"/>
      <w:lvlJc w:val="left"/>
      <w:pPr>
        <w:tabs>
          <w:tab w:val="num" w:pos="6480"/>
        </w:tabs>
        <w:ind w:left="6480" w:hanging="360"/>
      </w:pPr>
      <w:rPr>
        <w:rFonts w:ascii="Arial" w:hAnsi="Arial" w:hint="default"/>
      </w:rPr>
    </w:lvl>
  </w:abstractNum>
  <w:abstractNum w:abstractNumId="3">
    <w:nsid w:val="156029BB"/>
    <w:multiLevelType w:val="hybridMultilevel"/>
    <w:tmpl w:val="D3889024"/>
    <w:lvl w:ilvl="0" w:tplc="DF06A7B2">
      <w:start w:val="1"/>
      <w:numFmt w:val="lowerLetter"/>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5B43D1A"/>
    <w:multiLevelType w:val="hybridMultilevel"/>
    <w:tmpl w:val="7D9E8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9F58EF"/>
    <w:multiLevelType w:val="hybridMultilevel"/>
    <w:tmpl w:val="D4149806"/>
    <w:lvl w:ilvl="0" w:tplc="BD889B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D2072"/>
    <w:multiLevelType w:val="hybridMultilevel"/>
    <w:tmpl w:val="DD92D06E"/>
    <w:lvl w:ilvl="0" w:tplc="C17E9F8C">
      <w:start w:val="1"/>
      <w:numFmt w:val="bullet"/>
      <w:lvlText w:val="–"/>
      <w:lvlJc w:val="left"/>
      <w:pPr>
        <w:tabs>
          <w:tab w:val="num" w:pos="720"/>
        </w:tabs>
        <w:ind w:left="720" w:hanging="360"/>
      </w:pPr>
      <w:rPr>
        <w:rFonts w:ascii="Arial" w:hAnsi="Arial" w:hint="default"/>
      </w:rPr>
    </w:lvl>
    <w:lvl w:ilvl="1" w:tplc="40F41B22">
      <w:start w:val="1"/>
      <w:numFmt w:val="bullet"/>
      <w:lvlText w:val="–"/>
      <w:lvlJc w:val="left"/>
      <w:pPr>
        <w:tabs>
          <w:tab w:val="num" w:pos="1440"/>
        </w:tabs>
        <w:ind w:left="1440" w:hanging="360"/>
      </w:pPr>
      <w:rPr>
        <w:rFonts w:ascii="Arial" w:hAnsi="Arial" w:hint="default"/>
      </w:rPr>
    </w:lvl>
    <w:lvl w:ilvl="2" w:tplc="54B61EAC" w:tentative="1">
      <w:start w:val="1"/>
      <w:numFmt w:val="bullet"/>
      <w:lvlText w:val="–"/>
      <w:lvlJc w:val="left"/>
      <w:pPr>
        <w:tabs>
          <w:tab w:val="num" w:pos="2160"/>
        </w:tabs>
        <w:ind w:left="2160" w:hanging="360"/>
      </w:pPr>
      <w:rPr>
        <w:rFonts w:ascii="Arial" w:hAnsi="Arial" w:hint="default"/>
      </w:rPr>
    </w:lvl>
    <w:lvl w:ilvl="3" w:tplc="2C74C5D4" w:tentative="1">
      <w:start w:val="1"/>
      <w:numFmt w:val="bullet"/>
      <w:lvlText w:val="–"/>
      <w:lvlJc w:val="left"/>
      <w:pPr>
        <w:tabs>
          <w:tab w:val="num" w:pos="2880"/>
        </w:tabs>
        <w:ind w:left="2880" w:hanging="360"/>
      </w:pPr>
      <w:rPr>
        <w:rFonts w:ascii="Arial" w:hAnsi="Arial" w:hint="default"/>
      </w:rPr>
    </w:lvl>
    <w:lvl w:ilvl="4" w:tplc="D5E2E35E" w:tentative="1">
      <w:start w:val="1"/>
      <w:numFmt w:val="bullet"/>
      <w:lvlText w:val="–"/>
      <w:lvlJc w:val="left"/>
      <w:pPr>
        <w:tabs>
          <w:tab w:val="num" w:pos="3600"/>
        </w:tabs>
        <w:ind w:left="3600" w:hanging="360"/>
      </w:pPr>
      <w:rPr>
        <w:rFonts w:ascii="Arial" w:hAnsi="Arial" w:hint="default"/>
      </w:rPr>
    </w:lvl>
    <w:lvl w:ilvl="5" w:tplc="4C5486E8" w:tentative="1">
      <w:start w:val="1"/>
      <w:numFmt w:val="bullet"/>
      <w:lvlText w:val="–"/>
      <w:lvlJc w:val="left"/>
      <w:pPr>
        <w:tabs>
          <w:tab w:val="num" w:pos="4320"/>
        </w:tabs>
        <w:ind w:left="4320" w:hanging="360"/>
      </w:pPr>
      <w:rPr>
        <w:rFonts w:ascii="Arial" w:hAnsi="Arial" w:hint="default"/>
      </w:rPr>
    </w:lvl>
    <w:lvl w:ilvl="6" w:tplc="D7C8B24C" w:tentative="1">
      <w:start w:val="1"/>
      <w:numFmt w:val="bullet"/>
      <w:lvlText w:val="–"/>
      <w:lvlJc w:val="left"/>
      <w:pPr>
        <w:tabs>
          <w:tab w:val="num" w:pos="5040"/>
        </w:tabs>
        <w:ind w:left="5040" w:hanging="360"/>
      </w:pPr>
      <w:rPr>
        <w:rFonts w:ascii="Arial" w:hAnsi="Arial" w:hint="default"/>
      </w:rPr>
    </w:lvl>
    <w:lvl w:ilvl="7" w:tplc="7EFABE9A" w:tentative="1">
      <w:start w:val="1"/>
      <w:numFmt w:val="bullet"/>
      <w:lvlText w:val="–"/>
      <w:lvlJc w:val="left"/>
      <w:pPr>
        <w:tabs>
          <w:tab w:val="num" w:pos="5760"/>
        </w:tabs>
        <w:ind w:left="5760" w:hanging="360"/>
      </w:pPr>
      <w:rPr>
        <w:rFonts w:ascii="Arial" w:hAnsi="Arial" w:hint="default"/>
      </w:rPr>
    </w:lvl>
    <w:lvl w:ilvl="8" w:tplc="B0B226EC" w:tentative="1">
      <w:start w:val="1"/>
      <w:numFmt w:val="bullet"/>
      <w:lvlText w:val="–"/>
      <w:lvlJc w:val="left"/>
      <w:pPr>
        <w:tabs>
          <w:tab w:val="num" w:pos="6480"/>
        </w:tabs>
        <w:ind w:left="6480" w:hanging="360"/>
      </w:pPr>
      <w:rPr>
        <w:rFonts w:ascii="Arial" w:hAnsi="Arial" w:hint="default"/>
      </w:rPr>
    </w:lvl>
  </w:abstractNum>
  <w:abstractNum w:abstractNumId="7">
    <w:nsid w:val="1F3F5FD4"/>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25380FAC"/>
    <w:multiLevelType w:val="hybridMultilevel"/>
    <w:tmpl w:val="91F020CA"/>
    <w:lvl w:ilvl="0" w:tplc="AE1AC7F4">
      <w:start w:val="1"/>
      <w:numFmt w:val="lowerLetter"/>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2D67FCE"/>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38C114A3"/>
    <w:multiLevelType w:val="hybridMultilevel"/>
    <w:tmpl w:val="DE7608C4"/>
    <w:lvl w:ilvl="0" w:tplc="B8AC120A">
      <w:start w:val="1"/>
      <w:numFmt w:val="bullet"/>
      <w:lvlText w:val="•"/>
      <w:lvlJc w:val="left"/>
      <w:pPr>
        <w:tabs>
          <w:tab w:val="num" w:pos="720"/>
        </w:tabs>
        <w:ind w:left="720" w:hanging="360"/>
      </w:pPr>
      <w:rPr>
        <w:rFonts w:ascii="Arial" w:hAnsi="Arial" w:hint="default"/>
      </w:rPr>
    </w:lvl>
    <w:lvl w:ilvl="1" w:tplc="5DCE219E">
      <w:start w:val="1"/>
      <w:numFmt w:val="bullet"/>
      <w:lvlText w:val="•"/>
      <w:lvlJc w:val="left"/>
      <w:pPr>
        <w:tabs>
          <w:tab w:val="num" w:pos="1440"/>
        </w:tabs>
        <w:ind w:left="1440" w:hanging="360"/>
      </w:pPr>
      <w:rPr>
        <w:rFonts w:ascii="Arial" w:hAnsi="Arial" w:hint="default"/>
      </w:rPr>
    </w:lvl>
    <w:lvl w:ilvl="2" w:tplc="05A875B0" w:tentative="1">
      <w:start w:val="1"/>
      <w:numFmt w:val="bullet"/>
      <w:lvlText w:val="•"/>
      <w:lvlJc w:val="left"/>
      <w:pPr>
        <w:tabs>
          <w:tab w:val="num" w:pos="2160"/>
        </w:tabs>
        <w:ind w:left="2160" w:hanging="360"/>
      </w:pPr>
      <w:rPr>
        <w:rFonts w:ascii="Arial" w:hAnsi="Arial" w:hint="default"/>
      </w:rPr>
    </w:lvl>
    <w:lvl w:ilvl="3" w:tplc="54C0A7F6" w:tentative="1">
      <w:start w:val="1"/>
      <w:numFmt w:val="bullet"/>
      <w:lvlText w:val="•"/>
      <w:lvlJc w:val="left"/>
      <w:pPr>
        <w:tabs>
          <w:tab w:val="num" w:pos="2880"/>
        </w:tabs>
        <w:ind w:left="2880" w:hanging="360"/>
      </w:pPr>
      <w:rPr>
        <w:rFonts w:ascii="Arial" w:hAnsi="Arial" w:hint="default"/>
      </w:rPr>
    </w:lvl>
    <w:lvl w:ilvl="4" w:tplc="2AE60F64" w:tentative="1">
      <w:start w:val="1"/>
      <w:numFmt w:val="bullet"/>
      <w:lvlText w:val="•"/>
      <w:lvlJc w:val="left"/>
      <w:pPr>
        <w:tabs>
          <w:tab w:val="num" w:pos="3600"/>
        </w:tabs>
        <w:ind w:left="3600" w:hanging="360"/>
      </w:pPr>
      <w:rPr>
        <w:rFonts w:ascii="Arial" w:hAnsi="Arial" w:hint="default"/>
      </w:rPr>
    </w:lvl>
    <w:lvl w:ilvl="5" w:tplc="ED26614C" w:tentative="1">
      <w:start w:val="1"/>
      <w:numFmt w:val="bullet"/>
      <w:lvlText w:val="•"/>
      <w:lvlJc w:val="left"/>
      <w:pPr>
        <w:tabs>
          <w:tab w:val="num" w:pos="4320"/>
        </w:tabs>
        <w:ind w:left="4320" w:hanging="360"/>
      </w:pPr>
      <w:rPr>
        <w:rFonts w:ascii="Arial" w:hAnsi="Arial" w:hint="default"/>
      </w:rPr>
    </w:lvl>
    <w:lvl w:ilvl="6" w:tplc="0B12EFB2" w:tentative="1">
      <w:start w:val="1"/>
      <w:numFmt w:val="bullet"/>
      <w:lvlText w:val="•"/>
      <w:lvlJc w:val="left"/>
      <w:pPr>
        <w:tabs>
          <w:tab w:val="num" w:pos="5040"/>
        </w:tabs>
        <w:ind w:left="5040" w:hanging="360"/>
      </w:pPr>
      <w:rPr>
        <w:rFonts w:ascii="Arial" w:hAnsi="Arial" w:hint="default"/>
      </w:rPr>
    </w:lvl>
    <w:lvl w:ilvl="7" w:tplc="1A56D614" w:tentative="1">
      <w:start w:val="1"/>
      <w:numFmt w:val="bullet"/>
      <w:lvlText w:val="•"/>
      <w:lvlJc w:val="left"/>
      <w:pPr>
        <w:tabs>
          <w:tab w:val="num" w:pos="5760"/>
        </w:tabs>
        <w:ind w:left="5760" w:hanging="360"/>
      </w:pPr>
      <w:rPr>
        <w:rFonts w:ascii="Arial" w:hAnsi="Arial" w:hint="default"/>
      </w:rPr>
    </w:lvl>
    <w:lvl w:ilvl="8" w:tplc="62281B4C" w:tentative="1">
      <w:start w:val="1"/>
      <w:numFmt w:val="bullet"/>
      <w:lvlText w:val="•"/>
      <w:lvlJc w:val="left"/>
      <w:pPr>
        <w:tabs>
          <w:tab w:val="num" w:pos="6480"/>
        </w:tabs>
        <w:ind w:left="6480" w:hanging="360"/>
      </w:pPr>
      <w:rPr>
        <w:rFonts w:ascii="Arial" w:hAnsi="Arial" w:hint="default"/>
      </w:rPr>
    </w:lvl>
  </w:abstractNum>
  <w:abstractNum w:abstractNumId="12">
    <w:nsid w:val="395C342F"/>
    <w:multiLevelType w:val="hybridMultilevel"/>
    <w:tmpl w:val="5652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80B12"/>
    <w:multiLevelType w:val="hybridMultilevel"/>
    <w:tmpl w:val="AE465112"/>
    <w:lvl w:ilvl="0" w:tplc="9DC402EE">
      <w:start w:val="1"/>
      <w:numFmt w:val="lowerLetter"/>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52567535"/>
    <w:multiLevelType w:val="hybridMultilevel"/>
    <w:tmpl w:val="772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0A6F5C"/>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55556517"/>
    <w:multiLevelType w:val="hybridMultilevel"/>
    <w:tmpl w:val="D9763C28"/>
    <w:lvl w:ilvl="0" w:tplc="8E9C9E8C">
      <w:start w:val="1"/>
      <w:numFmt w:val="lowerLetter"/>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5B602B4B"/>
    <w:multiLevelType w:val="hybridMultilevel"/>
    <w:tmpl w:val="483469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CA44FCB"/>
    <w:multiLevelType w:val="hybridMultilevel"/>
    <w:tmpl w:val="09CE7060"/>
    <w:lvl w:ilvl="0" w:tplc="C3C01A0A">
      <w:start w:val="1"/>
      <w:numFmt w:val="bullet"/>
      <w:lvlText w:val="•"/>
      <w:lvlJc w:val="left"/>
      <w:pPr>
        <w:ind w:left="720" w:hanging="360"/>
      </w:pPr>
      <w:rPr>
        <w:rFonts w:ascii="Arial" w:hAnsi="Arial" w:hint="default"/>
      </w:rPr>
    </w:lvl>
    <w:lvl w:ilvl="1" w:tplc="7D769A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FD26A9"/>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61473BF9"/>
    <w:multiLevelType w:val="hybridMultilevel"/>
    <w:tmpl w:val="64C080AE"/>
    <w:lvl w:ilvl="0" w:tplc="299220B6">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AB7769"/>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6BBB294B"/>
    <w:multiLevelType w:val="hybridMultilevel"/>
    <w:tmpl w:val="9FAAACA8"/>
    <w:lvl w:ilvl="0" w:tplc="292625DA">
      <w:start w:val="1"/>
      <w:numFmt w:val="bullet"/>
      <w:lvlText w:val="•"/>
      <w:lvlJc w:val="left"/>
      <w:pPr>
        <w:tabs>
          <w:tab w:val="num" w:pos="720"/>
        </w:tabs>
        <w:ind w:left="720" w:hanging="360"/>
      </w:pPr>
      <w:rPr>
        <w:rFonts w:ascii="Arial" w:hAnsi="Arial" w:hint="default"/>
      </w:rPr>
    </w:lvl>
    <w:lvl w:ilvl="1" w:tplc="8E50FD68" w:tentative="1">
      <w:start w:val="1"/>
      <w:numFmt w:val="bullet"/>
      <w:lvlText w:val="•"/>
      <w:lvlJc w:val="left"/>
      <w:pPr>
        <w:tabs>
          <w:tab w:val="num" w:pos="1440"/>
        </w:tabs>
        <w:ind w:left="1440" w:hanging="360"/>
      </w:pPr>
      <w:rPr>
        <w:rFonts w:ascii="Arial" w:hAnsi="Arial" w:hint="default"/>
      </w:rPr>
    </w:lvl>
    <w:lvl w:ilvl="2" w:tplc="1BCEF2A6" w:tentative="1">
      <w:start w:val="1"/>
      <w:numFmt w:val="bullet"/>
      <w:lvlText w:val="•"/>
      <w:lvlJc w:val="left"/>
      <w:pPr>
        <w:tabs>
          <w:tab w:val="num" w:pos="2160"/>
        </w:tabs>
        <w:ind w:left="2160" w:hanging="360"/>
      </w:pPr>
      <w:rPr>
        <w:rFonts w:ascii="Arial" w:hAnsi="Arial" w:hint="default"/>
      </w:rPr>
    </w:lvl>
    <w:lvl w:ilvl="3" w:tplc="882EBD10" w:tentative="1">
      <w:start w:val="1"/>
      <w:numFmt w:val="bullet"/>
      <w:lvlText w:val="•"/>
      <w:lvlJc w:val="left"/>
      <w:pPr>
        <w:tabs>
          <w:tab w:val="num" w:pos="2880"/>
        </w:tabs>
        <w:ind w:left="2880" w:hanging="360"/>
      </w:pPr>
      <w:rPr>
        <w:rFonts w:ascii="Arial" w:hAnsi="Arial" w:hint="default"/>
      </w:rPr>
    </w:lvl>
    <w:lvl w:ilvl="4" w:tplc="99ACC622" w:tentative="1">
      <w:start w:val="1"/>
      <w:numFmt w:val="bullet"/>
      <w:lvlText w:val="•"/>
      <w:lvlJc w:val="left"/>
      <w:pPr>
        <w:tabs>
          <w:tab w:val="num" w:pos="3600"/>
        </w:tabs>
        <w:ind w:left="3600" w:hanging="360"/>
      </w:pPr>
      <w:rPr>
        <w:rFonts w:ascii="Arial" w:hAnsi="Arial" w:hint="default"/>
      </w:rPr>
    </w:lvl>
    <w:lvl w:ilvl="5" w:tplc="C15C8270" w:tentative="1">
      <w:start w:val="1"/>
      <w:numFmt w:val="bullet"/>
      <w:lvlText w:val="•"/>
      <w:lvlJc w:val="left"/>
      <w:pPr>
        <w:tabs>
          <w:tab w:val="num" w:pos="4320"/>
        </w:tabs>
        <w:ind w:left="4320" w:hanging="360"/>
      </w:pPr>
      <w:rPr>
        <w:rFonts w:ascii="Arial" w:hAnsi="Arial" w:hint="default"/>
      </w:rPr>
    </w:lvl>
    <w:lvl w:ilvl="6" w:tplc="8A5421FE" w:tentative="1">
      <w:start w:val="1"/>
      <w:numFmt w:val="bullet"/>
      <w:lvlText w:val="•"/>
      <w:lvlJc w:val="left"/>
      <w:pPr>
        <w:tabs>
          <w:tab w:val="num" w:pos="5040"/>
        </w:tabs>
        <w:ind w:left="5040" w:hanging="360"/>
      </w:pPr>
      <w:rPr>
        <w:rFonts w:ascii="Arial" w:hAnsi="Arial" w:hint="default"/>
      </w:rPr>
    </w:lvl>
    <w:lvl w:ilvl="7" w:tplc="5FAE1F3C" w:tentative="1">
      <w:start w:val="1"/>
      <w:numFmt w:val="bullet"/>
      <w:lvlText w:val="•"/>
      <w:lvlJc w:val="left"/>
      <w:pPr>
        <w:tabs>
          <w:tab w:val="num" w:pos="5760"/>
        </w:tabs>
        <w:ind w:left="5760" w:hanging="360"/>
      </w:pPr>
      <w:rPr>
        <w:rFonts w:ascii="Arial" w:hAnsi="Arial" w:hint="default"/>
      </w:rPr>
    </w:lvl>
    <w:lvl w:ilvl="8" w:tplc="9116938A" w:tentative="1">
      <w:start w:val="1"/>
      <w:numFmt w:val="bullet"/>
      <w:lvlText w:val="•"/>
      <w:lvlJc w:val="left"/>
      <w:pPr>
        <w:tabs>
          <w:tab w:val="num" w:pos="6480"/>
        </w:tabs>
        <w:ind w:left="6480" w:hanging="360"/>
      </w:pPr>
      <w:rPr>
        <w:rFonts w:ascii="Arial" w:hAnsi="Arial" w:hint="default"/>
      </w:rPr>
    </w:lvl>
  </w:abstractNum>
  <w:abstractNum w:abstractNumId="23">
    <w:nsid w:val="70067611"/>
    <w:multiLevelType w:val="hybridMultilevel"/>
    <w:tmpl w:val="87F2B8D2"/>
    <w:lvl w:ilvl="0" w:tplc="E8F6C0C4">
      <w:start w:val="1"/>
      <w:numFmt w:val="bullet"/>
      <w:lvlText w:val="•"/>
      <w:lvlJc w:val="left"/>
      <w:pPr>
        <w:tabs>
          <w:tab w:val="num" w:pos="720"/>
        </w:tabs>
        <w:ind w:left="720" w:hanging="360"/>
      </w:pPr>
      <w:rPr>
        <w:rFonts w:ascii="Arial" w:hAnsi="Arial" w:hint="default"/>
      </w:rPr>
    </w:lvl>
    <w:lvl w:ilvl="1" w:tplc="A7DC38F8">
      <w:start w:val="1"/>
      <w:numFmt w:val="bullet"/>
      <w:lvlText w:val="•"/>
      <w:lvlJc w:val="left"/>
      <w:pPr>
        <w:tabs>
          <w:tab w:val="num" w:pos="1440"/>
        </w:tabs>
        <w:ind w:left="1440" w:hanging="360"/>
      </w:pPr>
      <w:rPr>
        <w:rFonts w:ascii="Arial" w:hAnsi="Arial" w:hint="default"/>
      </w:rPr>
    </w:lvl>
    <w:lvl w:ilvl="2" w:tplc="0D804D32" w:tentative="1">
      <w:start w:val="1"/>
      <w:numFmt w:val="bullet"/>
      <w:lvlText w:val="•"/>
      <w:lvlJc w:val="left"/>
      <w:pPr>
        <w:tabs>
          <w:tab w:val="num" w:pos="2160"/>
        </w:tabs>
        <w:ind w:left="2160" w:hanging="360"/>
      </w:pPr>
      <w:rPr>
        <w:rFonts w:ascii="Arial" w:hAnsi="Arial" w:hint="default"/>
      </w:rPr>
    </w:lvl>
    <w:lvl w:ilvl="3" w:tplc="CBE4A8E4" w:tentative="1">
      <w:start w:val="1"/>
      <w:numFmt w:val="bullet"/>
      <w:lvlText w:val="•"/>
      <w:lvlJc w:val="left"/>
      <w:pPr>
        <w:tabs>
          <w:tab w:val="num" w:pos="2880"/>
        </w:tabs>
        <w:ind w:left="2880" w:hanging="360"/>
      </w:pPr>
      <w:rPr>
        <w:rFonts w:ascii="Arial" w:hAnsi="Arial" w:hint="default"/>
      </w:rPr>
    </w:lvl>
    <w:lvl w:ilvl="4" w:tplc="D2CEB9A0" w:tentative="1">
      <w:start w:val="1"/>
      <w:numFmt w:val="bullet"/>
      <w:lvlText w:val="•"/>
      <w:lvlJc w:val="left"/>
      <w:pPr>
        <w:tabs>
          <w:tab w:val="num" w:pos="3600"/>
        </w:tabs>
        <w:ind w:left="3600" w:hanging="360"/>
      </w:pPr>
      <w:rPr>
        <w:rFonts w:ascii="Arial" w:hAnsi="Arial" w:hint="default"/>
      </w:rPr>
    </w:lvl>
    <w:lvl w:ilvl="5" w:tplc="CF6A97F8" w:tentative="1">
      <w:start w:val="1"/>
      <w:numFmt w:val="bullet"/>
      <w:lvlText w:val="•"/>
      <w:lvlJc w:val="left"/>
      <w:pPr>
        <w:tabs>
          <w:tab w:val="num" w:pos="4320"/>
        </w:tabs>
        <w:ind w:left="4320" w:hanging="360"/>
      </w:pPr>
      <w:rPr>
        <w:rFonts w:ascii="Arial" w:hAnsi="Arial" w:hint="default"/>
      </w:rPr>
    </w:lvl>
    <w:lvl w:ilvl="6" w:tplc="A7E0CBD4" w:tentative="1">
      <w:start w:val="1"/>
      <w:numFmt w:val="bullet"/>
      <w:lvlText w:val="•"/>
      <w:lvlJc w:val="left"/>
      <w:pPr>
        <w:tabs>
          <w:tab w:val="num" w:pos="5040"/>
        </w:tabs>
        <w:ind w:left="5040" w:hanging="360"/>
      </w:pPr>
      <w:rPr>
        <w:rFonts w:ascii="Arial" w:hAnsi="Arial" w:hint="default"/>
      </w:rPr>
    </w:lvl>
    <w:lvl w:ilvl="7" w:tplc="1C764FA6" w:tentative="1">
      <w:start w:val="1"/>
      <w:numFmt w:val="bullet"/>
      <w:lvlText w:val="•"/>
      <w:lvlJc w:val="left"/>
      <w:pPr>
        <w:tabs>
          <w:tab w:val="num" w:pos="5760"/>
        </w:tabs>
        <w:ind w:left="5760" w:hanging="360"/>
      </w:pPr>
      <w:rPr>
        <w:rFonts w:ascii="Arial" w:hAnsi="Arial" w:hint="default"/>
      </w:rPr>
    </w:lvl>
    <w:lvl w:ilvl="8" w:tplc="1F9E4444" w:tentative="1">
      <w:start w:val="1"/>
      <w:numFmt w:val="bullet"/>
      <w:lvlText w:val="•"/>
      <w:lvlJc w:val="left"/>
      <w:pPr>
        <w:tabs>
          <w:tab w:val="num" w:pos="6480"/>
        </w:tabs>
        <w:ind w:left="6480" w:hanging="360"/>
      </w:pPr>
      <w:rPr>
        <w:rFonts w:ascii="Arial" w:hAnsi="Arial" w:hint="default"/>
      </w:rPr>
    </w:lvl>
  </w:abstractNum>
  <w:abstractNum w:abstractNumId="24">
    <w:nsid w:val="703B555D"/>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752E3BDF"/>
    <w:multiLevelType w:val="hybridMultilevel"/>
    <w:tmpl w:val="2D06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D521DF"/>
    <w:multiLevelType w:val="hybridMultilevel"/>
    <w:tmpl w:val="2BA26558"/>
    <w:lvl w:ilvl="0" w:tplc="6096E3C0">
      <w:start w:val="1"/>
      <w:numFmt w:val="bullet"/>
      <w:lvlText w:val="–"/>
      <w:lvlJc w:val="left"/>
      <w:pPr>
        <w:tabs>
          <w:tab w:val="num" w:pos="720"/>
        </w:tabs>
        <w:ind w:left="720" w:hanging="360"/>
      </w:pPr>
      <w:rPr>
        <w:rFonts w:ascii="Arial" w:hAnsi="Arial" w:hint="default"/>
      </w:rPr>
    </w:lvl>
    <w:lvl w:ilvl="1" w:tplc="DC6CCD84">
      <w:start w:val="1"/>
      <w:numFmt w:val="bullet"/>
      <w:lvlText w:val="–"/>
      <w:lvlJc w:val="left"/>
      <w:pPr>
        <w:tabs>
          <w:tab w:val="num" w:pos="1440"/>
        </w:tabs>
        <w:ind w:left="1440" w:hanging="360"/>
      </w:pPr>
      <w:rPr>
        <w:rFonts w:ascii="Arial" w:hAnsi="Arial" w:hint="default"/>
      </w:rPr>
    </w:lvl>
    <w:lvl w:ilvl="2" w:tplc="E5E6258C" w:tentative="1">
      <w:start w:val="1"/>
      <w:numFmt w:val="bullet"/>
      <w:lvlText w:val="–"/>
      <w:lvlJc w:val="left"/>
      <w:pPr>
        <w:tabs>
          <w:tab w:val="num" w:pos="2160"/>
        </w:tabs>
        <w:ind w:left="2160" w:hanging="360"/>
      </w:pPr>
      <w:rPr>
        <w:rFonts w:ascii="Arial" w:hAnsi="Arial" w:hint="default"/>
      </w:rPr>
    </w:lvl>
    <w:lvl w:ilvl="3" w:tplc="CFB87120" w:tentative="1">
      <w:start w:val="1"/>
      <w:numFmt w:val="bullet"/>
      <w:lvlText w:val="–"/>
      <w:lvlJc w:val="left"/>
      <w:pPr>
        <w:tabs>
          <w:tab w:val="num" w:pos="2880"/>
        </w:tabs>
        <w:ind w:left="2880" w:hanging="360"/>
      </w:pPr>
      <w:rPr>
        <w:rFonts w:ascii="Arial" w:hAnsi="Arial" w:hint="default"/>
      </w:rPr>
    </w:lvl>
    <w:lvl w:ilvl="4" w:tplc="7428B8B4" w:tentative="1">
      <w:start w:val="1"/>
      <w:numFmt w:val="bullet"/>
      <w:lvlText w:val="–"/>
      <w:lvlJc w:val="left"/>
      <w:pPr>
        <w:tabs>
          <w:tab w:val="num" w:pos="3600"/>
        </w:tabs>
        <w:ind w:left="3600" w:hanging="360"/>
      </w:pPr>
      <w:rPr>
        <w:rFonts w:ascii="Arial" w:hAnsi="Arial" w:hint="default"/>
      </w:rPr>
    </w:lvl>
    <w:lvl w:ilvl="5" w:tplc="5C385480" w:tentative="1">
      <w:start w:val="1"/>
      <w:numFmt w:val="bullet"/>
      <w:lvlText w:val="–"/>
      <w:lvlJc w:val="left"/>
      <w:pPr>
        <w:tabs>
          <w:tab w:val="num" w:pos="4320"/>
        </w:tabs>
        <w:ind w:left="4320" w:hanging="360"/>
      </w:pPr>
      <w:rPr>
        <w:rFonts w:ascii="Arial" w:hAnsi="Arial" w:hint="default"/>
      </w:rPr>
    </w:lvl>
    <w:lvl w:ilvl="6" w:tplc="0A300E62" w:tentative="1">
      <w:start w:val="1"/>
      <w:numFmt w:val="bullet"/>
      <w:lvlText w:val="–"/>
      <w:lvlJc w:val="left"/>
      <w:pPr>
        <w:tabs>
          <w:tab w:val="num" w:pos="5040"/>
        </w:tabs>
        <w:ind w:left="5040" w:hanging="360"/>
      </w:pPr>
      <w:rPr>
        <w:rFonts w:ascii="Arial" w:hAnsi="Arial" w:hint="default"/>
      </w:rPr>
    </w:lvl>
    <w:lvl w:ilvl="7" w:tplc="0B0C29C8" w:tentative="1">
      <w:start w:val="1"/>
      <w:numFmt w:val="bullet"/>
      <w:lvlText w:val="–"/>
      <w:lvlJc w:val="left"/>
      <w:pPr>
        <w:tabs>
          <w:tab w:val="num" w:pos="5760"/>
        </w:tabs>
        <w:ind w:left="5760" w:hanging="360"/>
      </w:pPr>
      <w:rPr>
        <w:rFonts w:ascii="Arial" w:hAnsi="Arial" w:hint="default"/>
      </w:rPr>
    </w:lvl>
    <w:lvl w:ilvl="8" w:tplc="2EB060C4" w:tentative="1">
      <w:start w:val="1"/>
      <w:numFmt w:val="bullet"/>
      <w:lvlText w:val="–"/>
      <w:lvlJc w:val="left"/>
      <w:pPr>
        <w:tabs>
          <w:tab w:val="num" w:pos="6480"/>
        </w:tabs>
        <w:ind w:left="6480" w:hanging="360"/>
      </w:pPr>
      <w:rPr>
        <w:rFonts w:ascii="Arial" w:hAnsi="Arial" w:hint="default"/>
      </w:rPr>
    </w:lvl>
  </w:abstractNum>
  <w:abstractNum w:abstractNumId="27">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21"/>
  </w:num>
  <w:num w:numId="3">
    <w:abstractNumId w:val="15"/>
  </w:num>
  <w:num w:numId="4">
    <w:abstractNumId w:val="7"/>
  </w:num>
  <w:num w:numId="5">
    <w:abstractNumId w:val="24"/>
  </w:num>
  <w:num w:numId="6">
    <w:abstractNumId w:val="19"/>
  </w:num>
  <w:num w:numId="7">
    <w:abstractNumId w:val="10"/>
  </w:num>
  <w:num w:numId="8">
    <w:abstractNumId w:val="8"/>
  </w:num>
  <w:num w:numId="9">
    <w:abstractNumId w:val="13"/>
  </w:num>
  <w:num w:numId="10">
    <w:abstractNumId w:val="16"/>
  </w:num>
  <w:num w:numId="11">
    <w:abstractNumId w:val="3"/>
  </w:num>
  <w:num w:numId="12">
    <w:abstractNumId w:val="20"/>
  </w:num>
  <w:num w:numId="13">
    <w:abstractNumId w:val="18"/>
  </w:num>
  <w:num w:numId="14">
    <w:abstractNumId w:val="1"/>
  </w:num>
  <w:num w:numId="15">
    <w:abstractNumId w:val="27"/>
  </w:num>
  <w:num w:numId="16">
    <w:abstractNumId w:val="5"/>
  </w:num>
  <w:num w:numId="17">
    <w:abstractNumId w:val="14"/>
  </w:num>
  <w:num w:numId="18">
    <w:abstractNumId w:val="17"/>
  </w:num>
  <w:num w:numId="19">
    <w:abstractNumId w:val="4"/>
  </w:num>
  <w:num w:numId="20">
    <w:abstractNumId w:val="25"/>
  </w:num>
  <w:num w:numId="21">
    <w:abstractNumId w:val="26"/>
  </w:num>
  <w:num w:numId="22">
    <w:abstractNumId w:val="6"/>
  </w:num>
  <w:num w:numId="23">
    <w:abstractNumId w:val="2"/>
  </w:num>
  <w:num w:numId="24">
    <w:abstractNumId w:val="11"/>
  </w:num>
  <w:num w:numId="25">
    <w:abstractNumId w:val="23"/>
  </w:num>
  <w:num w:numId="26">
    <w:abstractNumId w:val="0"/>
  </w:num>
  <w:num w:numId="27">
    <w:abstractNumId w:val="22"/>
  </w:num>
  <w:num w:numId="2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tino Taveira">
    <w15:presenceInfo w15:providerId="Windows Live" w15:userId="0c5430f73e75c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20"/>
    <w:rsid w:val="00006408"/>
    <w:rsid w:val="00010CF3"/>
    <w:rsid w:val="00011E27"/>
    <w:rsid w:val="000148BC"/>
    <w:rsid w:val="00015449"/>
    <w:rsid w:val="00023499"/>
    <w:rsid w:val="00023905"/>
    <w:rsid w:val="00024AB8"/>
    <w:rsid w:val="00030854"/>
    <w:rsid w:val="00036028"/>
    <w:rsid w:val="00044642"/>
    <w:rsid w:val="000446B9"/>
    <w:rsid w:val="00047E21"/>
    <w:rsid w:val="00050E16"/>
    <w:rsid w:val="00072502"/>
    <w:rsid w:val="00076A8E"/>
    <w:rsid w:val="00077F74"/>
    <w:rsid w:val="00080759"/>
    <w:rsid w:val="00084227"/>
    <w:rsid w:val="00084E33"/>
    <w:rsid w:val="00085505"/>
    <w:rsid w:val="00087012"/>
    <w:rsid w:val="00092DEC"/>
    <w:rsid w:val="00095914"/>
    <w:rsid w:val="000A21B3"/>
    <w:rsid w:val="000B0E33"/>
    <w:rsid w:val="000B3565"/>
    <w:rsid w:val="000B6059"/>
    <w:rsid w:val="000C12D2"/>
    <w:rsid w:val="000C4187"/>
    <w:rsid w:val="000C4E25"/>
    <w:rsid w:val="000C7021"/>
    <w:rsid w:val="000D64E0"/>
    <w:rsid w:val="000D6BBC"/>
    <w:rsid w:val="000D7780"/>
    <w:rsid w:val="000E164A"/>
    <w:rsid w:val="000E636A"/>
    <w:rsid w:val="000F2F11"/>
    <w:rsid w:val="001009E5"/>
    <w:rsid w:val="00105929"/>
    <w:rsid w:val="001079CC"/>
    <w:rsid w:val="00110C36"/>
    <w:rsid w:val="001131D5"/>
    <w:rsid w:val="00113272"/>
    <w:rsid w:val="001132F2"/>
    <w:rsid w:val="001330CA"/>
    <w:rsid w:val="00140401"/>
    <w:rsid w:val="00141DB8"/>
    <w:rsid w:val="00145043"/>
    <w:rsid w:val="00146ED9"/>
    <w:rsid w:val="00147266"/>
    <w:rsid w:val="0014747A"/>
    <w:rsid w:val="00172084"/>
    <w:rsid w:val="0017474A"/>
    <w:rsid w:val="001758C6"/>
    <w:rsid w:val="00175DE4"/>
    <w:rsid w:val="00182B99"/>
    <w:rsid w:val="00195CFF"/>
    <w:rsid w:val="001A6D45"/>
    <w:rsid w:val="001B05E0"/>
    <w:rsid w:val="001B38DC"/>
    <w:rsid w:val="001C09CB"/>
    <w:rsid w:val="001C1A77"/>
    <w:rsid w:val="001D081E"/>
    <w:rsid w:val="001D1D73"/>
    <w:rsid w:val="001D2A30"/>
    <w:rsid w:val="001D3E6E"/>
    <w:rsid w:val="001D5502"/>
    <w:rsid w:val="001D6303"/>
    <w:rsid w:val="001F09B8"/>
    <w:rsid w:val="001F5E2B"/>
    <w:rsid w:val="0020489A"/>
    <w:rsid w:val="0021332C"/>
    <w:rsid w:val="00213982"/>
    <w:rsid w:val="0022461F"/>
    <w:rsid w:val="00225BF6"/>
    <w:rsid w:val="00237733"/>
    <w:rsid w:val="0024416D"/>
    <w:rsid w:val="00244470"/>
    <w:rsid w:val="00250BDB"/>
    <w:rsid w:val="00260C22"/>
    <w:rsid w:val="002620D6"/>
    <w:rsid w:val="00267C09"/>
    <w:rsid w:val="00271911"/>
    <w:rsid w:val="002800A0"/>
    <w:rsid w:val="002801B3"/>
    <w:rsid w:val="00281060"/>
    <w:rsid w:val="00287BA5"/>
    <w:rsid w:val="00293FC2"/>
    <w:rsid w:val="002940E8"/>
    <w:rsid w:val="00294751"/>
    <w:rsid w:val="002949B5"/>
    <w:rsid w:val="00294B06"/>
    <w:rsid w:val="002A1E10"/>
    <w:rsid w:val="002A48D3"/>
    <w:rsid w:val="002A6E50"/>
    <w:rsid w:val="002B2575"/>
    <w:rsid w:val="002B4298"/>
    <w:rsid w:val="002B7CB8"/>
    <w:rsid w:val="002C1799"/>
    <w:rsid w:val="002C256A"/>
    <w:rsid w:val="002C7588"/>
    <w:rsid w:val="002D0AFF"/>
    <w:rsid w:val="002E22B2"/>
    <w:rsid w:val="002E49B9"/>
    <w:rsid w:val="002E55DF"/>
    <w:rsid w:val="002F0BA7"/>
    <w:rsid w:val="002F7EB3"/>
    <w:rsid w:val="00305A7F"/>
    <w:rsid w:val="003073B5"/>
    <w:rsid w:val="00310799"/>
    <w:rsid w:val="003152FE"/>
    <w:rsid w:val="0032007B"/>
    <w:rsid w:val="00325E31"/>
    <w:rsid w:val="00327436"/>
    <w:rsid w:val="00331074"/>
    <w:rsid w:val="00335389"/>
    <w:rsid w:val="00344BD6"/>
    <w:rsid w:val="0034677B"/>
    <w:rsid w:val="00346D9E"/>
    <w:rsid w:val="0035528D"/>
    <w:rsid w:val="00357208"/>
    <w:rsid w:val="0036021C"/>
    <w:rsid w:val="00361821"/>
    <w:rsid w:val="00361E9E"/>
    <w:rsid w:val="003764DC"/>
    <w:rsid w:val="003800BF"/>
    <w:rsid w:val="0039107E"/>
    <w:rsid w:val="003B01F4"/>
    <w:rsid w:val="003C7FBE"/>
    <w:rsid w:val="003D13DB"/>
    <w:rsid w:val="003D227C"/>
    <w:rsid w:val="003D2B4D"/>
    <w:rsid w:val="003E12EF"/>
    <w:rsid w:val="003F0ED7"/>
    <w:rsid w:val="003F28FC"/>
    <w:rsid w:val="00401D53"/>
    <w:rsid w:val="004024CC"/>
    <w:rsid w:val="00403CCF"/>
    <w:rsid w:val="00411528"/>
    <w:rsid w:val="00412B9B"/>
    <w:rsid w:val="00412E09"/>
    <w:rsid w:val="00413763"/>
    <w:rsid w:val="00416EBB"/>
    <w:rsid w:val="004236B7"/>
    <w:rsid w:val="0043328A"/>
    <w:rsid w:val="00437074"/>
    <w:rsid w:val="00441D34"/>
    <w:rsid w:val="00444A88"/>
    <w:rsid w:val="00447021"/>
    <w:rsid w:val="0046303C"/>
    <w:rsid w:val="00463A12"/>
    <w:rsid w:val="00465C32"/>
    <w:rsid w:val="00474DA4"/>
    <w:rsid w:val="00476B4D"/>
    <w:rsid w:val="004805FA"/>
    <w:rsid w:val="004935D2"/>
    <w:rsid w:val="0049744F"/>
    <w:rsid w:val="00497AF6"/>
    <w:rsid w:val="004B1215"/>
    <w:rsid w:val="004C567F"/>
    <w:rsid w:val="004D047D"/>
    <w:rsid w:val="004E09A9"/>
    <w:rsid w:val="004E0AE8"/>
    <w:rsid w:val="004E0CD8"/>
    <w:rsid w:val="004E199A"/>
    <w:rsid w:val="004E2894"/>
    <w:rsid w:val="004E74BC"/>
    <w:rsid w:val="004F1E9E"/>
    <w:rsid w:val="004F2DFA"/>
    <w:rsid w:val="004F305A"/>
    <w:rsid w:val="004F560D"/>
    <w:rsid w:val="00507417"/>
    <w:rsid w:val="00510699"/>
    <w:rsid w:val="00512164"/>
    <w:rsid w:val="005125A1"/>
    <w:rsid w:val="005136D2"/>
    <w:rsid w:val="00520297"/>
    <w:rsid w:val="005237E9"/>
    <w:rsid w:val="005338F9"/>
    <w:rsid w:val="0053429B"/>
    <w:rsid w:val="0054281C"/>
    <w:rsid w:val="00544581"/>
    <w:rsid w:val="00552377"/>
    <w:rsid w:val="0055268D"/>
    <w:rsid w:val="00552882"/>
    <w:rsid w:val="00567170"/>
    <w:rsid w:val="00576BE4"/>
    <w:rsid w:val="005819D9"/>
    <w:rsid w:val="0058314F"/>
    <w:rsid w:val="0058431E"/>
    <w:rsid w:val="00590BF9"/>
    <w:rsid w:val="005948AF"/>
    <w:rsid w:val="005A400A"/>
    <w:rsid w:val="005B147B"/>
    <w:rsid w:val="005B3AB0"/>
    <w:rsid w:val="005D21E3"/>
    <w:rsid w:val="005D35B7"/>
    <w:rsid w:val="005E4B3C"/>
    <w:rsid w:val="005F5FE6"/>
    <w:rsid w:val="005F7B92"/>
    <w:rsid w:val="00600D01"/>
    <w:rsid w:val="00603583"/>
    <w:rsid w:val="00611B42"/>
    <w:rsid w:val="00612379"/>
    <w:rsid w:val="006153B6"/>
    <w:rsid w:val="0061555F"/>
    <w:rsid w:val="00617858"/>
    <w:rsid w:val="00621302"/>
    <w:rsid w:val="0063325F"/>
    <w:rsid w:val="00636231"/>
    <w:rsid w:val="00636CA6"/>
    <w:rsid w:val="00641200"/>
    <w:rsid w:val="00641483"/>
    <w:rsid w:val="006455EC"/>
    <w:rsid w:val="00645CB9"/>
    <w:rsid w:val="00657D3E"/>
    <w:rsid w:val="00665055"/>
    <w:rsid w:val="006655D3"/>
    <w:rsid w:val="00667404"/>
    <w:rsid w:val="00675D8F"/>
    <w:rsid w:val="00685162"/>
    <w:rsid w:val="00685679"/>
    <w:rsid w:val="00687115"/>
    <w:rsid w:val="00687EB4"/>
    <w:rsid w:val="00695C56"/>
    <w:rsid w:val="00696F4D"/>
    <w:rsid w:val="006A5CDE"/>
    <w:rsid w:val="006A644A"/>
    <w:rsid w:val="006A6A94"/>
    <w:rsid w:val="006A6FAD"/>
    <w:rsid w:val="006B0433"/>
    <w:rsid w:val="006B17D2"/>
    <w:rsid w:val="006C224E"/>
    <w:rsid w:val="006C45BC"/>
    <w:rsid w:val="006C51F2"/>
    <w:rsid w:val="006C6F4D"/>
    <w:rsid w:val="006D3038"/>
    <w:rsid w:val="006D780A"/>
    <w:rsid w:val="006E0D70"/>
    <w:rsid w:val="006E4E4E"/>
    <w:rsid w:val="006E548F"/>
    <w:rsid w:val="006E6DA1"/>
    <w:rsid w:val="00706D88"/>
    <w:rsid w:val="007105BA"/>
    <w:rsid w:val="0071271E"/>
    <w:rsid w:val="007200A0"/>
    <w:rsid w:val="00732062"/>
    <w:rsid w:val="0073279B"/>
    <w:rsid w:val="00732A6C"/>
    <w:rsid w:val="00732DEC"/>
    <w:rsid w:val="007336BC"/>
    <w:rsid w:val="00733818"/>
    <w:rsid w:val="00735BD5"/>
    <w:rsid w:val="0074161C"/>
    <w:rsid w:val="00750C65"/>
    <w:rsid w:val="00750DB9"/>
    <w:rsid w:val="00751613"/>
    <w:rsid w:val="007556F6"/>
    <w:rsid w:val="00760EEF"/>
    <w:rsid w:val="00770275"/>
    <w:rsid w:val="00771847"/>
    <w:rsid w:val="00771A5C"/>
    <w:rsid w:val="00773628"/>
    <w:rsid w:val="00777EE5"/>
    <w:rsid w:val="00780A68"/>
    <w:rsid w:val="00782F41"/>
    <w:rsid w:val="00784836"/>
    <w:rsid w:val="00785366"/>
    <w:rsid w:val="0079023E"/>
    <w:rsid w:val="0079601D"/>
    <w:rsid w:val="007A2854"/>
    <w:rsid w:val="007B5EA4"/>
    <w:rsid w:val="007C1D92"/>
    <w:rsid w:val="007C4CB9"/>
    <w:rsid w:val="007D0914"/>
    <w:rsid w:val="007D0B9D"/>
    <w:rsid w:val="007D19B0"/>
    <w:rsid w:val="007D3D65"/>
    <w:rsid w:val="007D6F56"/>
    <w:rsid w:val="007E6920"/>
    <w:rsid w:val="007F498F"/>
    <w:rsid w:val="00805E12"/>
    <w:rsid w:val="0080679D"/>
    <w:rsid w:val="00810042"/>
    <w:rsid w:val="008108B0"/>
    <w:rsid w:val="00811B20"/>
    <w:rsid w:val="0081397A"/>
    <w:rsid w:val="00815FB2"/>
    <w:rsid w:val="00816565"/>
    <w:rsid w:val="0082018E"/>
    <w:rsid w:val="008211B5"/>
    <w:rsid w:val="0082296E"/>
    <w:rsid w:val="00824099"/>
    <w:rsid w:val="00825E50"/>
    <w:rsid w:val="00830650"/>
    <w:rsid w:val="00834EF7"/>
    <w:rsid w:val="00843BAE"/>
    <w:rsid w:val="00846D7C"/>
    <w:rsid w:val="00850286"/>
    <w:rsid w:val="00860A1D"/>
    <w:rsid w:val="008620E6"/>
    <w:rsid w:val="00866CE6"/>
    <w:rsid w:val="00867AC1"/>
    <w:rsid w:val="00880EA0"/>
    <w:rsid w:val="00883A54"/>
    <w:rsid w:val="0089055B"/>
    <w:rsid w:val="00890DF8"/>
    <w:rsid w:val="00893871"/>
    <w:rsid w:val="008A743F"/>
    <w:rsid w:val="008C0970"/>
    <w:rsid w:val="008D0BC5"/>
    <w:rsid w:val="008D2CF7"/>
    <w:rsid w:val="008D4AC5"/>
    <w:rsid w:val="008E57C4"/>
    <w:rsid w:val="008F225B"/>
    <w:rsid w:val="008F3481"/>
    <w:rsid w:val="008F3AA8"/>
    <w:rsid w:val="00900C26"/>
    <w:rsid w:val="00901849"/>
    <w:rsid w:val="0090197F"/>
    <w:rsid w:val="00906DDC"/>
    <w:rsid w:val="00914E82"/>
    <w:rsid w:val="00934E09"/>
    <w:rsid w:val="00936253"/>
    <w:rsid w:val="00940D46"/>
    <w:rsid w:val="00940EE8"/>
    <w:rsid w:val="00945C12"/>
    <w:rsid w:val="009464DA"/>
    <w:rsid w:val="009467A1"/>
    <w:rsid w:val="00952DD4"/>
    <w:rsid w:val="0095384D"/>
    <w:rsid w:val="00956AE9"/>
    <w:rsid w:val="00963C4D"/>
    <w:rsid w:val="00965AE7"/>
    <w:rsid w:val="00970FED"/>
    <w:rsid w:val="009710B3"/>
    <w:rsid w:val="009917D5"/>
    <w:rsid w:val="00992D82"/>
    <w:rsid w:val="00997029"/>
    <w:rsid w:val="009A7339"/>
    <w:rsid w:val="009B1E6B"/>
    <w:rsid w:val="009B357C"/>
    <w:rsid w:val="009B429F"/>
    <w:rsid w:val="009B440E"/>
    <w:rsid w:val="009B7035"/>
    <w:rsid w:val="009B7528"/>
    <w:rsid w:val="009C0814"/>
    <w:rsid w:val="009C649D"/>
    <w:rsid w:val="009C7C4C"/>
    <w:rsid w:val="009D0F4C"/>
    <w:rsid w:val="009D4668"/>
    <w:rsid w:val="009D690D"/>
    <w:rsid w:val="009D7FEF"/>
    <w:rsid w:val="009E02A9"/>
    <w:rsid w:val="009E069A"/>
    <w:rsid w:val="009E11D2"/>
    <w:rsid w:val="009E17D0"/>
    <w:rsid w:val="009E2CCB"/>
    <w:rsid w:val="009E65B6"/>
    <w:rsid w:val="009F2D1A"/>
    <w:rsid w:val="009F7A4B"/>
    <w:rsid w:val="00A006CE"/>
    <w:rsid w:val="00A04A20"/>
    <w:rsid w:val="00A06C53"/>
    <w:rsid w:val="00A12269"/>
    <w:rsid w:val="00A20A93"/>
    <w:rsid w:val="00A21F47"/>
    <w:rsid w:val="00A22233"/>
    <w:rsid w:val="00A24C10"/>
    <w:rsid w:val="00A24D80"/>
    <w:rsid w:val="00A27137"/>
    <w:rsid w:val="00A32CA7"/>
    <w:rsid w:val="00A340C2"/>
    <w:rsid w:val="00A34369"/>
    <w:rsid w:val="00A42AC3"/>
    <w:rsid w:val="00A430CF"/>
    <w:rsid w:val="00A47349"/>
    <w:rsid w:val="00A54309"/>
    <w:rsid w:val="00A6204D"/>
    <w:rsid w:val="00A62C39"/>
    <w:rsid w:val="00A66070"/>
    <w:rsid w:val="00A83268"/>
    <w:rsid w:val="00A8736A"/>
    <w:rsid w:val="00A87D35"/>
    <w:rsid w:val="00A911BE"/>
    <w:rsid w:val="00A961F7"/>
    <w:rsid w:val="00AA2BD9"/>
    <w:rsid w:val="00AA2EA9"/>
    <w:rsid w:val="00AB1B2F"/>
    <w:rsid w:val="00AB2B93"/>
    <w:rsid w:val="00AB46AD"/>
    <w:rsid w:val="00AB530F"/>
    <w:rsid w:val="00AB7E5B"/>
    <w:rsid w:val="00AC2883"/>
    <w:rsid w:val="00AC5EE6"/>
    <w:rsid w:val="00AD13E6"/>
    <w:rsid w:val="00AD3C8A"/>
    <w:rsid w:val="00AE0EF1"/>
    <w:rsid w:val="00AE2937"/>
    <w:rsid w:val="00AE32F5"/>
    <w:rsid w:val="00B05250"/>
    <w:rsid w:val="00B07301"/>
    <w:rsid w:val="00B11F3E"/>
    <w:rsid w:val="00B224DE"/>
    <w:rsid w:val="00B27B87"/>
    <w:rsid w:val="00B27B90"/>
    <w:rsid w:val="00B324D4"/>
    <w:rsid w:val="00B46575"/>
    <w:rsid w:val="00B4712A"/>
    <w:rsid w:val="00B52F21"/>
    <w:rsid w:val="00B560B3"/>
    <w:rsid w:val="00B61777"/>
    <w:rsid w:val="00B63C0C"/>
    <w:rsid w:val="00B64FF5"/>
    <w:rsid w:val="00B664C2"/>
    <w:rsid w:val="00B725CA"/>
    <w:rsid w:val="00B735EB"/>
    <w:rsid w:val="00B84BBD"/>
    <w:rsid w:val="00B91FDC"/>
    <w:rsid w:val="00B96EB2"/>
    <w:rsid w:val="00B973E0"/>
    <w:rsid w:val="00BA43FB"/>
    <w:rsid w:val="00BA64B0"/>
    <w:rsid w:val="00BC08DA"/>
    <w:rsid w:val="00BC127D"/>
    <w:rsid w:val="00BC1FE6"/>
    <w:rsid w:val="00BC584A"/>
    <w:rsid w:val="00BD0EE1"/>
    <w:rsid w:val="00BD34DE"/>
    <w:rsid w:val="00BD6396"/>
    <w:rsid w:val="00BD703C"/>
    <w:rsid w:val="00BE4487"/>
    <w:rsid w:val="00BE4C16"/>
    <w:rsid w:val="00BF6A58"/>
    <w:rsid w:val="00BF6E98"/>
    <w:rsid w:val="00BF7BCD"/>
    <w:rsid w:val="00C05BDF"/>
    <w:rsid w:val="00C061B6"/>
    <w:rsid w:val="00C102FA"/>
    <w:rsid w:val="00C1556D"/>
    <w:rsid w:val="00C21571"/>
    <w:rsid w:val="00C2446C"/>
    <w:rsid w:val="00C24524"/>
    <w:rsid w:val="00C24D30"/>
    <w:rsid w:val="00C3189A"/>
    <w:rsid w:val="00C32D1A"/>
    <w:rsid w:val="00C36AE5"/>
    <w:rsid w:val="00C378B1"/>
    <w:rsid w:val="00C41F17"/>
    <w:rsid w:val="00C473AB"/>
    <w:rsid w:val="00C50BF7"/>
    <w:rsid w:val="00C527FA"/>
    <w:rsid w:val="00C5280D"/>
    <w:rsid w:val="00C53EB3"/>
    <w:rsid w:val="00C55E09"/>
    <w:rsid w:val="00C56CAA"/>
    <w:rsid w:val="00C5791C"/>
    <w:rsid w:val="00C65759"/>
    <w:rsid w:val="00C66290"/>
    <w:rsid w:val="00C6725D"/>
    <w:rsid w:val="00C719B6"/>
    <w:rsid w:val="00C7298C"/>
    <w:rsid w:val="00C72B7A"/>
    <w:rsid w:val="00C75016"/>
    <w:rsid w:val="00C8090A"/>
    <w:rsid w:val="00C85F94"/>
    <w:rsid w:val="00C91F8B"/>
    <w:rsid w:val="00C9441E"/>
    <w:rsid w:val="00C96A20"/>
    <w:rsid w:val="00C973F2"/>
    <w:rsid w:val="00C974A7"/>
    <w:rsid w:val="00CA2E9F"/>
    <w:rsid w:val="00CA304C"/>
    <w:rsid w:val="00CA774A"/>
    <w:rsid w:val="00CA7CD9"/>
    <w:rsid w:val="00CB526A"/>
    <w:rsid w:val="00CC0991"/>
    <w:rsid w:val="00CC11B0"/>
    <w:rsid w:val="00CC2841"/>
    <w:rsid w:val="00CC7381"/>
    <w:rsid w:val="00CD530D"/>
    <w:rsid w:val="00CF1330"/>
    <w:rsid w:val="00CF38FC"/>
    <w:rsid w:val="00CF7E36"/>
    <w:rsid w:val="00D0300C"/>
    <w:rsid w:val="00D0762C"/>
    <w:rsid w:val="00D1151F"/>
    <w:rsid w:val="00D1750B"/>
    <w:rsid w:val="00D17AF6"/>
    <w:rsid w:val="00D35672"/>
    <w:rsid w:val="00D3708D"/>
    <w:rsid w:val="00D40426"/>
    <w:rsid w:val="00D4077F"/>
    <w:rsid w:val="00D53E03"/>
    <w:rsid w:val="00D56968"/>
    <w:rsid w:val="00D57C96"/>
    <w:rsid w:val="00D57D18"/>
    <w:rsid w:val="00D64642"/>
    <w:rsid w:val="00D73DA2"/>
    <w:rsid w:val="00D77586"/>
    <w:rsid w:val="00D83655"/>
    <w:rsid w:val="00D91203"/>
    <w:rsid w:val="00D95174"/>
    <w:rsid w:val="00DA1712"/>
    <w:rsid w:val="00DA4499"/>
    <w:rsid w:val="00DA4973"/>
    <w:rsid w:val="00DA5470"/>
    <w:rsid w:val="00DA6F36"/>
    <w:rsid w:val="00DB1038"/>
    <w:rsid w:val="00DB596E"/>
    <w:rsid w:val="00DB7773"/>
    <w:rsid w:val="00DB7A19"/>
    <w:rsid w:val="00DC00EA"/>
    <w:rsid w:val="00DC06B3"/>
    <w:rsid w:val="00DC3802"/>
    <w:rsid w:val="00DD0DC7"/>
    <w:rsid w:val="00DD470C"/>
    <w:rsid w:val="00DF17B6"/>
    <w:rsid w:val="00DF322F"/>
    <w:rsid w:val="00E00764"/>
    <w:rsid w:val="00E00BE7"/>
    <w:rsid w:val="00E03A30"/>
    <w:rsid w:val="00E07077"/>
    <w:rsid w:val="00E07517"/>
    <w:rsid w:val="00E07D87"/>
    <w:rsid w:val="00E2063F"/>
    <w:rsid w:val="00E25828"/>
    <w:rsid w:val="00E32F7E"/>
    <w:rsid w:val="00E350FD"/>
    <w:rsid w:val="00E37C9C"/>
    <w:rsid w:val="00E42AA6"/>
    <w:rsid w:val="00E44394"/>
    <w:rsid w:val="00E50063"/>
    <w:rsid w:val="00E5267B"/>
    <w:rsid w:val="00E53069"/>
    <w:rsid w:val="00E70039"/>
    <w:rsid w:val="00E70A5C"/>
    <w:rsid w:val="00E71614"/>
    <w:rsid w:val="00E72D49"/>
    <w:rsid w:val="00E7593C"/>
    <w:rsid w:val="00E7678A"/>
    <w:rsid w:val="00E92E1B"/>
    <w:rsid w:val="00E935F1"/>
    <w:rsid w:val="00E94A81"/>
    <w:rsid w:val="00E95BB1"/>
    <w:rsid w:val="00EA1FFB"/>
    <w:rsid w:val="00EB048E"/>
    <w:rsid w:val="00EB2D85"/>
    <w:rsid w:val="00EB4E9C"/>
    <w:rsid w:val="00EC481C"/>
    <w:rsid w:val="00ED55C0"/>
    <w:rsid w:val="00EE1AFA"/>
    <w:rsid w:val="00EE34DF"/>
    <w:rsid w:val="00EE41AF"/>
    <w:rsid w:val="00EF1FB7"/>
    <w:rsid w:val="00EF2F89"/>
    <w:rsid w:val="00EF6FCC"/>
    <w:rsid w:val="00F03E98"/>
    <w:rsid w:val="00F047B5"/>
    <w:rsid w:val="00F05780"/>
    <w:rsid w:val="00F06AC1"/>
    <w:rsid w:val="00F1237A"/>
    <w:rsid w:val="00F156DD"/>
    <w:rsid w:val="00F17417"/>
    <w:rsid w:val="00F22CBD"/>
    <w:rsid w:val="00F22CCC"/>
    <w:rsid w:val="00F272F1"/>
    <w:rsid w:val="00F31624"/>
    <w:rsid w:val="00F32667"/>
    <w:rsid w:val="00F40058"/>
    <w:rsid w:val="00F45372"/>
    <w:rsid w:val="00F5154E"/>
    <w:rsid w:val="00F560F7"/>
    <w:rsid w:val="00F6334D"/>
    <w:rsid w:val="00F63A84"/>
    <w:rsid w:val="00F6722D"/>
    <w:rsid w:val="00F81AC6"/>
    <w:rsid w:val="00FA49AB"/>
    <w:rsid w:val="00FC1085"/>
    <w:rsid w:val="00FC1241"/>
    <w:rsid w:val="00FC423F"/>
    <w:rsid w:val="00FC4AF2"/>
    <w:rsid w:val="00FC679A"/>
    <w:rsid w:val="00FD0859"/>
    <w:rsid w:val="00FD24D0"/>
    <w:rsid w:val="00FD2CD9"/>
    <w:rsid w:val="00FD3C39"/>
    <w:rsid w:val="00FE39C7"/>
    <w:rsid w:val="00FF0E4B"/>
    <w:rsid w:val="00FF4D07"/>
    <w:rsid w:val="00FF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E07077"/>
    <w:pPr>
      <w:keepNext/>
      <w:spacing w:before="360"/>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link w:val="Heading2"/>
    <w:rsid w:val="00E350FD"/>
    <w:rPr>
      <w:rFonts w:ascii="Arial" w:hAnsi="Arial"/>
      <w:u w:val="single"/>
    </w:rPr>
  </w:style>
  <w:style w:type="paragraph" w:customStyle="1" w:styleId="Style1">
    <w:name w:val="Style1"/>
    <w:basedOn w:val="Normal"/>
    <w:rsid w:val="00E350FD"/>
    <w:pPr>
      <w:tabs>
        <w:tab w:val="decimal" w:pos="907"/>
        <w:tab w:val="left" w:pos="1077"/>
      </w:tabs>
    </w:pPr>
    <w:rPr>
      <w:rFonts w:ascii="Times New Roman" w:eastAsiaTheme="minorEastAsia" w:hAnsi="Times New Roman"/>
      <w:sz w:val="24"/>
      <w:szCs w:val="24"/>
      <w:lang w:eastAsia="ja-JP"/>
    </w:rPr>
  </w:style>
  <w:style w:type="paragraph" w:customStyle="1" w:styleId="style10">
    <w:name w:val="style1"/>
    <w:basedOn w:val="Normal"/>
    <w:rsid w:val="00E350FD"/>
    <w:pPr>
      <w:jc w:val="left"/>
    </w:pPr>
    <w:rPr>
      <w:rFonts w:ascii="Times New Roman" w:eastAsiaTheme="minorEastAsia" w:hAnsi="Times New Roman"/>
      <w:sz w:val="24"/>
      <w:szCs w:val="24"/>
    </w:rPr>
  </w:style>
  <w:style w:type="paragraph" w:styleId="ListParagraph">
    <w:name w:val="List Paragraph"/>
    <w:basedOn w:val="Normal"/>
    <w:uiPriority w:val="34"/>
    <w:qFormat/>
    <w:rsid w:val="00E350FD"/>
    <w:pPr>
      <w:ind w:left="567"/>
    </w:pPr>
  </w:style>
  <w:style w:type="character" w:styleId="FollowedHyperlink">
    <w:name w:val="FollowedHyperlink"/>
    <w:basedOn w:val="DefaultParagraphFont"/>
    <w:rsid w:val="00DA5470"/>
    <w:rPr>
      <w:color w:val="800080" w:themeColor="followedHyperlink"/>
      <w:u w:val="single"/>
    </w:rPr>
  </w:style>
  <w:style w:type="character" w:customStyle="1" w:styleId="Heading3Char">
    <w:name w:val="Heading 3 Char"/>
    <w:basedOn w:val="DefaultParagraphFont"/>
    <w:link w:val="Heading3"/>
    <w:rsid w:val="00E07077"/>
    <w:rPr>
      <w:rFonts w:ascii="Arial" w:hAnsi="Arial"/>
      <w:i/>
    </w:rPr>
  </w:style>
  <w:style w:type="paragraph" w:styleId="BodyTextIndent">
    <w:name w:val="Body Text Indent"/>
    <w:basedOn w:val="Normal"/>
    <w:link w:val="BodyTextIndentChar"/>
    <w:rsid w:val="002E22B2"/>
    <w:pPr>
      <w:spacing w:after="120"/>
      <w:ind w:left="283"/>
    </w:pPr>
  </w:style>
  <w:style w:type="character" w:customStyle="1" w:styleId="BodyTextIndentChar">
    <w:name w:val="Body Text Indent Char"/>
    <w:basedOn w:val="DefaultParagraphFont"/>
    <w:link w:val="BodyTextIndent"/>
    <w:rsid w:val="002E22B2"/>
    <w:rPr>
      <w:rFonts w:ascii="Arial" w:hAnsi="Arial"/>
    </w:rPr>
  </w:style>
  <w:style w:type="paragraph" w:styleId="BodyTextFirstIndent2">
    <w:name w:val="Body Text First Indent 2"/>
    <w:basedOn w:val="BodyTextIndent"/>
    <w:link w:val="BodyTextFirstIndent2Char"/>
    <w:rsid w:val="002E22B2"/>
    <w:pPr>
      <w:spacing w:after="0"/>
      <w:ind w:left="360" w:firstLine="360"/>
    </w:pPr>
  </w:style>
  <w:style w:type="character" w:customStyle="1" w:styleId="BodyTextFirstIndent2Char">
    <w:name w:val="Body Text First Indent 2 Char"/>
    <w:basedOn w:val="BodyTextIndentChar"/>
    <w:link w:val="BodyTextFirstIndent2"/>
    <w:rsid w:val="002E22B2"/>
    <w:rPr>
      <w:rFonts w:ascii="Arial" w:hAnsi="Arial"/>
    </w:rPr>
  </w:style>
  <w:style w:type="paragraph" w:styleId="NormalWeb">
    <w:name w:val="Normal (Web)"/>
    <w:basedOn w:val="Normal"/>
    <w:uiPriority w:val="99"/>
    <w:semiHidden/>
    <w:unhideWhenUsed/>
    <w:rsid w:val="00816565"/>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E07077"/>
    <w:pPr>
      <w:keepNext/>
      <w:spacing w:before="360"/>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link w:val="Heading2"/>
    <w:rsid w:val="00E350FD"/>
    <w:rPr>
      <w:rFonts w:ascii="Arial" w:hAnsi="Arial"/>
      <w:u w:val="single"/>
    </w:rPr>
  </w:style>
  <w:style w:type="paragraph" w:customStyle="1" w:styleId="Style1">
    <w:name w:val="Style1"/>
    <w:basedOn w:val="Normal"/>
    <w:rsid w:val="00E350FD"/>
    <w:pPr>
      <w:tabs>
        <w:tab w:val="decimal" w:pos="907"/>
        <w:tab w:val="left" w:pos="1077"/>
      </w:tabs>
    </w:pPr>
    <w:rPr>
      <w:rFonts w:ascii="Times New Roman" w:eastAsiaTheme="minorEastAsia" w:hAnsi="Times New Roman"/>
      <w:sz w:val="24"/>
      <w:szCs w:val="24"/>
      <w:lang w:eastAsia="ja-JP"/>
    </w:rPr>
  </w:style>
  <w:style w:type="paragraph" w:customStyle="1" w:styleId="style10">
    <w:name w:val="style1"/>
    <w:basedOn w:val="Normal"/>
    <w:rsid w:val="00E350FD"/>
    <w:pPr>
      <w:jc w:val="left"/>
    </w:pPr>
    <w:rPr>
      <w:rFonts w:ascii="Times New Roman" w:eastAsiaTheme="minorEastAsia" w:hAnsi="Times New Roman"/>
      <w:sz w:val="24"/>
      <w:szCs w:val="24"/>
    </w:rPr>
  </w:style>
  <w:style w:type="paragraph" w:styleId="ListParagraph">
    <w:name w:val="List Paragraph"/>
    <w:basedOn w:val="Normal"/>
    <w:uiPriority w:val="34"/>
    <w:qFormat/>
    <w:rsid w:val="00E350FD"/>
    <w:pPr>
      <w:ind w:left="567"/>
    </w:pPr>
  </w:style>
  <w:style w:type="character" w:styleId="FollowedHyperlink">
    <w:name w:val="FollowedHyperlink"/>
    <w:basedOn w:val="DefaultParagraphFont"/>
    <w:rsid w:val="00DA5470"/>
    <w:rPr>
      <w:color w:val="800080" w:themeColor="followedHyperlink"/>
      <w:u w:val="single"/>
    </w:rPr>
  </w:style>
  <w:style w:type="character" w:customStyle="1" w:styleId="Heading3Char">
    <w:name w:val="Heading 3 Char"/>
    <w:basedOn w:val="DefaultParagraphFont"/>
    <w:link w:val="Heading3"/>
    <w:rsid w:val="00E07077"/>
    <w:rPr>
      <w:rFonts w:ascii="Arial" w:hAnsi="Arial"/>
      <w:i/>
    </w:rPr>
  </w:style>
  <w:style w:type="paragraph" w:styleId="BodyTextIndent">
    <w:name w:val="Body Text Indent"/>
    <w:basedOn w:val="Normal"/>
    <w:link w:val="BodyTextIndentChar"/>
    <w:rsid w:val="002E22B2"/>
    <w:pPr>
      <w:spacing w:after="120"/>
      <w:ind w:left="283"/>
    </w:pPr>
  </w:style>
  <w:style w:type="character" w:customStyle="1" w:styleId="BodyTextIndentChar">
    <w:name w:val="Body Text Indent Char"/>
    <w:basedOn w:val="DefaultParagraphFont"/>
    <w:link w:val="BodyTextIndent"/>
    <w:rsid w:val="002E22B2"/>
    <w:rPr>
      <w:rFonts w:ascii="Arial" w:hAnsi="Arial"/>
    </w:rPr>
  </w:style>
  <w:style w:type="paragraph" w:styleId="BodyTextFirstIndent2">
    <w:name w:val="Body Text First Indent 2"/>
    <w:basedOn w:val="BodyTextIndent"/>
    <w:link w:val="BodyTextFirstIndent2Char"/>
    <w:rsid w:val="002E22B2"/>
    <w:pPr>
      <w:spacing w:after="0"/>
      <w:ind w:left="360" w:firstLine="360"/>
    </w:pPr>
  </w:style>
  <w:style w:type="character" w:customStyle="1" w:styleId="BodyTextFirstIndent2Char">
    <w:name w:val="Body Text First Indent 2 Char"/>
    <w:basedOn w:val="BodyTextIndentChar"/>
    <w:link w:val="BodyTextFirstIndent2"/>
    <w:rsid w:val="002E22B2"/>
    <w:rPr>
      <w:rFonts w:ascii="Arial" w:hAnsi="Arial"/>
    </w:rPr>
  </w:style>
  <w:style w:type="paragraph" w:styleId="NormalWeb">
    <w:name w:val="Normal (Web)"/>
    <w:basedOn w:val="Normal"/>
    <w:uiPriority w:val="99"/>
    <w:semiHidden/>
    <w:unhideWhenUsed/>
    <w:rsid w:val="00816565"/>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8142">
      <w:bodyDiv w:val="1"/>
      <w:marLeft w:val="0"/>
      <w:marRight w:val="0"/>
      <w:marTop w:val="0"/>
      <w:marBottom w:val="0"/>
      <w:divBdr>
        <w:top w:val="none" w:sz="0" w:space="0" w:color="auto"/>
        <w:left w:val="none" w:sz="0" w:space="0" w:color="auto"/>
        <w:bottom w:val="none" w:sz="0" w:space="0" w:color="auto"/>
        <w:right w:val="none" w:sz="0" w:space="0" w:color="auto"/>
      </w:divBdr>
    </w:div>
    <w:div w:id="330378824">
      <w:bodyDiv w:val="1"/>
      <w:marLeft w:val="0"/>
      <w:marRight w:val="0"/>
      <w:marTop w:val="0"/>
      <w:marBottom w:val="0"/>
      <w:divBdr>
        <w:top w:val="none" w:sz="0" w:space="0" w:color="auto"/>
        <w:left w:val="none" w:sz="0" w:space="0" w:color="auto"/>
        <w:bottom w:val="none" w:sz="0" w:space="0" w:color="auto"/>
        <w:right w:val="none" w:sz="0" w:space="0" w:color="auto"/>
      </w:divBdr>
      <w:divsChild>
        <w:div w:id="1309165782">
          <w:marLeft w:val="547"/>
          <w:marRight w:val="0"/>
          <w:marTop w:val="96"/>
          <w:marBottom w:val="0"/>
          <w:divBdr>
            <w:top w:val="none" w:sz="0" w:space="0" w:color="auto"/>
            <w:left w:val="none" w:sz="0" w:space="0" w:color="auto"/>
            <w:bottom w:val="none" w:sz="0" w:space="0" w:color="auto"/>
            <w:right w:val="none" w:sz="0" w:space="0" w:color="auto"/>
          </w:divBdr>
        </w:div>
        <w:div w:id="123894329">
          <w:marLeft w:val="547"/>
          <w:marRight w:val="0"/>
          <w:marTop w:val="96"/>
          <w:marBottom w:val="0"/>
          <w:divBdr>
            <w:top w:val="none" w:sz="0" w:space="0" w:color="auto"/>
            <w:left w:val="none" w:sz="0" w:space="0" w:color="auto"/>
            <w:bottom w:val="none" w:sz="0" w:space="0" w:color="auto"/>
            <w:right w:val="none" w:sz="0" w:space="0" w:color="auto"/>
          </w:divBdr>
        </w:div>
        <w:div w:id="1341591385">
          <w:marLeft w:val="547"/>
          <w:marRight w:val="0"/>
          <w:marTop w:val="96"/>
          <w:marBottom w:val="0"/>
          <w:divBdr>
            <w:top w:val="none" w:sz="0" w:space="0" w:color="auto"/>
            <w:left w:val="none" w:sz="0" w:space="0" w:color="auto"/>
            <w:bottom w:val="none" w:sz="0" w:space="0" w:color="auto"/>
            <w:right w:val="none" w:sz="0" w:space="0" w:color="auto"/>
          </w:divBdr>
        </w:div>
        <w:div w:id="1817795424">
          <w:marLeft w:val="547"/>
          <w:marRight w:val="0"/>
          <w:marTop w:val="96"/>
          <w:marBottom w:val="0"/>
          <w:divBdr>
            <w:top w:val="none" w:sz="0" w:space="0" w:color="auto"/>
            <w:left w:val="none" w:sz="0" w:space="0" w:color="auto"/>
            <w:bottom w:val="none" w:sz="0" w:space="0" w:color="auto"/>
            <w:right w:val="none" w:sz="0" w:space="0" w:color="auto"/>
          </w:divBdr>
        </w:div>
        <w:div w:id="830372423">
          <w:marLeft w:val="547"/>
          <w:marRight w:val="0"/>
          <w:marTop w:val="96"/>
          <w:marBottom w:val="0"/>
          <w:divBdr>
            <w:top w:val="none" w:sz="0" w:space="0" w:color="auto"/>
            <w:left w:val="none" w:sz="0" w:space="0" w:color="auto"/>
            <w:bottom w:val="none" w:sz="0" w:space="0" w:color="auto"/>
            <w:right w:val="none" w:sz="0" w:space="0" w:color="auto"/>
          </w:divBdr>
        </w:div>
      </w:divsChild>
    </w:div>
    <w:div w:id="777680692">
      <w:bodyDiv w:val="1"/>
      <w:marLeft w:val="0"/>
      <w:marRight w:val="0"/>
      <w:marTop w:val="0"/>
      <w:marBottom w:val="0"/>
      <w:divBdr>
        <w:top w:val="none" w:sz="0" w:space="0" w:color="auto"/>
        <w:left w:val="none" w:sz="0" w:space="0" w:color="auto"/>
        <w:bottom w:val="none" w:sz="0" w:space="0" w:color="auto"/>
        <w:right w:val="none" w:sz="0" w:space="0" w:color="auto"/>
      </w:divBdr>
      <w:divsChild>
        <w:div w:id="1051272478">
          <w:marLeft w:val="0"/>
          <w:marRight w:val="0"/>
          <w:marTop w:val="0"/>
          <w:marBottom w:val="0"/>
          <w:divBdr>
            <w:top w:val="none" w:sz="0" w:space="0" w:color="auto"/>
            <w:left w:val="none" w:sz="0" w:space="0" w:color="auto"/>
            <w:bottom w:val="none" w:sz="0" w:space="0" w:color="auto"/>
            <w:right w:val="none" w:sz="0" w:space="0" w:color="auto"/>
          </w:divBdr>
        </w:div>
        <w:div w:id="134953718">
          <w:marLeft w:val="0"/>
          <w:marRight w:val="0"/>
          <w:marTop w:val="0"/>
          <w:marBottom w:val="0"/>
          <w:divBdr>
            <w:top w:val="none" w:sz="0" w:space="0" w:color="auto"/>
            <w:left w:val="none" w:sz="0" w:space="0" w:color="auto"/>
            <w:bottom w:val="none" w:sz="0" w:space="0" w:color="auto"/>
            <w:right w:val="none" w:sz="0" w:space="0" w:color="auto"/>
          </w:divBdr>
        </w:div>
        <w:div w:id="2127499335">
          <w:marLeft w:val="0"/>
          <w:marRight w:val="0"/>
          <w:marTop w:val="0"/>
          <w:marBottom w:val="0"/>
          <w:divBdr>
            <w:top w:val="none" w:sz="0" w:space="0" w:color="auto"/>
            <w:left w:val="none" w:sz="0" w:space="0" w:color="auto"/>
            <w:bottom w:val="none" w:sz="0" w:space="0" w:color="auto"/>
            <w:right w:val="none" w:sz="0" w:space="0" w:color="auto"/>
          </w:divBdr>
        </w:div>
        <w:div w:id="171846771">
          <w:marLeft w:val="0"/>
          <w:marRight w:val="0"/>
          <w:marTop w:val="0"/>
          <w:marBottom w:val="0"/>
          <w:divBdr>
            <w:top w:val="none" w:sz="0" w:space="0" w:color="auto"/>
            <w:left w:val="none" w:sz="0" w:space="0" w:color="auto"/>
            <w:bottom w:val="none" w:sz="0" w:space="0" w:color="auto"/>
            <w:right w:val="none" w:sz="0" w:space="0" w:color="auto"/>
          </w:divBdr>
        </w:div>
        <w:div w:id="1020397786">
          <w:marLeft w:val="0"/>
          <w:marRight w:val="0"/>
          <w:marTop w:val="0"/>
          <w:marBottom w:val="0"/>
          <w:divBdr>
            <w:top w:val="none" w:sz="0" w:space="0" w:color="auto"/>
            <w:left w:val="none" w:sz="0" w:space="0" w:color="auto"/>
            <w:bottom w:val="none" w:sz="0" w:space="0" w:color="auto"/>
            <w:right w:val="none" w:sz="0" w:space="0" w:color="auto"/>
          </w:divBdr>
        </w:div>
      </w:divsChild>
    </w:div>
    <w:div w:id="977688803">
      <w:bodyDiv w:val="1"/>
      <w:marLeft w:val="0"/>
      <w:marRight w:val="0"/>
      <w:marTop w:val="0"/>
      <w:marBottom w:val="0"/>
      <w:divBdr>
        <w:top w:val="none" w:sz="0" w:space="0" w:color="auto"/>
        <w:left w:val="none" w:sz="0" w:space="0" w:color="auto"/>
        <w:bottom w:val="none" w:sz="0" w:space="0" w:color="auto"/>
        <w:right w:val="none" w:sz="0" w:space="0" w:color="auto"/>
      </w:divBdr>
      <w:divsChild>
        <w:div w:id="1531531367">
          <w:marLeft w:val="0"/>
          <w:marRight w:val="0"/>
          <w:marTop w:val="0"/>
          <w:marBottom w:val="0"/>
          <w:divBdr>
            <w:top w:val="none" w:sz="0" w:space="0" w:color="auto"/>
            <w:left w:val="none" w:sz="0" w:space="0" w:color="auto"/>
            <w:bottom w:val="none" w:sz="0" w:space="0" w:color="auto"/>
            <w:right w:val="none" w:sz="0" w:space="0" w:color="auto"/>
          </w:divBdr>
        </w:div>
        <w:div w:id="257953649">
          <w:marLeft w:val="0"/>
          <w:marRight w:val="0"/>
          <w:marTop w:val="0"/>
          <w:marBottom w:val="0"/>
          <w:divBdr>
            <w:top w:val="none" w:sz="0" w:space="0" w:color="auto"/>
            <w:left w:val="none" w:sz="0" w:space="0" w:color="auto"/>
            <w:bottom w:val="none" w:sz="0" w:space="0" w:color="auto"/>
            <w:right w:val="none" w:sz="0" w:space="0" w:color="auto"/>
          </w:divBdr>
        </w:div>
        <w:div w:id="1980769542">
          <w:marLeft w:val="0"/>
          <w:marRight w:val="0"/>
          <w:marTop w:val="0"/>
          <w:marBottom w:val="0"/>
          <w:divBdr>
            <w:top w:val="none" w:sz="0" w:space="0" w:color="auto"/>
            <w:left w:val="none" w:sz="0" w:space="0" w:color="auto"/>
            <w:bottom w:val="none" w:sz="0" w:space="0" w:color="auto"/>
            <w:right w:val="none" w:sz="0" w:space="0" w:color="auto"/>
          </w:divBdr>
        </w:div>
        <w:div w:id="2045018007">
          <w:marLeft w:val="0"/>
          <w:marRight w:val="0"/>
          <w:marTop w:val="0"/>
          <w:marBottom w:val="0"/>
          <w:divBdr>
            <w:top w:val="none" w:sz="0" w:space="0" w:color="auto"/>
            <w:left w:val="none" w:sz="0" w:space="0" w:color="auto"/>
            <w:bottom w:val="none" w:sz="0" w:space="0" w:color="auto"/>
            <w:right w:val="none" w:sz="0" w:space="0" w:color="auto"/>
          </w:divBdr>
        </w:div>
        <w:div w:id="1653171647">
          <w:marLeft w:val="0"/>
          <w:marRight w:val="0"/>
          <w:marTop w:val="0"/>
          <w:marBottom w:val="0"/>
          <w:divBdr>
            <w:top w:val="none" w:sz="0" w:space="0" w:color="auto"/>
            <w:left w:val="none" w:sz="0" w:space="0" w:color="auto"/>
            <w:bottom w:val="none" w:sz="0" w:space="0" w:color="auto"/>
            <w:right w:val="none" w:sz="0" w:space="0" w:color="auto"/>
          </w:divBdr>
        </w:div>
        <w:div w:id="2009822161">
          <w:marLeft w:val="0"/>
          <w:marRight w:val="0"/>
          <w:marTop w:val="0"/>
          <w:marBottom w:val="0"/>
          <w:divBdr>
            <w:top w:val="none" w:sz="0" w:space="0" w:color="auto"/>
            <w:left w:val="none" w:sz="0" w:space="0" w:color="auto"/>
            <w:bottom w:val="none" w:sz="0" w:space="0" w:color="auto"/>
            <w:right w:val="none" w:sz="0" w:space="0" w:color="auto"/>
          </w:divBdr>
        </w:div>
      </w:divsChild>
    </w:div>
    <w:div w:id="1005129886">
      <w:bodyDiv w:val="1"/>
      <w:marLeft w:val="0"/>
      <w:marRight w:val="0"/>
      <w:marTop w:val="0"/>
      <w:marBottom w:val="0"/>
      <w:divBdr>
        <w:top w:val="none" w:sz="0" w:space="0" w:color="auto"/>
        <w:left w:val="none" w:sz="0" w:space="0" w:color="auto"/>
        <w:bottom w:val="none" w:sz="0" w:space="0" w:color="auto"/>
        <w:right w:val="none" w:sz="0" w:space="0" w:color="auto"/>
      </w:divBdr>
    </w:div>
    <w:div w:id="1017653858">
      <w:bodyDiv w:val="1"/>
      <w:marLeft w:val="0"/>
      <w:marRight w:val="0"/>
      <w:marTop w:val="0"/>
      <w:marBottom w:val="0"/>
      <w:divBdr>
        <w:top w:val="none" w:sz="0" w:space="0" w:color="auto"/>
        <w:left w:val="none" w:sz="0" w:space="0" w:color="auto"/>
        <w:bottom w:val="none" w:sz="0" w:space="0" w:color="auto"/>
        <w:right w:val="none" w:sz="0" w:space="0" w:color="auto"/>
      </w:divBdr>
      <w:divsChild>
        <w:div w:id="996224487">
          <w:marLeft w:val="547"/>
          <w:marRight w:val="0"/>
          <w:marTop w:val="96"/>
          <w:marBottom w:val="0"/>
          <w:divBdr>
            <w:top w:val="none" w:sz="0" w:space="0" w:color="auto"/>
            <w:left w:val="none" w:sz="0" w:space="0" w:color="auto"/>
            <w:bottom w:val="none" w:sz="0" w:space="0" w:color="auto"/>
            <w:right w:val="none" w:sz="0" w:space="0" w:color="auto"/>
          </w:divBdr>
        </w:div>
        <w:div w:id="649597115">
          <w:marLeft w:val="547"/>
          <w:marRight w:val="0"/>
          <w:marTop w:val="96"/>
          <w:marBottom w:val="0"/>
          <w:divBdr>
            <w:top w:val="none" w:sz="0" w:space="0" w:color="auto"/>
            <w:left w:val="none" w:sz="0" w:space="0" w:color="auto"/>
            <w:bottom w:val="none" w:sz="0" w:space="0" w:color="auto"/>
            <w:right w:val="none" w:sz="0" w:space="0" w:color="auto"/>
          </w:divBdr>
        </w:div>
        <w:div w:id="1000472944">
          <w:marLeft w:val="547"/>
          <w:marRight w:val="0"/>
          <w:marTop w:val="96"/>
          <w:marBottom w:val="0"/>
          <w:divBdr>
            <w:top w:val="none" w:sz="0" w:space="0" w:color="auto"/>
            <w:left w:val="none" w:sz="0" w:space="0" w:color="auto"/>
            <w:bottom w:val="none" w:sz="0" w:space="0" w:color="auto"/>
            <w:right w:val="none" w:sz="0" w:space="0" w:color="auto"/>
          </w:divBdr>
        </w:div>
        <w:div w:id="1301960758">
          <w:marLeft w:val="547"/>
          <w:marRight w:val="0"/>
          <w:marTop w:val="96"/>
          <w:marBottom w:val="0"/>
          <w:divBdr>
            <w:top w:val="none" w:sz="0" w:space="0" w:color="auto"/>
            <w:left w:val="none" w:sz="0" w:space="0" w:color="auto"/>
            <w:bottom w:val="none" w:sz="0" w:space="0" w:color="auto"/>
            <w:right w:val="none" w:sz="0" w:space="0" w:color="auto"/>
          </w:divBdr>
        </w:div>
        <w:div w:id="1776943336">
          <w:marLeft w:val="547"/>
          <w:marRight w:val="0"/>
          <w:marTop w:val="96"/>
          <w:marBottom w:val="0"/>
          <w:divBdr>
            <w:top w:val="none" w:sz="0" w:space="0" w:color="auto"/>
            <w:left w:val="none" w:sz="0" w:space="0" w:color="auto"/>
            <w:bottom w:val="none" w:sz="0" w:space="0" w:color="auto"/>
            <w:right w:val="none" w:sz="0" w:space="0" w:color="auto"/>
          </w:divBdr>
        </w:div>
      </w:divsChild>
    </w:div>
    <w:div w:id="1558930854">
      <w:bodyDiv w:val="1"/>
      <w:marLeft w:val="0"/>
      <w:marRight w:val="0"/>
      <w:marTop w:val="0"/>
      <w:marBottom w:val="0"/>
      <w:divBdr>
        <w:top w:val="none" w:sz="0" w:space="0" w:color="auto"/>
        <w:left w:val="none" w:sz="0" w:space="0" w:color="auto"/>
        <w:bottom w:val="none" w:sz="0" w:space="0" w:color="auto"/>
        <w:right w:val="none" w:sz="0" w:space="0" w:color="auto"/>
      </w:divBdr>
    </w:div>
    <w:div w:id="1641039646">
      <w:bodyDiv w:val="1"/>
      <w:marLeft w:val="0"/>
      <w:marRight w:val="0"/>
      <w:marTop w:val="0"/>
      <w:marBottom w:val="0"/>
      <w:divBdr>
        <w:top w:val="none" w:sz="0" w:space="0" w:color="auto"/>
        <w:left w:val="none" w:sz="0" w:space="0" w:color="auto"/>
        <w:bottom w:val="none" w:sz="0" w:space="0" w:color="auto"/>
        <w:right w:val="none" w:sz="0" w:space="0" w:color="auto"/>
      </w:divBdr>
      <w:divsChild>
        <w:div w:id="1729108071">
          <w:marLeft w:val="547"/>
          <w:marRight w:val="0"/>
          <w:marTop w:val="154"/>
          <w:marBottom w:val="0"/>
          <w:divBdr>
            <w:top w:val="none" w:sz="0" w:space="0" w:color="auto"/>
            <w:left w:val="none" w:sz="0" w:space="0" w:color="auto"/>
            <w:bottom w:val="none" w:sz="0" w:space="0" w:color="auto"/>
            <w:right w:val="none" w:sz="0" w:space="0" w:color="auto"/>
          </w:divBdr>
        </w:div>
        <w:div w:id="1993556623">
          <w:marLeft w:val="547"/>
          <w:marRight w:val="0"/>
          <w:marTop w:val="154"/>
          <w:marBottom w:val="0"/>
          <w:divBdr>
            <w:top w:val="none" w:sz="0" w:space="0" w:color="auto"/>
            <w:left w:val="none" w:sz="0" w:space="0" w:color="auto"/>
            <w:bottom w:val="none" w:sz="0" w:space="0" w:color="auto"/>
            <w:right w:val="none" w:sz="0" w:space="0" w:color="auto"/>
          </w:divBdr>
        </w:div>
        <w:div w:id="1684504238">
          <w:marLeft w:val="547"/>
          <w:marRight w:val="0"/>
          <w:marTop w:val="154"/>
          <w:marBottom w:val="0"/>
          <w:divBdr>
            <w:top w:val="none" w:sz="0" w:space="0" w:color="auto"/>
            <w:left w:val="none" w:sz="0" w:space="0" w:color="auto"/>
            <w:bottom w:val="none" w:sz="0" w:space="0" w:color="auto"/>
            <w:right w:val="none" w:sz="0" w:space="0" w:color="auto"/>
          </w:divBdr>
        </w:div>
        <w:div w:id="1520655170">
          <w:marLeft w:val="1166"/>
          <w:marRight w:val="0"/>
          <w:marTop w:val="134"/>
          <w:marBottom w:val="0"/>
          <w:divBdr>
            <w:top w:val="none" w:sz="0" w:space="0" w:color="auto"/>
            <w:left w:val="none" w:sz="0" w:space="0" w:color="auto"/>
            <w:bottom w:val="none" w:sz="0" w:space="0" w:color="auto"/>
            <w:right w:val="none" w:sz="0" w:space="0" w:color="auto"/>
          </w:divBdr>
        </w:div>
        <w:div w:id="1875849415">
          <w:marLeft w:val="1166"/>
          <w:marRight w:val="0"/>
          <w:marTop w:val="134"/>
          <w:marBottom w:val="0"/>
          <w:divBdr>
            <w:top w:val="none" w:sz="0" w:space="0" w:color="auto"/>
            <w:left w:val="none" w:sz="0" w:space="0" w:color="auto"/>
            <w:bottom w:val="none" w:sz="0" w:space="0" w:color="auto"/>
            <w:right w:val="none" w:sz="0" w:space="0" w:color="auto"/>
          </w:divBdr>
        </w:div>
      </w:divsChild>
    </w:div>
    <w:div w:id="1894274748">
      <w:bodyDiv w:val="1"/>
      <w:marLeft w:val="0"/>
      <w:marRight w:val="0"/>
      <w:marTop w:val="0"/>
      <w:marBottom w:val="0"/>
      <w:divBdr>
        <w:top w:val="none" w:sz="0" w:space="0" w:color="auto"/>
        <w:left w:val="none" w:sz="0" w:space="0" w:color="auto"/>
        <w:bottom w:val="none" w:sz="0" w:space="0" w:color="auto"/>
        <w:right w:val="none" w:sz="0" w:space="0" w:color="auto"/>
      </w:divBdr>
      <w:divsChild>
        <w:div w:id="1680231720">
          <w:marLeft w:val="1166"/>
          <w:marRight w:val="0"/>
          <w:marTop w:val="86"/>
          <w:marBottom w:val="0"/>
          <w:divBdr>
            <w:top w:val="none" w:sz="0" w:space="0" w:color="auto"/>
            <w:left w:val="none" w:sz="0" w:space="0" w:color="auto"/>
            <w:bottom w:val="none" w:sz="0" w:space="0" w:color="auto"/>
            <w:right w:val="none" w:sz="0" w:space="0" w:color="auto"/>
          </w:divBdr>
        </w:div>
        <w:div w:id="2033340348">
          <w:marLeft w:val="1166"/>
          <w:marRight w:val="0"/>
          <w:marTop w:val="86"/>
          <w:marBottom w:val="0"/>
          <w:divBdr>
            <w:top w:val="none" w:sz="0" w:space="0" w:color="auto"/>
            <w:left w:val="none" w:sz="0" w:space="0" w:color="auto"/>
            <w:bottom w:val="none" w:sz="0" w:space="0" w:color="auto"/>
            <w:right w:val="none" w:sz="0" w:space="0" w:color="auto"/>
          </w:divBdr>
        </w:div>
        <w:div w:id="686179240">
          <w:marLeft w:val="1166"/>
          <w:marRight w:val="0"/>
          <w:marTop w:val="86"/>
          <w:marBottom w:val="0"/>
          <w:divBdr>
            <w:top w:val="none" w:sz="0" w:space="0" w:color="auto"/>
            <w:left w:val="none" w:sz="0" w:space="0" w:color="auto"/>
            <w:bottom w:val="none" w:sz="0" w:space="0" w:color="auto"/>
            <w:right w:val="none" w:sz="0" w:space="0" w:color="auto"/>
          </w:divBdr>
        </w:div>
        <w:div w:id="228079494">
          <w:marLeft w:val="1166"/>
          <w:marRight w:val="0"/>
          <w:marTop w:val="86"/>
          <w:marBottom w:val="0"/>
          <w:divBdr>
            <w:top w:val="none" w:sz="0" w:space="0" w:color="auto"/>
            <w:left w:val="none" w:sz="0" w:space="0" w:color="auto"/>
            <w:bottom w:val="none" w:sz="0" w:space="0" w:color="auto"/>
            <w:right w:val="none" w:sz="0" w:space="0" w:color="auto"/>
          </w:divBdr>
        </w:div>
        <w:div w:id="1214199304">
          <w:marLeft w:val="1166"/>
          <w:marRight w:val="0"/>
          <w:marTop w:val="86"/>
          <w:marBottom w:val="0"/>
          <w:divBdr>
            <w:top w:val="none" w:sz="0" w:space="0" w:color="auto"/>
            <w:left w:val="none" w:sz="0" w:space="0" w:color="auto"/>
            <w:bottom w:val="none" w:sz="0" w:space="0" w:color="auto"/>
            <w:right w:val="none" w:sz="0" w:space="0" w:color="auto"/>
          </w:divBdr>
        </w:div>
      </w:divsChild>
    </w:div>
    <w:div w:id="1963806884">
      <w:bodyDiv w:val="1"/>
      <w:marLeft w:val="0"/>
      <w:marRight w:val="0"/>
      <w:marTop w:val="0"/>
      <w:marBottom w:val="0"/>
      <w:divBdr>
        <w:top w:val="none" w:sz="0" w:space="0" w:color="auto"/>
        <w:left w:val="none" w:sz="0" w:space="0" w:color="auto"/>
        <w:bottom w:val="none" w:sz="0" w:space="0" w:color="auto"/>
        <w:right w:val="none" w:sz="0" w:space="0" w:color="auto"/>
      </w:divBdr>
      <w:divsChild>
        <w:div w:id="949816195">
          <w:marLeft w:val="1166"/>
          <w:marRight w:val="0"/>
          <w:marTop w:val="86"/>
          <w:marBottom w:val="0"/>
          <w:divBdr>
            <w:top w:val="none" w:sz="0" w:space="0" w:color="auto"/>
            <w:left w:val="none" w:sz="0" w:space="0" w:color="auto"/>
            <w:bottom w:val="none" w:sz="0" w:space="0" w:color="auto"/>
            <w:right w:val="none" w:sz="0" w:space="0" w:color="auto"/>
          </w:divBdr>
        </w:div>
        <w:div w:id="571234442">
          <w:marLeft w:val="1800"/>
          <w:marRight w:val="0"/>
          <w:marTop w:val="67"/>
          <w:marBottom w:val="0"/>
          <w:divBdr>
            <w:top w:val="none" w:sz="0" w:space="0" w:color="auto"/>
            <w:left w:val="none" w:sz="0" w:space="0" w:color="auto"/>
            <w:bottom w:val="none" w:sz="0" w:space="0" w:color="auto"/>
            <w:right w:val="none" w:sz="0" w:space="0" w:color="auto"/>
          </w:divBdr>
        </w:div>
        <w:div w:id="1408645365">
          <w:marLeft w:val="1800"/>
          <w:marRight w:val="0"/>
          <w:marTop w:val="67"/>
          <w:marBottom w:val="0"/>
          <w:divBdr>
            <w:top w:val="none" w:sz="0" w:space="0" w:color="auto"/>
            <w:left w:val="none" w:sz="0" w:space="0" w:color="auto"/>
            <w:bottom w:val="none" w:sz="0" w:space="0" w:color="auto"/>
            <w:right w:val="none" w:sz="0" w:space="0" w:color="auto"/>
          </w:divBdr>
        </w:div>
        <w:div w:id="1040206857">
          <w:marLeft w:val="1166"/>
          <w:marRight w:val="0"/>
          <w:marTop w:val="86"/>
          <w:marBottom w:val="0"/>
          <w:divBdr>
            <w:top w:val="none" w:sz="0" w:space="0" w:color="auto"/>
            <w:left w:val="none" w:sz="0" w:space="0" w:color="auto"/>
            <w:bottom w:val="none" w:sz="0" w:space="0" w:color="auto"/>
            <w:right w:val="none" w:sz="0" w:space="0" w:color="auto"/>
          </w:divBdr>
        </w:div>
        <w:div w:id="1958826016">
          <w:marLeft w:val="1166"/>
          <w:marRight w:val="0"/>
          <w:marTop w:val="86"/>
          <w:marBottom w:val="240"/>
          <w:divBdr>
            <w:top w:val="none" w:sz="0" w:space="0" w:color="auto"/>
            <w:left w:val="none" w:sz="0" w:space="0" w:color="auto"/>
            <w:bottom w:val="none" w:sz="0" w:space="0" w:color="auto"/>
            <w:right w:val="none" w:sz="0" w:space="0" w:color="auto"/>
          </w:divBdr>
        </w:div>
        <w:div w:id="920989569">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en/doc_details.jsp?meeting_id=43766&amp;doc_id=389020" TargetMode="External"/><Relationship Id="rId18" Type="http://schemas.openxmlformats.org/officeDocument/2006/relationships/hyperlink" Target="http://www.upov.int/meetings/en/doc_details.jsp?meeting_id=43766&amp;doc_id=37447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pov.int/meetings/en/doc_details.jsp?meeting_id=43766&amp;doc_id=389021" TargetMode="External"/><Relationship Id="rId7" Type="http://schemas.openxmlformats.org/officeDocument/2006/relationships/footnotes" Target="footnotes.xml"/><Relationship Id="rId12" Type="http://schemas.openxmlformats.org/officeDocument/2006/relationships/hyperlink" Target="http://www.upov.int/meetings/en/doc_details.jsp?meeting_id=43766&amp;doc_id=374473" TargetMode="External"/><Relationship Id="rId17" Type="http://schemas.openxmlformats.org/officeDocument/2006/relationships/hyperlink" Target="http://www.upov.int/meetings/en/doc_details.jsp?meeting_id=43766&amp;doc_id=3744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ov.int/meetings/en/doc_details.jsp?meeting_id=43766&amp;doc_id=375037" TargetMode="External"/><Relationship Id="rId20" Type="http://schemas.openxmlformats.org/officeDocument/2006/relationships/hyperlink" Target="http://www.upov.int/meetings/en/doc_details.jsp?meeting_id=43766&amp;doc_id=3744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oc_details.jsp?meeting_id=43766&amp;doc_id=373899http://www.upov.int/meetings/en/doc_details.jsp?meeting_id=43766&amp;doc_id=373899http://www.upov.int/meetings/en/doc_details.jsp?meeting_id=43766&amp;doc_id=373899http://www.upov.int/meetings/en/doc_details.jsp?meeting_id=43766&amp;doc_id=373899"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upov.int/meetings/en/doc_details.jsp?meeting_id=43766&amp;doc_id=374441" TargetMode="External"/><Relationship Id="rId23" Type="http://schemas.openxmlformats.org/officeDocument/2006/relationships/header" Target="header1.xml"/><Relationship Id="rId10" Type="http://schemas.openxmlformats.org/officeDocument/2006/relationships/hyperlink" Target="http://www.upov.int/meetings/en/doc_details.jsp?meeting_id=43766&amp;doc_id=374476" TargetMode="External"/><Relationship Id="rId19" Type="http://schemas.openxmlformats.org/officeDocument/2006/relationships/hyperlink" Target="http://www.upov.int/meetings/en/doc_details.jsp?meeting_id=43766&amp;doc_id=3744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etings/en/doc_details.jsp?meeting_id=43766&amp;doc_id=374462" TargetMode="External"/><Relationship Id="rId22" Type="http://schemas.openxmlformats.org/officeDocument/2006/relationships/hyperlink" Target="http://www.upov.int/meetings/en/doc_details.jsp?meeting_id=43766&amp;doc_id=390157"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5\template\twc_3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81711-7FA6-4CD0-AA24-974201B0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twc_35.dotx</Template>
  <TotalTime>17</TotalTime>
  <Pages>16</Pages>
  <Words>7754</Words>
  <Characters>43727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TWC/35</vt:lpstr>
    </vt:vector>
  </TitlesOfParts>
  <Company>UPOV</Company>
  <LinksUpToDate>false</LinksUpToDate>
  <CharactersWithSpaces>51379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TWC/35</dc:title>
  <dc:creator>SANCHEZ-VIZCAINO GOMEZ Rosa Maria</dc:creator>
  <cp:lastModifiedBy>BESSE Ariane</cp:lastModifiedBy>
  <cp:revision>4</cp:revision>
  <cp:lastPrinted>2017-12-05T16:24:00Z</cp:lastPrinted>
  <dcterms:created xsi:type="dcterms:W3CDTF">2017-12-05T15:47:00Z</dcterms:created>
  <dcterms:modified xsi:type="dcterms:W3CDTF">2017-12-05T16:24:00Z</dcterms:modified>
</cp:coreProperties>
</file>