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7549DA" w:rsidRDefault="00427166" w:rsidP="00427166">
            <w:pPr>
              <w:spacing w:before="720"/>
              <w:jc w:val="center"/>
            </w:pPr>
            <w:r w:rsidRPr="007549DA">
              <w:rPr>
                <w:noProof/>
                <w:lang w:val="es-ES_tradnl" w:eastAsia="es-ES_tradnl"/>
              </w:rPr>
              <w:drawing>
                <wp:inline distT="0" distB="0" distL="0" distR="0" wp14:anchorId="6AD29177" wp14:editId="2B2361D7">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7549DA" w:rsidRDefault="00427166" w:rsidP="00427166">
            <w:pPr>
              <w:spacing w:after="120" w:line="340" w:lineRule="atLeast"/>
              <w:jc w:val="right"/>
              <w:rPr>
                <w:b/>
                <w:bCs/>
                <w:sz w:val="56"/>
              </w:rPr>
            </w:pPr>
            <w:r w:rsidRPr="007549DA">
              <w:rPr>
                <w:b/>
                <w:bCs/>
                <w:sz w:val="56"/>
              </w:rPr>
              <w:t>E</w:t>
            </w:r>
          </w:p>
          <w:p w:rsidR="00427166" w:rsidRPr="007549DA" w:rsidRDefault="00EC4D01" w:rsidP="00427166">
            <w:pPr>
              <w:spacing w:line="280" w:lineRule="exact"/>
              <w:ind w:left="1361"/>
              <w:rPr>
                <w:b/>
                <w:bCs/>
                <w:spacing w:val="10"/>
                <w:lang w:eastAsia="ja-JP"/>
              </w:rPr>
            </w:pPr>
            <w:r w:rsidRPr="007549DA">
              <w:rPr>
                <w:b/>
                <w:bCs/>
                <w:spacing w:val="10"/>
              </w:rPr>
              <w:t>T</w:t>
            </w:r>
            <w:r w:rsidR="008973EC">
              <w:rPr>
                <w:rFonts w:hint="eastAsia"/>
                <w:b/>
                <w:bCs/>
                <w:spacing w:val="10"/>
                <w:lang w:eastAsia="ja-JP"/>
              </w:rPr>
              <w:t>W</w:t>
            </w:r>
            <w:r w:rsidRPr="007549DA">
              <w:rPr>
                <w:b/>
                <w:bCs/>
                <w:spacing w:val="10"/>
              </w:rPr>
              <w:t>C/</w:t>
            </w:r>
            <w:r w:rsidR="008973EC">
              <w:rPr>
                <w:rFonts w:hint="eastAsia"/>
                <w:b/>
                <w:bCs/>
                <w:spacing w:val="10"/>
                <w:lang w:eastAsia="ja-JP"/>
              </w:rPr>
              <w:t>34</w:t>
            </w:r>
            <w:r w:rsidR="00427166" w:rsidRPr="007549DA">
              <w:rPr>
                <w:b/>
                <w:bCs/>
                <w:spacing w:val="10"/>
              </w:rPr>
              <w:t>/</w:t>
            </w:r>
            <w:r w:rsidR="00463A17">
              <w:rPr>
                <w:rFonts w:hint="eastAsia"/>
                <w:b/>
                <w:bCs/>
                <w:spacing w:val="10"/>
                <w:lang w:eastAsia="ja-JP"/>
              </w:rPr>
              <w:t>8</w:t>
            </w:r>
          </w:p>
          <w:p w:rsidR="00427166" w:rsidRPr="007549DA" w:rsidRDefault="00427166" w:rsidP="00427166">
            <w:pPr>
              <w:spacing w:line="280" w:lineRule="exact"/>
              <w:ind w:left="1361"/>
              <w:rPr>
                <w:bCs/>
              </w:rPr>
            </w:pPr>
            <w:r w:rsidRPr="007549DA">
              <w:rPr>
                <w:b/>
                <w:bCs/>
              </w:rPr>
              <w:t>ORIGINAL:</w:t>
            </w:r>
            <w:r w:rsidRPr="007549DA">
              <w:t xml:space="preserve"> </w:t>
            </w:r>
            <w:r w:rsidRPr="007549DA">
              <w:rPr>
                <w:b/>
                <w:bCs/>
              </w:rPr>
              <w:t xml:space="preserve"> </w:t>
            </w:r>
            <w:r w:rsidRPr="007549DA">
              <w:rPr>
                <w:bCs/>
              </w:rPr>
              <w:t>English</w:t>
            </w:r>
          </w:p>
          <w:p w:rsidR="00427166" w:rsidRPr="00CB63F4" w:rsidRDefault="00427166" w:rsidP="004A6E43">
            <w:pPr>
              <w:spacing w:line="280" w:lineRule="exact"/>
              <w:ind w:left="1361"/>
              <w:rPr>
                <w:b/>
                <w:bCs/>
                <w:spacing w:val="10"/>
                <w:lang w:eastAsia="ja-JP"/>
              </w:rPr>
            </w:pPr>
            <w:r w:rsidRPr="007549DA">
              <w:rPr>
                <w:b/>
                <w:bCs/>
              </w:rPr>
              <w:t xml:space="preserve">DATE: </w:t>
            </w:r>
            <w:r w:rsidRPr="007549DA">
              <w:t xml:space="preserve"> </w:t>
            </w:r>
            <w:r w:rsidR="002D59ED">
              <w:rPr>
                <w:rFonts w:hint="eastAsia"/>
                <w:lang w:eastAsia="ja-JP"/>
              </w:rPr>
              <w:t xml:space="preserve">May </w:t>
            </w:r>
            <w:r w:rsidR="004A6E43">
              <w:rPr>
                <w:lang w:eastAsia="ja-JP"/>
              </w:rPr>
              <w:t>3</w:t>
            </w:r>
            <w:r w:rsidRPr="007549DA">
              <w:rPr>
                <w:bCs/>
              </w:rPr>
              <w:t>, 201</w:t>
            </w:r>
            <w:r w:rsidR="00014596" w:rsidRPr="007549DA">
              <w:rPr>
                <w:rFonts w:hint="eastAsia"/>
                <w:bCs/>
                <w:lang w:eastAsia="ja-JP"/>
              </w:rPr>
              <w:t>6</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427166" w:rsidRPr="00427166" w:rsidRDefault="008973EC" w:rsidP="00427166">
      <w:pPr>
        <w:spacing w:before="240"/>
        <w:jc w:val="center"/>
        <w:rPr>
          <w:b/>
          <w:bCs/>
          <w:caps/>
          <w:kern w:val="28"/>
          <w:sz w:val="24"/>
          <w:lang w:eastAsia="ja-JP"/>
        </w:rPr>
      </w:pPr>
      <w:r>
        <w:rPr>
          <w:b/>
          <w:bCs/>
          <w:caps/>
          <w:kern w:val="28"/>
          <w:sz w:val="24"/>
        </w:rPr>
        <w:t xml:space="preserve">Technical </w:t>
      </w:r>
      <w:r>
        <w:rPr>
          <w:rFonts w:hint="eastAsia"/>
          <w:b/>
          <w:bCs/>
          <w:caps/>
          <w:kern w:val="28"/>
          <w:sz w:val="24"/>
          <w:lang w:eastAsia="ja-JP"/>
        </w:rPr>
        <w:t>working party on automation and computer programs</w:t>
      </w:r>
    </w:p>
    <w:p w:rsidR="00427166" w:rsidRPr="00427166" w:rsidRDefault="008973EC" w:rsidP="00427166">
      <w:pPr>
        <w:spacing w:before="240"/>
        <w:jc w:val="center"/>
        <w:rPr>
          <w:b/>
          <w:bCs/>
          <w:kern w:val="28"/>
          <w:sz w:val="24"/>
          <w:lang w:eastAsia="ja-JP"/>
        </w:rPr>
      </w:pPr>
      <w:r>
        <w:rPr>
          <w:rFonts w:hint="eastAsia"/>
          <w:b/>
          <w:bCs/>
          <w:kern w:val="28"/>
          <w:sz w:val="24"/>
          <w:lang w:eastAsia="ja-JP"/>
        </w:rPr>
        <w:t>Thirty-Fo</w:t>
      </w:r>
      <w:r w:rsidR="00E3452D">
        <w:rPr>
          <w:rFonts w:hint="eastAsia"/>
          <w:b/>
          <w:bCs/>
          <w:kern w:val="28"/>
          <w:sz w:val="24"/>
          <w:lang w:eastAsia="ja-JP"/>
        </w:rPr>
        <w:t>u</w:t>
      </w:r>
      <w:r>
        <w:rPr>
          <w:rFonts w:hint="eastAsia"/>
          <w:b/>
          <w:bCs/>
          <w:kern w:val="28"/>
          <w:sz w:val="24"/>
          <w:lang w:eastAsia="ja-JP"/>
        </w:rPr>
        <w:t>rth</w:t>
      </w:r>
      <w:r>
        <w:rPr>
          <w:b/>
          <w:bCs/>
          <w:kern w:val="28"/>
          <w:sz w:val="24"/>
        </w:rPr>
        <w:t xml:space="preserve"> Session</w:t>
      </w:r>
      <w:r>
        <w:rPr>
          <w:b/>
          <w:bCs/>
          <w:kern w:val="28"/>
          <w:sz w:val="24"/>
        </w:rPr>
        <w:br/>
      </w:r>
      <w:r>
        <w:rPr>
          <w:rFonts w:hint="eastAsia"/>
          <w:b/>
          <w:bCs/>
          <w:kern w:val="28"/>
          <w:sz w:val="24"/>
          <w:lang w:eastAsia="ja-JP"/>
        </w:rPr>
        <w:t>Shanghai</w:t>
      </w:r>
      <w:r w:rsidR="00427166" w:rsidRPr="00427166">
        <w:rPr>
          <w:b/>
          <w:bCs/>
          <w:kern w:val="28"/>
          <w:sz w:val="24"/>
        </w:rPr>
        <w:t xml:space="preserve">, </w:t>
      </w:r>
      <w:r>
        <w:rPr>
          <w:rFonts w:hint="eastAsia"/>
          <w:b/>
          <w:bCs/>
          <w:kern w:val="28"/>
          <w:sz w:val="24"/>
          <w:lang w:eastAsia="ja-JP"/>
        </w:rPr>
        <w:t>China, June</w:t>
      </w:r>
      <w:r w:rsidR="00427166" w:rsidRPr="00427166">
        <w:rPr>
          <w:b/>
          <w:bCs/>
          <w:kern w:val="28"/>
          <w:sz w:val="24"/>
        </w:rPr>
        <w:t xml:space="preserve"> </w:t>
      </w:r>
      <w:r>
        <w:rPr>
          <w:rFonts w:hint="eastAsia"/>
          <w:b/>
          <w:bCs/>
          <w:kern w:val="28"/>
          <w:sz w:val="24"/>
          <w:lang w:eastAsia="ja-JP"/>
        </w:rPr>
        <w:t>7</w:t>
      </w:r>
      <w:r w:rsidR="00427166" w:rsidRPr="00427166">
        <w:rPr>
          <w:b/>
          <w:bCs/>
          <w:kern w:val="28"/>
          <w:sz w:val="24"/>
        </w:rPr>
        <w:t xml:space="preserve"> to </w:t>
      </w:r>
      <w:r w:rsidR="00663CFF">
        <w:rPr>
          <w:rFonts w:hint="eastAsia"/>
          <w:b/>
          <w:bCs/>
          <w:kern w:val="28"/>
          <w:sz w:val="24"/>
          <w:lang w:eastAsia="ja-JP"/>
        </w:rPr>
        <w:t>1</w:t>
      </w:r>
      <w:r>
        <w:rPr>
          <w:rFonts w:hint="eastAsia"/>
          <w:b/>
          <w:bCs/>
          <w:kern w:val="28"/>
          <w:sz w:val="24"/>
          <w:lang w:eastAsia="ja-JP"/>
        </w:rPr>
        <w:t>0</w:t>
      </w:r>
      <w:r w:rsidR="00427166" w:rsidRPr="00427166">
        <w:rPr>
          <w:b/>
          <w:bCs/>
          <w:kern w:val="28"/>
          <w:sz w:val="24"/>
        </w:rPr>
        <w:t>, 201</w:t>
      </w:r>
      <w:r w:rsidR="00663CFF">
        <w:rPr>
          <w:rFonts w:hint="eastAsia"/>
          <w:b/>
          <w:bCs/>
          <w:kern w:val="28"/>
          <w:sz w:val="24"/>
          <w:lang w:eastAsia="ja-JP"/>
        </w:rPr>
        <w:t>6</w:t>
      </w:r>
    </w:p>
    <w:p w:rsidR="00427166" w:rsidRPr="00427166" w:rsidRDefault="00463A17" w:rsidP="00427166">
      <w:pPr>
        <w:spacing w:before="600"/>
        <w:jc w:val="center"/>
        <w:rPr>
          <w:caps/>
        </w:rPr>
      </w:pPr>
      <w:r w:rsidRPr="00463A17">
        <w:rPr>
          <w:caps/>
        </w:rPr>
        <w:t>CALCULATED THRESHOLDS FOR EXCLUDING VARIETIES OF COMMON KNOWLEDGE FROM THE SECOND GROWING CYCLE WHEN COYD IS USED</w:t>
      </w:r>
    </w:p>
    <w:p w:rsidR="00427166" w:rsidRPr="00427166" w:rsidRDefault="00427166" w:rsidP="00427166">
      <w:pPr>
        <w:spacing w:before="240" w:after="600"/>
        <w:jc w:val="center"/>
        <w:rPr>
          <w:i/>
          <w:iCs/>
        </w:rPr>
      </w:pPr>
      <w:r w:rsidRPr="00427166">
        <w:rPr>
          <w:i/>
          <w:iCs/>
        </w:rPr>
        <w:t xml:space="preserve">Document prepared by </w:t>
      </w:r>
      <w:r w:rsidR="00463A17" w:rsidRPr="00463A17">
        <w:rPr>
          <w:i/>
          <w:iCs/>
        </w:rPr>
        <w:t>experts from the United Kingdom</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463A17" w:rsidRDefault="00463A17" w:rsidP="00463A17">
      <w:pPr>
        <w:pStyle w:val="Heading1"/>
        <w:rPr>
          <w:lang w:eastAsia="ja-JP"/>
        </w:rPr>
      </w:pPr>
      <w:r>
        <w:rPr>
          <w:lang w:eastAsia="ja-JP"/>
        </w:rPr>
        <w:t>Introduction</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When DUS tests are carried out over two or three independent growing cycles, results may be reviewed after the first cycle of testing in order to exclude varieties of common knowledge that are clearly distinct from the candidates (see document TGP/9 “Examining Distinctness”).  When COYD is used to assess distinctness for a characteristic, it may be difficult to do this effectively based on experience and no formal mechanism has yet been described to inform such early decisions on distinctness.</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 xml:space="preserve">In document TWC/33/20 Rev., an approach was proposed.  This method was improved over previous versions by relaxation of the assumption that variety-by-cycle variation is constant from cycle to cycle. It allows for the often-seen material variation in the COYD criterion from cycle to cycle. </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This document illustrates the application of the method to a field pea DUS data set, showing how beneficial it may be in practice.</w:t>
      </w:r>
    </w:p>
    <w:p w:rsidR="00463A17" w:rsidRDefault="00463A17" w:rsidP="00463A17">
      <w:pPr>
        <w:rPr>
          <w:lang w:eastAsia="ja-JP"/>
        </w:rPr>
      </w:pPr>
    </w:p>
    <w:p w:rsidR="008A303B" w:rsidRDefault="008A303B" w:rsidP="00463A17">
      <w:pPr>
        <w:rPr>
          <w:lang w:eastAsia="ja-JP"/>
        </w:rPr>
      </w:pPr>
    </w:p>
    <w:p w:rsidR="00463A17" w:rsidRDefault="00463A17" w:rsidP="00463A17">
      <w:pPr>
        <w:pStyle w:val="Heading1"/>
        <w:rPr>
          <w:lang w:eastAsia="ja-JP"/>
        </w:rPr>
      </w:pPr>
      <w:r>
        <w:rPr>
          <w:lang w:eastAsia="ja-JP"/>
        </w:rPr>
        <w:t>Overview</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 xml:space="preserve">The aim of this approach is to identify after the first test cycle which varieties of common knowledge are so different from the candidate that they do not need to be compared in the second cycle. </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 xml:space="preserve">To achieve this, we estimate the probability that a candidate would be distinct on the 2-cycle COYD criterion from a particular variety of common knowledge, given the results from the first growing cycle.  If the probability is suitably large, the candidate is declared distinct from that variety and does not need to be compared in the second cycle. </w:t>
      </w:r>
    </w:p>
    <w:p w:rsidR="00463A17" w:rsidRDefault="00463A17" w:rsidP="00463A17">
      <w:pPr>
        <w:rPr>
          <w:lang w:eastAsia="ja-JP"/>
        </w:rPr>
      </w:pPr>
    </w:p>
    <w:p w:rsidR="00463A17" w:rsidRDefault="00463A17" w:rsidP="006E5336">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The method is applied characteristic by characteristic. In order to judge the variability associated with measurements in a particular characteristic we need to have historical data.  The approach might be used in combination with processes such as GAIA to arrive at a “Distinctness Plus” threshold</w:t>
      </w:r>
      <w:r w:rsidR="006E5336">
        <w:rPr>
          <w:rFonts w:hint="eastAsia"/>
          <w:lang w:eastAsia="ja-JP"/>
        </w:rPr>
        <w:t xml:space="preserve"> (see TGP/8 </w:t>
      </w:r>
      <w:r w:rsidR="006E5336">
        <w:rPr>
          <w:lang w:eastAsia="ja-JP"/>
        </w:rPr>
        <w:t>“T</w:t>
      </w:r>
      <w:r w:rsidR="006E5336">
        <w:rPr>
          <w:rFonts w:hint="eastAsia"/>
          <w:lang w:eastAsia="ja-JP"/>
        </w:rPr>
        <w:t>rial</w:t>
      </w:r>
      <w:r w:rsidR="006E5336">
        <w:rPr>
          <w:lang w:eastAsia="ja-JP"/>
        </w:rPr>
        <w:t xml:space="preserve"> D</w:t>
      </w:r>
      <w:r w:rsidR="006E5336">
        <w:rPr>
          <w:rFonts w:hint="eastAsia"/>
          <w:lang w:eastAsia="ja-JP"/>
        </w:rPr>
        <w:t>esign and</w:t>
      </w:r>
      <w:r w:rsidR="006E5336">
        <w:rPr>
          <w:lang w:eastAsia="ja-JP"/>
        </w:rPr>
        <w:t xml:space="preserve"> T</w:t>
      </w:r>
      <w:r w:rsidR="006E5336">
        <w:rPr>
          <w:rFonts w:hint="eastAsia"/>
          <w:lang w:eastAsia="ja-JP"/>
        </w:rPr>
        <w:t>echniques</w:t>
      </w:r>
      <w:r w:rsidR="006E5336">
        <w:rPr>
          <w:lang w:eastAsia="ja-JP"/>
        </w:rPr>
        <w:t xml:space="preserve"> U</w:t>
      </w:r>
      <w:r w:rsidR="006E5336">
        <w:rPr>
          <w:rFonts w:hint="eastAsia"/>
          <w:lang w:eastAsia="ja-JP"/>
        </w:rPr>
        <w:t xml:space="preserve">sed in the </w:t>
      </w:r>
      <w:r w:rsidR="006E5336">
        <w:rPr>
          <w:lang w:eastAsia="ja-JP"/>
        </w:rPr>
        <w:t>E</w:t>
      </w:r>
      <w:r w:rsidR="006E5336">
        <w:rPr>
          <w:rFonts w:hint="eastAsia"/>
          <w:lang w:eastAsia="ja-JP"/>
        </w:rPr>
        <w:t xml:space="preserve">xamination of </w:t>
      </w:r>
      <w:r w:rsidR="006E5336">
        <w:rPr>
          <w:lang w:eastAsia="ja-JP"/>
        </w:rPr>
        <w:t>D</w:t>
      </w:r>
      <w:r w:rsidR="006E5336">
        <w:rPr>
          <w:rFonts w:hint="eastAsia"/>
          <w:lang w:eastAsia="ja-JP"/>
        </w:rPr>
        <w:t>istinctness, Uniformity and Stability</w:t>
      </w:r>
      <w:r w:rsidR="006E5336">
        <w:rPr>
          <w:lang w:eastAsia="ja-JP"/>
        </w:rPr>
        <w:t>”</w:t>
      </w:r>
      <w:r w:rsidR="006E5336">
        <w:rPr>
          <w:rFonts w:hint="eastAsia"/>
          <w:lang w:eastAsia="ja-JP"/>
        </w:rPr>
        <w:t xml:space="preserve">, </w:t>
      </w:r>
      <w:r w:rsidR="006E5336" w:rsidRPr="006E5336">
        <w:rPr>
          <w:lang w:eastAsia="ja-JP"/>
        </w:rPr>
        <w:t>P</w:t>
      </w:r>
      <w:r w:rsidR="006E5336">
        <w:rPr>
          <w:rFonts w:hint="eastAsia"/>
          <w:lang w:eastAsia="ja-JP"/>
        </w:rPr>
        <w:t>art</w:t>
      </w:r>
      <w:r w:rsidR="006E5336" w:rsidRPr="006E5336">
        <w:rPr>
          <w:lang w:eastAsia="ja-JP"/>
        </w:rPr>
        <w:t xml:space="preserve"> II: S</w:t>
      </w:r>
      <w:r w:rsidR="006E5336">
        <w:rPr>
          <w:rFonts w:hint="eastAsia"/>
          <w:lang w:eastAsia="ja-JP"/>
        </w:rPr>
        <w:t>elected</w:t>
      </w:r>
      <w:r w:rsidR="006E5336" w:rsidRPr="006E5336">
        <w:rPr>
          <w:lang w:eastAsia="ja-JP"/>
        </w:rPr>
        <w:t xml:space="preserve"> T</w:t>
      </w:r>
      <w:r w:rsidR="006E5336">
        <w:rPr>
          <w:rFonts w:hint="eastAsia"/>
          <w:lang w:eastAsia="ja-JP"/>
        </w:rPr>
        <w:t>echniques</w:t>
      </w:r>
      <w:r w:rsidR="006E5336" w:rsidRPr="006E5336">
        <w:rPr>
          <w:lang w:eastAsia="ja-JP"/>
        </w:rPr>
        <w:t xml:space="preserve"> U</w:t>
      </w:r>
      <w:r w:rsidR="006E5336">
        <w:rPr>
          <w:rFonts w:hint="eastAsia"/>
          <w:lang w:eastAsia="ja-JP"/>
        </w:rPr>
        <w:t>sed in</w:t>
      </w:r>
      <w:r w:rsidR="006E5336" w:rsidRPr="006E5336">
        <w:rPr>
          <w:lang w:eastAsia="ja-JP"/>
        </w:rPr>
        <w:t xml:space="preserve"> DUS E</w:t>
      </w:r>
      <w:r w:rsidR="006E5336">
        <w:rPr>
          <w:rFonts w:hint="eastAsia"/>
          <w:lang w:eastAsia="ja-JP"/>
        </w:rPr>
        <w:t xml:space="preserve">xamination, </w:t>
      </w:r>
      <w:r w:rsidR="006E5336" w:rsidRPr="006E5336">
        <w:rPr>
          <w:lang w:eastAsia="ja-JP"/>
        </w:rPr>
        <w:t>1</w:t>
      </w:r>
      <w:r w:rsidR="00474DD3">
        <w:rPr>
          <w:rFonts w:hint="eastAsia"/>
          <w:lang w:eastAsia="ja-JP"/>
        </w:rPr>
        <w:t xml:space="preserve"> </w:t>
      </w:r>
      <w:r w:rsidR="006E5336" w:rsidRPr="006E5336">
        <w:rPr>
          <w:lang w:eastAsia="ja-JP"/>
        </w:rPr>
        <w:t>“</w:t>
      </w:r>
      <w:r w:rsidR="00474DD3">
        <w:rPr>
          <w:rFonts w:hint="eastAsia"/>
          <w:lang w:eastAsia="ja-JP"/>
        </w:rPr>
        <w:t>The GAIA Methodology</w:t>
      </w:r>
      <w:r w:rsidR="006E5336" w:rsidRPr="006E5336">
        <w:rPr>
          <w:lang w:eastAsia="ja-JP"/>
        </w:rPr>
        <w:t>”</w:t>
      </w:r>
      <w:r w:rsidR="006E5336">
        <w:rPr>
          <w:rFonts w:hint="eastAsia"/>
          <w:lang w:eastAsia="ja-JP"/>
        </w:rPr>
        <w:t>)</w:t>
      </w:r>
      <w:r>
        <w:rPr>
          <w:lang w:eastAsia="ja-JP"/>
        </w:rPr>
        <w:t>.</w:t>
      </w:r>
    </w:p>
    <w:p w:rsidR="00463A17" w:rsidRDefault="00463A17" w:rsidP="00463A17">
      <w:pPr>
        <w:rPr>
          <w:lang w:eastAsia="ja-JP"/>
        </w:rPr>
      </w:pPr>
    </w:p>
    <w:p w:rsidR="00463A17" w:rsidRDefault="00463A17" w:rsidP="00463A17">
      <w:pPr>
        <w:rPr>
          <w:lang w:eastAsia="ja-JP"/>
        </w:rPr>
      </w:pPr>
      <w:r>
        <w:rPr>
          <w:lang w:eastAsia="ja-JP"/>
        </w:rPr>
        <w:t> </w:t>
      </w:r>
    </w:p>
    <w:p w:rsidR="00FD5B01" w:rsidRDefault="00FD5B01">
      <w:pPr>
        <w:jc w:val="left"/>
        <w:rPr>
          <w:caps/>
          <w:lang w:eastAsia="ja-JP"/>
        </w:rPr>
      </w:pPr>
      <w:r>
        <w:rPr>
          <w:lang w:eastAsia="ja-JP"/>
        </w:rPr>
        <w:br w:type="page"/>
      </w:r>
    </w:p>
    <w:p w:rsidR="00463A17" w:rsidRDefault="00463A17" w:rsidP="00463A17">
      <w:pPr>
        <w:pStyle w:val="Heading1"/>
        <w:rPr>
          <w:lang w:eastAsia="ja-JP"/>
        </w:rPr>
      </w:pPr>
      <w:r>
        <w:rPr>
          <w:lang w:eastAsia="ja-JP"/>
        </w:rPr>
        <w:lastRenderedPageBreak/>
        <w:t>The method in brief</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 xml:space="preserve">The method is based on calculating the probability, </w:t>
      </w:r>
      <w:proofErr w:type="spellStart"/>
      <w:proofErr w:type="gramStart"/>
      <w:r>
        <w:rPr>
          <w:lang w:eastAsia="ja-JP"/>
        </w:rPr>
        <w:t>pD</w:t>
      </w:r>
      <w:proofErr w:type="spellEnd"/>
      <w:proofErr w:type="gramEnd"/>
      <w:r>
        <w:rPr>
          <w:lang w:eastAsia="ja-JP"/>
        </w:rPr>
        <w:t xml:space="preserve">, that a candidate would be distinct on the 2-cycle COYD criterion based only on the first cycle’s data. If the probability is suitably large, the candidate is declared distinct from that variety and does not need to be compared in the second growing cycle. This process can be inverted to identify thresholds for set probabilities. </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As well as requiring the first cycle’s trial data, the method requires historical data from past DUS trials. At least 10 cycles of trials are needed – more is better. This is used to estimate the variety-by-cycle variance for each characteristic and, importantly, its variability (or level of heterogeneity). The variety-by-cycle variance is a fundamental component of the COYD criterion (see document TGP/8 “Trial Design and Techniques Used in the Examination of Distinctness, Uniformity and Stability”).</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At the moment the method requires use of specialist statistical software to estimate the heterogeneity of the variety-by-cycle variance and the parameters of a gamma distribution</w:t>
      </w:r>
      <w:r w:rsidRPr="005464FF">
        <w:rPr>
          <w:lang w:eastAsia="ja-JP"/>
        </w:rPr>
        <w:t xml:space="preserve">. </w:t>
      </w:r>
      <w:r w:rsidR="00937353" w:rsidRPr="005464FF">
        <w:rPr>
          <w:lang w:eastAsia="ja-JP"/>
        </w:rPr>
        <w:t xml:space="preserve"> </w:t>
      </w:r>
      <w:r w:rsidR="009F1C62" w:rsidRPr="005464FF">
        <w:rPr>
          <w:lang w:eastAsia="ja-JP"/>
        </w:rPr>
        <w:t>Here GenStat was used.</w:t>
      </w:r>
      <w:r>
        <w:rPr>
          <w:lang w:eastAsia="ja-JP"/>
        </w:rPr>
        <w:t xml:space="preserve"> ASREML (perhaps in combination with R) is also capable and possibly so is SAS.</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Apart from that, the method uses formula, which whilst being a little complex, should be straightforward to implement in a program. It should not be necessary to update the thresholds every year.</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 xml:space="preserve">Further detail on the method is given in document TWC/33/20 Rev. and in a paper (Roberts A.M.I., Nevison I.M., Christie T. (in press) Prediction of variety distinctness decisions under yearly heterogeneity. Journal of Agricultural Science </w:t>
      </w:r>
      <w:proofErr w:type="spellStart"/>
      <w:r>
        <w:rPr>
          <w:lang w:eastAsia="ja-JP"/>
        </w:rPr>
        <w:t>doi</w:t>
      </w:r>
      <w:proofErr w:type="spellEnd"/>
      <w:r>
        <w:rPr>
          <w:lang w:eastAsia="ja-JP"/>
        </w:rPr>
        <w:t>: 10.1017/S0021859615001306).</w:t>
      </w:r>
    </w:p>
    <w:p w:rsidR="00463A17" w:rsidRDefault="00463A17" w:rsidP="00463A17">
      <w:pPr>
        <w:rPr>
          <w:lang w:eastAsia="ja-JP"/>
        </w:rPr>
      </w:pPr>
    </w:p>
    <w:p w:rsidR="008A303B" w:rsidRDefault="008A303B" w:rsidP="00463A17">
      <w:pPr>
        <w:rPr>
          <w:lang w:eastAsia="ja-JP"/>
        </w:rPr>
      </w:pPr>
    </w:p>
    <w:p w:rsidR="00463A17" w:rsidRDefault="00463A17" w:rsidP="00463A17">
      <w:pPr>
        <w:pStyle w:val="Heading1"/>
        <w:rPr>
          <w:lang w:eastAsia="ja-JP"/>
        </w:rPr>
      </w:pPr>
      <w:r>
        <w:rPr>
          <w:lang w:eastAsia="ja-JP"/>
        </w:rPr>
        <w:t>An example</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 xml:space="preserve">The proposed method is exemplified using a data set from </w:t>
      </w:r>
      <w:r w:rsidR="00937353" w:rsidRPr="00937353">
        <w:rPr>
          <w:lang w:eastAsia="ja-JP"/>
        </w:rPr>
        <w:t>the United Kingdom</w:t>
      </w:r>
      <w:r>
        <w:rPr>
          <w:lang w:eastAsia="ja-JP"/>
        </w:rPr>
        <w:t xml:space="preserve"> field pea distinctness trials from 1995 to 2013. The semi-leafless group of varieties was considered. The trials were carried out at </w:t>
      </w:r>
      <w:r w:rsidR="000D0DCF">
        <w:rPr>
          <w:lang w:eastAsia="ja-JP"/>
        </w:rPr>
        <w:t>Science and Advice for Scottish Agriculture (</w:t>
      </w:r>
      <w:r>
        <w:rPr>
          <w:lang w:eastAsia="ja-JP"/>
        </w:rPr>
        <w:t>SASA</w:t>
      </w:r>
      <w:r w:rsidR="000D0DCF">
        <w:rPr>
          <w:lang w:eastAsia="ja-JP"/>
        </w:rPr>
        <w:t>)</w:t>
      </w:r>
      <w:r>
        <w:rPr>
          <w:lang w:eastAsia="ja-JP"/>
        </w:rPr>
        <w:t>, near Edinburgh. Each trial had two replicates and between 139 and 290 varieties.  Thirteen quantitative characteristics were considered.  Only those varieties with six or more cycles of data have been retained for this study; this left 222 varieties. A 2% probability level is used for COYD.</w:t>
      </w:r>
    </w:p>
    <w:p w:rsidR="00463A17" w:rsidRDefault="00463A17" w:rsidP="00463A17">
      <w:pPr>
        <w:rPr>
          <w:lang w:eastAsia="ja-JP"/>
        </w:rPr>
      </w:pPr>
    </w:p>
    <w:p w:rsidR="00463A17" w:rsidRDefault="00463A17" w:rsidP="00463A17">
      <w:pPr>
        <w:rPr>
          <w:lang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Table 1 shows the characteristics considered, along with some basic statistics to give an indication of the scales. Note some of these are scored. An index for heterogeneity is included. This is based on changes in deviances between models with and without heterogeneity over cycles divided by the corresponding change in degrees of freedom: the higher the index the greater the importance of the heterogeneity. The greatest heterogeneity was found for characteristics 5 and 28. Note that the level of varietal heterogeneity in the variety-by-cycle variance (not shown) was much lower.</w:t>
      </w:r>
    </w:p>
    <w:p w:rsidR="00463A17" w:rsidRDefault="00463A17" w:rsidP="00463A17">
      <w:pPr>
        <w:rPr>
          <w:lang w:eastAsia="ja-JP"/>
        </w:rPr>
      </w:pPr>
    </w:p>
    <w:p w:rsidR="003133F8" w:rsidRDefault="00463A17" w:rsidP="003133F8">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Pr>
          <w:lang w:eastAsia="ja-JP"/>
        </w:rPr>
        <w:t xml:space="preserve">Table 2 shows the first cycle thresholds calculated for each characteristic based on setting distinctness probabilities </w:t>
      </w:r>
      <w:proofErr w:type="spellStart"/>
      <w:r>
        <w:rPr>
          <w:lang w:eastAsia="ja-JP"/>
        </w:rPr>
        <w:t>pD</w:t>
      </w:r>
      <w:proofErr w:type="spellEnd"/>
      <w:r>
        <w:rPr>
          <w:lang w:eastAsia="ja-JP"/>
        </w:rPr>
        <w:t xml:space="preserve"> at 90%, 95% and 99%. These are compared with an average COYD criterion for the two-cycle test (based on long-term data and equal to the long-term LSD). </w:t>
      </w:r>
      <w:r w:rsidRPr="003133F8">
        <w:rPr>
          <w:lang w:eastAsia="ja-JP"/>
        </w:rPr>
        <w:t xml:space="preserve">They are also compared to the tolerances based on experience that are currently used in the </w:t>
      </w:r>
      <w:r w:rsidR="006E5336">
        <w:rPr>
          <w:rFonts w:hint="eastAsia"/>
          <w:lang w:eastAsia="ja-JP"/>
        </w:rPr>
        <w:t>United Kingdom</w:t>
      </w:r>
      <w:r w:rsidRPr="003133F8">
        <w:rPr>
          <w:lang w:eastAsia="ja-JP"/>
        </w:rPr>
        <w:t xml:space="preserve"> to exclude varieties of common knowledge after the first cycle.</w:t>
      </w:r>
      <w:r w:rsidR="003133F8">
        <w:rPr>
          <w:lang w:eastAsia="ja-JP"/>
        </w:rPr>
        <w:t xml:space="preserve"> </w:t>
      </w:r>
    </w:p>
    <w:p w:rsidR="00463A17" w:rsidRDefault="00463A17" w:rsidP="00463A17">
      <w:pPr>
        <w:rPr>
          <w:lang w:eastAsia="ja-JP"/>
        </w:rPr>
      </w:pPr>
    </w:p>
    <w:p w:rsidR="00463A17" w:rsidRDefault="00463A17" w:rsidP="00463A17">
      <w:pPr>
        <w:rPr>
          <w:lang w:eastAsia="ja-JP"/>
        </w:rPr>
      </w:pPr>
    </w:p>
    <w:p w:rsidR="00FD5B01" w:rsidRDefault="00FD5B01">
      <w:pPr>
        <w:jc w:val="left"/>
        <w:rPr>
          <w:lang w:val="en-GB"/>
        </w:rPr>
      </w:pPr>
      <w:r>
        <w:rPr>
          <w:lang w:val="en-GB"/>
        </w:rPr>
        <w:br w:type="page"/>
      </w:r>
    </w:p>
    <w:p w:rsidR="00463A17" w:rsidRPr="00463A17" w:rsidRDefault="00463A17" w:rsidP="00463A17">
      <w:pPr>
        <w:rPr>
          <w:lang w:val="en-GB"/>
        </w:rPr>
      </w:pPr>
      <w:proofErr w:type="gramStart"/>
      <w:r w:rsidRPr="00463A17">
        <w:rPr>
          <w:lang w:val="en-GB"/>
        </w:rPr>
        <w:lastRenderedPageBreak/>
        <w:t>Table 1.</w:t>
      </w:r>
      <w:proofErr w:type="gramEnd"/>
      <w:r w:rsidRPr="00463A17">
        <w:rPr>
          <w:lang w:val="en-GB"/>
        </w:rPr>
        <w:t xml:space="preserve"> Characteristics considered in example data set with statistics </w:t>
      </w:r>
    </w:p>
    <w:p w:rsidR="00463A17" w:rsidRPr="00BA2363" w:rsidRDefault="00463A17" w:rsidP="00463A17">
      <w:pPr>
        <w:rPr>
          <w:i/>
          <w:lang w:val="en-GB"/>
        </w:rPr>
      </w:pPr>
    </w:p>
    <w:tbl>
      <w:tblPr>
        <w:tblStyle w:val="TableGrid"/>
        <w:tblW w:w="96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910"/>
        <w:gridCol w:w="1110"/>
        <w:gridCol w:w="1220"/>
        <w:gridCol w:w="1355"/>
        <w:gridCol w:w="1437"/>
      </w:tblGrid>
      <w:tr w:rsidR="00463A17" w:rsidRPr="004950C9" w:rsidTr="00937353">
        <w:tc>
          <w:tcPr>
            <w:tcW w:w="3618" w:type="dxa"/>
            <w:tcBorders>
              <w:top w:val="single" w:sz="4" w:space="0" w:color="auto"/>
              <w:bottom w:val="single" w:sz="4" w:space="0" w:color="auto"/>
            </w:tcBorders>
          </w:tcPr>
          <w:p w:rsidR="00463A17" w:rsidRPr="004950C9" w:rsidRDefault="00463A17" w:rsidP="008A303B">
            <w:pPr>
              <w:rPr>
                <w:lang w:val="en-GB"/>
              </w:rPr>
            </w:pPr>
            <w:r>
              <w:rPr>
                <w:lang w:val="en-GB"/>
              </w:rPr>
              <w:t>Characteristic (UPOV number)</w:t>
            </w:r>
          </w:p>
        </w:tc>
        <w:tc>
          <w:tcPr>
            <w:tcW w:w="910"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Mean</w:t>
            </w:r>
          </w:p>
        </w:tc>
        <w:tc>
          <w:tcPr>
            <w:tcW w:w="1110"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Standard deviation</w:t>
            </w:r>
          </w:p>
        </w:tc>
        <w:tc>
          <w:tcPr>
            <w:tcW w:w="1220"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Minimum</w:t>
            </w:r>
          </w:p>
        </w:tc>
        <w:tc>
          <w:tcPr>
            <w:tcW w:w="1355"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Maximum</w:t>
            </w:r>
          </w:p>
        </w:tc>
        <w:tc>
          <w:tcPr>
            <w:tcW w:w="1437" w:type="dxa"/>
            <w:tcBorders>
              <w:top w:val="single" w:sz="4" w:space="0" w:color="auto"/>
              <w:bottom w:val="single" w:sz="4" w:space="0" w:color="auto"/>
            </w:tcBorders>
          </w:tcPr>
          <w:p w:rsidR="00463A17" w:rsidRPr="004950C9" w:rsidRDefault="00463A17" w:rsidP="008A303B">
            <w:pPr>
              <w:jc w:val="center"/>
              <w:rPr>
                <w:lang w:val="en-GB"/>
              </w:rPr>
            </w:pPr>
            <w:r>
              <w:rPr>
                <w:lang w:val="en-GB"/>
              </w:rPr>
              <w:t>Over-cycle heterogeneity index</w:t>
            </w:r>
          </w:p>
        </w:tc>
      </w:tr>
      <w:tr w:rsidR="00463A17" w:rsidRPr="004950C9" w:rsidTr="00937353">
        <w:tc>
          <w:tcPr>
            <w:tcW w:w="3618" w:type="dxa"/>
            <w:tcBorders>
              <w:top w:val="single" w:sz="4" w:space="0" w:color="auto"/>
              <w:bottom w:val="nil"/>
            </w:tcBorders>
          </w:tcPr>
          <w:p w:rsidR="00463A17" w:rsidRPr="004950C9" w:rsidRDefault="00463A17" w:rsidP="008A303B">
            <w:pPr>
              <w:rPr>
                <w:lang w:val="en-GB"/>
              </w:rPr>
            </w:pPr>
            <w:r w:rsidRPr="004950C9">
              <w:rPr>
                <w:lang w:val="en-GB"/>
              </w:rPr>
              <w:t>(5)</w:t>
            </w:r>
            <w:r w:rsidRPr="004950C9">
              <w:rPr>
                <w:b/>
                <w:lang w:val="en-GB"/>
              </w:rPr>
              <w:t xml:space="preserve"> </w:t>
            </w:r>
            <w:r w:rsidRPr="004950C9">
              <w:rPr>
                <w:lang w:val="en-GB"/>
              </w:rPr>
              <w:t>Stem: number of nodes up to and including first fertile node</w:t>
            </w:r>
          </w:p>
        </w:tc>
        <w:tc>
          <w:tcPr>
            <w:tcW w:w="910" w:type="dxa"/>
            <w:tcBorders>
              <w:top w:val="single" w:sz="4" w:space="0" w:color="auto"/>
              <w:bottom w:val="nil"/>
            </w:tcBorders>
          </w:tcPr>
          <w:p w:rsidR="00463A17" w:rsidRDefault="00463A17" w:rsidP="008A303B">
            <w:pPr>
              <w:tabs>
                <w:tab w:val="decimal" w:pos="423"/>
              </w:tabs>
              <w:jc w:val="left"/>
              <w:rPr>
                <w:lang w:val="en-GB"/>
              </w:rPr>
            </w:pPr>
            <w:r w:rsidRPr="004950C9">
              <w:rPr>
                <w:lang w:val="en-GB"/>
              </w:rPr>
              <w:t>16.0</w:t>
            </w:r>
          </w:p>
        </w:tc>
        <w:tc>
          <w:tcPr>
            <w:tcW w:w="1110" w:type="dxa"/>
            <w:tcBorders>
              <w:top w:val="single" w:sz="4" w:space="0" w:color="auto"/>
              <w:bottom w:val="nil"/>
            </w:tcBorders>
          </w:tcPr>
          <w:p w:rsidR="00463A17" w:rsidRDefault="00463A17" w:rsidP="008A303B">
            <w:pPr>
              <w:tabs>
                <w:tab w:val="decimal" w:pos="423"/>
              </w:tabs>
              <w:jc w:val="left"/>
              <w:rPr>
                <w:lang w:val="en-GB"/>
              </w:rPr>
            </w:pPr>
            <w:r w:rsidRPr="004950C9">
              <w:rPr>
                <w:lang w:val="en-GB"/>
              </w:rPr>
              <w:t>1.59</w:t>
            </w:r>
          </w:p>
        </w:tc>
        <w:tc>
          <w:tcPr>
            <w:tcW w:w="1220" w:type="dxa"/>
            <w:tcBorders>
              <w:top w:val="single" w:sz="4" w:space="0" w:color="auto"/>
              <w:bottom w:val="nil"/>
            </w:tcBorders>
          </w:tcPr>
          <w:p w:rsidR="00463A17" w:rsidRDefault="00463A17" w:rsidP="008A303B">
            <w:pPr>
              <w:tabs>
                <w:tab w:val="decimal" w:pos="423"/>
              </w:tabs>
              <w:jc w:val="left"/>
              <w:rPr>
                <w:lang w:val="en-GB"/>
              </w:rPr>
            </w:pPr>
            <w:r w:rsidRPr="004950C9">
              <w:rPr>
                <w:lang w:val="en-GB"/>
              </w:rPr>
              <w:t>9.6</w:t>
            </w:r>
          </w:p>
        </w:tc>
        <w:tc>
          <w:tcPr>
            <w:tcW w:w="1355" w:type="dxa"/>
            <w:tcBorders>
              <w:top w:val="single" w:sz="4" w:space="0" w:color="auto"/>
              <w:bottom w:val="nil"/>
            </w:tcBorders>
          </w:tcPr>
          <w:p w:rsidR="00463A17" w:rsidRDefault="00463A17" w:rsidP="008A303B">
            <w:pPr>
              <w:tabs>
                <w:tab w:val="decimal" w:pos="593"/>
              </w:tabs>
              <w:jc w:val="left"/>
              <w:rPr>
                <w:lang w:val="en-GB"/>
              </w:rPr>
            </w:pPr>
            <w:r w:rsidRPr="004950C9">
              <w:rPr>
                <w:lang w:val="en-GB"/>
              </w:rPr>
              <w:t>20.9</w:t>
            </w:r>
          </w:p>
        </w:tc>
        <w:tc>
          <w:tcPr>
            <w:tcW w:w="1437" w:type="dxa"/>
            <w:tcBorders>
              <w:top w:val="single" w:sz="4" w:space="0" w:color="auto"/>
              <w:bottom w:val="nil"/>
            </w:tcBorders>
          </w:tcPr>
          <w:p w:rsidR="00463A17" w:rsidRDefault="00463A17" w:rsidP="008A303B">
            <w:pPr>
              <w:widowControl w:val="0"/>
              <w:tabs>
                <w:tab w:val="decimal" w:pos="593"/>
              </w:tabs>
              <w:jc w:val="left"/>
              <w:rPr>
                <w:szCs w:val="24"/>
              </w:rPr>
            </w:pPr>
            <w:r>
              <w:rPr>
                <w:szCs w:val="24"/>
              </w:rPr>
              <w:t>13.0</w:t>
            </w:r>
          </w:p>
        </w:tc>
      </w:tr>
      <w:tr w:rsidR="00463A17" w:rsidRPr="004950C9" w:rsidTr="00937353">
        <w:tc>
          <w:tcPr>
            <w:tcW w:w="3618" w:type="dxa"/>
            <w:tcBorders>
              <w:top w:val="nil"/>
            </w:tcBorders>
          </w:tcPr>
          <w:p w:rsidR="00463A17" w:rsidRPr="004950C9" w:rsidRDefault="00463A17" w:rsidP="008A303B">
            <w:pPr>
              <w:rPr>
                <w:lang w:val="en-GB"/>
              </w:rPr>
            </w:pPr>
            <w:r w:rsidRPr="004950C9">
              <w:rPr>
                <w:lang w:val="en-GB"/>
              </w:rPr>
              <w:t>(15) Stipule: length (mm)</w:t>
            </w:r>
          </w:p>
        </w:tc>
        <w:tc>
          <w:tcPr>
            <w:tcW w:w="910" w:type="dxa"/>
            <w:tcBorders>
              <w:top w:val="nil"/>
            </w:tcBorders>
          </w:tcPr>
          <w:p w:rsidR="00463A17" w:rsidRDefault="00463A17" w:rsidP="008A303B">
            <w:pPr>
              <w:tabs>
                <w:tab w:val="decimal" w:pos="423"/>
              </w:tabs>
              <w:jc w:val="left"/>
              <w:rPr>
                <w:lang w:val="en-GB"/>
              </w:rPr>
            </w:pPr>
            <w:r w:rsidRPr="004950C9">
              <w:rPr>
                <w:lang w:val="en-GB"/>
              </w:rPr>
              <w:t>82.3</w:t>
            </w:r>
          </w:p>
        </w:tc>
        <w:tc>
          <w:tcPr>
            <w:tcW w:w="1110" w:type="dxa"/>
            <w:tcBorders>
              <w:top w:val="nil"/>
            </w:tcBorders>
          </w:tcPr>
          <w:p w:rsidR="00463A17" w:rsidRDefault="00463A17" w:rsidP="008A303B">
            <w:pPr>
              <w:tabs>
                <w:tab w:val="decimal" w:pos="423"/>
              </w:tabs>
              <w:jc w:val="left"/>
              <w:rPr>
                <w:lang w:val="en-GB"/>
              </w:rPr>
            </w:pPr>
            <w:r w:rsidRPr="004950C9">
              <w:rPr>
                <w:lang w:val="en-GB"/>
              </w:rPr>
              <w:t>13.48</w:t>
            </w:r>
          </w:p>
        </w:tc>
        <w:tc>
          <w:tcPr>
            <w:tcW w:w="1220" w:type="dxa"/>
            <w:tcBorders>
              <w:top w:val="nil"/>
            </w:tcBorders>
          </w:tcPr>
          <w:p w:rsidR="00463A17" w:rsidRDefault="00463A17" w:rsidP="008A303B">
            <w:pPr>
              <w:tabs>
                <w:tab w:val="decimal" w:pos="423"/>
              </w:tabs>
              <w:jc w:val="left"/>
              <w:rPr>
                <w:lang w:val="en-GB"/>
              </w:rPr>
            </w:pPr>
            <w:r w:rsidRPr="004950C9">
              <w:rPr>
                <w:lang w:val="en-GB"/>
              </w:rPr>
              <w:t>47.2</w:t>
            </w:r>
          </w:p>
        </w:tc>
        <w:tc>
          <w:tcPr>
            <w:tcW w:w="1355" w:type="dxa"/>
            <w:tcBorders>
              <w:top w:val="nil"/>
            </w:tcBorders>
          </w:tcPr>
          <w:p w:rsidR="00463A17" w:rsidRDefault="00463A17" w:rsidP="008A303B">
            <w:pPr>
              <w:tabs>
                <w:tab w:val="decimal" w:pos="593"/>
              </w:tabs>
              <w:jc w:val="left"/>
              <w:rPr>
                <w:lang w:val="en-GB"/>
              </w:rPr>
            </w:pPr>
            <w:r w:rsidRPr="004950C9">
              <w:rPr>
                <w:lang w:val="en-GB"/>
              </w:rPr>
              <w:t>121.5</w:t>
            </w:r>
          </w:p>
        </w:tc>
        <w:tc>
          <w:tcPr>
            <w:tcW w:w="1437" w:type="dxa"/>
            <w:tcBorders>
              <w:top w:val="nil"/>
            </w:tcBorders>
          </w:tcPr>
          <w:p w:rsidR="00463A17" w:rsidRDefault="00463A17" w:rsidP="008A303B">
            <w:pPr>
              <w:widowControl w:val="0"/>
              <w:tabs>
                <w:tab w:val="decimal" w:pos="593"/>
              </w:tabs>
              <w:jc w:val="left"/>
              <w:rPr>
                <w:szCs w:val="24"/>
              </w:rPr>
            </w:pPr>
            <w:r>
              <w:rPr>
                <w:szCs w:val="24"/>
              </w:rPr>
              <w:t>4.4</w:t>
            </w:r>
          </w:p>
        </w:tc>
      </w:tr>
      <w:tr w:rsidR="00463A17" w:rsidRPr="004950C9" w:rsidTr="00937353">
        <w:tc>
          <w:tcPr>
            <w:tcW w:w="3618" w:type="dxa"/>
            <w:tcBorders>
              <w:top w:val="nil"/>
            </w:tcBorders>
          </w:tcPr>
          <w:p w:rsidR="00463A17" w:rsidRPr="004950C9" w:rsidRDefault="00463A17" w:rsidP="008A303B">
            <w:pPr>
              <w:rPr>
                <w:lang w:val="en-GB"/>
              </w:rPr>
            </w:pPr>
            <w:r w:rsidRPr="004950C9">
              <w:rPr>
                <w:lang w:val="en-GB"/>
              </w:rPr>
              <w:t>(16) Stipule: width (mm)</w:t>
            </w:r>
          </w:p>
        </w:tc>
        <w:tc>
          <w:tcPr>
            <w:tcW w:w="910" w:type="dxa"/>
            <w:tcBorders>
              <w:top w:val="nil"/>
            </w:tcBorders>
          </w:tcPr>
          <w:p w:rsidR="00463A17" w:rsidRDefault="00463A17" w:rsidP="008A303B">
            <w:pPr>
              <w:tabs>
                <w:tab w:val="decimal" w:pos="423"/>
              </w:tabs>
              <w:jc w:val="left"/>
              <w:rPr>
                <w:lang w:val="en-GB"/>
              </w:rPr>
            </w:pPr>
            <w:r w:rsidRPr="004950C9">
              <w:rPr>
                <w:lang w:val="en-GB"/>
              </w:rPr>
              <w:t>46.3</w:t>
            </w:r>
          </w:p>
        </w:tc>
        <w:tc>
          <w:tcPr>
            <w:tcW w:w="1110" w:type="dxa"/>
            <w:tcBorders>
              <w:top w:val="nil"/>
            </w:tcBorders>
          </w:tcPr>
          <w:p w:rsidR="00463A17" w:rsidRDefault="00463A17" w:rsidP="008A303B">
            <w:pPr>
              <w:tabs>
                <w:tab w:val="decimal" w:pos="423"/>
              </w:tabs>
              <w:jc w:val="left"/>
              <w:rPr>
                <w:lang w:val="en-GB"/>
              </w:rPr>
            </w:pPr>
            <w:r w:rsidRPr="004950C9">
              <w:rPr>
                <w:lang w:val="en-GB"/>
              </w:rPr>
              <w:t>8.80</w:t>
            </w:r>
          </w:p>
        </w:tc>
        <w:tc>
          <w:tcPr>
            <w:tcW w:w="1220" w:type="dxa"/>
            <w:tcBorders>
              <w:top w:val="nil"/>
            </w:tcBorders>
          </w:tcPr>
          <w:p w:rsidR="00463A17" w:rsidRDefault="00463A17" w:rsidP="008A303B">
            <w:pPr>
              <w:tabs>
                <w:tab w:val="decimal" w:pos="423"/>
              </w:tabs>
              <w:jc w:val="left"/>
              <w:rPr>
                <w:lang w:val="en-GB"/>
              </w:rPr>
            </w:pPr>
            <w:r w:rsidRPr="004950C9">
              <w:rPr>
                <w:lang w:val="en-GB"/>
              </w:rPr>
              <w:t>23.7</w:t>
            </w:r>
          </w:p>
        </w:tc>
        <w:tc>
          <w:tcPr>
            <w:tcW w:w="1355" w:type="dxa"/>
            <w:tcBorders>
              <w:top w:val="nil"/>
            </w:tcBorders>
          </w:tcPr>
          <w:p w:rsidR="00463A17" w:rsidRDefault="00463A17" w:rsidP="008A303B">
            <w:pPr>
              <w:tabs>
                <w:tab w:val="decimal" w:pos="593"/>
              </w:tabs>
              <w:jc w:val="left"/>
              <w:rPr>
                <w:lang w:val="en-GB"/>
              </w:rPr>
            </w:pPr>
            <w:r w:rsidRPr="004950C9">
              <w:rPr>
                <w:lang w:val="en-GB"/>
              </w:rPr>
              <w:t>79.0</w:t>
            </w:r>
          </w:p>
        </w:tc>
        <w:tc>
          <w:tcPr>
            <w:tcW w:w="1437" w:type="dxa"/>
            <w:tcBorders>
              <w:top w:val="nil"/>
            </w:tcBorders>
          </w:tcPr>
          <w:p w:rsidR="00463A17" w:rsidRDefault="00463A17" w:rsidP="008A303B">
            <w:pPr>
              <w:widowControl w:val="0"/>
              <w:tabs>
                <w:tab w:val="decimal" w:pos="593"/>
              </w:tabs>
              <w:jc w:val="left"/>
              <w:rPr>
                <w:szCs w:val="24"/>
              </w:rPr>
            </w:pPr>
            <w:r>
              <w:rPr>
                <w:szCs w:val="24"/>
              </w:rPr>
              <w:t>4.1</w:t>
            </w:r>
          </w:p>
        </w:tc>
      </w:tr>
      <w:tr w:rsidR="00463A17" w:rsidRPr="004950C9" w:rsidTr="00937353">
        <w:tc>
          <w:tcPr>
            <w:tcW w:w="3618" w:type="dxa"/>
            <w:tcBorders>
              <w:top w:val="nil"/>
            </w:tcBorders>
          </w:tcPr>
          <w:p w:rsidR="00463A17" w:rsidRPr="004950C9" w:rsidRDefault="00463A17" w:rsidP="008A303B">
            <w:pPr>
              <w:rPr>
                <w:lang w:val="en-GB"/>
              </w:rPr>
            </w:pPr>
            <w:r w:rsidRPr="004950C9">
              <w:rPr>
                <w:lang w:val="en-GB"/>
              </w:rPr>
              <w:t>(21)</w:t>
            </w:r>
            <w:r w:rsidR="00ED5A19" w:rsidRPr="002D59ED">
              <w:rPr>
                <w:vertAlign w:val="superscript"/>
                <w:lang w:val="en-GB"/>
              </w:rPr>
              <w:t>*</w:t>
            </w:r>
            <w:r w:rsidRPr="004950C9">
              <w:rPr>
                <w:lang w:val="en-GB"/>
              </w:rPr>
              <w:t xml:space="preserve"> Stipule: density of flecking (1-9)</w:t>
            </w:r>
          </w:p>
        </w:tc>
        <w:tc>
          <w:tcPr>
            <w:tcW w:w="910" w:type="dxa"/>
            <w:tcBorders>
              <w:top w:val="nil"/>
            </w:tcBorders>
          </w:tcPr>
          <w:p w:rsidR="00463A17" w:rsidRDefault="00463A17" w:rsidP="008A303B">
            <w:pPr>
              <w:tabs>
                <w:tab w:val="decimal" w:pos="423"/>
              </w:tabs>
              <w:jc w:val="left"/>
              <w:rPr>
                <w:lang w:val="en-GB"/>
              </w:rPr>
            </w:pPr>
            <w:r w:rsidRPr="004950C9">
              <w:rPr>
                <w:lang w:val="en-GB"/>
              </w:rPr>
              <w:t>5.3</w:t>
            </w:r>
          </w:p>
        </w:tc>
        <w:tc>
          <w:tcPr>
            <w:tcW w:w="1110" w:type="dxa"/>
            <w:tcBorders>
              <w:top w:val="nil"/>
            </w:tcBorders>
          </w:tcPr>
          <w:p w:rsidR="00463A17" w:rsidRDefault="00463A17" w:rsidP="008A303B">
            <w:pPr>
              <w:tabs>
                <w:tab w:val="decimal" w:pos="423"/>
              </w:tabs>
              <w:jc w:val="left"/>
              <w:rPr>
                <w:lang w:val="en-GB"/>
              </w:rPr>
            </w:pPr>
            <w:r w:rsidRPr="004950C9">
              <w:rPr>
                <w:lang w:val="en-GB"/>
              </w:rPr>
              <w:t>0.90</w:t>
            </w:r>
          </w:p>
        </w:tc>
        <w:tc>
          <w:tcPr>
            <w:tcW w:w="1220" w:type="dxa"/>
            <w:tcBorders>
              <w:top w:val="nil"/>
            </w:tcBorders>
          </w:tcPr>
          <w:p w:rsidR="00463A17" w:rsidRDefault="00463A17" w:rsidP="008A303B">
            <w:pPr>
              <w:tabs>
                <w:tab w:val="decimal" w:pos="423"/>
              </w:tabs>
              <w:jc w:val="left"/>
              <w:rPr>
                <w:b/>
                <w:caps/>
                <w:kern w:val="28"/>
                <w:sz w:val="30"/>
                <w:lang w:val="en-GB"/>
              </w:rPr>
            </w:pPr>
            <w:r w:rsidRPr="004950C9">
              <w:rPr>
                <w:lang w:val="en-GB"/>
              </w:rPr>
              <w:t>2.5</w:t>
            </w:r>
          </w:p>
        </w:tc>
        <w:tc>
          <w:tcPr>
            <w:tcW w:w="1355" w:type="dxa"/>
            <w:tcBorders>
              <w:top w:val="nil"/>
            </w:tcBorders>
          </w:tcPr>
          <w:p w:rsidR="00463A17" w:rsidRDefault="00463A17" w:rsidP="008A303B">
            <w:pPr>
              <w:tabs>
                <w:tab w:val="decimal" w:pos="593"/>
              </w:tabs>
              <w:jc w:val="left"/>
              <w:rPr>
                <w:b/>
                <w:caps/>
                <w:kern w:val="28"/>
                <w:sz w:val="30"/>
                <w:lang w:val="en-GB"/>
              </w:rPr>
            </w:pPr>
            <w:r w:rsidRPr="004950C9">
              <w:rPr>
                <w:lang w:val="en-GB"/>
              </w:rPr>
              <w:t>8.0</w:t>
            </w:r>
          </w:p>
        </w:tc>
        <w:tc>
          <w:tcPr>
            <w:tcW w:w="1437" w:type="dxa"/>
            <w:tcBorders>
              <w:top w:val="nil"/>
            </w:tcBorders>
          </w:tcPr>
          <w:p w:rsidR="00463A17" w:rsidRDefault="00463A17" w:rsidP="008A303B">
            <w:pPr>
              <w:widowControl w:val="0"/>
              <w:tabs>
                <w:tab w:val="decimal" w:pos="593"/>
              </w:tabs>
              <w:jc w:val="left"/>
              <w:rPr>
                <w:b/>
                <w:caps/>
                <w:kern w:val="28"/>
                <w:sz w:val="30"/>
                <w:szCs w:val="24"/>
              </w:rPr>
            </w:pPr>
            <w:r>
              <w:rPr>
                <w:szCs w:val="24"/>
              </w:rPr>
              <w:t>4.3</w:t>
            </w:r>
          </w:p>
        </w:tc>
      </w:tr>
      <w:tr w:rsidR="00463A17" w:rsidRPr="004950C9" w:rsidTr="00937353">
        <w:tc>
          <w:tcPr>
            <w:tcW w:w="3618" w:type="dxa"/>
            <w:tcBorders>
              <w:top w:val="nil"/>
            </w:tcBorders>
          </w:tcPr>
          <w:p w:rsidR="00463A17" w:rsidRPr="004950C9" w:rsidRDefault="00463A17" w:rsidP="008A303B">
            <w:pPr>
              <w:rPr>
                <w:lang w:val="en-GB"/>
              </w:rPr>
            </w:pPr>
            <w:r w:rsidRPr="004950C9">
              <w:rPr>
                <w:lang w:val="en-GB"/>
              </w:rPr>
              <w:t>(22) Petiole: length from axil to first leaflet or tendril (mm)</w:t>
            </w:r>
          </w:p>
        </w:tc>
        <w:tc>
          <w:tcPr>
            <w:tcW w:w="910" w:type="dxa"/>
            <w:tcBorders>
              <w:top w:val="nil"/>
            </w:tcBorders>
          </w:tcPr>
          <w:p w:rsidR="00463A17" w:rsidRDefault="00463A17" w:rsidP="008A303B">
            <w:pPr>
              <w:tabs>
                <w:tab w:val="decimal" w:pos="423"/>
              </w:tabs>
              <w:jc w:val="left"/>
              <w:rPr>
                <w:b/>
                <w:caps/>
                <w:kern w:val="28"/>
                <w:sz w:val="30"/>
                <w:lang w:val="en-GB"/>
              </w:rPr>
            </w:pPr>
            <w:r w:rsidRPr="004950C9">
              <w:rPr>
                <w:lang w:val="en-GB"/>
              </w:rPr>
              <w:t>83.2</w:t>
            </w:r>
          </w:p>
        </w:tc>
        <w:tc>
          <w:tcPr>
            <w:tcW w:w="1110" w:type="dxa"/>
            <w:tcBorders>
              <w:top w:val="nil"/>
            </w:tcBorders>
          </w:tcPr>
          <w:p w:rsidR="00463A17" w:rsidRDefault="00463A17" w:rsidP="008A303B">
            <w:pPr>
              <w:tabs>
                <w:tab w:val="decimal" w:pos="423"/>
              </w:tabs>
              <w:jc w:val="left"/>
              <w:rPr>
                <w:b/>
                <w:caps/>
                <w:kern w:val="28"/>
                <w:sz w:val="30"/>
                <w:lang w:val="en-GB"/>
              </w:rPr>
            </w:pPr>
            <w:r w:rsidRPr="004950C9">
              <w:rPr>
                <w:lang w:val="en-GB"/>
              </w:rPr>
              <w:t>13.34</w:t>
            </w:r>
          </w:p>
        </w:tc>
        <w:tc>
          <w:tcPr>
            <w:tcW w:w="1220" w:type="dxa"/>
            <w:tcBorders>
              <w:top w:val="nil"/>
            </w:tcBorders>
          </w:tcPr>
          <w:p w:rsidR="00463A17" w:rsidRDefault="00463A17" w:rsidP="008A303B">
            <w:pPr>
              <w:tabs>
                <w:tab w:val="decimal" w:pos="423"/>
              </w:tabs>
              <w:jc w:val="left"/>
              <w:rPr>
                <w:b/>
                <w:caps/>
                <w:kern w:val="28"/>
                <w:sz w:val="30"/>
                <w:lang w:val="en-GB"/>
              </w:rPr>
            </w:pPr>
            <w:r w:rsidRPr="004950C9">
              <w:rPr>
                <w:lang w:val="en-GB"/>
              </w:rPr>
              <w:t>34.8</w:t>
            </w:r>
          </w:p>
        </w:tc>
        <w:tc>
          <w:tcPr>
            <w:tcW w:w="1355" w:type="dxa"/>
            <w:tcBorders>
              <w:top w:val="nil"/>
            </w:tcBorders>
          </w:tcPr>
          <w:p w:rsidR="00463A17" w:rsidRDefault="00463A17" w:rsidP="008A303B">
            <w:pPr>
              <w:tabs>
                <w:tab w:val="decimal" w:pos="593"/>
              </w:tabs>
              <w:jc w:val="left"/>
              <w:rPr>
                <w:b/>
                <w:caps/>
                <w:kern w:val="28"/>
                <w:sz w:val="30"/>
                <w:lang w:val="en-GB"/>
              </w:rPr>
            </w:pPr>
            <w:r w:rsidRPr="004950C9">
              <w:rPr>
                <w:lang w:val="en-GB"/>
              </w:rPr>
              <w:t>128.6</w:t>
            </w:r>
          </w:p>
        </w:tc>
        <w:tc>
          <w:tcPr>
            <w:tcW w:w="1437" w:type="dxa"/>
            <w:tcBorders>
              <w:top w:val="nil"/>
            </w:tcBorders>
          </w:tcPr>
          <w:p w:rsidR="00463A17" w:rsidRDefault="00463A17" w:rsidP="008A303B">
            <w:pPr>
              <w:widowControl w:val="0"/>
              <w:tabs>
                <w:tab w:val="decimal" w:pos="593"/>
              </w:tabs>
              <w:jc w:val="left"/>
              <w:rPr>
                <w:b/>
                <w:caps/>
                <w:kern w:val="28"/>
                <w:sz w:val="30"/>
                <w:szCs w:val="24"/>
              </w:rPr>
            </w:pPr>
            <w:r>
              <w:rPr>
                <w:szCs w:val="24"/>
              </w:rPr>
              <w:t>5.8</w:t>
            </w:r>
          </w:p>
        </w:tc>
      </w:tr>
      <w:tr w:rsidR="00463A17" w:rsidRPr="004950C9" w:rsidTr="00937353">
        <w:tc>
          <w:tcPr>
            <w:tcW w:w="3618" w:type="dxa"/>
          </w:tcPr>
          <w:p w:rsidR="00463A17" w:rsidRPr="004950C9" w:rsidRDefault="00463A17" w:rsidP="008A303B">
            <w:pPr>
              <w:rPr>
                <w:lang w:val="en-GB"/>
              </w:rPr>
            </w:pPr>
            <w:r w:rsidRPr="004950C9">
              <w:rPr>
                <w:lang w:val="en-GB"/>
              </w:rPr>
              <w:t>(28) Flower: width of standard (mm)</w:t>
            </w:r>
          </w:p>
        </w:tc>
        <w:tc>
          <w:tcPr>
            <w:tcW w:w="910" w:type="dxa"/>
          </w:tcPr>
          <w:p w:rsidR="00463A17" w:rsidRDefault="00463A17" w:rsidP="008A303B">
            <w:pPr>
              <w:tabs>
                <w:tab w:val="decimal" w:pos="423"/>
              </w:tabs>
              <w:jc w:val="left"/>
              <w:rPr>
                <w:b/>
                <w:caps/>
                <w:kern w:val="28"/>
                <w:sz w:val="30"/>
                <w:lang w:val="en-GB"/>
              </w:rPr>
            </w:pPr>
            <w:r w:rsidRPr="004950C9">
              <w:rPr>
                <w:lang w:val="en-GB"/>
              </w:rPr>
              <w:t>31.8</w:t>
            </w:r>
          </w:p>
        </w:tc>
        <w:tc>
          <w:tcPr>
            <w:tcW w:w="1110" w:type="dxa"/>
          </w:tcPr>
          <w:p w:rsidR="00463A17" w:rsidRDefault="00463A17" w:rsidP="008A303B">
            <w:pPr>
              <w:tabs>
                <w:tab w:val="decimal" w:pos="423"/>
              </w:tabs>
              <w:jc w:val="left"/>
              <w:rPr>
                <w:b/>
                <w:caps/>
                <w:kern w:val="28"/>
                <w:sz w:val="30"/>
                <w:lang w:val="en-GB"/>
              </w:rPr>
            </w:pPr>
            <w:r w:rsidRPr="004950C9">
              <w:rPr>
                <w:lang w:val="en-GB"/>
              </w:rPr>
              <w:t>2.64</w:t>
            </w:r>
          </w:p>
        </w:tc>
        <w:tc>
          <w:tcPr>
            <w:tcW w:w="1220" w:type="dxa"/>
          </w:tcPr>
          <w:p w:rsidR="00463A17" w:rsidRDefault="00463A17" w:rsidP="008A303B">
            <w:pPr>
              <w:tabs>
                <w:tab w:val="decimal" w:pos="423"/>
              </w:tabs>
              <w:jc w:val="left"/>
              <w:rPr>
                <w:b/>
                <w:caps/>
                <w:kern w:val="28"/>
                <w:sz w:val="30"/>
                <w:lang w:val="en-GB"/>
              </w:rPr>
            </w:pPr>
            <w:r w:rsidRPr="004950C9">
              <w:rPr>
                <w:lang w:val="en-GB"/>
              </w:rPr>
              <w:t>23.3</w:t>
            </w:r>
          </w:p>
        </w:tc>
        <w:tc>
          <w:tcPr>
            <w:tcW w:w="1355" w:type="dxa"/>
          </w:tcPr>
          <w:p w:rsidR="00463A17" w:rsidRDefault="00463A17" w:rsidP="008A303B">
            <w:pPr>
              <w:tabs>
                <w:tab w:val="decimal" w:pos="593"/>
              </w:tabs>
              <w:jc w:val="left"/>
              <w:rPr>
                <w:b/>
                <w:caps/>
                <w:kern w:val="28"/>
                <w:sz w:val="30"/>
                <w:lang w:val="en-GB"/>
              </w:rPr>
            </w:pPr>
            <w:r w:rsidRPr="004950C9">
              <w:rPr>
                <w:lang w:val="en-GB"/>
              </w:rPr>
              <w:t>41.1</w:t>
            </w:r>
          </w:p>
        </w:tc>
        <w:tc>
          <w:tcPr>
            <w:tcW w:w="1437" w:type="dxa"/>
          </w:tcPr>
          <w:p w:rsidR="00463A17" w:rsidRDefault="00463A17" w:rsidP="008A303B">
            <w:pPr>
              <w:widowControl w:val="0"/>
              <w:tabs>
                <w:tab w:val="decimal" w:pos="593"/>
              </w:tabs>
              <w:jc w:val="left"/>
              <w:rPr>
                <w:b/>
                <w:caps/>
                <w:kern w:val="28"/>
                <w:sz w:val="30"/>
                <w:szCs w:val="24"/>
              </w:rPr>
            </w:pPr>
            <w:r>
              <w:rPr>
                <w:szCs w:val="24"/>
              </w:rPr>
              <w:t>9.1</w:t>
            </w:r>
          </w:p>
        </w:tc>
      </w:tr>
      <w:tr w:rsidR="00463A17" w:rsidRPr="004950C9" w:rsidTr="00937353">
        <w:tc>
          <w:tcPr>
            <w:tcW w:w="3618" w:type="dxa"/>
          </w:tcPr>
          <w:p w:rsidR="00463A17" w:rsidRPr="004950C9" w:rsidRDefault="00463A17" w:rsidP="008A303B">
            <w:pPr>
              <w:rPr>
                <w:lang w:val="en-GB"/>
              </w:rPr>
            </w:pPr>
            <w:r w:rsidRPr="004950C9">
              <w:rPr>
                <w:lang w:val="en-GB"/>
              </w:rPr>
              <w:t>(29)</w:t>
            </w:r>
            <w:r w:rsidR="00ED5A19" w:rsidRPr="002D59ED">
              <w:rPr>
                <w:vertAlign w:val="superscript"/>
                <w:lang w:val="en-GB"/>
              </w:rPr>
              <w:t>*</w:t>
            </w:r>
            <w:r w:rsidRPr="004950C9">
              <w:rPr>
                <w:lang w:val="en-GB"/>
              </w:rPr>
              <w:t xml:space="preserve"> Flower: shape of base of standard (1-9)</w:t>
            </w:r>
          </w:p>
        </w:tc>
        <w:tc>
          <w:tcPr>
            <w:tcW w:w="910" w:type="dxa"/>
          </w:tcPr>
          <w:p w:rsidR="00463A17" w:rsidRDefault="00463A17" w:rsidP="008A303B">
            <w:pPr>
              <w:tabs>
                <w:tab w:val="decimal" w:pos="423"/>
              </w:tabs>
              <w:jc w:val="left"/>
              <w:rPr>
                <w:b/>
                <w:caps/>
                <w:kern w:val="28"/>
                <w:sz w:val="30"/>
                <w:lang w:val="en-GB"/>
              </w:rPr>
            </w:pPr>
            <w:r w:rsidRPr="004950C9">
              <w:rPr>
                <w:lang w:val="en-GB"/>
              </w:rPr>
              <w:t>6.8</w:t>
            </w:r>
          </w:p>
        </w:tc>
        <w:tc>
          <w:tcPr>
            <w:tcW w:w="1110" w:type="dxa"/>
          </w:tcPr>
          <w:p w:rsidR="00463A17" w:rsidRDefault="00463A17" w:rsidP="008A303B">
            <w:pPr>
              <w:tabs>
                <w:tab w:val="decimal" w:pos="423"/>
              </w:tabs>
              <w:jc w:val="left"/>
              <w:rPr>
                <w:b/>
                <w:caps/>
                <w:kern w:val="28"/>
                <w:sz w:val="30"/>
                <w:lang w:val="en-GB"/>
              </w:rPr>
            </w:pPr>
            <w:r w:rsidRPr="004950C9">
              <w:rPr>
                <w:lang w:val="en-GB"/>
              </w:rPr>
              <w:t>1.02</w:t>
            </w:r>
          </w:p>
        </w:tc>
        <w:tc>
          <w:tcPr>
            <w:tcW w:w="1220" w:type="dxa"/>
          </w:tcPr>
          <w:p w:rsidR="00463A17" w:rsidRDefault="00463A17" w:rsidP="008A303B">
            <w:pPr>
              <w:tabs>
                <w:tab w:val="decimal" w:pos="423"/>
              </w:tabs>
              <w:jc w:val="left"/>
              <w:rPr>
                <w:b/>
                <w:caps/>
                <w:kern w:val="28"/>
                <w:sz w:val="30"/>
                <w:lang w:val="en-GB"/>
              </w:rPr>
            </w:pPr>
            <w:r w:rsidRPr="004950C9">
              <w:rPr>
                <w:lang w:val="en-GB"/>
              </w:rPr>
              <w:t>4.0</w:t>
            </w:r>
          </w:p>
        </w:tc>
        <w:tc>
          <w:tcPr>
            <w:tcW w:w="1355" w:type="dxa"/>
          </w:tcPr>
          <w:p w:rsidR="00463A17" w:rsidRDefault="00463A17" w:rsidP="008A303B">
            <w:pPr>
              <w:tabs>
                <w:tab w:val="decimal" w:pos="593"/>
              </w:tabs>
              <w:jc w:val="left"/>
              <w:rPr>
                <w:b/>
                <w:caps/>
                <w:kern w:val="28"/>
                <w:sz w:val="30"/>
                <w:lang w:val="en-GB"/>
              </w:rPr>
            </w:pPr>
            <w:r w:rsidRPr="004950C9">
              <w:rPr>
                <w:lang w:val="en-GB"/>
              </w:rPr>
              <w:t>9.0</w:t>
            </w:r>
          </w:p>
        </w:tc>
        <w:tc>
          <w:tcPr>
            <w:tcW w:w="1437" w:type="dxa"/>
          </w:tcPr>
          <w:p w:rsidR="00463A17" w:rsidRDefault="00463A17" w:rsidP="008A303B">
            <w:pPr>
              <w:widowControl w:val="0"/>
              <w:tabs>
                <w:tab w:val="decimal" w:pos="593"/>
              </w:tabs>
              <w:jc w:val="left"/>
              <w:rPr>
                <w:b/>
                <w:caps/>
                <w:kern w:val="28"/>
                <w:sz w:val="30"/>
                <w:szCs w:val="24"/>
              </w:rPr>
            </w:pPr>
            <w:r>
              <w:rPr>
                <w:szCs w:val="24"/>
              </w:rPr>
              <w:t>3.8</w:t>
            </w:r>
          </w:p>
        </w:tc>
      </w:tr>
      <w:tr w:rsidR="00463A17" w:rsidRPr="004950C9" w:rsidTr="00937353">
        <w:tc>
          <w:tcPr>
            <w:tcW w:w="3618" w:type="dxa"/>
          </w:tcPr>
          <w:p w:rsidR="00463A17" w:rsidRPr="004950C9" w:rsidRDefault="00463A17" w:rsidP="008A303B">
            <w:pPr>
              <w:rPr>
                <w:lang w:val="en-GB"/>
              </w:rPr>
            </w:pPr>
            <w:r>
              <w:rPr>
                <w:lang w:val="en-GB"/>
              </w:rPr>
              <w:t xml:space="preserve">(34) </w:t>
            </w:r>
            <w:r w:rsidRPr="004950C9">
              <w:rPr>
                <w:lang w:val="en-GB"/>
              </w:rPr>
              <w:t>Peduncle: length from stem to first pod (mm)</w:t>
            </w:r>
          </w:p>
        </w:tc>
        <w:tc>
          <w:tcPr>
            <w:tcW w:w="910" w:type="dxa"/>
          </w:tcPr>
          <w:p w:rsidR="00463A17" w:rsidRDefault="00463A17" w:rsidP="008A303B">
            <w:pPr>
              <w:tabs>
                <w:tab w:val="decimal" w:pos="423"/>
              </w:tabs>
              <w:jc w:val="left"/>
              <w:rPr>
                <w:b/>
                <w:caps/>
                <w:kern w:val="28"/>
                <w:sz w:val="30"/>
                <w:lang w:val="en-GB"/>
              </w:rPr>
            </w:pPr>
            <w:r w:rsidRPr="004950C9">
              <w:rPr>
                <w:lang w:val="en-GB"/>
              </w:rPr>
              <w:t>72.9</w:t>
            </w:r>
          </w:p>
        </w:tc>
        <w:tc>
          <w:tcPr>
            <w:tcW w:w="1110" w:type="dxa"/>
          </w:tcPr>
          <w:p w:rsidR="00463A17" w:rsidRDefault="00463A17" w:rsidP="008A303B">
            <w:pPr>
              <w:tabs>
                <w:tab w:val="decimal" w:pos="423"/>
              </w:tabs>
              <w:jc w:val="left"/>
              <w:rPr>
                <w:b/>
                <w:caps/>
                <w:kern w:val="28"/>
                <w:sz w:val="30"/>
                <w:lang w:val="en-GB"/>
              </w:rPr>
            </w:pPr>
            <w:r w:rsidRPr="004950C9">
              <w:rPr>
                <w:lang w:val="en-GB"/>
              </w:rPr>
              <w:t>24.41</w:t>
            </w:r>
          </w:p>
        </w:tc>
        <w:tc>
          <w:tcPr>
            <w:tcW w:w="1220" w:type="dxa"/>
          </w:tcPr>
          <w:p w:rsidR="00463A17" w:rsidRDefault="00463A17" w:rsidP="008A303B">
            <w:pPr>
              <w:tabs>
                <w:tab w:val="decimal" w:pos="423"/>
              </w:tabs>
              <w:jc w:val="left"/>
              <w:rPr>
                <w:b/>
                <w:caps/>
                <w:kern w:val="28"/>
                <w:sz w:val="30"/>
                <w:lang w:val="en-GB"/>
              </w:rPr>
            </w:pPr>
            <w:r w:rsidRPr="004950C9">
              <w:rPr>
                <w:lang w:val="en-GB"/>
              </w:rPr>
              <w:t>12.0</w:t>
            </w:r>
          </w:p>
        </w:tc>
        <w:tc>
          <w:tcPr>
            <w:tcW w:w="1355" w:type="dxa"/>
          </w:tcPr>
          <w:p w:rsidR="00463A17" w:rsidRDefault="00463A17" w:rsidP="008A303B">
            <w:pPr>
              <w:tabs>
                <w:tab w:val="decimal" w:pos="593"/>
              </w:tabs>
              <w:jc w:val="left"/>
              <w:rPr>
                <w:b/>
                <w:caps/>
                <w:kern w:val="28"/>
                <w:sz w:val="30"/>
                <w:lang w:val="en-GB"/>
              </w:rPr>
            </w:pPr>
            <w:r w:rsidRPr="004950C9">
              <w:rPr>
                <w:lang w:val="en-GB"/>
              </w:rPr>
              <w:t>145.7</w:t>
            </w:r>
          </w:p>
        </w:tc>
        <w:tc>
          <w:tcPr>
            <w:tcW w:w="1437" w:type="dxa"/>
          </w:tcPr>
          <w:p w:rsidR="00463A17" w:rsidRDefault="00463A17" w:rsidP="008A303B">
            <w:pPr>
              <w:widowControl w:val="0"/>
              <w:tabs>
                <w:tab w:val="decimal" w:pos="593"/>
              </w:tabs>
              <w:jc w:val="left"/>
              <w:rPr>
                <w:b/>
                <w:caps/>
                <w:kern w:val="28"/>
                <w:sz w:val="30"/>
                <w:szCs w:val="24"/>
              </w:rPr>
            </w:pPr>
            <w:r>
              <w:rPr>
                <w:szCs w:val="24"/>
              </w:rPr>
              <w:t>4.6</w:t>
            </w:r>
          </w:p>
        </w:tc>
      </w:tr>
      <w:tr w:rsidR="00463A17" w:rsidRPr="004950C9" w:rsidTr="00937353">
        <w:tc>
          <w:tcPr>
            <w:tcW w:w="3618" w:type="dxa"/>
          </w:tcPr>
          <w:p w:rsidR="00463A17" w:rsidRPr="004950C9" w:rsidRDefault="00463A17" w:rsidP="008A303B">
            <w:pPr>
              <w:rPr>
                <w:lang w:val="en-GB"/>
              </w:rPr>
            </w:pPr>
            <w:r w:rsidRPr="004950C9">
              <w:rPr>
                <w:lang w:val="en-GB"/>
              </w:rPr>
              <w:t>(37) Pod: length (mm)</w:t>
            </w:r>
          </w:p>
        </w:tc>
        <w:tc>
          <w:tcPr>
            <w:tcW w:w="910" w:type="dxa"/>
          </w:tcPr>
          <w:p w:rsidR="00463A17" w:rsidRDefault="00463A17" w:rsidP="008A303B">
            <w:pPr>
              <w:tabs>
                <w:tab w:val="decimal" w:pos="423"/>
              </w:tabs>
              <w:jc w:val="left"/>
              <w:rPr>
                <w:b/>
                <w:caps/>
                <w:kern w:val="28"/>
                <w:sz w:val="30"/>
                <w:lang w:val="en-GB"/>
              </w:rPr>
            </w:pPr>
            <w:r w:rsidRPr="004950C9">
              <w:rPr>
                <w:lang w:val="en-GB"/>
              </w:rPr>
              <w:t>79.1</w:t>
            </w:r>
          </w:p>
        </w:tc>
        <w:tc>
          <w:tcPr>
            <w:tcW w:w="1110" w:type="dxa"/>
          </w:tcPr>
          <w:p w:rsidR="00463A17" w:rsidRDefault="00463A17" w:rsidP="008A303B">
            <w:pPr>
              <w:tabs>
                <w:tab w:val="decimal" w:pos="423"/>
              </w:tabs>
              <w:jc w:val="left"/>
              <w:rPr>
                <w:b/>
                <w:caps/>
                <w:kern w:val="28"/>
                <w:sz w:val="30"/>
                <w:lang w:val="en-GB"/>
              </w:rPr>
            </w:pPr>
            <w:r w:rsidRPr="004950C9">
              <w:rPr>
                <w:lang w:val="en-GB"/>
              </w:rPr>
              <w:t>6.24</w:t>
            </w:r>
          </w:p>
        </w:tc>
        <w:tc>
          <w:tcPr>
            <w:tcW w:w="1220" w:type="dxa"/>
          </w:tcPr>
          <w:p w:rsidR="00463A17" w:rsidRDefault="00463A17" w:rsidP="008A303B">
            <w:pPr>
              <w:tabs>
                <w:tab w:val="decimal" w:pos="423"/>
              </w:tabs>
              <w:jc w:val="left"/>
              <w:rPr>
                <w:b/>
                <w:caps/>
                <w:kern w:val="28"/>
                <w:sz w:val="30"/>
                <w:lang w:val="en-GB"/>
              </w:rPr>
            </w:pPr>
            <w:r w:rsidRPr="004950C9">
              <w:rPr>
                <w:lang w:val="en-GB"/>
              </w:rPr>
              <w:t>63.3</w:t>
            </w:r>
          </w:p>
        </w:tc>
        <w:tc>
          <w:tcPr>
            <w:tcW w:w="1355" w:type="dxa"/>
          </w:tcPr>
          <w:p w:rsidR="00463A17" w:rsidRDefault="00463A17" w:rsidP="008A303B">
            <w:pPr>
              <w:tabs>
                <w:tab w:val="decimal" w:pos="593"/>
              </w:tabs>
              <w:jc w:val="left"/>
              <w:rPr>
                <w:b/>
                <w:caps/>
                <w:kern w:val="28"/>
                <w:sz w:val="30"/>
                <w:lang w:val="en-GB"/>
              </w:rPr>
            </w:pPr>
            <w:r w:rsidRPr="004950C9">
              <w:rPr>
                <w:lang w:val="en-GB"/>
              </w:rPr>
              <w:t>105.6</w:t>
            </w:r>
          </w:p>
        </w:tc>
        <w:tc>
          <w:tcPr>
            <w:tcW w:w="1437" w:type="dxa"/>
          </w:tcPr>
          <w:p w:rsidR="00463A17" w:rsidRDefault="00463A17" w:rsidP="008A303B">
            <w:pPr>
              <w:widowControl w:val="0"/>
              <w:tabs>
                <w:tab w:val="decimal" w:pos="593"/>
              </w:tabs>
              <w:jc w:val="left"/>
              <w:rPr>
                <w:b/>
                <w:caps/>
                <w:kern w:val="28"/>
                <w:sz w:val="30"/>
                <w:szCs w:val="24"/>
              </w:rPr>
            </w:pPr>
            <w:r>
              <w:rPr>
                <w:szCs w:val="24"/>
              </w:rPr>
              <w:t>4.3</w:t>
            </w:r>
          </w:p>
        </w:tc>
      </w:tr>
      <w:tr w:rsidR="00463A17" w:rsidRPr="004950C9" w:rsidTr="00937353">
        <w:tc>
          <w:tcPr>
            <w:tcW w:w="3618" w:type="dxa"/>
          </w:tcPr>
          <w:p w:rsidR="00463A17" w:rsidRPr="004950C9" w:rsidRDefault="00463A17" w:rsidP="008A303B">
            <w:pPr>
              <w:rPr>
                <w:lang w:val="en-GB"/>
              </w:rPr>
            </w:pPr>
            <w:r w:rsidRPr="004950C9">
              <w:rPr>
                <w:lang w:val="en-GB"/>
              </w:rPr>
              <w:t>(38) Pod: width (mm)</w:t>
            </w:r>
          </w:p>
        </w:tc>
        <w:tc>
          <w:tcPr>
            <w:tcW w:w="910" w:type="dxa"/>
          </w:tcPr>
          <w:p w:rsidR="00463A17" w:rsidRDefault="00463A17" w:rsidP="008A303B">
            <w:pPr>
              <w:tabs>
                <w:tab w:val="decimal" w:pos="423"/>
              </w:tabs>
              <w:jc w:val="left"/>
              <w:rPr>
                <w:b/>
                <w:caps/>
                <w:kern w:val="28"/>
                <w:sz w:val="30"/>
                <w:lang w:val="en-GB"/>
              </w:rPr>
            </w:pPr>
            <w:r w:rsidRPr="004950C9">
              <w:rPr>
                <w:lang w:val="en-GB"/>
              </w:rPr>
              <w:t>13.9</w:t>
            </w:r>
          </w:p>
        </w:tc>
        <w:tc>
          <w:tcPr>
            <w:tcW w:w="1110" w:type="dxa"/>
          </w:tcPr>
          <w:p w:rsidR="00463A17" w:rsidRDefault="00463A17" w:rsidP="008A303B">
            <w:pPr>
              <w:tabs>
                <w:tab w:val="decimal" w:pos="423"/>
              </w:tabs>
              <w:jc w:val="left"/>
              <w:rPr>
                <w:b/>
                <w:caps/>
                <w:kern w:val="28"/>
                <w:sz w:val="30"/>
                <w:lang w:val="en-GB"/>
              </w:rPr>
            </w:pPr>
            <w:r w:rsidRPr="004950C9">
              <w:rPr>
                <w:lang w:val="en-GB"/>
              </w:rPr>
              <w:t>1.22</w:t>
            </w:r>
          </w:p>
        </w:tc>
        <w:tc>
          <w:tcPr>
            <w:tcW w:w="1220" w:type="dxa"/>
          </w:tcPr>
          <w:p w:rsidR="00463A17" w:rsidRDefault="00463A17" w:rsidP="008A303B">
            <w:pPr>
              <w:tabs>
                <w:tab w:val="decimal" w:pos="423"/>
              </w:tabs>
              <w:jc w:val="left"/>
              <w:rPr>
                <w:b/>
                <w:caps/>
                <w:kern w:val="28"/>
                <w:sz w:val="30"/>
                <w:lang w:val="en-GB"/>
              </w:rPr>
            </w:pPr>
            <w:r w:rsidRPr="004950C9">
              <w:rPr>
                <w:lang w:val="en-GB"/>
              </w:rPr>
              <w:t>10.5</w:t>
            </w:r>
          </w:p>
        </w:tc>
        <w:tc>
          <w:tcPr>
            <w:tcW w:w="1355" w:type="dxa"/>
          </w:tcPr>
          <w:p w:rsidR="00463A17" w:rsidRDefault="00463A17" w:rsidP="008A303B">
            <w:pPr>
              <w:tabs>
                <w:tab w:val="decimal" w:pos="593"/>
              </w:tabs>
              <w:jc w:val="left"/>
              <w:rPr>
                <w:b/>
                <w:caps/>
                <w:kern w:val="28"/>
                <w:sz w:val="30"/>
                <w:lang w:val="en-GB"/>
              </w:rPr>
            </w:pPr>
            <w:r w:rsidRPr="004950C9">
              <w:rPr>
                <w:lang w:val="en-GB"/>
              </w:rPr>
              <w:t>18.6</w:t>
            </w:r>
          </w:p>
        </w:tc>
        <w:tc>
          <w:tcPr>
            <w:tcW w:w="1437" w:type="dxa"/>
          </w:tcPr>
          <w:p w:rsidR="00463A17" w:rsidRDefault="00463A17" w:rsidP="008A303B">
            <w:pPr>
              <w:widowControl w:val="0"/>
              <w:tabs>
                <w:tab w:val="decimal" w:pos="593"/>
              </w:tabs>
              <w:jc w:val="left"/>
              <w:rPr>
                <w:b/>
                <w:caps/>
                <w:kern w:val="28"/>
                <w:sz w:val="30"/>
                <w:szCs w:val="24"/>
              </w:rPr>
            </w:pPr>
            <w:r>
              <w:rPr>
                <w:szCs w:val="24"/>
              </w:rPr>
              <w:t>3.4</w:t>
            </w:r>
          </w:p>
        </w:tc>
      </w:tr>
      <w:tr w:rsidR="00463A17" w:rsidRPr="004950C9" w:rsidTr="00937353">
        <w:tc>
          <w:tcPr>
            <w:tcW w:w="3618" w:type="dxa"/>
          </w:tcPr>
          <w:p w:rsidR="00463A17" w:rsidRPr="004950C9" w:rsidRDefault="00463A17" w:rsidP="008A303B">
            <w:pPr>
              <w:rPr>
                <w:lang w:val="en-GB"/>
              </w:rPr>
            </w:pPr>
            <w:r w:rsidRPr="004950C9">
              <w:rPr>
                <w:lang w:val="en-GB"/>
              </w:rPr>
              <w:t>(42)</w:t>
            </w:r>
            <w:r w:rsidR="00ED5A19" w:rsidRPr="002D59ED">
              <w:rPr>
                <w:vertAlign w:val="superscript"/>
                <w:lang w:val="en-GB"/>
              </w:rPr>
              <w:t>*</w:t>
            </w:r>
            <w:r w:rsidRPr="004950C9">
              <w:rPr>
                <w:lang w:val="en-GB"/>
              </w:rPr>
              <w:t xml:space="preserve"> Pod: curvature (1-9)</w:t>
            </w:r>
          </w:p>
        </w:tc>
        <w:tc>
          <w:tcPr>
            <w:tcW w:w="910" w:type="dxa"/>
          </w:tcPr>
          <w:p w:rsidR="00463A17" w:rsidRDefault="00463A17" w:rsidP="008A303B">
            <w:pPr>
              <w:tabs>
                <w:tab w:val="decimal" w:pos="423"/>
              </w:tabs>
              <w:jc w:val="left"/>
              <w:rPr>
                <w:b/>
                <w:caps/>
                <w:kern w:val="28"/>
                <w:sz w:val="30"/>
                <w:lang w:val="en-GB"/>
              </w:rPr>
            </w:pPr>
            <w:r w:rsidRPr="004950C9">
              <w:rPr>
                <w:lang w:val="en-GB"/>
              </w:rPr>
              <w:t>2.4</w:t>
            </w:r>
          </w:p>
        </w:tc>
        <w:tc>
          <w:tcPr>
            <w:tcW w:w="1110" w:type="dxa"/>
          </w:tcPr>
          <w:p w:rsidR="00463A17" w:rsidRDefault="00463A17" w:rsidP="008A303B">
            <w:pPr>
              <w:tabs>
                <w:tab w:val="decimal" w:pos="423"/>
              </w:tabs>
              <w:jc w:val="left"/>
              <w:rPr>
                <w:b/>
                <w:caps/>
                <w:kern w:val="28"/>
                <w:sz w:val="30"/>
                <w:lang w:val="en-GB"/>
              </w:rPr>
            </w:pPr>
            <w:r w:rsidRPr="004950C9">
              <w:rPr>
                <w:lang w:val="en-GB"/>
              </w:rPr>
              <w:t>0.58</w:t>
            </w:r>
          </w:p>
        </w:tc>
        <w:tc>
          <w:tcPr>
            <w:tcW w:w="1220" w:type="dxa"/>
          </w:tcPr>
          <w:p w:rsidR="00463A17" w:rsidRDefault="00463A17" w:rsidP="008A303B">
            <w:pPr>
              <w:tabs>
                <w:tab w:val="decimal" w:pos="423"/>
              </w:tabs>
              <w:jc w:val="left"/>
              <w:rPr>
                <w:b/>
                <w:caps/>
                <w:kern w:val="28"/>
                <w:sz w:val="30"/>
                <w:lang w:val="en-GB"/>
              </w:rPr>
            </w:pPr>
            <w:r w:rsidRPr="004950C9">
              <w:rPr>
                <w:lang w:val="en-GB"/>
              </w:rPr>
              <w:t>1.0</w:t>
            </w:r>
          </w:p>
        </w:tc>
        <w:tc>
          <w:tcPr>
            <w:tcW w:w="1355" w:type="dxa"/>
          </w:tcPr>
          <w:p w:rsidR="00463A17" w:rsidRDefault="00463A17" w:rsidP="008A303B">
            <w:pPr>
              <w:tabs>
                <w:tab w:val="decimal" w:pos="593"/>
              </w:tabs>
              <w:jc w:val="left"/>
              <w:rPr>
                <w:b/>
                <w:caps/>
                <w:kern w:val="28"/>
                <w:sz w:val="30"/>
                <w:lang w:val="en-GB"/>
              </w:rPr>
            </w:pPr>
            <w:r w:rsidRPr="004950C9">
              <w:rPr>
                <w:lang w:val="en-GB"/>
              </w:rPr>
              <w:t>5.5</w:t>
            </w:r>
          </w:p>
        </w:tc>
        <w:tc>
          <w:tcPr>
            <w:tcW w:w="1437" w:type="dxa"/>
          </w:tcPr>
          <w:p w:rsidR="00463A17" w:rsidRDefault="00463A17" w:rsidP="008A303B">
            <w:pPr>
              <w:widowControl w:val="0"/>
              <w:tabs>
                <w:tab w:val="decimal" w:pos="593"/>
              </w:tabs>
              <w:jc w:val="left"/>
              <w:rPr>
                <w:b/>
                <w:caps/>
                <w:kern w:val="28"/>
                <w:sz w:val="30"/>
                <w:szCs w:val="24"/>
              </w:rPr>
            </w:pPr>
            <w:r>
              <w:rPr>
                <w:szCs w:val="24"/>
              </w:rPr>
              <w:t>2.5</w:t>
            </w:r>
          </w:p>
        </w:tc>
      </w:tr>
      <w:tr w:rsidR="00463A17" w:rsidRPr="004950C9" w:rsidTr="00937353">
        <w:tc>
          <w:tcPr>
            <w:tcW w:w="3618" w:type="dxa"/>
          </w:tcPr>
          <w:p w:rsidR="00463A17" w:rsidRPr="004950C9" w:rsidRDefault="00463A17" w:rsidP="008A303B">
            <w:pPr>
              <w:rPr>
                <w:lang w:val="en-GB"/>
              </w:rPr>
            </w:pPr>
            <w:r w:rsidRPr="004950C9">
              <w:rPr>
                <w:lang w:val="en-GB"/>
              </w:rPr>
              <w:t>(46) Pod: number of ovules</w:t>
            </w:r>
          </w:p>
        </w:tc>
        <w:tc>
          <w:tcPr>
            <w:tcW w:w="910" w:type="dxa"/>
          </w:tcPr>
          <w:p w:rsidR="00463A17" w:rsidRDefault="00463A17" w:rsidP="008A303B">
            <w:pPr>
              <w:tabs>
                <w:tab w:val="decimal" w:pos="423"/>
              </w:tabs>
              <w:jc w:val="left"/>
              <w:rPr>
                <w:b/>
                <w:caps/>
                <w:kern w:val="28"/>
                <w:sz w:val="30"/>
                <w:lang w:val="en-GB"/>
              </w:rPr>
            </w:pPr>
            <w:r>
              <w:rPr>
                <w:lang w:val="en-GB"/>
              </w:rPr>
              <w:t>8.</w:t>
            </w:r>
            <w:r w:rsidRPr="004950C9">
              <w:rPr>
                <w:lang w:val="en-GB"/>
              </w:rPr>
              <w:t>2</w:t>
            </w:r>
          </w:p>
        </w:tc>
        <w:tc>
          <w:tcPr>
            <w:tcW w:w="1110" w:type="dxa"/>
          </w:tcPr>
          <w:p w:rsidR="00463A17" w:rsidRDefault="00463A17" w:rsidP="008A303B">
            <w:pPr>
              <w:tabs>
                <w:tab w:val="decimal" w:pos="423"/>
              </w:tabs>
              <w:jc w:val="left"/>
              <w:rPr>
                <w:b/>
                <w:caps/>
                <w:kern w:val="28"/>
                <w:sz w:val="30"/>
                <w:lang w:val="en-GB"/>
              </w:rPr>
            </w:pPr>
            <w:r w:rsidRPr="004950C9">
              <w:rPr>
                <w:lang w:val="en-GB"/>
              </w:rPr>
              <w:t>0.54</w:t>
            </w:r>
          </w:p>
        </w:tc>
        <w:tc>
          <w:tcPr>
            <w:tcW w:w="1220" w:type="dxa"/>
          </w:tcPr>
          <w:p w:rsidR="00463A17" w:rsidRDefault="00463A17" w:rsidP="008A303B">
            <w:pPr>
              <w:tabs>
                <w:tab w:val="decimal" w:pos="423"/>
              </w:tabs>
              <w:jc w:val="left"/>
              <w:rPr>
                <w:b/>
                <w:caps/>
                <w:kern w:val="28"/>
                <w:sz w:val="30"/>
                <w:lang w:val="en-GB"/>
              </w:rPr>
            </w:pPr>
            <w:r w:rsidRPr="004950C9">
              <w:rPr>
                <w:lang w:val="en-GB"/>
              </w:rPr>
              <w:t>6.0</w:t>
            </w:r>
          </w:p>
        </w:tc>
        <w:tc>
          <w:tcPr>
            <w:tcW w:w="1355" w:type="dxa"/>
          </w:tcPr>
          <w:p w:rsidR="00463A17" w:rsidRDefault="00463A17" w:rsidP="008A303B">
            <w:pPr>
              <w:tabs>
                <w:tab w:val="decimal" w:pos="593"/>
              </w:tabs>
              <w:jc w:val="left"/>
              <w:rPr>
                <w:b/>
                <w:caps/>
                <w:kern w:val="28"/>
                <w:sz w:val="30"/>
                <w:lang w:val="en-GB"/>
              </w:rPr>
            </w:pPr>
            <w:r w:rsidRPr="004950C9">
              <w:rPr>
                <w:lang w:val="en-GB"/>
              </w:rPr>
              <w:t>10.0</w:t>
            </w:r>
          </w:p>
        </w:tc>
        <w:tc>
          <w:tcPr>
            <w:tcW w:w="1437" w:type="dxa"/>
          </w:tcPr>
          <w:p w:rsidR="00463A17" w:rsidRDefault="00463A17" w:rsidP="008A303B">
            <w:pPr>
              <w:widowControl w:val="0"/>
              <w:tabs>
                <w:tab w:val="decimal" w:pos="593"/>
              </w:tabs>
              <w:jc w:val="left"/>
              <w:rPr>
                <w:b/>
                <w:caps/>
                <w:kern w:val="28"/>
                <w:sz w:val="30"/>
                <w:szCs w:val="24"/>
              </w:rPr>
            </w:pPr>
            <w:r>
              <w:rPr>
                <w:szCs w:val="24"/>
              </w:rPr>
              <w:t>7.5</w:t>
            </w:r>
          </w:p>
        </w:tc>
      </w:tr>
      <w:tr w:rsidR="00463A17" w:rsidRPr="004950C9" w:rsidTr="00937353">
        <w:tc>
          <w:tcPr>
            <w:tcW w:w="3618" w:type="dxa"/>
          </w:tcPr>
          <w:p w:rsidR="00463A17" w:rsidRPr="004950C9" w:rsidRDefault="00463A17">
            <w:pPr>
              <w:rPr>
                <w:lang w:val="en-GB"/>
              </w:rPr>
            </w:pPr>
            <w:r w:rsidRPr="004950C9">
              <w:rPr>
                <w:lang w:val="en-GB"/>
              </w:rPr>
              <w:t>(57)</w:t>
            </w:r>
            <w:r w:rsidR="006E5336" w:rsidRPr="002D59ED">
              <w:rPr>
                <w:rFonts w:hint="eastAsia"/>
                <w:vertAlign w:val="superscript"/>
                <w:lang w:val="en-GB" w:eastAsia="ja-JP"/>
              </w:rPr>
              <w:t>*</w:t>
            </w:r>
            <w:r w:rsidR="002D59ED">
              <w:rPr>
                <w:rFonts w:hint="eastAsia"/>
                <w:vertAlign w:val="superscript"/>
                <w:lang w:val="en-GB" w:eastAsia="ja-JP"/>
              </w:rPr>
              <w:t xml:space="preserve"> </w:t>
            </w:r>
            <w:r w:rsidRPr="004950C9">
              <w:rPr>
                <w:lang w:val="en-GB"/>
              </w:rPr>
              <w:t>Seed: weight</w:t>
            </w:r>
          </w:p>
        </w:tc>
        <w:tc>
          <w:tcPr>
            <w:tcW w:w="910" w:type="dxa"/>
          </w:tcPr>
          <w:p w:rsidR="00463A17" w:rsidRDefault="00463A17" w:rsidP="008A303B">
            <w:pPr>
              <w:tabs>
                <w:tab w:val="decimal" w:pos="423"/>
              </w:tabs>
              <w:jc w:val="left"/>
              <w:rPr>
                <w:b/>
                <w:caps/>
                <w:kern w:val="28"/>
                <w:sz w:val="30"/>
                <w:lang w:val="en-GB"/>
              </w:rPr>
            </w:pPr>
            <w:r w:rsidRPr="004950C9">
              <w:rPr>
                <w:lang w:val="en-GB"/>
              </w:rPr>
              <w:t>28.1</w:t>
            </w:r>
          </w:p>
        </w:tc>
        <w:tc>
          <w:tcPr>
            <w:tcW w:w="1110" w:type="dxa"/>
          </w:tcPr>
          <w:p w:rsidR="00463A17" w:rsidRDefault="00463A17" w:rsidP="008A303B">
            <w:pPr>
              <w:tabs>
                <w:tab w:val="decimal" w:pos="423"/>
              </w:tabs>
              <w:jc w:val="left"/>
              <w:rPr>
                <w:b/>
                <w:caps/>
                <w:kern w:val="28"/>
                <w:sz w:val="30"/>
                <w:lang w:val="en-GB"/>
              </w:rPr>
            </w:pPr>
            <w:r w:rsidRPr="004950C9">
              <w:rPr>
                <w:lang w:val="en-GB"/>
              </w:rPr>
              <w:t>5.19</w:t>
            </w:r>
          </w:p>
        </w:tc>
        <w:tc>
          <w:tcPr>
            <w:tcW w:w="1220" w:type="dxa"/>
          </w:tcPr>
          <w:p w:rsidR="00463A17" w:rsidRDefault="00463A17" w:rsidP="008A303B">
            <w:pPr>
              <w:tabs>
                <w:tab w:val="decimal" w:pos="423"/>
              </w:tabs>
              <w:jc w:val="left"/>
              <w:rPr>
                <w:lang w:val="en-GB"/>
              </w:rPr>
            </w:pPr>
            <w:r w:rsidRPr="004950C9">
              <w:rPr>
                <w:lang w:val="en-GB"/>
              </w:rPr>
              <w:t>12.2</w:t>
            </w:r>
          </w:p>
        </w:tc>
        <w:tc>
          <w:tcPr>
            <w:tcW w:w="1355" w:type="dxa"/>
          </w:tcPr>
          <w:p w:rsidR="00463A17" w:rsidRDefault="00463A17" w:rsidP="008A303B">
            <w:pPr>
              <w:tabs>
                <w:tab w:val="decimal" w:pos="593"/>
              </w:tabs>
              <w:jc w:val="left"/>
              <w:rPr>
                <w:lang w:val="en-GB"/>
              </w:rPr>
            </w:pPr>
            <w:r w:rsidRPr="004950C9">
              <w:rPr>
                <w:lang w:val="en-GB"/>
              </w:rPr>
              <w:t>49.1</w:t>
            </w:r>
          </w:p>
        </w:tc>
        <w:tc>
          <w:tcPr>
            <w:tcW w:w="1437" w:type="dxa"/>
          </w:tcPr>
          <w:p w:rsidR="00463A17" w:rsidRDefault="00463A17" w:rsidP="008A303B">
            <w:pPr>
              <w:widowControl w:val="0"/>
              <w:tabs>
                <w:tab w:val="decimal" w:pos="593"/>
              </w:tabs>
              <w:jc w:val="left"/>
              <w:rPr>
                <w:szCs w:val="24"/>
              </w:rPr>
            </w:pPr>
            <w:r>
              <w:rPr>
                <w:szCs w:val="24"/>
              </w:rPr>
              <w:t>5.7</w:t>
            </w:r>
          </w:p>
        </w:tc>
      </w:tr>
    </w:tbl>
    <w:p w:rsidR="00ED5A19" w:rsidRPr="002C601B" w:rsidRDefault="00ED5A19" w:rsidP="00ED5A19">
      <w:pPr>
        <w:rPr>
          <w:lang w:val="en-GB"/>
        </w:rPr>
      </w:pPr>
      <w:r w:rsidRPr="002C601B">
        <w:rPr>
          <w:vertAlign w:val="superscript"/>
          <w:lang w:val="en-GB"/>
        </w:rPr>
        <w:t>*</w:t>
      </w:r>
      <w:r>
        <w:rPr>
          <w:vertAlign w:val="superscript"/>
          <w:lang w:val="en-GB"/>
        </w:rPr>
        <w:t xml:space="preserve"> </w:t>
      </w:r>
      <w:r w:rsidRPr="002C601B">
        <w:rPr>
          <w:sz w:val="18"/>
          <w:szCs w:val="18"/>
          <w:lang w:val="en-GB"/>
        </w:rPr>
        <w:t xml:space="preserve">These characteristics are scored </w:t>
      </w:r>
      <w:r>
        <w:rPr>
          <w:sz w:val="18"/>
          <w:szCs w:val="18"/>
          <w:lang w:val="en-GB"/>
        </w:rPr>
        <w:t>VG/</w:t>
      </w:r>
      <w:r w:rsidRPr="002C601B">
        <w:rPr>
          <w:sz w:val="18"/>
          <w:szCs w:val="18"/>
          <w:lang w:val="en-GB"/>
        </w:rPr>
        <w:t>MG and so an integer tolerance is more appropriate</w:t>
      </w:r>
    </w:p>
    <w:p w:rsidR="00463A17" w:rsidRDefault="00463A17" w:rsidP="00463A17">
      <w:pPr>
        <w:rPr>
          <w:lang w:val="en-GB" w:eastAsia="ja-JP"/>
        </w:rPr>
      </w:pPr>
    </w:p>
    <w:p w:rsidR="00FD5B01" w:rsidRDefault="00FD5B01" w:rsidP="00463A17">
      <w:pPr>
        <w:rPr>
          <w:lang w:val="en-GB" w:eastAsia="ja-JP"/>
        </w:rPr>
      </w:pPr>
    </w:p>
    <w:p w:rsidR="00FD5B01" w:rsidRDefault="00FD5B01" w:rsidP="00463A17">
      <w:pPr>
        <w:rPr>
          <w:lang w:val="en-GB" w:eastAsia="ja-JP"/>
        </w:rPr>
      </w:pPr>
    </w:p>
    <w:p w:rsidR="00463A17" w:rsidRDefault="00463A17" w:rsidP="00463A17">
      <w:pPr>
        <w:rPr>
          <w:lang w:val="en-GB" w:eastAsia="ja-JP"/>
        </w:rPr>
      </w:pPr>
      <w:proofErr w:type="gramStart"/>
      <w:r w:rsidRPr="00463A17">
        <w:rPr>
          <w:lang w:val="en-GB"/>
        </w:rPr>
        <w:t>Table 2.</w:t>
      </w:r>
      <w:proofErr w:type="gramEnd"/>
      <w:r w:rsidRPr="00463A17">
        <w:rPr>
          <w:lang w:val="en-GB"/>
        </w:rPr>
        <w:t xml:space="preserve"> </w:t>
      </w:r>
      <w:proofErr w:type="gramStart"/>
      <w:r w:rsidRPr="00463A17">
        <w:rPr>
          <w:lang w:val="en-GB"/>
        </w:rPr>
        <w:t>First cycle thresholds allowing for heterogeneity over cycles.</w:t>
      </w:r>
      <w:proofErr w:type="gramEnd"/>
      <w:r w:rsidRPr="00463A17">
        <w:rPr>
          <w:lang w:val="en-GB"/>
        </w:rPr>
        <w:t xml:space="preserve"> For comparison, the long-term 2% COYD criterion, </w:t>
      </w:r>
      <w:r w:rsidRPr="003133F8">
        <w:rPr>
          <w:lang w:val="en-GB"/>
        </w:rPr>
        <w:t xml:space="preserve">the current first cycle tolerances currently used by the </w:t>
      </w:r>
      <w:r w:rsidR="006E5336">
        <w:rPr>
          <w:rFonts w:hint="eastAsia"/>
          <w:lang w:val="en-GB" w:eastAsia="ja-JP"/>
        </w:rPr>
        <w:t>United Kingdom</w:t>
      </w:r>
      <w:r w:rsidRPr="003133F8">
        <w:rPr>
          <w:lang w:val="en-GB"/>
        </w:rPr>
        <w:t xml:space="preserve"> based on experience and proposed new tolerances are included</w:t>
      </w:r>
      <w:r w:rsidRPr="00463A17">
        <w:rPr>
          <w:lang w:val="en-GB"/>
        </w:rPr>
        <w:t xml:space="preserve">. </w:t>
      </w:r>
    </w:p>
    <w:p w:rsidR="00FD5B01" w:rsidRPr="00463A17" w:rsidRDefault="00FD5B01" w:rsidP="00463A17">
      <w:pPr>
        <w:rPr>
          <w:lang w:val="en-GB" w:eastAsia="ja-JP"/>
        </w:rPr>
      </w:pP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6"/>
        <w:gridCol w:w="1357"/>
        <w:gridCol w:w="1276"/>
        <w:gridCol w:w="1276"/>
        <w:gridCol w:w="1276"/>
        <w:gridCol w:w="1275"/>
        <w:gridCol w:w="1134"/>
      </w:tblGrid>
      <w:tr w:rsidR="00463A17" w:rsidRPr="004950C9" w:rsidTr="008A303B">
        <w:tc>
          <w:tcPr>
            <w:tcW w:w="1586"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Characteristic</w:t>
            </w:r>
          </w:p>
        </w:tc>
        <w:tc>
          <w:tcPr>
            <w:tcW w:w="1357"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 xml:space="preserve">Long-term COYD </w:t>
            </w:r>
            <w:r>
              <w:rPr>
                <w:lang w:val="en-GB"/>
              </w:rPr>
              <w:t>criterion</w:t>
            </w:r>
          </w:p>
        </w:tc>
        <w:tc>
          <w:tcPr>
            <w:tcW w:w="1276"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 xml:space="preserve">Threshold with </w:t>
            </w:r>
            <w:proofErr w:type="spellStart"/>
            <w:r w:rsidRPr="004950C9">
              <w:rPr>
                <w:i/>
                <w:lang w:val="en-GB"/>
              </w:rPr>
              <w:t>p</w:t>
            </w:r>
            <w:r w:rsidRPr="004950C9">
              <w:rPr>
                <w:i/>
                <w:vertAlign w:val="subscript"/>
                <w:lang w:val="en-GB"/>
              </w:rPr>
              <w:t>D</w:t>
            </w:r>
            <w:proofErr w:type="spellEnd"/>
            <w:r w:rsidRPr="004950C9">
              <w:rPr>
                <w:lang w:val="en-GB"/>
              </w:rPr>
              <w:t>=0.99</w:t>
            </w:r>
          </w:p>
        </w:tc>
        <w:tc>
          <w:tcPr>
            <w:tcW w:w="1276" w:type="dxa"/>
            <w:tcBorders>
              <w:top w:val="single" w:sz="4" w:space="0" w:color="auto"/>
              <w:bottom w:val="single" w:sz="4" w:space="0" w:color="auto"/>
            </w:tcBorders>
          </w:tcPr>
          <w:p w:rsidR="00463A17" w:rsidRPr="004950C9" w:rsidRDefault="00463A17" w:rsidP="008A303B">
            <w:pPr>
              <w:jc w:val="center"/>
              <w:rPr>
                <w:lang w:val="en-GB"/>
              </w:rPr>
            </w:pPr>
            <w:r w:rsidRPr="004950C9">
              <w:rPr>
                <w:lang w:val="en-GB"/>
              </w:rPr>
              <w:t xml:space="preserve">Threshold with </w:t>
            </w:r>
            <w:proofErr w:type="spellStart"/>
            <w:r w:rsidRPr="004950C9">
              <w:rPr>
                <w:i/>
                <w:lang w:val="en-GB"/>
              </w:rPr>
              <w:t>p</w:t>
            </w:r>
            <w:r w:rsidRPr="004950C9">
              <w:rPr>
                <w:i/>
                <w:vertAlign w:val="subscript"/>
                <w:lang w:val="en-GB"/>
              </w:rPr>
              <w:t>D</w:t>
            </w:r>
            <w:proofErr w:type="spellEnd"/>
            <w:r w:rsidRPr="004950C9">
              <w:rPr>
                <w:lang w:val="en-GB"/>
              </w:rPr>
              <w:t>=0.9</w:t>
            </w:r>
            <w:r>
              <w:rPr>
                <w:lang w:val="en-GB"/>
              </w:rPr>
              <w:t>5</w:t>
            </w:r>
          </w:p>
        </w:tc>
        <w:tc>
          <w:tcPr>
            <w:tcW w:w="1276" w:type="dxa"/>
            <w:tcBorders>
              <w:top w:val="single" w:sz="4" w:space="0" w:color="auto"/>
              <w:bottom w:val="single" w:sz="4" w:space="0" w:color="auto"/>
            </w:tcBorders>
          </w:tcPr>
          <w:p w:rsidR="00463A17" w:rsidRPr="004950C9" w:rsidRDefault="00463A17" w:rsidP="008A303B">
            <w:pPr>
              <w:jc w:val="center"/>
              <w:rPr>
                <w:lang w:val="en-GB"/>
              </w:rPr>
            </w:pPr>
            <w:r>
              <w:rPr>
                <w:lang w:val="en-GB"/>
              </w:rPr>
              <w:t>Threshold</w:t>
            </w:r>
            <w:r w:rsidR="00ED5A19">
              <w:rPr>
                <w:lang w:val="en-GB"/>
              </w:rPr>
              <w:t xml:space="preserve"> </w:t>
            </w:r>
            <w:r w:rsidRPr="004950C9">
              <w:rPr>
                <w:lang w:val="en-GB"/>
              </w:rPr>
              <w:t xml:space="preserve">with </w:t>
            </w:r>
            <w:proofErr w:type="spellStart"/>
            <w:r w:rsidRPr="004950C9">
              <w:rPr>
                <w:i/>
                <w:lang w:val="en-GB"/>
              </w:rPr>
              <w:t>p</w:t>
            </w:r>
            <w:r w:rsidRPr="004950C9">
              <w:rPr>
                <w:i/>
                <w:vertAlign w:val="subscript"/>
                <w:lang w:val="en-GB"/>
              </w:rPr>
              <w:t>D</w:t>
            </w:r>
            <w:proofErr w:type="spellEnd"/>
            <w:r w:rsidRPr="004950C9">
              <w:rPr>
                <w:lang w:val="en-GB"/>
              </w:rPr>
              <w:t>=0.9</w:t>
            </w:r>
          </w:p>
        </w:tc>
        <w:tc>
          <w:tcPr>
            <w:tcW w:w="1275" w:type="dxa"/>
            <w:tcBorders>
              <w:top w:val="single" w:sz="4" w:space="0" w:color="auto"/>
              <w:bottom w:val="single" w:sz="4" w:space="0" w:color="auto"/>
            </w:tcBorders>
          </w:tcPr>
          <w:p w:rsidR="00463A17" w:rsidRPr="004950C9" w:rsidRDefault="00463A17">
            <w:pPr>
              <w:jc w:val="center"/>
              <w:rPr>
                <w:lang w:val="en-GB" w:eastAsia="ja-JP"/>
              </w:rPr>
            </w:pPr>
            <w:r>
              <w:rPr>
                <w:lang w:val="en-GB"/>
              </w:rPr>
              <w:t>Current  tolerance</w:t>
            </w:r>
            <w:r w:rsidR="006E5336">
              <w:rPr>
                <w:rFonts w:hint="eastAsia"/>
                <w:lang w:val="en-GB" w:eastAsia="ja-JP"/>
              </w:rPr>
              <w:t xml:space="preserve"> of the United Kingdom</w:t>
            </w:r>
          </w:p>
        </w:tc>
        <w:tc>
          <w:tcPr>
            <w:tcW w:w="1134" w:type="dxa"/>
            <w:tcBorders>
              <w:top w:val="single" w:sz="4" w:space="0" w:color="auto"/>
              <w:bottom w:val="single" w:sz="4" w:space="0" w:color="auto"/>
            </w:tcBorders>
          </w:tcPr>
          <w:p w:rsidR="00463A17" w:rsidRPr="004950C9" w:rsidRDefault="00463A17" w:rsidP="008A303B">
            <w:pPr>
              <w:jc w:val="center"/>
              <w:rPr>
                <w:lang w:val="en-GB"/>
              </w:rPr>
            </w:pPr>
            <w:r>
              <w:rPr>
                <w:lang w:val="en-GB"/>
              </w:rPr>
              <w:t>Proposed new tolerance</w:t>
            </w:r>
          </w:p>
        </w:tc>
      </w:tr>
      <w:tr w:rsidR="00463A17" w:rsidRPr="004950C9" w:rsidTr="008A303B">
        <w:tc>
          <w:tcPr>
            <w:tcW w:w="1586" w:type="dxa"/>
            <w:tcBorders>
              <w:top w:val="single" w:sz="4" w:space="0" w:color="auto"/>
            </w:tcBorders>
          </w:tcPr>
          <w:p w:rsidR="00463A17" w:rsidRPr="004950C9" w:rsidRDefault="00463A17" w:rsidP="008A303B">
            <w:pPr>
              <w:tabs>
                <w:tab w:val="decimal" w:pos="851"/>
              </w:tabs>
              <w:jc w:val="left"/>
              <w:rPr>
                <w:lang w:val="en-GB"/>
              </w:rPr>
            </w:pPr>
            <w:r w:rsidRPr="004950C9">
              <w:rPr>
                <w:lang w:val="en-GB"/>
              </w:rPr>
              <w:t>5</w:t>
            </w:r>
          </w:p>
        </w:tc>
        <w:tc>
          <w:tcPr>
            <w:tcW w:w="1357" w:type="dxa"/>
            <w:tcBorders>
              <w:top w:val="single" w:sz="4" w:space="0" w:color="auto"/>
            </w:tcBorders>
          </w:tcPr>
          <w:p w:rsidR="00463A17" w:rsidRPr="004950C9" w:rsidRDefault="00463A17" w:rsidP="008A303B">
            <w:pPr>
              <w:tabs>
                <w:tab w:val="decimal" w:pos="541"/>
              </w:tabs>
              <w:jc w:val="left"/>
              <w:rPr>
                <w:lang w:val="en-GB"/>
              </w:rPr>
            </w:pPr>
            <w:r w:rsidRPr="004950C9">
              <w:rPr>
                <w:lang w:val="en-GB"/>
              </w:rPr>
              <w:t>0.93</w:t>
            </w:r>
          </w:p>
        </w:tc>
        <w:tc>
          <w:tcPr>
            <w:tcW w:w="1276" w:type="dxa"/>
            <w:tcBorders>
              <w:top w:val="single" w:sz="4" w:space="0" w:color="auto"/>
            </w:tcBorders>
          </w:tcPr>
          <w:p w:rsidR="00463A17" w:rsidRPr="00B92EC9" w:rsidRDefault="00463A17" w:rsidP="007601FB">
            <w:pPr>
              <w:widowControl w:val="0"/>
              <w:jc w:val="right"/>
              <w:rPr>
                <w:szCs w:val="24"/>
              </w:rPr>
            </w:pPr>
            <w:r w:rsidRPr="00B92EC9">
              <w:t>4.13</w:t>
            </w:r>
          </w:p>
        </w:tc>
        <w:tc>
          <w:tcPr>
            <w:tcW w:w="1276" w:type="dxa"/>
            <w:tcBorders>
              <w:top w:val="single" w:sz="4" w:space="0" w:color="auto"/>
            </w:tcBorders>
          </w:tcPr>
          <w:p w:rsidR="00463A17" w:rsidRPr="00B92EC9" w:rsidRDefault="00463A17" w:rsidP="007601FB">
            <w:pPr>
              <w:widowControl w:val="0"/>
              <w:jc w:val="right"/>
              <w:rPr>
                <w:szCs w:val="24"/>
              </w:rPr>
            </w:pPr>
            <w:r w:rsidRPr="00B92EC9">
              <w:t>1.81</w:t>
            </w:r>
          </w:p>
        </w:tc>
        <w:tc>
          <w:tcPr>
            <w:tcW w:w="1276" w:type="dxa"/>
            <w:tcBorders>
              <w:top w:val="single" w:sz="4" w:space="0" w:color="auto"/>
            </w:tcBorders>
          </w:tcPr>
          <w:p w:rsidR="00463A17" w:rsidRPr="00B92EC9" w:rsidRDefault="00463A17" w:rsidP="007601FB">
            <w:pPr>
              <w:widowControl w:val="0"/>
              <w:jc w:val="right"/>
              <w:rPr>
                <w:szCs w:val="24"/>
              </w:rPr>
            </w:pPr>
            <w:r w:rsidRPr="00B92EC9">
              <w:t>1.39</w:t>
            </w:r>
          </w:p>
        </w:tc>
        <w:tc>
          <w:tcPr>
            <w:tcW w:w="1275" w:type="dxa"/>
            <w:tcBorders>
              <w:top w:val="single" w:sz="4" w:space="0" w:color="auto"/>
            </w:tcBorders>
          </w:tcPr>
          <w:p w:rsidR="00463A17" w:rsidRPr="004950C9" w:rsidRDefault="00463A17" w:rsidP="007601FB">
            <w:pPr>
              <w:tabs>
                <w:tab w:val="decimal" w:pos="666"/>
              </w:tabs>
              <w:jc w:val="right"/>
              <w:rPr>
                <w:lang w:val="en-GB"/>
              </w:rPr>
            </w:pPr>
            <w:r>
              <w:rPr>
                <w:lang w:val="en-GB"/>
              </w:rPr>
              <w:t>3</w:t>
            </w:r>
          </w:p>
        </w:tc>
        <w:tc>
          <w:tcPr>
            <w:tcW w:w="1134" w:type="dxa"/>
            <w:tcBorders>
              <w:top w:val="single" w:sz="4" w:space="0" w:color="auto"/>
            </w:tcBorders>
          </w:tcPr>
          <w:p w:rsidR="00463A17" w:rsidRPr="004950C9" w:rsidRDefault="00463A17" w:rsidP="007601FB">
            <w:pPr>
              <w:tabs>
                <w:tab w:val="decimal" w:pos="459"/>
              </w:tabs>
              <w:jc w:val="right"/>
              <w:rPr>
                <w:lang w:val="en-GB"/>
              </w:rPr>
            </w:pPr>
            <w:r>
              <w:rPr>
                <w:lang w:val="en-GB"/>
              </w:rPr>
              <w:t>4.1</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15</w:t>
            </w:r>
          </w:p>
        </w:tc>
        <w:tc>
          <w:tcPr>
            <w:tcW w:w="1357" w:type="dxa"/>
          </w:tcPr>
          <w:p w:rsidR="00463A17" w:rsidRPr="004950C9" w:rsidRDefault="00463A17" w:rsidP="008A303B">
            <w:pPr>
              <w:tabs>
                <w:tab w:val="decimal" w:pos="541"/>
              </w:tabs>
              <w:jc w:val="left"/>
              <w:rPr>
                <w:lang w:val="en-GB"/>
              </w:rPr>
            </w:pPr>
            <w:r w:rsidRPr="004950C9">
              <w:rPr>
                <w:lang w:val="en-GB"/>
              </w:rPr>
              <w:t>10.80</w:t>
            </w:r>
          </w:p>
        </w:tc>
        <w:tc>
          <w:tcPr>
            <w:tcW w:w="1276" w:type="dxa"/>
          </w:tcPr>
          <w:p w:rsidR="00463A17" w:rsidRPr="00B92EC9" w:rsidRDefault="00463A17" w:rsidP="007601FB">
            <w:pPr>
              <w:widowControl w:val="0"/>
              <w:jc w:val="right"/>
              <w:rPr>
                <w:szCs w:val="24"/>
              </w:rPr>
            </w:pPr>
            <w:r w:rsidRPr="00B92EC9">
              <w:t>23.38</w:t>
            </w:r>
          </w:p>
        </w:tc>
        <w:tc>
          <w:tcPr>
            <w:tcW w:w="1276" w:type="dxa"/>
          </w:tcPr>
          <w:p w:rsidR="00463A17" w:rsidRPr="00B92EC9" w:rsidRDefault="00463A17" w:rsidP="007601FB">
            <w:pPr>
              <w:widowControl w:val="0"/>
              <w:jc w:val="right"/>
              <w:rPr>
                <w:szCs w:val="24"/>
              </w:rPr>
            </w:pPr>
            <w:r w:rsidRPr="00B92EC9">
              <w:t>17.90</w:t>
            </w:r>
          </w:p>
        </w:tc>
        <w:tc>
          <w:tcPr>
            <w:tcW w:w="1276" w:type="dxa"/>
          </w:tcPr>
          <w:p w:rsidR="00463A17" w:rsidRPr="00B92EC9" w:rsidRDefault="00463A17" w:rsidP="007601FB">
            <w:pPr>
              <w:widowControl w:val="0"/>
              <w:jc w:val="right"/>
              <w:rPr>
                <w:szCs w:val="24"/>
              </w:rPr>
            </w:pPr>
            <w:r w:rsidRPr="00B92EC9">
              <w:t>15.70</w:t>
            </w:r>
          </w:p>
        </w:tc>
        <w:tc>
          <w:tcPr>
            <w:tcW w:w="1275" w:type="dxa"/>
          </w:tcPr>
          <w:p w:rsidR="00463A17" w:rsidRPr="004950C9" w:rsidRDefault="00463A17" w:rsidP="007601FB">
            <w:pPr>
              <w:tabs>
                <w:tab w:val="decimal" w:pos="666"/>
              </w:tabs>
              <w:jc w:val="right"/>
              <w:rPr>
                <w:lang w:val="en-GB"/>
              </w:rPr>
            </w:pPr>
            <w:r>
              <w:rPr>
                <w:lang w:val="en-GB"/>
              </w:rPr>
              <w:t>25</w:t>
            </w:r>
          </w:p>
        </w:tc>
        <w:tc>
          <w:tcPr>
            <w:tcW w:w="1134" w:type="dxa"/>
          </w:tcPr>
          <w:p w:rsidR="00463A17" w:rsidRPr="004950C9" w:rsidRDefault="00463A17" w:rsidP="007601FB">
            <w:pPr>
              <w:tabs>
                <w:tab w:val="decimal" w:pos="459"/>
              </w:tabs>
              <w:jc w:val="right"/>
              <w:rPr>
                <w:lang w:val="en-GB"/>
              </w:rPr>
            </w:pPr>
            <w:r>
              <w:rPr>
                <w:lang w:val="en-GB"/>
              </w:rPr>
              <w:t>23.4</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16</w:t>
            </w:r>
          </w:p>
        </w:tc>
        <w:tc>
          <w:tcPr>
            <w:tcW w:w="1357" w:type="dxa"/>
          </w:tcPr>
          <w:p w:rsidR="00463A17" w:rsidRPr="004950C9" w:rsidRDefault="00463A17" w:rsidP="008A303B">
            <w:pPr>
              <w:tabs>
                <w:tab w:val="decimal" w:pos="541"/>
              </w:tabs>
              <w:jc w:val="left"/>
              <w:rPr>
                <w:lang w:val="en-GB"/>
              </w:rPr>
            </w:pPr>
            <w:r w:rsidRPr="004950C9">
              <w:rPr>
                <w:lang w:val="en-GB"/>
              </w:rPr>
              <w:t>6.95</w:t>
            </w:r>
          </w:p>
        </w:tc>
        <w:tc>
          <w:tcPr>
            <w:tcW w:w="1276" w:type="dxa"/>
          </w:tcPr>
          <w:p w:rsidR="00463A17" w:rsidRPr="00B92EC9" w:rsidRDefault="00463A17" w:rsidP="007601FB">
            <w:pPr>
              <w:widowControl w:val="0"/>
              <w:jc w:val="right"/>
              <w:rPr>
                <w:szCs w:val="24"/>
              </w:rPr>
            </w:pPr>
            <w:r w:rsidRPr="00B92EC9">
              <w:t>14.18</w:t>
            </w:r>
          </w:p>
        </w:tc>
        <w:tc>
          <w:tcPr>
            <w:tcW w:w="1276" w:type="dxa"/>
          </w:tcPr>
          <w:p w:rsidR="00463A17" w:rsidRPr="00B92EC9" w:rsidRDefault="00463A17" w:rsidP="007601FB">
            <w:pPr>
              <w:widowControl w:val="0"/>
              <w:jc w:val="right"/>
              <w:rPr>
                <w:szCs w:val="24"/>
              </w:rPr>
            </w:pPr>
            <w:r w:rsidRPr="00B92EC9">
              <w:t>11.15</w:t>
            </w:r>
          </w:p>
        </w:tc>
        <w:tc>
          <w:tcPr>
            <w:tcW w:w="1276" w:type="dxa"/>
          </w:tcPr>
          <w:p w:rsidR="00463A17" w:rsidRPr="00B92EC9" w:rsidRDefault="00463A17" w:rsidP="007601FB">
            <w:pPr>
              <w:widowControl w:val="0"/>
              <w:jc w:val="right"/>
              <w:rPr>
                <w:szCs w:val="24"/>
              </w:rPr>
            </w:pPr>
            <w:r w:rsidRPr="00B92EC9">
              <w:t>9.87</w:t>
            </w:r>
          </w:p>
        </w:tc>
        <w:tc>
          <w:tcPr>
            <w:tcW w:w="1275" w:type="dxa"/>
          </w:tcPr>
          <w:p w:rsidR="00463A17" w:rsidRPr="004950C9" w:rsidRDefault="00463A17" w:rsidP="007601FB">
            <w:pPr>
              <w:tabs>
                <w:tab w:val="decimal" w:pos="666"/>
              </w:tabs>
              <w:jc w:val="right"/>
              <w:rPr>
                <w:lang w:val="en-GB"/>
              </w:rPr>
            </w:pPr>
            <w:r>
              <w:rPr>
                <w:lang w:val="en-GB"/>
              </w:rPr>
              <w:t>20</w:t>
            </w:r>
          </w:p>
        </w:tc>
        <w:tc>
          <w:tcPr>
            <w:tcW w:w="1134" w:type="dxa"/>
          </w:tcPr>
          <w:p w:rsidR="00463A17" w:rsidRPr="004950C9" w:rsidRDefault="00463A17" w:rsidP="007601FB">
            <w:pPr>
              <w:tabs>
                <w:tab w:val="decimal" w:pos="459"/>
              </w:tabs>
              <w:jc w:val="right"/>
              <w:rPr>
                <w:lang w:val="en-GB"/>
              </w:rPr>
            </w:pPr>
            <w:r>
              <w:rPr>
                <w:lang w:val="en-GB"/>
              </w:rPr>
              <w:t>14.2</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21</w:t>
            </w:r>
            <w:r w:rsidRPr="00347ACD">
              <w:rPr>
                <w:lang w:val="en-GB"/>
              </w:rPr>
              <w:t>*</w:t>
            </w:r>
          </w:p>
        </w:tc>
        <w:tc>
          <w:tcPr>
            <w:tcW w:w="1357" w:type="dxa"/>
          </w:tcPr>
          <w:p w:rsidR="00463A17" w:rsidRPr="004950C9" w:rsidRDefault="00463A17" w:rsidP="008A303B">
            <w:pPr>
              <w:tabs>
                <w:tab w:val="decimal" w:pos="541"/>
              </w:tabs>
              <w:jc w:val="left"/>
              <w:rPr>
                <w:lang w:val="en-GB"/>
              </w:rPr>
            </w:pPr>
            <w:r w:rsidRPr="004950C9">
              <w:rPr>
                <w:lang w:val="en-GB"/>
              </w:rPr>
              <w:t>0.95</w:t>
            </w:r>
          </w:p>
        </w:tc>
        <w:tc>
          <w:tcPr>
            <w:tcW w:w="1276" w:type="dxa"/>
          </w:tcPr>
          <w:p w:rsidR="00463A17" w:rsidRPr="00B92EC9" w:rsidRDefault="00463A17" w:rsidP="007601FB">
            <w:pPr>
              <w:widowControl w:val="0"/>
              <w:jc w:val="right"/>
              <w:rPr>
                <w:szCs w:val="24"/>
              </w:rPr>
            </w:pPr>
            <w:r w:rsidRPr="00B92EC9">
              <w:t>2.01</w:t>
            </w:r>
          </w:p>
        </w:tc>
        <w:tc>
          <w:tcPr>
            <w:tcW w:w="1276" w:type="dxa"/>
          </w:tcPr>
          <w:p w:rsidR="00463A17" w:rsidRPr="00B92EC9" w:rsidRDefault="00463A17" w:rsidP="007601FB">
            <w:pPr>
              <w:widowControl w:val="0"/>
              <w:jc w:val="right"/>
              <w:rPr>
                <w:szCs w:val="24"/>
              </w:rPr>
            </w:pPr>
            <w:r w:rsidRPr="00B92EC9">
              <w:t>1.56</w:t>
            </w:r>
          </w:p>
        </w:tc>
        <w:tc>
          <w:tcPr>
            <w:tcW w:w="1276" w:type="dxa"/>
          </w:tcPr>
          <w:p w:rsidR="00463A17" w:rsidRPr="00B92EC9" w:rsidRDefault="00463A17" w:rsidP="007601FB">
            <w:pPr>
              <w:widowControl w:val="0"/>
              <w:jc w:val="right"/>
              <w:rPr>
                <w:szCs w:val="24"/>
              </w:rPr>
            </w:pPr>
            <w:r w:rsidRPr="00B92EC9">
              <w:t>1.38</w:t>
            </w:r>
          </w:p>
        </w:tc>
        <w:tc>
          <w:tcPr>
            <w:tcW w:w="1275" w:type="dxa"/>
          </w:tcPr>
          <w:p w:rsidR="00463A17" w:rsidRPr="004950C9" w:rsidRDefault="00463A17" w:rsidP="007601FB">
            <w:pPr>
              <w:tabs>
                <w:tab w:val="decimal" w:pos="666"/>
              </w:tabs>
              <w:jc w:val="right"/>
              <w:rPr>
                <w:lang w:val="en-GB"/>
              </w:rPr>
            </w:pPr>
            <w:r>
              <w:rPr>
                <w:lang w:val="en-GB"/>
              </w:rPr>
              <w:t>3</w:t>
            </w:r>
          </w:p>
        </w:tc>
        <w:tc>
          <w:tcPr>
            <w:tcW w:w="1134" w:type="dxa"/>
          </w:tcPr>
          <w:p w:rsidR="00463A17" w:rsidRPr="004950C9" w:rsidRDefault="00463A17" w:rsidP="007601FB">
            <w:pPr>
              <w:tabs>
                <w:tab w:val="decimal" w:pos="459"/>
              </w:tabs>
              <w:jc w:val="right"/>
              <w:rPr>
                <w:lang w:val="en-GB" w:eastAsia="ja-JP"/>
              </w:rPr>
            </w:pPr>
            <w:r>
              <w:rPr>
                <w:lang w:val="en-GB"/>
              </w:rPr>
              <w:t>3</w:t>
            </w:r>
            <w:r w:rsidR="005464FF">
              <w:rPr>
                <w:rFonts w:hint="eastAsia"/>
                <w:lang w:val="en-GB" w:eastAsia="ja-JP"/>
              </w:rPr>
              <w:t xml:space="preserve"> </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22</w:t>
            </w:r>
          </w:p>
        </w:tc>
        <w:tc>
          <w:tcPr>
            <w:tcW w:w="1357" w:type="dxa"/>
          </w:tcPr>
          <w:p w:rsidR="00463A17" w:rsidRPr="004950C9" w:rsidRDefault="00463A17" w:rsidP="008A303B">
            <w:pPr>
              <w:tabs>
                <w:tab w:val="decimal" w:pos="541"/>
              </w:tabs>
              <w:jc w:val="left"/>
              <w:rPr>
                <w:lang w:val="en-GB"/>
              </w:rPr>
            </w:pPr>
            <w:r w:rsidRPr="004950C9">
              <w:rPr>
                <w:lang w:val="en-GB"/>
              </w:rPr>
              <w:t>12.61</w:t>
            </w:r>
          </w:p>
        </w:tc>
        <w:tc>
          <w:tcPr>
            <w:tcW w:w="1276" w:type="dxa"/>
          </w:tcPr>
          <w:p w:rsidR="00463A17" w:rsidRPr="00B92EC9" w:rsidRDefault="00463A17" w:rsidP="007601FB">
            <w:pPr>
              <w:widowControl w:val="0"/>
              <w:jc w:val="right"/>
              <w:rPr>
                <w:szCs w:val="24"/>
              </w:rPr>
            </w:pPr>
            <w:r w:rsidRPr="00B92EC9">
              <w:t>28.38</w:t>
            </w:r>
          </w:p>
        </w:tc>
        <w:tc>
          <w:tcPr>
            <w:tcW w:w="1276" w:type="dxa"/>
          </w:tcPr>
          <w:p w:rsidR="00463A17" w:rsidRPr="00B92EC9" w:rsidRDefault="00463A17" w:rsidP="007601FB">
            <w:pPr>
              <w:widowControl w:val="0"/>
              <w:jc w:val="right"/>
              <w:rPr>
                <w:szCs w:val="24"/>
              </w:rPr>
            </w:pPr>
            <w:r w:rsidRPr="00B92EC9">
              <w:t>21.31</w:t>
            </w:r>
          </w:p>
        </w:tc>
        <w:tc>
          <w:tcPr>
            <w:tcW w:w="1276" w:type="dxa"/>
          </w:tcPr>
          <w:p w:rsidR="00463A17" w:rsidRPr="00B92EC9" w:rsidRDefault="00463A17" w:rsidP="007601FB">
            <w:pPr>
              <w:widowControl w:val="0"/>
              <w:jc w:val="right"/>
              <w:rPr>
                <w:szCs w:val="24"/>
              </w:rPr>
            </w:pPr>
            <w:r w:rsidRPr="00B92EC9">
              <w:t>18.56</w:t>
            </w:r>
          </w:p>
        </w:tc>
        <w:tc>
          <w:tcPr>
            <w:tcW w:w="1275" w:type="dxa"/>
          </w:tcPr>
          <w:p w:rsidR="00463A17" w:rsidRPr="004950C9" w:rsidRDefault="00463A17" w:rsidP="007601FB">
            <w:pPr>
              <w:tabs>
                <w:tab w:val="decimal" w:pos="666"/>
              </w:tabs>
              <w:jc w:val="right"/>
              <w:rPr>
                <w:lang w:val="en-GB"/>
              </w:rPr>
            </w:pPr>
            <w:r>
              <w:rPr>
                <w:lang w:val="en-GB"/>
              </w:rPr>
              <w:t>30</w:t>
            </w:r>
          </w:p>
        </w:tc>
        <w:tc>
          <w:tcPr>
            <w:tcW w:w="1134" w:type="dxa"/>
          </w:tcPr>
          <w:p w:rsidR="00463A17" w:rsidRPr="004950C9" w:rsidRDefault="00463A17" w:rsidP="007601FB">
            <w:pPr>
              <w:tabs>
                <w:tab w:val="decimal" w:pos="459"/>
              </w:tabs>
              <w:jc w:val="right"/>
              <w:rPr>
                <w:lang w:val="en-GB"/>
              </w:rPr>
            </w:pPr>
            <w:r>
              <w:rPr>
                <w:lang w:val="en-GB"/>
              </w:rPr>
              <w:t>28.4</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28</w:t>
            </w:r>
          </w:p>
        </w:tc>
        <w:tc>
          <w:tcPr>
            <w:tcW w:w="1357" w:type="dxa"/>
          </w:tcPr>
          <w:p w:rsidR="00463A17" w:rsidRPr="004950C9" w:rsidRDefault="00463A17" w:rsidP="008A303B">
            <w:pPr>
              <w:tabs>
                <w:tab w:val="decimal" w:pos="541"/>
              </w:tabs>
              <w:jc w:val="left"/>
              <w:rPr>
                <w:lang w:val="en-GB"/>
              </w:rPr>
            </w:pPr>
            <w:r w:rsidRPr="004950C9">
              <w:rPr>
                <w:lang w:val="en-GB"/>
              </w:rPr>
              <w:t>2.39</w:t>
            </w:r>
          </w:p>
        </w:tc>
        <w:tc>
          <w:tcPr>
            <w:tcW w:w="1276" w:type="dxa"/>
          </w:tcPr>
          <w:p w:rsidR="00463A17" w:rsidRPr="00B92EC9" w:rsidRDefault="00463A17" w:rsidP="007601FB">
            <w:pPr>
              <w:widowControl w:val="0"/>
              <w:jc w:val="right"/>
              <w:rPr>
                <w:szCs w:val="24"/>
              </w:rPr>
            </w:pPr>
            <w:r w:rsidRPr="00B92EC9">
              <w:t>5.99</w:t>
            </w:r>
          </w:p>
        </w:tc>
        <w:tc>
          <w:tcPr>
            <w:tcW w:w="1276" w:type="dxa"/>
          </w:tcPr>
          <w:p w:rsidR="00463A17" w:rsidRPr="00B92EC9" w:rsidRDefault="00463A17" w:rsidP="007601FB">
            <w:pPr>
              <w:widowControl w:val="0"/>
              <w:jc w:val="right"/>
              <w:rPr>
                <w:szCs w:val="24"/>
              </w:rPr>
            </w:pPr>
            <w:r w:rsidRPr="00B92EC9">
              <w:t>4.18</w:t>
            </w:r>
          </w:p>
        </w:tc>
        <w:tc>
          <w:tcPr>
            <w:tcW w:w="1276" w:type="dxa"/>
          </w:tcPr>
          <w:p w:rsidR="00463A17" w:rsidRPr="00B92EC9" w:rsidRDefault="00463A17" w:rsidP="007601FB">
            <w:pPr>
              <w:widowControl w:val="0"/>
              <w:jc w:val="right"/>
              <w:rPr>
                <w:szCs w:val="24"/>
              </w:rPr>
            </w:pPr>
            <w:r w:rsidRPr="00B92EC9">
              <w:t>3.56</w:t>
            </w:r>
          </w:p>
        </w:tc>
        <w:tc>
          <w:tcPr>
            <w:tcW w:w="1275" w:type="dxa"/>
          </w:tcPr>
          <w:p w:rsidR="00463A17" w:rsidRPr="004950C9" w:rsidRDefault="00463A17" w:rsidP="007601FB">
            <w:pPr>
              <w:tabs>
                <w:tab w:val="decimal" w:pos="666"/>
              </w:tabs>
              <w:jc w:val="right"/>
              <w:rPr>
                <w:lang w:val="en-GB"/>
              </w:rPr>
            </w:pPr>
            <w:r>
              <w:rPr>
                <w:lang w:val="en-GB"/>
              </w:rPr>
              <w:t>12</w:t>
            </w:r>
          </w:p>
        </w:tc>
        <w:tc>
          <w:tcPr>
            <w:tcW w:w="1134" w:type="dxa"/>
          </w:tcPr>
          <w:p w:rsidR="00463A17" w:rsidRPr="004950C9" w:rsidRDefault="00463A17" w:rsidP="007601FB">
            <w:pPr>
              <w:tabs>
                <w:tab w:val="decimal" w:pos="459"/>
              </w:tabs>
              <w:jc w:val="right"/>
              <w:rPr>
                <w:lang w:val="en-GB"/>
              </w:rPr>
            </w:pPr>
            <w:r>
              <w:rPr>
                <w:lang w:val="en-GB"/>
              </w:rPr>
              <w:t>6.0</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29</w:t>
            </w:r>
            <w:r w:rsidRPr="00347ACD">
              <w:rPr>
                <w:lang w:val="en-GB"/>
              </w:rPr>
              <w:t>*</w:t>
            </w:r>
          </w:p>
        </w:tc>
        <w:tc>
          <w:tcPr>
            <w:tcW w:w="1357" w:type="dxa"/>
          </w:tcPr>
          <w:p w:rsidR="00463A17" w:rsidRPr="004950C9" w:rsidRDefault="00463A17" w:rsidP="008A303B">
            <w:pPr>
              <w:tabs>
                <w:tab w:val="decimal" w:pos="541"/>
              </w:tabs>
              <w:jc w:val="left"/>
              <w:rPr>
                <w:lang w:val="en-GB"/>
              </w:rPr>
            </w:pPr>
            <w:r w:rsidRPr="004950C9">
              <w:rPr>
                <w:lang w:val="en-GB"/>
              </w:rPr>
              <w:t>0.93</w:t>
            </w:r>
          </w:p>
        </w:tc>
        <w:tc>
          <w:tcPr>
            <w:tcW w:w="1276" w:type="dxa"/>
          </w:tcPr>
          <w:p w:rsidR="00463A17" w:rsidRPr="00B92EC9" w:rsidRDefault="00463A17" w:rsidP="007601FB">
            <w:pPr>
              <w:widowControl w:val="0"/>
              <w:jc w:val="right"/>
              <w:rPr>
                <w:szCs w:val="24"/>
              </w:rPr>
            </w:pPr>
            <w:r w:rsidRPr="00B92EC9">
              <w:t>1.96</w:t>
            </w:r>
          </w:p>
        </w:tc>
        <w:tc>
          <w:tcPr>
            <w:tcW w:w="1276" w:type="dxa"/>
          </w:tcPr>
          <w:p w:rsidR="00463A17" w:rsidRPr="00B92EC9" w:rsidRDefault="00463A17" w:rsidP="007601FB">
            <w:pPr>
              <w:widowControl w:val="0"/>
              <w:jc w:val="right"/>
              <w:rPr>
                <w:szCs w:val="24"/>
              </w:rPr>
            </w:pPr>
            <w:r w:rsidRPr="00B92EC9">
              <w:t>1.54</w:t>
            </w:r>
          </w:p>
        </w:tc>
        <w:tc>
          <w:tcPr>
            <w:tcW w:w="1276" w:type="dxa"/>
          </w:tcPr>
          <w:p w:rsidR="00463A17" w:rsidRPr="00B92EC9" w:rsidRDefault="00463A17" w:rsidP="007601FB">
            <w:pPr>
              <w:widowControl w:val="0"/>
              <w:jc w:val="right"/>
              <w:rPr>
                <w:szCs w:val="24"/>
              </w:rPr>
            </w:pPr>
            <w:r w:rsidRPr="00B92EC9">
              <w:t>1.37</w:t>
            </w:r>
          </w:p>
        </w:tc>
        <w:tc>
          <w:tcPr>
            <w:tcW w:w="1275" w:type="dxa"/>
          </w:tcPr>
          <w:p w:rsidR="00463A17" w:rsidRPr="004950C9" w:rsidRDefault="00463A17" w:rsidP="007601FB">
            <w:pPr>
              <w:tabs>
                <w:tab w:val="decimal" w:pos="666"/>
              </w:tabs>
              <w:jc w:val="right"/>
              <w:rPr>
                <w:lang w:val="en-GB"/>
              </w:rPr>
            </w:pPr>
            <w:r>
              <w:rPr>
                <w:lang w:val="en-GB"/>
              </w:rPr>
              <w:t>2</w:t>
            </w:r>
          </w:p>
        </w:tc>
        <w:tc>
          <w:tcPr>
            <w:tcW w:w="1134" w:type="dxa"/>
          </w:tcPr>
          <w:p w:rsidR="00463A17" w:rsidRPr="004950C9" w:rsidRDefault="00463A17" w:rsidP="007601FB">
            <w:pPr>
              <w:tabs>
                <w:tab w:val="decimal" w:pos="459"/>
              </w:tabs>
              <w:jc w:val="right"/>
              <w:rPr>
                <w:lang w:val="en-GB"/>
              </w:rPr>
            </w:pPr>
            <w:r>
              <w:rPr>
                <w:lang w:val="en-GB"/>
              </w:rPr>
              <w:t>2</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34</w:t>
            </w:r>
          </w:p>
        </w:tc>
        <w:tc>
          <w:tcPr>
            <w:tcW w:w="1357" w:type="dxa"/>
          </w:tcPr>
          <w:p w:rsidR="00463A17" w:rsidRPr="004950C9" w:rsidRDefault="00463A17" w:rsidP="008A303B">
            <w:pPr>
              <w:tabs>
                <w:tab w:val="decimal" w:pos="541"/>
              </w:tabs>
              <w:jc w:val="left"/>
              <w:rPr>
                <w:lang w:val="en-GB"/>
              </w:rPr>
            </w:pPr>
            <w:r w:rsidRPr="004950C9">
              <w:rPr>
                <w:lang w:val="en-GB"/>
              </w:rPr>
              <w:t>19.61</w:t>
            </w:r>
          </w:p>
        </w:tc>
        <w:tc>
          <w:tcPr>
            <w:tcW w:w="1276" w:type="dxa"/>
          </w:tcPr>
          <w:p w:rsidR="00463A17" w:rsidRPr="00B92EC9" w:rsidRDefault="00463A17" w:rsidP="007601FB">
            <w:pPr>
              <w:widowControl w:val="0"/>
              <w:jc w:val="right"/>
              <w:rPr>
                <w:szCs w:val="24"/>
              </w:rPr>
            </w:pPr>
            <w:r w:rsidRPr="00B92EC9">
              <w:t>45.63</w:t>
            </w:r>
          </w:p>
        </w:tc>
        <w:tc>
          <w:tcPr>
            <w:tcW w:w="1276" w:type="dxa"/>
          </w:tcPr>
          <w:p w:rsidR="00463A17" w:rsidRPr="00B92EC9" w:rsidRDefault="00463A17" w:rsidP="007601FB">
            <w:pPr>
              <w:widowControl w:val="0"/>
              <w:jc w:val="right"/>
              <w:rPr>
                <w:szCs w:val="24"/>
              </w:rPr>
            </w:pPr>
            <w:r w:rsidRPr="00B92EC9">
              <w:t>33.46</w:t>
            </w:r>
          </w:p>
        </w:tc>
        <w:tc>
          <w:tcPr>
            <w:tcW w:w="1276" w:type="dxa"/>
          </w:tcPr>
          <w:p w:rsidR="00463A17" w:rsidRPr="00B92EC9" w:rsidRDefault="00463A17" w:rsidP="007601FB">
            <w:pPr>
              <w:widowControl w:val="0"/>
              <w:jc w:val="right"/>
              <w:rPr>
                <w:szCs w:val="24"/>
              </w:rPr>
            </w:pPr>
            <w:r w:rsidRPr="00B92EC9">
              <w:t>28.92</w:t>
            </w:r>
          </w:p>
        </w:tc>
        <w:tc>
          <w:tcPr>
            <w:tcW w:w="1275" w:type="dxa"/>
          </w:tcPr>
          <w:p w:rsidR="00463A17" w:rsidRPr="004950C9" w:rsidRDefault="00463A17" w:rsidP="007601FB">
            <w:pPr>
              <w:tabs>
                <w:tab w:val="decimal" w:pos="666"/>
              </w:tabs>
              <w:jc w:val="right"/>
              <w:rPr>
                <w:lang w:val="en-GB"/>
              </w:rPr>
            </w:pPr>
            <w:r>
              <w:rPr>
                <w:lang w:val="en-GB"/>
              </w:rPr>
              <w:t>40</w:t>
            </w:r>
          </w:p>
        </w:tc>
        <w:tc>
          <w:tcPr>
            <w:tcW w:w="1134" w:type="dxa"/>
          </w:tcPr>
          <w:p w:rsidR="00463A17" w:rsidRPr="004950C9" w:rsidRDefault="00463A17" w:rsidP="007601FB">
            <w:pPr>
              <w:tabs>
                <w:tab w:val="decimal" w:pos="459"/>
              </w:tabs>
              <w:jc w:val="right"/>
              <w:rPr>
                <w:lang w:val="en-GB"/>
              </w:rPr>
            </w:pPr>
            <w:r>
              <w:rPr>
                <w:lang w:val="en-GB"/>
              </w:rPr>
              <w:t>45.6</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37</w:t>
            </w:r>
          </w:p>
        </w:tc>
        <w:tc>
          <w:tcPr>
            <w:tcW w:w="1357" w:type="dxa"/>
          </w:tcPr>
          <w:p w:rsidR="00463A17" w:rsidRPr="004950C9" w:rsidRDefault="00463A17" w:rsidP="008A303B">
            <w:pPr>
              <w:tabs>
                <w:tab w:val="decimal" w:pos="541"/>
              </w:tabs>
              <w:jc w:val="left"/>
              <w:rPr>
                <w:lang w:val="en-GB"/>
              </w:rPr>
            </w:pPr>
            <w:r w:rsidRPr="004950C9">
              <w:rPr>
                <w:lang w:val="en-GB"/>
              </w:rPr>
              <w:t>5.84</w:t>
            </w:r>
          </w:p>
        </w:tc>
        <w:tc>
          <w:tcPr>
            <w:tcW w:w="1276" w:type="dxa"/>
          </w:tcPr>
          <w:p w:rsidR="00463A17" w:rsidRPr="00B92EC9" w:rsidRDefault="00463A17" w:rsidP="007601FB">
            <w:pPr>
              <w:widowControl w:val="0"/>
              <w:jc w:val="right"/>
              <w:rPr>
                <w:szCs w:val="24"/>
              </w:rPr>
            </w:pPr>
            <w:r w:rsidRPr="00B92EC9">
              <w:t>12.56</w:t>
            </w:r>
          </w:p>
        </w:tc>
        <w:tc>
          <w:tcPr>
            <w:tcW w:w="1276" w:type="dxa"/>
          </w:tcPr>
          <w:p w:rsidR="00463A17" w:rsidRPr="00B92EC9" w:rsidRDefault="00463A17" w:rsidP="007601FB">
            <w:pPr>
              <w:widowControl w:val="0"/>
              <w:jc w:val="right"/>
              <w:rPr>
                <w:szCs w:val="24"/>
              </w:rPr>
            </w:pPr>
            <w:r w:rsidRPr="00B92EC9">
              <w:t>9.79</w:t>
            </w:r>
          </w:p>
        </w:tc>
        <w:tc>
          <w:tcPr>
            <w:tcW w:w="1276" w:type="dxa"/>
          </w:tcPr>
          <w:p w:rsidR="00463A17" w:rsidRPr="00B92EC9" w:rsidRDefault="00463A17" w:rsidP="007601FB">
            <w:pPr>
              <w:widowControl w:val="0"/>
              <w:jc w:val="right"/>
              <w:rPr>
                <w:szCs w:val="24"/>
              </w:rPr>
            </w:pPr>
            <w:r w:rsidRPr="00B92EC9">
              <w:t>8.64</w:t>
            </w:r>
          </w:p>
        </w:tc>
        <w:tc>
          <w:tcPr>
            <w:tcW w:w="1275" w:type="dxa"/>
          </w:tcPr>
          <w:p w:rsidR="00463A17" w:rsidRPr="004950C9" w:rsidRDefault="00463A17" w:rsidP="007601FB">
            <w:pPr>
              <w:tabs>
                <w:tab w:val="decimal" w:pos="666"/>
              </w:tabs>
              <w:jc w:val="right"/>
              <w:rPr>
                <w:lang w:val="en-GB"/>
              </w:rPr>
            </w:pPr>
            <w:r>
              <w:rPr>
                <w:lang w:val="en-GB"/>
              </w:rPr>
              <w:t>20</w:t>
            </w:r>
          </w:p>
        </w:tc>
        <w:tc>
          <w:tcPr>
            <w:tcW w:w="1134" w:type="dxa"/>
          </w:tcPr>
          <w:p w:rsidR="00463A17" w:rsidRPr="004950C9" w:rsidRDefault="00463A17" w:rsidP="007601FB">
            <w:pPr>
              <w:tabs>
                <w:tab w:val="decimal" w:pos="459"/>
              </w:tabs>
              <w:jc w:val="right"/>
              <w:rPr>
                <w:lang w:val="en-GB"/>
              </w:rPr>
            </w:pPr>
            <w:r>
              <w:rPr>
                <w:lang w:val="en-GB"/>
              </w:rPr>
              <w:t>12.6</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38</w:t>
            </w:r>
          </w:p>
        </w:tc>
        <w:tc>
          <w:tcPr>
            <w:tcW w:w="1357" w:type="dxa"/>
          </w:tcPr>
          <w:p w:rsidR="00463A17" w:rsidRPr="004950C9" w:rsidRDefault="00463A17" w:rsidP="008A303B">
            <w:pPr>
              <w:tabs>
                <w:tab w:val="decimal" w:pos="541"/>
              </w:tabs>
              <w:jc w:val="left"/>
              <w:rPr>
                <w:lang w:val="en-GB"/>
              </w:rPr>
            </w:pPr>
            <w:r w:rsidRPr="004950C9">
              <w:rPr>
                <w:lang w:val="en-GB"/>
              </w:rPr>
              <w:t>0.97</w:t>
            </w:r>
          </w:p>
        </w:tc>
        <w:tc>
          <w:tcPr>
            <w:tcW w:w="1276" w:type="dxa"/>
          </w:tcPr>
          <w:p w:rsidR="00463A17" w:rsidRPr="00B92EC9" w:rsidRDefault="00463A17" w:rsidP="007601FB">
            <w:pPr>
              <w:widowControl w:val="0"/>
              <w:jc w:val="right"/>
              <w:rPr>
                <w:szCs w:val="24"/>
              </w:rPr>
            </w:pPr>
            <w:r w:rsidRPr="00B92EC9">
              <w:t>2.00</w:t>
            </w:r>
          </w:p>
        </w:tc>
        <w:tc>
          <w:tcPr>
            <w:tcW w:w="1276" w:type="dxa"/>
          </w:tcPr>
          <w:p w:rsidR="00463A17" w:rsidRPr="00B92EC9" w:rsidRDefault="00463A17" w:rsidP="007601FB">
            <w:pPr>
              <w:widowControl w:val="0"/>
              <w:jc w:val="right"/>
              <w:rPr>
                <w:szCs w:val="24"/>
              </w:rPr>
            </w:pPr>
            <w:r w:rsidRPr="00B92EC9">
              <w:t>1.59</w:t>
            </w:r>
          </w:p>
        </w:tc>
        <w:tc>
          <w:tcPr>
            <w:tcW w:w="1276" w:type="dxa"/>
          </w:tcPr>
          <w:p w:rsidR="00463A17" w:rsidRPr="00B92EC9" w:rsidRDefault="00463A17" w:rsidP="007601FB">
            <w:pPr>
              <w:widowControl w:val="0"/>
              <w:jc w:val="right"/>
              <w:rPr>
                <w:szCs w:val="24"/>
              </w:rPr>
            </w:pPr>
            <w:r w:rsidRPr="00B92EC9">
              <w:t>1.42</w:t>
            </w:r>
          </w:p>
        </w:tc>
        <w:tc>
          <w:tcPr>
            <w:tcW w:w="1275" w:type="dxa"/>
          </w:tcPr>
          <w:p w:rsidR="00463A17" w:rsidRPr="004950C9" w:rsidRDefault="00463A17" w:rsidP="007601FB">
            <w:pPr>
              <w:tabs>
                <w:tab w:val="decimal" w:pos="666"/>
              </w:tabs>
              <w:jc w:val="right"/>
              <w:rPr>
                <w:lang w:val="en-GB"/>
              </w:rPr>
            </w:pPr>
            <w:r>
              <w:rPr>
                <w:lang w:val="en-GB"/>
              </w:rPr>
              <w:t>2</w:t>
            </w:r>
          </w:p>
        </w:tc>
        <w:tc>
          <w:tcPr>
            <w:tcW w:w="1134" w:type="dxa"/>
          </w:tcPr>
          <w:p w:rsidR="00463A17" w:rsidRPr="004950C9" w:rsidRDefault="00463A17" w:rsidP="007601FB">
            <w:pPr>
              <w:tabs>
                <w:tab w:val="decimal" w:pos="459"/>
              </w:tabs>
              <w:jc w:val="right"/>
              <w:rPr>
                <w:lang w:val="en-GB"/>
              </w:rPr>
            </w:pPr>
            <w:r>
              <w:rPr>
                <w:lang w:val="en-GB"/>
              </w:rPr>
              <w:t>2.0</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42</w:t>
            </w:r>
            <w:r w:rsidRPr="00347ACD">
              <w:rPr>
                <w:lang w:val="en-GB"/>
              </w:rPr>
              <w:t>*</w:t>
            </w:r>
          </w:p>
        </w:tc>
        <w:tc>
          <w:tcPr>
            <w:tcW w:w="1357" w:type="dxa"/>
          </w:tcPr>
          <w:p w:rsidR="00463A17" w:rsidRPr="004950C9" w:rsidRDefault="00463A17" w:rsidP="008A303B">
            <w:pPr>
              <w:tabs>
                <w:tab w:val="decimal" w:pos="541"/>
              </w:tabs>
              <w:jc w:val="left"/>
              <w:rPr>
                <w:lang w:val="en-GB"/>
              </w:rPr>
            </w:pPr>
            <w:r w:rsidRPr="004950C9">
              <w:rPr>
                <w:lang w:val="en-GB"/>
              </w:rPr>
              <w:t>0.83</w:t>
            </w:r>
          </w:p>
        </w:tc>
        <w:tc>
          <w:tcPr>
            <w:tcW w:w="1276" w:type="dxa"/>
          </w:tcPr>
          <w:p w:rsidR="00463A17" w:rsidRPr="00B92EC9" w:rsidRDefault="00463A17" w:rsidP="007601FB">
            <w:pPr>
              <w:widowControl w:val="0"/>
              <w:jc w:val="right"/>
              <w:rPr>
                <w:szCs w:val="24"/>
              </w:rPr>
            </w:pPr>
            <w:r w:rsidRPr="00B92EC9">
              <w:t>1.66</w:t>
            </w:r>
          </w:p>
        </w:tc>
        <w:tc>
          <w:tcPr>
            <w:tcW w:w="1276" w:type="dxa"/>
          </w:tcPr>
          <w:p w:rsidR="00463A17" w:rsidRPr="00B92EC9" w:rsidRDefault="00463A17" w:rsidP="007601FB">
            <w:pPr>
              <w:widowControl w:val="0"/>
              <w:jc w:val="right"/>
              <w:rPr>
                <w:szCs w:val="24"/>
              </w:rPr>
            </w:pPr>
            <w:r w:rsidRPr="00B92EC9">
              <w:t>1.31</w:t>
            </w:r>
          </w:p>
        </w:tc>
        <w:tc>
          <w:tcPr>
            <w:tcW w:w="1276" w:type="dxa"/>
          </w:tcPr>
          <w:p w:rsidR="00463A17" w:rsidRPr="00B92EC9" w:rsidRDefault="00463A17" w:rsidP="007601FB">
            <w:pPr>
              <w:widowControl w:val="0"/>
              <w:jc w:val="right"/>
              <w:rPr>
                <w:szCs w:val="24"/>
              </w:rPr>
            </w:pPr>
            <w:r w:rsidRPr="00B92EC9">
              <w:t>1.16</w:t>
            </w:r>
          </w:p>
        </w:tc>
        <w:tc>
          <w:tcPr>
            <w:tcW w:w="1275" w:type="dxa"/>
          </w:tcPr>
          <w:p w:rsidR="00463A17" w:rsidRPr="004950C9" w:rsidRDefault="00463A17" w:rsidP="007601FB">
            <w:pPr>
              <w:tabs>
                <w:tab w:val="decimal" w:pos="666"/>
              </w:tabs>
              <w:jc w:val="right"/>
              <w:rPr>
                <w:lang w:val="en-GB"/>
              </w:rPr>
            </w:pPr>
            <w:r>
              <w:rPr>
                <w:lang w:val="en-GB"/>
              </w:rPr>
              <w:t>2</w:t>
            </w:r>
          </w:p>
        </w:tc>
        <w:tc>
          <w:tcPr>
            <w:tcW w:w="1134" w:type="dxa"/>
          </w:tcPr>
          <w:p w:rsidR="00463A17" w:rsidRPr="004950C9" w:rsidRDefault="00463A17" w:rsidP="007601FB">
            <w:pPr>
              <w:tabs>
                <w:tab w:val="decimal" w:pos="459"/>
              </w:tabs>
              <w:jc w:val="right"/>
              <w:rPr>
                <w:lang w:val="en-GB"/>
              </w:rPr>
            </w:pPr>
            <w:r>
              <w:rPr>
                <w:lang w:val="en-GB"/>
              </w:rPr>
              <w:t>2</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46</w:t>
            </w:r>
          </w:p>
        </w:tc>
        <w:tc>
          <w:tcPr>
            <w:tcW w:w="1357" w:type="dxa"/>
          </w:tcPr>
          <w:p w:rsidR="00463A17" w:rsidRPr="004950C9" w:rsidRDefault="00463A17" w:rsidP="008A303B">
            <w:pPr>
              <w:tabs>
                <w:tab w:val="decimal" w:pos="541"/>
              </w:tabs>
              <w:jc w:val="left"/>
              <w:rPr>
                <w:lang w:val="en-GB"/>
              </w:rPr>
            </w:pPr>
            <w:r w:rsidRPr="004950C9">
              <w:rPr>
                <w:lang w:val="en-GB"/>
              </w:rPr>
              <w:t>0.47</w:t>
            </w:r>
          </w:p>
        </w:tc>
        <w:tc>
          <w:tcPr>
            <w:tcW w:w="1276" w:type="dxa"/>
          </w:tcPr>
          <w:p w:rsidR="00463A17" w:rsidRPr="00B92EC9" w:rsidRDefault="00463A17" w:rsidP="007601FB">
            <w:pPr>
              <w:widowControl w:val="0"/>
              <w:jc w:val="right"/>
              <w:rPr>
                <w:szCs w:val="24"/>
              </w:rPr>
            </w:pPr>
            <w:r w:rsidRPr="00B92EC9">
              <w:t>1.03</w:t>
            </w:r>
          </w:p>
        </w:tc>
        <w:tc>
          <w:tcPr>
            <w:tcW w:w="1276" w:type="dxa"/>
          </w:tcPr>
          <w:p w:rsidR="00463A17" w:rsidRPr="00B92EC9" w:rsidRDefault="00463A17" w:rsidP="007601FB">
            <w:pPr>
              <w:widowControl w:val="0"/>
              <w:jc w:val="right"/>
              <w:rPr>
                <w:szCs w:val="24"/>
              </w:rPr>
            </w:pPr>
            <w:r w:rsidRPr="00B92EC9">
              <w:t>0.77</w:t>
            </w:r>
          </w:p>
        </w:tc>
        <w:tc>
          <w:tcPr>
            <w:tcW w:w="1276" w:type="dxa"/>
          </w:tcPr>
          <w:p w:rsidR="00463A17" w:rsidRPr="00B92EC9" w:rsidRDefault="00463A17" w:rsidP="007601FB">
            <w:pPr>
              <w:widowControl w:val="0"/>
              <w:jc w:val="right"/>
              <w:rPr>
                <w:szCs w:val="24"/>
              </w:rPr>
            </w:pPr>
            <w:r w:rsidRPr="00B92EC9">
              <w:t>0.67</w:t>
            </w:r>
          </w:p>
        </w:tc>
        <w:tc>
          <w:tcPr>
            <w:tcW w:w="1275" w:type="dxa"/>
          </w:tcPr>
          <w:p w:rsidR="00463A17" w:rsidRPr="004950C9" w:rsidRDefault="00463A17" w:rsidP="007601FB">
            <w:pPr>
              <w:tabs>
                <w:tab w:val="decimal" w:pos="666"/>
              </w:tabs>
              <w:jc w:val="right"/>
              <w:rPr>
                <w:lang w:val="en-GB"/>
              </w:rPr>
            </w:pPr>
            <w:r>
              <w:rPr>
                <w:lang w:val="en-GB"/>
              </w:rPr>
              <w:t>2</w:t>
            </w:r>
          </w:p>
        </w:tc>
        <w:tc>
          <w:tcPr>
            <w:tcW w:w="1134" w:type="dxa"/>
          </w:tcPr>
          <w:p w:rsidR="00463A17" w:rsidRPr="004950C9" w:rsidRDefault="00463A17" w:rsidP="007601FB">
            <w:pPr>
              <w:tabs>
                <w:tab w:val="decimal" w:pos="459"/>
              </w:tabs>
              <w:jc w:val="right"/>
              <w:rPr>
                <w:lang w:val="en-GB"/>
              </w:rPr>
            </w:pPr>
            <w:r>
              <w:rPr>
                <w:lang w:val="en-GB"/>
              </w:rPr>
              <w:t>1.0</w:t>
            </w:r>
          </w:p>
        </w:tc>
      </w:tr>
      <w:tr w:rsidR="00463A17" w:rsidRPr="004950C9" w:rsidTr="008A303B">
        <w:tc>
          <w:tcPr>
            <w:tcW w:w="1586" w:type="dxa"/>
          </w:tcPr>
          <w:p w:rsidR="00463A17" w:rsidRPr="004950C9" w:rsidRDefault="00463A17" w:rsidP="008A303B">
            <w:pPr>
              <w:tabs>
                <w:tab w:val="decimal" w:pos="851"/>
              </w:tabs>
              <w:jc w:val="left"/>
              <w:rPr>
                <w:lang w:val="en-GB"/>
              </w:rPr>
            </w:pPr>
            <w:r w:rsidRPr="004950C9">
              <w:rPr>
                <w:lang w:val="en-GB"/>
              </w:rPr>
              <w:t>57</w:t>
            </w:r>
          </w:p>
        </w:tc>
        <w:tc>
          <w:tcPr>
            <w:tcW w:w="1357" w:type="dxa"/>
          </w:tcPr>
          <w:p w:rsidR="00463A17" w:rsidRPr="004950C9" w:rsidRDefault="00463A17" w:rsidP="008A303B">
            <w:pPr>
              <w:tabs>
                <w:tab w:val="decimal" w:pos="541"/>
              </w:tabs>
              <w:jc w:val="left"/>
              <w:rPr>
                <w:lang w:val="en-GB"/>
              </w:rPr>
            </w:pPr>
            <w:r w:rsidRPr="004950C9">
              <w:rPr>
                <w:lang w:val="en-GB"/>
              </w:rPr>
              <w:t>4.03</w:t>
            </w:r>
          </w:p>
        </w:tc>
        <w:tc>
          <w:tcPr>
            <w:tcW w:w="1276" w:type="dxa"/>
          </w:tcPr>
          <w:p w:rsidR="00463A17" w:rsidRPr="00B92EC9" w:rsidRDefault="00463A17" w:rsidP="007601FB">
            <w:pPr>
              <w:widowControl w:val="0"/>
              <w:jc w:val="right"/>
              <w:rPr>
                <w:szCs w:val="24"/>
              </w:rPr>
            </w:pPr>
            <w:r w:rsidRPr="00B92EC9">
              <w:t>9.70</w:t>
            </w:r>
          </w:p>
        </w:tc>
        <w:tc>
          <w:tcPr>
            <w:tcW w:w="1276" w:type="dxa"/>
          </w:tcPr>
          <w:p w:rsidR="00463A17" w:rsidRPr="00B92EC9" w:rsidRDefault="00463A17" w:rsidP="007601FB">
            <w:pPr>
              <w:widowControl w:val="0"/>
              <w:jc w:val="right"/>
              <w:rPr>
                <w:szCs w:val="24"/>
              </w:rPr>
            </w:pPr>
            <w:r w:rsidRPr="00B92EC9">
              <w:t>7.01</w:t>
            </w:r>
          </w:p>
        </w:tc>
        <w:tc>
          <w:tcPr>
            <w:tcW w:w="1276" w:type="dxa"/>
          </w:tcPr>
          <w:p w:rsidR="00463A17" w:rsidRPr="00B92EC9" w:rsidRDefault="00463A17" w:rsidP="007601FB">
            <w:pPr>
              <w:widowControl w:val="0"/>
              <w:jc w:val="right"/>
              <w:rPr>
                <w:szCs w:val="24"/>
              </w:rPr>
            </w:pPr>
            <w:r w:rsidRPr="00B92EC9">
              <w:t>6.02</w:t>
            </w:r>
          </w:p>
        </w:tc>
        <w:tc>
          <w:tcPr>
            <w:tcW w:w="1275" w:type="dxa"/>
          </w:tcPr>
          <w:p w:rsidR="00463A17" w:rsidRPr="004950C9" w:rsidRDefault="00463A17" w:rsidP="007601FB">
            <w:pPr>
              <w:tabs>
                <w:tab w:val="decimal" w:pos="666"/>
              </w:tabs>
              <w:jc w:val="right"/>
              <w:rPr>
                <w:lang w:val="en-GB"/>
              </w:rPr>
            </w:pPr>
            <w:r>
              <w:rPr>
                <w:lang w:val="en-GB"/>
              </w:rPr>
              <w:t>8</w:t>
            </w:r>
          </w:p>
        </w:tc>
        <w:tc>
          <w:tcPr>
            <w:tcW w:w="1134" w:type="dxa"/>
          </w:tcPr>
          <w:p w:rsidR="00463A17" w:rsidRPr="004950C9" w:rsidRDefault="00463A17" w:rsidP="007601FB">
            <w:pPr>
              <w:tabs>
                <w:tab w:val="decimal" w:pos="459"/>
              </w:tabs>
              <w:jc w:val="right"/>
              <w:rPr>
                <w:lang w:val="en-GB"/>
              </w:rPr>
            </w:pPr>
            <w:r>
              <w:rPr>
                <w:lang w:val="en-GB"/>
              </w:rPr>
              <w:t>9.7</w:t>
            </w:r>
          </w:p>
        </w:tc>
      </w:tr>
    </w:tbl>
    <w:p w:rsidR="00463A17" w:rsidRPr="002C601B" w:rsidRDefault="00463A17" w:rsidP="00463A17">
      <w:pPr>
        <w:rPr>
          <w:lang w:val="en-GB"/>
        </w:rPr>
      </w:pPr>
      <w:r w:rsidRPr="002C601B">
        <w:rPr>
          <w:vertAlign w:val="superscript"/>
          <w:lang w:val="en-GB"/>
        </w:rPr>
        <w:t>*</w:t>
      </w:r>
      <w:r>
        <w:rPr>
          <w:vertAlign w:val="superscript"/>
          <w:lang w:val="en-GB"/>
        </w:rPr>
        <w:t xml:space="preserve"> </w:t>
      </w:r>
      <w:r w:rsidRPr="002C601B">
        <w:rPr>
          <w:sz w:val="18"/>
          <w:szCs w:val="18"/>
          <w:lang w:val="en-GB"/>
        </w:rPr>
        <w:t xml:space="preserve">These characteristics are scored </w:t>
      </w:r>
      <w:r w:rsidR="00ED5A19">
        <w:rPr>
          <w:sz w:val="18"/>
          <w:szCs w:val="18"/>
          <w:lang w:val="en-GB"/>
        </w:rPr>
        <w:t>VG/</w:t>
      </w:r>
      <w:r w:rsidRPr="002C601B">
        <w:rPr>
          <w:sz w:val="18"/>
          <w:szCs w:val="18"/>
          <w:lang w:val="en-GB"/>
        </w:rPr>
        <w:t>MG and so an integer tolerance is more appropriate</w:t>
      </w:r>
    </w:p>
    <w:p w:rsidR="00463A17" w:rsidRDefault="00463A17" w:rsidP="00463A17">
      <w:pPr>
        <w:rPr>
          <w:lang w:val="en-GB" w:eastAsia="ja-JP"/>
        </w:rPr>
      </w:pPr>
    </w:p>
    <w:p w:rsidR="00FD5B01" w:rsidRPr="00463A17" w:rsidRDefault="00FD5B01" w:rsidP="00463A17">
      <w:pPr>
        <w:rPr>
          <w:lang w:val="en-GB" w:eastAsia="ja-JP"/>
        </w:rPr>
      </w:pPr>
    </w:p>
    <w:p w:rsidR="00463A17" w:rsidRDefault="00463A17" w:rsidP="00463A17">
      <w:pPr>
        <w:rPr>
          <w:lang w:eastAsia="ja-JP"/>
        </w:rPr>
      </w:pPr>
    </w:p>
    <w:p w:rsidR="00FD5B01" w:rsidRDefault="00FD5B01"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The first cycle thresholds are always larger than the COYD criterion. The degree to which they are larger depends on the degree of heterogeneity present, especially for larger values of </w:t>
      </w:r>
      <w:proofErr w:type="spellStart"/>
      <w:r w:rsidRPr="00FD5B01">
        <w:rPr>
          <w:lang w:val="en-GB" w:eastAsia="ja-JP"/>
        </w:rPr>
        <w:t>pD.</w:t>
      </w:r>
      <w:proofErr w:type="spellEnd"/>
    </w:p>
    <w:p w:rsidR="00FD5B01" w:rsidRPr="00FD5B01" w:rsidRDefault="00FD5B01" w:rsidP="00FD5B01">
      <w:pPr>
        <w:rPr>
          <w:lang w:val="en-GB" w:eastAsia="ja-JP"/>
        </w:rPr>
      </w:pPr>
    </w:p>
    <w:p w:rsidR="00FD5B01" w:rsidRDefault="00FD5B01" w:rsidP="007601FB">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The results above are an update of those presented in TWC/33/20 Rev</w:t>
      </w:r>
      <w:proofErr w:type="gramStart"/>
      <w:r w:rsidRPr="00FD5B01">
        <w:rPr>
          <w:lang w:val="en-GB" w:eastAsia="ja-JP"/>
        </w:rPr>
        <w:t>..</w:t>
      </w:r>
      <w:proofErr w:type="gramEnd"/>
      <w:r w:rsidRPr="00FD5B01">
        <w:rPr>
          <w:lang w:val="en-GB" w:eastAsia="ja-JP"/>
        </w:rPr>
        <w:t xml:space="preserve">  To establish the effect of using tolerances, the pea data set has been used to study the effect of first year decisions based on the existing and calculated tolerances.</w:t>
      </w:r>
    </w:p>
    <w:p w:rsidR="007601FB" w:rsidRDefault="007601FB" w:rsidP="007601FB"/>
    <w:p w:rsidR="00FD5B01" w:rsidRDefault="00FD5B01"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First-year decisions were compared with COYD decisions in consecutive pairs of years (1995-96, 1996-97, 1997-98 etc.) for each characteristic. To evaluate the different thresholds, error rates were calculated:</w:t>
      </w:r>
    </w:p>
    <w:p w:rsidR="00FD5B01" w:rsidRPr="00FD5B01" w:rsidRDefault="00FD5B01" w:rsidP="00FD5B01">
      <w:pPr>
        <w:rPr>
          <w:lang w:val="en-GB" w:eastAsia="ja-JP"/>
        </w:rPr>
      </w:pPr>
    </w:p>
    <w:p w:rsidR="00FD5B01" w:rsidRDefault="00FD5B01" w:rsidP="00FD5B01">
      <w:pPr>
        <w:ind w:firstLine="567"/>
        <w:rPr>
          <w:lang w:val="en-GB" w:eastAsia="ja-JP"/>
        </w:rPr>
      </w:pPr>
      <w:r w:rsidRPr="00FD5B01">
        <w:rPr>
          <w:lang w:val="en-GB" w:eastAsia="ja-JP"/>
        </w:rPr>
        <w:lastRenderedPageBreak/>
        <w:t>•</w:t>
      </w:r>
      <w:r w:rsidRPr="00FD5B01">
        <w:rPr>
          <w:lang w:val="en-GB" w:eastAsia="ja-JP"/>
        </w:rPr>
        <w:tab/>
        <w:t xml:space="preserve">False positive rate: this is the proportion of times for each characteristic that the first-year threshold indicated a variety would be distinct from another variety when the subsequent </w:t>
      </w:r>
      <w:r w:rsidR="00AF7C3D">
        <w:rPr>
          <w:rFonts w:hint="eastAsia"/>
          <w:lang w:val="en-GB" w:eastAsia="ja-JP"/>
        </w:rPr>
        <w:t>second-year</w:t>
      </w:r>
      <w:r w:rsidRPr="00FD5B01">
        <w:rPr>
          <w:lang w:val="en-GB" w:eastAsia="ja-JP"/>
        </w:rPr>
        <w:t xml:space="preserve"> decision was non-distinct. This indicates the downside of taking early decisions: sometimes a pair of varieties might be declared distinct in the first year when they might later be found non-distinct. The rate of false positives is lower for higher thresholds.</w:t>
      </w:r>
    </w:p>
    <w:p w:rsidR="00FD5B01" w:rsidRPr="00FD5B01" w:rsidRDefault="00FD5B01" w:rsidP="00FD5B01">
      <w:pPr>
        <w:rPr>
          <w:lang w:val="en-GB" w:eastAsia="ja-JP"/>
        </w:rPr>
      </w:pPr>
    </w:p>
    <w:p w:rsidR="00FD5B01" w:rsidRPr="00FD5B01" w:rsidRDefault="00FD5B01" w:rsidP="00FD5B01">
      <w:pPr>
        <w:ind w:firstLine="567"/>
        <w:rPr>
          <w:lang w:val="en-GB" w:eastAsia="ja-JP"/>
        </w:rPr>
      </w:pPr>
      <w:r w:rsidRPr="00FD5B01">
        <w:rPr>
          <w:lang w:val="en-GB" w:eastAsia="ja-JP"/>
        </w:rPr>
        <w:t>•</w:t>
      </w:r>
      <w:r w:rsidRPr="00FD5B01">
        <w:rPr>
          <w:lang w:val="en-GB" w:eastAsia="ja-JP"/>
        </w:rPr>
        <w:tab/>
        <w:t xml:space="preserve">False negative rate is the proportion of times that the first-year decision was non-distinct when the </w:t>
      </w:r>
      <w:r w:rsidR="00AF7C3D">
        <w:rPr>
          <w:rFonts w:hint="eastAsia"/>
          <w:lang w:val="en-GB" w:eastAsia="ja-JP"/>
        </w:rPr>
        <w:t>second-year</w:t>
      </w:r>
      <w:r w:rsidRPr="00FD5B01">
        <w:rPr>
          <w:lang w:val="en-GB" w:eastAsia="ja-JP"/>
        </w:rPr>
        <w:t xml:space="preserve"> decision was distinct.  This gives an indication of how useful the threshold might be in practice, with lower rates indicating that more pairs of varieties would be found distinct after the first year.  </w:t>
      </w:r>
    </w:p>
    <w:p w:rsidR="00FD5B01" w:rsidRPr="00FD5B01" w:rsidRDefault="00FD5B01" w:rsidP="00FD5B01">
      <w:pPr>
        <w:rPr>
          <w:lang w:val="en-GB" w:eastAsia="ja-JP"/>
        </w:rPr>
      </w:pPr>
    </w:p>
    <w:p w:rsidR="00FD5B01" w:rsidRPr="00FD5B01" w:rsidRDefault="00FD5B01"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The results of this study are shown in Tables 3 and 4. These results should be interpreted with care since typically reference varieties that were clearly distinct from the candidate in at least one characteristic after the first year would have been removed from further comparisons. However the effect of this selection would be to give a pessimistic view of the performance of the calculated thresholds (false negative rates).</w:t>
      </w:r>
    </w:p>
    <w:p w:rsidR="00FD5B01" w:rsidRPr="00FD5B01" w:rsidRDefault="00FD5B01" w:rsidP="00FD5B01">
      <w:pPr>
        <w:rPr>
          <w:lang w:val="en-GB" w:eastAsia="ja-JP"/>
        </w:rPr>
      </w:pPr>
    </w:p>
    <w:p w:rsidR="00FD5B01" w:rsidRPr="00FD5B01" w:rsidRDefault="00FD5B01"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The rate of false positives was very low, especially with the </w:t>
      </w:r>
      <w:r w:rsidRPr="003133F8">
        <w:rPr>
          <w:lang w:val="en-GB" w:eastAsia="ja-JP"/>
        </w:rPr>
        <w:t>existing tolerance</w:t>
      </w:r>
      <w:r w:rsidR="006E5336">
        <w:rPr>
          <w:rFonts w:hint="eastAsia"/>
          <w:lang w:val="en-GB" w:eastAsia="ja-JP"/>
        </w:rPr>
        <w:t xml:space="preserve"> of the United Kingdom</w:t>
      </w:r>
      <w:r w:rsidRPr="00FD5B01">
        <w:rPr>
          <w:lang w:val="en-GB" w:eastAsia="ja-JP"/>
        </w:rPr>
        <w:t xml:space="preserve"> and with the calculated threshold with </w:t>
      </w:r>
      <w:proofErr w:type="spellStart"/>
      <w:proofErr w:type="gramStart"/>
      <w:r w:rsidRPr="00FD5B01">
        <w:rPr>
          <w:lang w:val="en-GB" w:eastAsia="ja-JP"/>
        </w:rPr>
        <w:t>pD</w:t>
      </w:r>
      <w:proofErr w:type="spellEnd"/>
      <w:proofErr w:type="gramEnd"/>
      <w:r w:rsidRPr="00FD5B01">
        <w:rPr>
          <w:lang w:val="en-GB" w:eastAsia="ja-JP"/>
        </w:rPr>
        <w:t xml:space="preserve"> being 0.99.</w:t>
      </w:r>
      <w:r w:rsidR="00ED5A19">
        <w:rPr>
          <w:lang w:val="en-GB" w:eastAsia="ja-JP"/>
        </w:rPr>
        <w:t xml:space="preserve"> Note that it is difficult to attain a 0% false positive rate simply because the two-year COYD criterion is in itself subject to variability.</w:t>
      </w:r>
    </w:p>
    <w:p w:rsidR="00FD5B01" w:rsidRPr="00FD5B01" w:rsidRDefault="00FD5B01" w:rsidP="00FD5B01">
      <w:pPr>
        <w:rPr>
          <w:lang w:val="en-GB" w:eastAsia="ja-JP"/>
        </w:rPr>
      </w:pPr>
    </w:p>
    <w:p w:rsidR="00FD5B01" w:rsidRDefault="005464FF"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00FD5B01" w:rsidRPr="00FD5B01">
        <w:rPr>
          <w:lang w:val="en-GB" w:eastAsia="ja-JP"/>
        </w:rPr>
        <w:t xml:space="preserve">The usefulness of the tolerances is represented by the false negative rates. The calculated tolerances with lower values of </w:t>
      </w:r>
      <w:proofErr w:type="spellStart"/>
      <w:proofErr w:type="gramStart"/>
      <w:r w:rsidR="00FD5B01" w:rsidRPr="00FD5B01">
        <w:rPr>
          <w:lang w:val="en-GB" w:eastAsia="ja-JP"/>
        </w:rPr>
        <w:t>pD</w:t>
      </w:r>
      <w:proofErr w:type="spellEnd"/>
      <w:proofErr w:type="gramEnd"/>
      <w:r w:rsidR="00FD5B01" w:rsidRPr="00FD5B01">
        <w:rPr>
          <w:lang w:val="en-GB" w:eastAsia="ja-JP"/>
        </w:rPr>
        <w:t xml:space="preserve"> find more pairs of varieties distinct in the first year. Performance varies widely between characteristics e.g. 29, 46 and 57 have low false negative rates even with </w:t>
      </w:r>
      <w:proofErr w:type="spellStart"/>
      <w:proofErr w:type="gramStart"/>
      <w:r w:rsidR="00FD5B01" w:rsidRPr="00FD5B01">
        <w:rPr>
          <w:lang w:val="en-GB" w:eastAsia="ja-JP"/>
        </w:rPr>
        <w:t>pD</w:t>
      </w:r>
      <w:proofErr w:type="spellEnd"/>
      <w:proofErr w:type="gramEnd"/>
      <w:r w:rsidR="00FD5B01" w:rsidRPr="00FD5B01">
        <w:rPr>
          <w:lang w:val="en-GB" w:eastAsia="ja-JP"/>
        </w:rPr>
        <w:t xml:space="preserve"> being 0.99. Remember that these rates are likely to be pessimistic due to selection in the example data set.</w:t>
      </w:r>
    </w:p>
    <w:p w:rsidR="005464FF" w:rsidRPr="00FD5B01" w:rsidRDefault="005464FF" w:rsidP="00FD5B01">
      <w:pPr>
        <w:rPr>
          <w:lang w:val="en-GB" w:eastAsia="ja-JP"/>
        </w:rPr>
      </w:pPr>
    </w:p>
    <w:p w:rsidR="00463A17" w:rsidRPr="00FD5B01" w:rsidRDefault="005464FF"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00FD5B01" w:rsidRPr="00FD5B01">
        <w:rPr>
          <w:lang w:val="en-GB" w:eastAsia="ja-JP"/>
        </w:rPr>
        <w:t xml:space="preserve">Choice of a suitable </w:t>
      </w:r>
      <w:proofErr w:type="spellStart"/>
      <w:proofErr w:type="gramStart"/>
      <w:r w:rsidR="00FD5B01" w:rsidRPr="00FD5B01">
        <w:rPr>
          <w:lang w:val="en-GB" w:eastAsia="ja-JP"/>
        </w:rPr>
        <w:t>pD</w:t>
      </w:r>
      <w:proofErr w:type="spellEnd"/>
      <w:proofErr w:type="gramEnd"/>
      <w:r w:rsidR="00FD5B01" w:rsidRPr="00FD5B01">
        <w:rPr>
          <w:lang w:val="en-GB" w:eastAsia="ja-JP"/>
        </w:rPr>
        <w:t xml:space="preserve"> value for setting tolerances involves balancing the risks associated with false positives and negatives. In the case of the </w:t>
      </w:r>
      <w:r w:rsidR="006E5336">
        <w:rPr>
          <w:rFonts w:hint="eastAsia"/>
          <w:lang w:val="en-GB" w:eastAsia="ja-JP"/>
        </w:rPr>
        <w:t>United Kingdom</w:t>
      </w:r>
      <w:r w:rsidR="00FD5B01" w:rsidRPr="00FD5B01">
        <w:rPr>
          <w:lang w:val="en-GB" w:eastAsia="ja-JP"/>
        </w:rPr>
        <w:t>, a conservative approach has been taken. The calculated thresholds with the distinctness probability set at 0.</w:t>
      </w:r>
      <w:r w:rsidR="00FD5B01" w:rsidRPr="00474DD3">
        <w:rPr>
          <w:lang w:val="en-GB" w:eastAsia="ja-JP"/>
        </w:rPr>
        <w:t>99 had reasonable levels of false positives</w:t>
      </w:r>
      <w:r w:rsidR="00FD5B01" w:rsidRPr="00FD5B01">
        <w:rPr>
          <w:lang w:val="en-GB" w:eastAsia="ja-JP"/>
        </w:rPr>
        <w:t xml:space="preserve"> and false negatives. So based on the calculated thresholds with </w:t>
      </w:r>
      <w:proofErr w:type="spellStart"/>
      <w:r w:rsidR="00FD5B01" w:rsidRPr="00FD5B01">
        <w:rPr>
          <w:lang w:val="en-GB" w:eastAsia="ja-JP"/>
        </w:rPr>
        <w:t>pD</w:t>
      </w:r>
      <w:proofErr w:type="spellEnd"/>
      <w:r w:rsidR="00FD5B01" w:rsidRPr="00FD5B01">
        <w:rPr>
          <w:lang w:val="en-GB" w:eastAsia="ja-JP"/>
        </w:rPr>
        <w:t xml:space="preserve"> at 99%, the crop expert has proposed new first year tolerances to be used in </w:t>
      </w:r>
      <w:r w:rsidR="006E5336">
        <w:rPr>
          <w:rFonts w:hint="eastAsia"/>
          <w:lang w:val="en-GB" w:eastAsia="ja-JP"/>
        </w:rPr>
        <w:t>the United Kingdom</w:t>
      </w:r>
      <w:r w:rsidR="00FD5B01" w:rsidRPr="00FD5B01">
        <w:rPr>
          <w:lang w:val="en-GB" w:eastAsia="ja-JP"/>
        </w:rPr>
        <w:t xml:space="preserve"> field pea DUS tests with semi-leafless varieties (Table 2). Note that the tolerances for scored MG</w:t>
      </w:r>
      <w:r w:rsidR="003133F8">
        <w:rPr>
          <w:lang w:val="en-GB" w:eastAsia="ja-JP"/>
        </w:rPr>
        <w:t>/VG</w:t>
      </w:r>
      <w:r w:rsidR="00FD5B01" w:rsidRPr="00FD5B01">
        <w:rPr>
          <w:lang w:val="en-GB" w:eastAsia="ja-JP"/>
        </w:rPr>
        <w:t xml:space="preserve"> characteristics (21, 29 and 42) </w:t>
      </w:r>
      <w:r w:rsidR="003133F8">
        <w:rPr>
          <w:lang w:val="en-GB" w:eastAsia="ja-JP"/>
        </w:rPr>
        <w:t>are not based on the calculated threshold. However these calculations do give confidence in the tolerances currently used.</w:t>
      </w:r>
    </w:p>
    <w:p w:rsidR="00463A17" w:rsidRDefault="00463A17" w:rsidP="00DB7A81">
      <w:pPr>
        <w:rPr>
          <w:lang w:eastAsia="ja-JP"/>
        </w:rPr>
      </w:pPr>
    </w:p>
    <w:p w:rsidR="00FD5B01" w:rsidRDefault="00FD5B01" w:rsidP="00DB7A81">
      <w:pPr>
        <w:rPr>
          <w:lang w:eastAsia="ja-JP"/>
        </w:rPr>
      </w:pPr>
    </w:p>
    <w:p w:rsidR="00FD5B01" w:rsidRPr="00FD5B01" w:rsidRDefault="00FD5B01" w:rsidP="00FD5B01">
      <w:pPr>
        <w:widowControl w:val="0"/>
        <w:rPr>
          <w:szCs w:val="24"/>
        </w:rPr>
      </w:pPr>
      <w:proofErr w:type="gramStart"/>
      <w:r w:rsidRPr="00FD5B01">
        <w:rPr>
          <w:szCs w:val="24"/>
        </w:rPr>
        <w:t>Table 3.</w:t>
      </w:r>
      <w:proofErr w:type="gramEnd"/>
      <w:r w:rsidRPr="00FD5B01">
        <w:rPr>
          <w:szCs w:val="24"/>
        </w:rPr>
        <w:t xml:space="preserve"> Proportion of times in the </w:t>
      </w:r>
      <w:r w:rsidR="006E5336">
        <w:rPr>
          <w:rFonts w:hint="eastAsia"/>
          <w:lang w:val="en-GB" w:eastAsia="ja-JP"/>
        </w:rPr>
        <w:t>United Kingdom</w:t>
      </w:r>
      <w:r w:rsidRPr="00FD5B01">
        <w:rPr>
          <w:szCs w:val="24"/>
        </w:rPr>
        <w:t xml:space="preserve"> pea data set that the first-year thresholds indicated a variety would be distinct from another variety when the subsequent COYD decision was non-distinct in the field pea data set (false positive) </w:t>
      </w:r>
    </w:p>
    <w:p w:rsidR="00FD5B01" w:rsidRPr="00B92EC9" w:rsidRDefault="00FD5B01" w:rsidP="00FD5B01">
      <w:pPr>
        <w:widowControl w:val="0"/>
        <w:rPr>
          <w:i/>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21"/>
        <w:gridCol w:w="1689"/>
        <w:gridCol w:w="1701"/>
        <w:gridCol w:w="1417"/>
      </w:tblGrid>
      <w:tr w:rsidR="00FD5B01" w:rsidRPr="00B92EC9" w:rsidTr="00937353">
        <w:tc>
          <w:tcPr>
            <w:tcW w:w="1618" w:type="dxa"/>
            <w:tcBorders>
              <w:top w:val="single" w:sz="4" w:space="0" w:color="auto"/>
              <w:bottom w:val="single" w:sz="4" w:space="0" w:color="auto"/>
            </w:tcBorders>
          </w:tcPr>
          <w:p w:rsidR="00FD5B01" w:rsidRPr="00B92EC9" w:rsidRDefault="00FD5B01" w:rsidP="00937353">
            <w:pPr>
              <w:widowControl w:val="0"/>
              <w:jc w:val="center"/>
              <w:rPr>
                <w:szCs w:val="24"/>
              </w:rPr>
            </w:pPr>
            <w:r w:rsidRPr="00B92EC9">
              <w:rPr>
                <w:szCs w:val="24"/>
              </w:rPr>
              <w:t>Characteristic</w:t>
            </w:r>
          </w:p>
        </w:tc>
        <w:tc>
          <w:tcPr>
            <w:tcW w:w="1621" w:type="dxa"/>
            <w:tcBorders>
              <w:top w:val="single" w:sz="4" w:space="0" w:color="auto"/>
              <w:bottom w:val="single" w:sz="4" w:space="0" w:color="auto"/>
            </w:tcBorders>
          </w:tcPr>
          <w:p w:rsidR="00FD5B01" w:rsidRPr="00B92EC9" w:rsidRDefault="00FD5B01" w:rsidP="00937353">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Pr>
                <w:szCs w:val="24"/>
              </w:rPr>
              <w:t>=0.99</w:t>
            </w:r>
          </w:p>
        </w:tc>
        <w:tc>
          <w:tcPr>
            <w:tcW w:w="1689" w:type="dxa"/>
            <w:tcBorders>
              <w:top w:val="single" w:sz="4" w:space="0" w:color="auto"/>
              <w:bottom w:val="single" w:sz="4" w:space="0" w:color="auto"/>
            </w:tcBorders>
          </w:tcPr>
          <w:p w:rsidR="00FD5B01" w:rsidRPr="00B92EC9" w:rsidRDefault="00FD5B01" w:rsidP="00937353">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=0.95</w:t>
            </w:r>
          </w:p>
        </w:tc>
        <w:tc>
          <w:tcPr>
            <w:tcW w:w="1701" w:type="dxa"/>
            <w:tcBorders>
              <w:top w:val="single" w:sz="4" w:space="0" w:color="auto"/>
              <w:bottom w:val="single" w:sz="4" w:space="0" w:color="auto"/>
            </w:tcBorders>
          </w:tcPr>
          <w:p w:rsidR="00FD5B01" w:rsidRPr="00B92EC9" w:rsidRDefault="00FD5B01" w:rsidP="00937353">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w:t>
            </w:r>
          </w:p>
        </w:tc>
        <w:tc>
          <w:tcPr>
            <w:tcW w:w="1417" w:type="dxa"/>
            <w:tcBorders>
              <w:top w:val="single" w:sz="4" w:space="0" w:color="auto"/>
              <w:bottom w:val="single" w:sz="4" w:space="0" w:color="auto"/>
            </w:tcBorders>
          </w:tcPr>
          <w:p w:rsidR="00FD5B01" w:rsidRPr="00B92EC9" w:rsidRDefault="00FD5B01">
            <w:pPr>
              <w:widowControl w:val="0"/>
              <w:jc w:val="center"/>
              <w:rPr>
                <w:szCs w:val="24"/>
                <w:lang w:eastAsia="ja-JP"/>
              </w:rPr>
            </w:pPr>
            <w:r w:rsidRPr="003133F8">
              <w:rPr>
                <w:szCs w:val="24"/>
              </w:rPr>
              <w:t>Current tolerance</w:t>
            </w:r>
            <w:r w:rsidR="006E5336">
              <w:rPr>
                <w:rFonts w:hint="eastAsia"/>
                <w:szCs w:val="24"/>
                <w:lang w:eastAsia="ja-JP"/>
              </w:rPr>
              <w:t xml:space="preserve"> of </w:t>
            </w:r>
            <w:r w:rsidR="006E5336">
              <w:rPr>
                <w:rFonts w:hint="eastAsia"/>
                <w:lang w:val="en-GB" w:eastAsia="ja-JP"/>
              </w:rPr>
              <w:t>the United Kingdom</w:t>
            </w:r>
          </w:p>
        </w:tc>
      </w:tr>
      <w:tr w:rsidR="00FD5B01" w:rsidRPr="00B92EC9" w:rsidTr="00937353">
        <w:tc>
          <w:tcPr>
            <w:tcW w:w="1618" w:type="dxa"/>
            <w:tcBorders>
              <w:top w:val="single" w:sz="4" w:space="0" w:color="auto"/>
            </w:tcBorders>
          </w:tcPr>
          <w:p w:rsidR="00FD5B01" w:rsidRPr="00B92EC9" w:rsidRDefault="00FD5B01" w:rsidP="00937353">
            <w:pPr>
              <w:widowControl w:val="0"/>
              <w:jc w:val="center"/>
              <w:rPr>
                <w:szCs w:val="24"/>
              </w:rPr>
            </w:pPr>
            <w:r w:rsidRPr="00B92EC9">
              <w:rPr>
                <w:szCs w:val="24"/>
              </w:rPr>
              <w:t>5</w:t>
            </w:r>
          </w:p>
        </w:tc>
        <w:tc>
          <w:tcPr>
            <w:tcW w:w="1621" w:type="dxa"/>
            <w:tcBorders>
              <w:top w:val="single" w:sz="4" w:space="0" w:color="auto"/>
            </w:tcBorders>
          </w:tcPr>
          <w:p w:rsidR="00FD5B01" w:rsidRPr="00B92EC9" w:rsidRDefault="00FD5B01" w:rsidP="00937353">
            <w:pPr>
              <w:widowControl w:val="0"/>
              <w:jc w:val="center"/>
              <w:rPr>
                <w:szCs w:val="24"/>
              </w:rPr>
            </w:pPr>
            <w:r w:rsidRPr="00B92EC9">
              <w:t>0.00%</w:t>
            </w:r>
          </w:p>
        </w:tc>
        <w:tc>
          <w:tcPr>
            <w:tcW w:w="1689" w:type="dxa"/>
            <w:tcBorders>
              <w:top w:val="single" w:sz="4" w:space="0" w:color="auto"/>
            </w:tcBorders>
          </w:tcPr>
          <w:p w:rsidR="00FD5B01" w:rsidRPr="00B92EC9" w:rsidRDefault="00FD5B01" w:rsidP="00937353">
            <w:pPr>
              <w:widowControl w:val="0"/>
              <w:jc w:val="center"/>
              <w:rPr>
                <w:szCs w:val="24"/>
              </w:rPr>
            </w:pPr>
            <w:r w:rsidRPr="00B92EC9">
              <w:t>0.05%</w:t>
            </w:r>
          </w:p>
        </w:tc>
        <w:tc>
          <w:tcPr>
            <w:tcW w:w="1701" w:type="dxa"/>
            <w:tcBorders>
              <w:top w:val="single" w:sz="4" w:space="0" w:color="auto"/>
            </w:tcBorders>
          </w:tcPr>
          <w:p w:rsidR="00FD5B01" w:rsidRPr="00B92EC9" w:rsidRDefault="00FD5B01" w:rsidP="00937353">
            <w:pPr>
              <w:widowControl w:val="0"/>
              <w:jc w:val="center"/>
              <w:rPr>
                <w:szCs w:val="24"/>
              </w:rPr>
            </w:pPr>
            <w:r w:rsidRPr="00B92EC9">
              <w:t>0.40%</w:t>
            </w:r>
          </w:p>
        </w:tc>
        <w:tc>
          <w:tcPr>
            <w:tcW w:w="1417" w:type="dxa"/>
            <w:tcBorders>
              <w:top w:val="single" w:sz="4" w:space="0" w:color="auto"/>
            </w:tcBorders>
          </w:tcPr>
          <w:p w:rsidR="00FD5B01" w:rsidRPr="00B92EC9" w:rsidRDefault="00FD5B01" w:rsidP="00937353">
            <w:pPr>
              <w:widowControl w:val="0"/>
              <w:jc w:val="center"/>
              <w:rPr>
                <w:szCs w:val="24"/>
              </w:rPr>
            </w:pPr>
            <w:r w:rsidRPr="00B92EC9">
              <w:t>0.00%</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15</w:t>
            </w:r>
          </w:p>
        </w:tc>
        <w:tc>
          <w:tcPr>
            <w:tcW w:w="1621" w:type="dxa"/>
          </w:tcPr>
          <w:p w:rsidR="00FD5B01" w:rsidRPr="00B92EC9" w:rsidRDefault="00FD5B01" w:rsidP="00937353">
            <w:pPr>
              <w:widowControl w:val="0"/>
              <w:jc w:val="center"/>
              <w:rPr>
                <w:szCs w:val="24"/>
              </w:rPr>
            </w:pPr>
            <w:r w:rsidRPr="00B92EC9">
              <w:t>0.07%</w:t>
            </w:r>
          </w:p>
        </w:tc>
        <w:tc>
          <w:tcPr>
            <w:tcW w:w="1689" w:type="dxa"/>
          </w:tcPr>
          <w:p w:rsidR="00FD5B01" w:rsidRPr="00B92EC9" w:rsidRDefault="00FD5B01" w:rsidP="00937353">
            <w:pPr>
              <w:widowControl w:val="0"/>
              <w:jc w:val="center"/>
              <w:rPr>
                <w:szCs w:val="24"/>
              </w:rPr>
            </w:pPr>
            <w:r w:rsidRPr="00B92EC9">
              <w:t>0.62%</w:t>
            </w:r>
          </w:p>
        </w:tc>
        <w:tc>
          <w:tcPr>
            <w:tcW w:w="1701" w:type="dxa"/>
          </w:tcPr>
          <w:p w:rsidR="00FD5B01" w:rsidRPr="00B92EC9" w:rsidRDefault="00FD5B01" w:rsidP="00937353">
            <w:pPr>
              <w:widowControl w:val="0"/>
              <w:jc w:val="center"/>
              <w:rPr>
                <w:szCs w:val="24"/>
              </w:rPr>
            </w:pPr>
            <w:r w:rsidRPr="00B92EC9">
              <w:t>1.34%</w:t>
            </w:r>
          </w:p>
        </w:tc>
        <w:tc>
          <w:tcPr>
            <w:tcW w:w="1417" w:type="dxa"/>
          </w:tcPr>
          <w:p w:rsidR="00FD5B01" w:rsidRPr="00B92EC9" w:rsidRDefault="00FD5B01" w:rsidP="00937353">
            <w:pPr>
              <w:widowControl w:val="0"/>
              <w:jc w:val="center"/>
              <w:rPr>
                <w:szCs w:val="24"/>
              </w:rPr>
            </w:pPr>
            <w:r w:rsidRPr="00B92EC9">
              <w:t>0.04%</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16</w:t>
            </w:r>
          </w:p>
        </w:tc>
        <w:tc>
          <w:tcPr>
            <w:tcW w:w="1621" w:type="dxa"/>
          </w:tcPr>
          <w:p w:rsidR="00FD5B01" w:rsidRPr="00B92EC9" w:rsidRDefault="00FD5B01" w:rsidP="00937353">
            <w:pPr>
              <w:widowControl w:val="0"/>
              <w:jc w:val="center"/>
              <w:rPr>
                <w:szCs w:val="24"/>
              </w:rPr>
            </w:pPr>
            <w:r w:rsidRPr="00B92EC9">
              <w:t>0.17%</w:t>
            </w:r>
          </w:p>
        </w:tc>
        <w:tc>
          <w:tcPr>
            <w:tcW w:w="1689" w:type="dxa"/>
          </w:tcPr>
          <w:p w:rsidR="00FD5B01" w:rsidRPr="00B92EC9" w:rsidRDefault="00FD5B01" w:rsidP="00937353">
            <w:pPr>
              <w:widowControl w:val="0"/>
              <w:jc w:val="center"/>
              <w:rPr>
                <w:szCs w:val="24"/>
              </w:rPr>
            </w:pPr>
            <w:r w:rsidRPr="00B92EC9">
              <w:t>0.79%</w:t>
            </w:r>
          </w:p>
        </w:tc>
        <w:tc>
          <w:tcPr>
            <w:tcW w:w="1701" w:type="dxa"/>
          </w:tcPr>
          <w:p w:rsidR="00FD5B01" w:rsidRPr="00B92EC9" w:rsidRDefault="00FD5B01" w:rsidP="00937353">
            <w:pPr>
              <w:widowControl w:val="0"/>
              <w:jc w:val="center"/>
              <w:rPr>
                <w:szCs w:val="24"/>
              </w:rPr>
            </w:pPr>
            <w:r w:rsidRPr="00B92EC9">
              <w:t>1.59%</w:t>
            </w:r>
          </w:p>
        </w:tc>
        <w:tc>
          <w:tcPr>
            <w:tcW w:w="1417" w:type="dxa"/>
          </w:tcPr>
          <w:p w:rsidR="00FD5B01" w:rsidRPr="00B92EC9" w:rsidRDefault="00FD5B01" w:rsidP="00937353">
            <w:pPr>
              <w:widowControl w:val="0"/>
              <w:jc w:val="center"/>
              <w:rPr>
                <w:szCs w:val="24"/>
              </w:rPr>
            </w:pPr>
            <w:r w:rsidRPr="00B92EC9">
              <w:t>0.00%</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21</w:t>
            </w:r>
          </w:p>
        </w:tc>
        <w:tc>
          <w:tcPr>
            <w:tcW w:w="1621" w:type="dxa"/>
          </w:tcPr>
          <w:p w:rsidR="00FD5B01" w:rsidRPr="00B92EC9" w:rsidRDefault="00FD5B01" w:rsidP="00937353">
            <w:pPr>
              <w:widowControl w:val="0"/>
              <w:jc w:val="center"/>
              <w:rPr>
                <w:szCs w:val="24"/>
              </w:rPr>
            </w:pPr>
            <w:r w:rsidRPr="00B92EC9">
              <w:t>0.01%</w:t>
            </w:r>
          </w:p>
        </w:tc>
        <w:tc>
          <w:tcPr>
            <w:tcW w:w="1689" w:type="dxa"/>
          </w:tcPr>
          <w:p w:rsidR="00FD5B01" w:rsidRPr="00B92EC9" w:rsidRDefault="00FD5B01" w:rsidP="00937353">
            <w:pPr>
              <w:widowControl w:val="0"/>
              <w:jc w:val="center"/>
              <w:rPr>
                <w:szCs w:val="24"/>
              </w:rPr>
            </w:pPr>
            <w:r w:rsidRPr="00B92EC9">
              <w:t>0.18%</w:t>
            </w:r>
          </w:p>
        </w:tc>
        <w:tc>
          <w:tcPr>
            <w:tcW w:w="1701" w:type="dxa"/>
          </w:tcPr>
          <w:p w:rsidR="00FD5B01" w:rsidRPr="00B92EC9" w:rsidRDefault="00FD5B01" w:rsidP="00937353">
            <w:pPr>
              <w:widowControl w:val="0"/>
              <w:jc w:val="center"/>
              <w:rPr>
                <w:szCs w:val="24"/>
              </w:rPr>
            </w:pPr>
            <w:r w:rsidRPr="00B92EC9">
              <w:t>1.34%</w:t>
            </w:r>
          </w:p>
        </w:tc>
        <w:tc>
          <w:tcPr>
            <w:tcW w:w="1417" w:type="dxa"/>
          </w:tcPr>
          <w:p w:rsidR="00FD5B01" w:rsidRPr="00B92EC9" w:rsidRDefault="00FD5B01" w:rsidP="00937353">
            <w:pPr>
              <w:widowControl w:val="0"/>
              <w:jc w:val="center"/>
              <w:rPr>
                <w:szCs w:val="24"/>
              </w:rPr>
            </w:pPr>
            <w:r w:rsidRPr="00B92EC9">
              <w:t>0.00%</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22</w:t>
            </w:r>
          </w:p>
        </w:tc>
        <w:tc>
          <w:tcPr>
            <w:tcW w:w="1621" w:type="dxa"/>
          </w:tcPr>
          <w:p w:rsidR="00FD5B01" w:rsidRPr="00B92EC9" w:rsidRDefault="00FD5B01" w:rsidP="00937353">
            <w:pPr>
              <w:widowControl w:val="0"/>
              <w:jc w:val="center"/>
              <w:rPr>
                <w:szCs w:val="24"/>
              </w:rPr>
            </w:pPr>
            <w:r w:rsidRPr="00B92EC9">
              <w:t>0.05%</w:t>
            </w:r>
          </w:p>
        </w:tc>
        <w:tc>
          <w:tcPr>
            <w:tcW w:w="1689" w:type="dxa"/>
          </w:tcPr>
          <w:p w:rsidR="00FD5B01" w:rsidRPr="00B92EC9" w:rsidRDefault="00FD5B01" w:rsidP="00937353">
            <w:pPr>
              <w:widowControl w:val="0"/>
              <w:jc w:val="center"/>
              <w:rPr>
                <w:szCs w:val="24"/>
              </w:rPr>
            </w:pPr>
            <w:r w:rsidRPr="00B92EC9">
              <w:t>0.41%</w:t>
            </w:r>
          </w:p>
        </w:tc>
        <w:tc>
          <w:tcPr>
            <w:tcW w:w="1701" w:type="dxa"/>
          </w:tcPr>
          <w:p w:rsidR="00FD5B01" w:rsidRPr="00B92EC9" w:rsidRDefault="00FD5B01" w:rsidP="00937353">
            <w:pPr>
              <w:widowControl w:val="0"/>
              <w:jc w:val="center"/>
              <w:rPr>
                <w:szCs w:val="24"/>
              </w:rPr>
            </w:pPr>
            <w:r w:rsidRPr="00B92EC9">
              <w:t>0.96%</w:t>
            </w:r>
          </w:p>
        </w:tc>
        <w:tc>
          <w:tcPr>
            <w:tcW w:w="1417" w:type="dxa"/>
          </w:tcPr>
          <w:p w:rsidR="00FD5B01" w:rsidRPr="00B92EC9" w:rsidRDefault="00FD5B01" w:rsidP="00937353">
            <w:pPr>
              <w:widowControl w:val="0"/>
              <w:jc w:val="center"/>
              <w:rPr>
                <w:szCs w:val="24"/>
              </w:rPr>
            </w:pPr>
            <w:r w:rsidRPr="00B92EC9">
              <w:t>0.03%</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28</w:t>
            </w:r>
          </w:p>
        </w:tc>
        <w:tc>
          <w:tcPr>
            <w:tcW w:w="1621" w:type="dxa"/>
          </w:tcPr>
          <w:p w:rsidR="00FD5B01" w:rsidRPr="00B92EC9" w:rsidRDefault="00FD5B01" w:rsidP="00937353">
            <w:pPr>
              <w:widowControl w:val="0"/>
              <w:jc w:val="center"/>
              <w:rPr>
                <w:szCs w:val="24"/>
              </w:rPr>
            </w:pPr>
            <w:r w:rsidRPr="00B92EC9">
              <w:t>0.04%</w:t>
            </w:r>
          </w:p>
        </w:tc>
        <w:tc>
          <w:tcPr>
            <w:tcW w:w="1689" w:type="dxa"/>
          </w:tcPr>
          <w:p w:rsidR="00FD5B01" w:rsidRPr="00B92EC9" w:rsidRDefault="00FD5B01" w:rsidP="00937353">
            <w:pPr>
              <w:widowControl w:val="0"/>
              <w:jc w:val="center"/>
              <w:rPr>
                <w:szCs w:val="24"/>
              </w:rPr>
            </w:pPr>
            <w:r w:rsidRPr="00B92EC9">
              <w:t>0.54%</w:t>
            </w:r>
          </w:p>
        </w:tc>
        <w:tc>
          <w:tcPr>
            <w:tcW w:w="1701" w:type="dxa"/>
          </w:tcPr>
          <w:p w:rsidR="00FD5B01" w:rsidRPr="00B92EC9" w:rsidRDefault="00FD5B01" w:rsidP="00937353">
            <w:pPr>
              <w:widowControl w:val="0"/>
              <w:jc w:val="center"/>
              <w:rPr>
                <w:szCs w:val="24"/>
              </w:rPr>
            </w:pPr>
            <w:r w:rsidRPr="00B92EC9">
              <w:t>1.17%</w:t>
            </w:r>
          </w:p>
        </w:tc>
        <w:tc>
          <w:tcPr>
            <w:tcW w:w="1417" w:type="dxa"/>
          </w:tcPr>
          <w:p w:rsidR="00FD5B01" w:rsidRPr="00B92EC9" w:rsidRDefault="00FD5B01" w:rsidP="00937353">
            <w:pPr>
              <w:widowControl w:val="0"/>
              <w:jc w:val="center"/>
              <w:rPr>
                <w:szCs w:val="24"/>
              </w:rPr>
            </w:pPr>
            <w:r w:rsidRPr="00B92EC9">
              <w:t>0.00%</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29</w:t>
            </w:r>
          </w:p>
        </w:tc>
        <w:tc>
          <w:tcPr>
            <w:tcW w:w="1621" w:type="dxa"/>
          </w:tcPr>
          <w:p w:rsidR="00FD5B01" w:rsidRPr="00B92EC9" w:rsidRDefault="00FD5B01" w:rsidP="00937353">
            <w:pPr>
              <w:widowControl w:val="0"/>
              <w:jc w:val="center"/>
              <w:rPr>
                <w:szCs w:val="24"/>
              </w:rPr>
            </w:pPr>
            <w:r w:rsidRPr="00B92EC9">
              <w:t>0.15%</w:t>
            </w:r>
          </w:p>
        </w:tc>
        <w:tc>
          <w:tcPr>
            <w:tcW w:w="1689" w:type="dxa"/>
          </w:tcPr>
          <w:p w:rsidR="00FD5B01" w:rsidRPr="00B92EC9" w:rsidRDefault="00FD5B01" w:rsidP="00937353">
            <w:pPr>
              <w:widowControl w:val="0"/>
              <w:jc w:val="center"/>
              <w:rPr>
                <w:szCs w:val="24"/>
              </w:rPr>
            </w:pPr>
            <w:r w:rsidRPr="00B92EC9">
              <w:t>0.15%</w:t>
            </w:r>
          </w:p>
        </w:tc>
        <w:tc>
          <w:tcPr>
            <w:tcW w:w="1701" w:type="dxa"/>
          </w:tcPr>
          <w:p w:rsidR="00FD5B01" w:rsidRPr="00B92EC9" w:rsidRDefault="00FD5B01" w:rsidP="00937353">
            <w:pPr>
              <w:widowControl w:val="0"/>
              <w:jc w:val="center"/>
              <w:rPr>
                <w:szCs w:val="24"/>
              </w:rPr>
            </w:pPr>
            <w:r w:rsidRPr="00B92EC9">
              <w:t>0.99%</w:t>
            </w:r>
          </w:p>
        </w:tc>
        <w:tc>
          <w:tcPr>
            <w:tcW w:w="1417" w:type="dxa"/>
          </w:tcPr>
          <w:p w:rsidR="00FD5B01" w:rsidRPr="00B92EC9" w:rsidRDefault="00FD5B01" w:rsidP="00937353">
            <w:pPr>
              <w:widowControl w:val="0"/>
              <w:jc w:val="center"/>
              <w:rPr>
                <w:szCs w:val="24"/>
              </w:rPr>
            </w:pPr>
            <w:r w:rsidRPr="00B92EC9">
              <w:t>0.15%</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34</w:t>
            </w:r>
          </w:p>
        </w:tc>
        <w:tc>
          <w:tcPr>
            <w:tcW w:w="1621" w:type="dxa"/>
          </w:tcPr>
          <w:p w:rsidR="00FD5B01" w:rsidRPr="00B92EC9" w:rsidRDefault="00FD5B01" w:rsidP="00937353">
            <w:pPr>
              <w:widowControl w:val="0"/>
              <w:jc w:val="center"/>
              <w:rPr>
                <w:szCs w:val="24"/>
              </w:rPr>
            </w:pPr>
            <w:r w:rsidRPr="00B92EC9">
              <w:t>0.03%</w:t>
            </w:r>
          </w:p>
        </w:tc>
        <w:tc>
          <w:tcPr>
            <w:tcW w:w="1689" w:type="dxa"/>
          </w:tcPr>
          <w:p w:rsidR="00FD5B01" w:rsidRPr="00B92EC9" w:rsidRDefault="00FD5B01" w:rsidP="00937353">
            <w:pPr>
              <w:widowControl w:val="0"/>
              <w:jc w:val="center"/>
              <w:rPr>
                <w:szCs w:val="24"/>
              </w:rPr>
            </w:pPr>
            <w:r w:rsidRPr="00B92EC9">
              <w:t>0.40%</w:t>
            </w:r>
          </w:p>
        </w:tc>
        <w:tc>
          <w:tcPr>
            <w:tcW w:w="1701" w:type="dxa"/>
          </w:tcPr>
          <w:p w:rsidR="00FD5B01" w:rsidRPr="00B92EC9" w:rsidRDefault="00FD5B01" w:rsidP="00937353">
            <w:pPr>
              <w:widowControl w:val="0"/>
              <w:jc w:val="center"/>
              <w:rPr>
                <w:szCs w:val="24"/>
              </w:rPr>
            </w:pPr>
            <w:r w:rsidRPr="00B92EC9">
              <w:t>1.05%</w:t>
            </w:r>
          </w:p>
        </w:tc>
        <w:tc>
          <w:tcPr>
            <w:tcW w:w="1417" w:type="dxa"/>
          </w:tcPr>
          <w:p w:rsidR="00FD5B01" w:rsidRPr="00B92EC9" w:rsidRDefault="00FD5B01" w:rsidP="00937353">
            <w:pPr>
              <w:widowControl w:val="0"/>
              <w:jc w:val="center"/>
              <w:rPr>
                <w:szCs w:val="24"/>
              </w:rPr>
            </w:pPr>
            <w:r w:rsidRPr="00B92EC9">
              <w:t>0.07%</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37</w:t>
            </w:r>
          </w:p>
        </w:tc>
        <w:tc>
          <w:tcPr>
            <w:tcW w:w="1621" w:type="dxa"/>
          </w:tcPr>
          <w:p w:rsidR="00FD5B01" w:rsidRPr="00B92EC9" w:rsidRDefault="00FD5B01" w:rsidP="00937353">
            <w:pPr>
              <w:widowControl w:val="0"/>
              <w:jc w:val="center"/>
              <w:rPr>
                <w:szCs w:val="24"/>
              </w:rPr>
            </w:pPr>
            <w:r w:rsidRPr="00B92EC9">
              <w:t>0.02%</w:t>
            </w:r>
          </w:p>
        </w:tc>
        <w:tc>
          <w:tcPr>
            <w:tcW w:w="1689" w:type="dxa"/>
          </w:tcPr>
          <w:p w:rsidR="00FD5B01" w:rsidRPr="00B92EC9" w:rsidRDefault="00FD5B01" w:rsidP="00937353">
            <w:pPr>
              <w:widowControl w:val="0"/>
              <w:jc w:val="center"/>
              <w:rPr>
                <w:szCs w:val="24"/>
              </w:rPr>
            </w:pPr>
            <w:r w:rsidRPr="00B92EC9">
              <w:t>0.23%</w:t>
            </w:r>
          </w:p>
        </w:tc>
        <w:tc>
          <w:tcPr>
            <w:tcW w:w="1701" w:type="dxa"/>
          </w:tcPr>
          <w:p w:rsidR="00FD5B01" w:rsidRPr="00B92EC9" w:rsidRDefault="00FD5B01" w:rsidP="00937353">
            <w:pPr>
              <w:widowControl w:val="0"/>
              <w:jc w:val="center"/>
              <w:rPr>
                <w:szCs w:val="24"/>
              </w:rPr>
            </w:pPr>
            <w:r w:rsidRPr="00B92EC9">
              <w:t>0.57%</w:t>
            </w:r>
          </w:p>
        </w:tc>
        <w:tc>
          <w:tcPr>
            <w:tcW w:w="1417" w:type="dxa"/>
          </w:tcPr>
          <w:p w:rsidR="00FD5B01" w:rsidRPr="00B92EC9" w:rsidRDefault="00FD5B01" w:rsidP="00937353">
            <w:pPr>
              <w:widowControl w:val="0"/>
              <w:jc w:val="center"/>
              <w:rPr>
                <w:szCs w:val="24"/>
              </w:rPr>
            </w:pPr>
            <w:r w:rsidRPr="00B92EC9">
              <w:t>0.00%</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38</w:t>
            </w:r>
          </w:p>
        </w:tc>
        <w:tc>
          <w:tcPr>
            <w:tcW w:w="1621" w:type="dxa"/>
          </w:tcPr>
          <w:p w:rsidR="00FD5B01" w:rsidRPr="00B92EC9" w:rsidRDefault="00FD5B01" w:rsidP="00937353">
            <w:pPr>
              <w:widowControl w:val="0"/>
              <w:jc w:val="center"/>
              <w:rPr>
                <w:szCs w:val="24"/>
              </w:rPr>
            </w:pPr>
            <w:r w:rsidRPr="00B92EC9">
              <w:t>0.04%</w:t>
            </w:r>
          </w:p>
        </w:tc>
        <w:tc>
          <w:tcPr>
            <w:tcW w:w="1689" w:type="dxa"/>
          </w:tcPr>
          <w:p w:rsidR="00FD5B01" w:rsidRPr="00B92EC9" w:rsidRDefault="00FD5B01" w:rsidP="00937353">
            <w:pPr>
              <w:widowControl w:val="0"/>
              <w:jc w:val="center"/>
              <w:rPr>
                <w:szCs w:val="24"/>
              </w:rPr>
            </w:pPr>
            <w:r w:rsidRPr="00B92EC9">
              <w:t>0.58%</w:t>
            </w:r>
          </w:p>
        </w:tc>
        <w:tc>
          <w:tcPr>
            <w:tcW w:w="1701" w:type="dxa"/>
          </w:tcPr>
          <w:p w:rsidR="00FD5B01" w:rsidRPr="00B92EC9" w:rsidRDefault="00FD5B01" w:rsidP="00937353">
            <w:pPr>
              <w:widowControl w:val="0"/>
              <w:jc w:val="center"/>
              <w:rPr>
                <w:szCs w:val="24"/>
              </w:rPr>
            </w:pPr>
            <w:r w:rsidRPr="00B92EC9">
              <w:t>1.17%</w:t>
            </w:r>
          </w:p>
        </w:tc>
        <w:tc>
          <w:tcPr>
            <w:tcW w:w="1417" w:type="dxa"/>
          </w:tcPr>
          <w:p w:rsidR="00FD5B01" w:rsidRPr="00B92EC9" w:rsidRDefault="00FD5B01" w:rsidP="00937353">
            <w:pPr>
              <w:widowControl w:val="0"/>
              <w:jc w:val="center"/>
              <w:rPr>
                <w:szCs w:val="24"/>
              </w:rPr>
            </w:pPr>
            <w:r w:rsidRPr="00B92EC9">
              <w:t>0.05%</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42</w:t>
            </w:r>
          </w:p>
        </w:tc>
        <w:tc>
          <w:tcPr>
            <w:tcW w:w="1621" w:type="dxa"/>
          </w:tcPr>
          <w:p w:rsidR="00FD5B01" w:rsidRPr="00B92EC9" w:rsidRDefault="00FD5B01" w:rsidP="00937353">
            <w:pPr>
              <w:widowControl w:val="0"/>
              <w:jc w:val="center"/>
              <w:rPr>
                <w:szCs w:val="24"/>
              </w:rPr>
            </w:pPr>
            <w:r w:rsidRPr="00B92EC9">
              <w:t>0.04%</w:t>
            </w:r>
          </w:p>
        </w:tc>
        <w:tc>
          <w:tcPr>
            <w:tcW w:w="1689" w:type="dxa"/>
          </w:tcPr>
          <w:p w:rsidR="00FD5B01" w:rsidRPr="00B92EC9" w:rsidRDefault="00FD5B01" w:rsidP="00937353">
            <w:pPr>
              <w:widowControl w:val="0"/>
              <w:jc w:val="center"/>
              <w:rPr>
                <w:szCs w:val="24"/>
              </w:rPr>
            </w:pPr>
            <w:r w:rsidRPr="00B92EC9">
              <w:t>0.56%</w:t>
            </w:r>
          </w:p>
        </w:tc>
        <w:tc>
          <w:tcPr>
            <w:tcW w:w="1701" w:type="dxa"/>
          </w:tcPr>
          <w:p w:rsidR="00FD5B01" w:rsidRPr="00B92EC9" w:rsidRDefault="00FD5B01" w:rsidP="00937353">
            <w:pPr>
              <w:widowControl w:val="0"/>
              <w:jc w:val="center"/>
              <w:rPr>
                <w:szCs w:val="24"/>
              </w:rPr>
            </w:pPr>
            <w:r w:rsidRPr="00B92EC9">
              <w:t>0.56%</w:t>
            </w:r>
          </w:p>
        </w:tc>
        <w:tc>
          <w:tcPr>
            <w:tcW w:w="1417" w:type="dxa"/>
          </w:tcPr>
          <w:p w:rsidR="00FD5B01" w:rsidRPr="00B92EC9" w:rsidRDefault="00FD5B01" w:rsidP="00937353">
            <w:pPr>
              <w:widowControl w:val="0"/>
              <w:jc w:val="center"/>
              <w:rPr>
                <w:szCs w:val="24"/>
              </w:rPr>
            </w:pPr>
            <w:r w:rsidRPr="00B92EC9">
              <w:t>0.04%</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46</w:t>
            </w:r>
          </w:p>
        </w:tc>
        <w:tc>
          <w:tcPr>
            <w:tcW w:w="1621" w:type="dxa"/>
          </w:tcPr>
          <w:p w:rsidR="00FD5B01" w:rsidRPr="00B92EC9" w:rsidRDefault="00FD5B01" w:rsidP="00937353">
            <w:pPr>
              <w:widowControl w:val="0"/>
              <w:jc w:val="center"/>
              <w:rPr>
                <w:szCs w:val="24"/>
              </w:rPr>
            </w:pPr>
            <w:r w:rsidRPr="00B92EC9">
              <w:t>0.03%</w:t>
            </w:r>
          </w:p>
        </w:tc>
        <w:tc>
          <w:tcPr>
            <w:tcW w:w="1689" w:type="dxa"/>
          </w:tcPr>
          <w:p w:rsidR="00FD5B01" w:rsidRPr="00B92EC9" w:rsidRDefault="00FD5B01" w:rsidP="00937353">
            <w:pPr>
              <w:widowControl w:val="0"/>
              <w:jc w:val="center"/>
              <w:rPr>
                <w:szCs w:val="24"/>
              </w:rPr>
            </w:pPr>
            <w:r w:rsidRPr="00B92EC9">
              <w:t>0.33%</w:t>
            </w:r>
          </w:p>
        </w:tc>
        <w:tc>
          <w:tcPr>
            <w:tcW w:w="1701" w:type="dxa"/>
          </w:tcPr>
          <w:p w:rsidR="00FD5B01" w:rsidRPr="00B92EC9" w:rsidRDefault="00FD5B01" w:rsidP="00937353">
            <w:pPr>
              <w:widowControl w:val="0"/>
              <w:jc w:val="center"/>
              <w:rPr>
                <w:szCs w:val="24"/>
              </w:rPr>
            </w:pPr>
            <w:r w:rsidRPr="00B92EC9">
              <w:t>0.82%</w:t>
            </w:r>
          </w:p>
        </w:tc>
        <w:tc>
          <w:tcPr>
            <w:tcW w:w="1417" w:type="dxa"/>
          </w:tcPr>
          <w:p w:rsidR="00FD5B01" w:rsidRPr="00B92EC9" w:rsidRDefault="00FD5B01" w:rsidP="00937353">
            <w:pPr>
              <w:widowControl w:val="0"/>
              <w:jc w:val="center"/>
              <w:rPr>
                <w:szCs w:val="24"/>
              </w:rPr>
            </w:pPr>
            <w:r w:rsidRPr="00B92EC9">
              <w:t>0.00%</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57</w:t>
            </w:r>
          </w:p>
        </w:tc>
        <w:tc>
          <w:tcPr>
            <w:tcW w:w="1621" w:type="dxa"/>
          </w:tcPr>
          <w:p w:rsidR="00FD5B01" w:rsidRPr="00B92EC9" w:rsidRDefault="00FD5B01" w:rsidP="00937353">
            <w:pPr>
              <w:widowControl w:val="0"/>
              <w:jc w:val="center"/>
              <w:rPr>
                <w:szCs w:val="24"/>
              </w:rPr>
            </w:pPr>
            <w:r w:rsidRPr="00B92EC9">
              <w:t>0.00%</w:t>
            </w:r>
          </w:p>
        </w:tc>
        <w:tc>
          <w:tcPr>
            <w:tcW w:w="1689" w:type="dxa"/>
          </w:tcPr>
          <w:p w:rsidR="00FD5B01" w:rsidRPr="00B92EC9" w:rsidRDefault="00FD5B01" w:rsidP="00937353">
            <w:pPr>
              <w:widowControl w:val="0"/>
              <w:jc w:val="center"/>
              <w:rPr>
                <w:szCs w:val="24"/>
              </w:rPr>
            </w:pPr>
            <w:r w:rsidRPr="00B92EC9">
              <w:t>0.23%</w:t>
            </w:r>
          </w:p>
        </w:tc>
        <w:tc>
          <w:tcPr>
            <w:tcW w:w="1701" w:type="dxa"/>
          </w:tcPr>
          <w:p w:rsidR="00FD5B01" w:rsidRPr="00B92EC9" w:rsidRDefault="00FD5B01" w:rsidP="00937353">
            <w:pPr>
              <w:widowControl w:val="0"/>
              <w:jc w:val="center"/>
              <w:rPr>
                <w:szCs w:val="24"/>
              </w:rPr>
            </w:pPr>
            <w:r w:rsidRPr="00B92EC9">
              <w:t>0.72%</w:t>
            </w:r>
          </w:p>
        </w:tc>
        <w:tc>
          <w:tcPr>
            <w:tcW w:w="1417" w:type="dxa"/>
          </w:tcPr>
          <w:p w:rsidR="00FD5B01" w:rsidRPr="00B92EC9" w:rsidRDefault="00FD5B01" w:rsidP="00937353">
            <w:pPr>
              <w:widowControl w:val="0"/>
              <w:jc w:val="center"/>
              <w:rPr>
                <w:szCs w:val="24"/>
              </w:rPr>
            </w:pPr>
            <w:r w:rsidRPr="00B92EC9">
              <w:t>0.08%</w:t>
            </w:r>
          </w:p>
        </w:tc>
      </w:tr>
    </w:tbl>
    <w:p w:rsidR="00FD5B01" w:rsidRPr="00B92EC9" w:rsidRDefault="00FD5B01" w:rsidP="00FD5B01">
      <w:pPr>
        <w:widowControl w:val="0"/>
        <w:rPr>
          <w:i/>
          <w:szCs w:val="24"/>
        </w:rPr>
      </w:pPr>
    </w:p>
    <w:p w:rsidR="00FD5B01" w:rsidRPr="00B92EC9" w:rsidRDefault="00FD5B01" w:rsidP="00FD5B01">
      <w:pPr>
        <w:jc w:val="left"/>
        <w:rPr>
          <w:szCs w:val="24"/>
        </w:rPr>
      </w:pPr>
    </w:p>
    <w:p w:rsidR="00FD5B01" w:rsidRDefault="00FD5B01">
      <w:pPr>
        <w:jc w:val="left"/>
        <w:rPr>
          <w:szCs w:val="24"/>
        </w:rPr>
      </w:pPr>
      <w:r>
        <w:rPr>
          <w:szCs w:val="24"/>
        </w:rPr>
        <w:br w:type="page"/>
      </w:r>
    </w:p>
    <w:p w:rsidR="00FD5B01" w:rsidRPr="00FD5B01" w:rsidRDefault="00FD5B01" w:rsidP="00FD5B01">
      <w:pPr>
        <w:widowControl w:val="0"/>
        <w:rPr>
          <w:szCs w:val="24"/>
        </w:rPr>
      </w:pPr>
      <w:proofErr w:type="gramStart"/>
      <w:r w:rsidRPr="00FD5B01">
        <w:rPr>
          <w:szCs w:val="24"/>
        </w:rPr>
        <w:lastRenderedPageBreak/>
        <w:t>Table 4.</w:t>
      </w:r>
      <w:proofErr w:type="gramEnd"/>
      <w:r w:rsidRPr="00FD5B01">
        <w:rPr>
          <w:szCs w:val="24"/>
        </w:rPr>
        <w:t xml:space="preserve"> Proportion of times in the </w:t>
      </w:r>
      <w:r w:rsidR="006E5336">
        <w:rPr>
          <w:rFonts w:hint="eastAsia"/>
          <w:lang w:val="en-GB" w:eastAsia="ja-JP"/>
        </w:rPr>
        <w:t>United Kingdom</w:t>
      </w:r>
      <w:r w:rsidRPr="00FD5B01">
        <w:rPr>
          <w:szCs w:val="24"/>
        </w:rPr>
        <w:t xml:space="preserve"> pea data set that the first-year thresholds indicated a candidate variety would be non-distinct from another variety when the </w:t>
      </w:r>
      <w:r w:rsidR="00474DD3">
        <w:rPr>
          <w:rFonts w:hint="eastAsia"/>
          <w:szCs w:val="24"/>
          <w:lang w:eastAsia="ja-JP"/>
        </w:rPr>
        <w:t>second-year</w:t>
      </w:r>
      <w:r w:rsidRPr="00FD5B01">
        <w:rPr>
          <w:szCs w:val="24"/>
        </w:rPr>
        <w:t xml:space="preserve"> decision was distinct in the field pea data set (false negative) </w:t>
      </w:r>
    </w:p>
    <w:p w:rsidR="00FD5B01" w:rsidRPr="00B92EC9" w:rsidRDefault="00FD5B01" w:rsidP="00FD5B01">
      <w:pPr>
        <w:widowControl w:val="0"/>
        <w:rPr>
          <w:i/>
          <w:szCs w:val="24"/>
        </w:rPr>
      </w:pPr>
    </w:p>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21"/>
        <w:gridCol w:w="1792"/>
        <w:gridCol w:w="1456"/>
        <w:gridCol w:w="1985"/>
      </w:tblGrid>
      <w:tr w:rsidR="00FD5B01" w:rsidRPr="00B92EC9" w:rsidTr="00937353">
        <w:tc>
          <w:tcPr>
            <w:tcW w:w="1618" w:type="dxa"/>
            <w:tcBorders>
              <w:top w:val="single" w:sz="4" w:space="0" w:color="auto"/>
              <w:bottom w:val="single" w:sz="4" w:space="0" w:color="auto"/>
            </w:tcBorders>
          </w:tcPr>
          <w:p w:rsidR="00FD5B01" w:rsidRPr="00B92EC9" w:rsidRDefault="00FD5B01" w:rsidP="00937353">
            <w:pPr>
              <w:widowControl w:val="0"/>
              <w:jc w:val="center"/>
              <w:rPr>
                <w:szCs w:val="24"/>
              </w:rPr>
            </w:pPr>
            <w:r w:rsidRPr="00B92EC9">
              <w:rPr>
                <w:szCs w:val="24"/>
              </w:rPr>
              <w:t>Characteristic</w:t>
            </w:r>
          </w:p>
        </w:tc>
        <w:tc>
          <w:tcPr>
            <w:tcW w:w="1621" w:type="dxa"/>
            <w:tcBorders>
              <w:top w:val="single" w:sz="4" w:space="0" w:color="auto"/>
              <w:bottom w:val="single" w:sz="4" w:space="0" w:color="auto"/>
            </w:tcBorders>
          </w:tcPr>
          <w:p w:rsidR="00FD5B01" w:rsidRPr="00B92EC9" w:rsidRDefault="00FD5B01" w:rsidP="00937353">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Pr>
                <w:szCs w:val="24"/>
              </w:rPr>
              <w:t>=0.99</w:t>
            </w:r>
          </w:p>
        </w:tc>
        <w:tc>
          <w:tcPr>
            <w:tcW w:w="1792" w:type="dxa"/>
            <w:tcBorders>
              <w:top w:val="single" w:sz="4" w:space="0" w:color="auto"/>
              <w:bottom w:val="single" w:sz="4" w:space="0" w:color="auto"/>
            </w:tcBorders>
          </w:tcPr>
          <w:p w:rsidR="00FD5B01" w:rsidRPr="00B92EC9" w:rsidRDefault="00FD5B01" w:rsidP="00937353">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=0.95</w:t>
            </w:r>
          </w:p>
        </w:tc>
        <w:tc>
          <w:tcPr>
            <w:tcW w:w="1456" w:type="dxa"/>
            <w:tcBorders>
              <w:top w:val="single" w:sz="4" w:space="0" w:color="auto"/>
              <w:bottom w:val="single" w:sz="4" w:space="0" w:color="auto"/>
            </w:tcBorders>
          </w:tcPr>
          <w:p w:rsidR="00FD5B01" w:rsidRPr="00B92EC9" w:rsidRDefault="00FD5B01" w:rsidP="00937353">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w:t>
            </w:r>
          </w:p>
        </w:tc>
        <w:tc>
          <w:tcPr>
            <w:tcW w:w="1985" w:type="dxa"/>
            <w:tcBorders>
              <w:top w:val="single" w:sz="4" w:space="0" w:color="auto"/>
              <w:bottom w:val="single" w:sz="4" w:space="0" w:color="auto"/>
            </w:tcBorders>
          </w:tcPr>
          <w:p w:rsidR="00FD5B01" w:rsidRPr="00B92EC9" w:rsidRDefault="00FD5B01">
            <w:pPr>
              <w:widowControl w:val="0"/>
              <w:jc w:val="center"/>
              <w:rPr>
                <w:szCs w:val="24"/>
                <w:lang w:eastAsia="ja-JP"/>
              </w:rPr>
            </w:pPr>
            <w:r w:rsidRPr="00B92EC9">
              <w:rPr>
                <w:szCs w:val="24"/>
              </w:rPr>
              <w:t>Current</w:t>
            </w:r>
            <w:r>
              <w:rPr>
                <w:szCs w:val="24"/>
              </w:rPr>
              <w:t xml:space="preserve"> tolerance</w:t>
            </w:r>
            <w:r w:rsidR="006E5336">
              <w:rPr>
                <w:rFonts w:hint="eastAsia"/>
                <w:szCs w:val="24"/>
                <w:lang w:eastAsia="ja-JP"/>
              </w:rPr>
              <w:t xml:space="preserve"> of </w:t>
            </w:r>
            <w:r w:rsidR="006E5336">
              <w:rPr>
                <w:rFonts w:hint="eastAsia"/>
                <w:lang w:val="en-GB" w:eastAsia="ja-JP"/>
              </w:rPr>
              <w:t>the United Kingdom</w:t>
            </w:r>
          </w:p>
        </w:tc>
      </w:tr>
      <w:tr w:rsidR="00FD5B01" w:rsidRPr="00B92EC9" w:rsidTr="00937353">
        <w:tc>
          <w:tcPr>
            <w:tcW w:w="1618" w:type="dxa"/>
            <w:tcBorders>
              <w:top w:val="single" w:sz="4" w:space="0" w:color="auto"/>
            </w:tcBorders>
          </w:tcPr>
          <w:p w:rsidR="00FD5B01" w:rsidRPr="00B92EC9" w:rsidRDefault="00FD5B01" w:rsidP="00937353">
            <w:pPr>
              <w:widowControl w:val="0"/>
              <w:jc w:val="center"/>
              <w:rPr>
                <w:szCs w:val="24"/>
              </w:rPr>
            </w:pPr>
            <w:r w:rsidRPr="00B92EC9">
              <w:rPr>
                <w:szCs w:val="24"/>
              </w:rPr>
              <w:t>5</w:t>
            </w:r>
          </w:p>
        </w:tc>
        <w:tc>
          <w:tcPr>
            <w:tcW w:w="1621" w:type="dxa"/>
            <w:tcBorders>
              <w:top w:val="single" w:sz="4" w:space="0" w:color="auto"/>
            </w:tcBorders>
          </w:tcPr>
          <w:p w:rsidR="00FD5B01" w:rsidRPr="00B92EC9" w:rsidRDefault="00FD5B01" w:rsidP="00937353">
            <w:pPr>
              <w:widowControl w:val="0"/>
              <w:jc w:val="center"/>
              <w:rPr>
                <w:szCs w:val="24"/>
              </w:rPr>
            </w:pPr>
            <w:r w:rsidRPr="00B92EC9">
              <w:t>82.8%</w:t>
            </w:r>
          </w:p>
        </w:tc>
        <w:tc>
          <w:tcPr>
            <w:tcW w:w="1792" w:type="dxa"/>
            <w:tcBorders>
              <w:top w:val="single" w:sz="4" w:space="0" w:color="auto"/>
            </w:tcBorders>
          </w:tcPr>
          <w:p w:rsidR="00FD5B01" w:rsidRPr="00B92EC9" w:rsidRDefault="00FD5B01" w:rsidP="00937353">
            <w:pPr>
              <w:widowControl w:val="0"/>
              <w:jc w:val="center"/>
              <w:rPr>
                <w:szCs w:val="24"/>
              </w:rPr>
            </w:pPr>
            <w:r w:rsidRPr="00B92EC9">
              <w:t>39.4%</w:t>
            </w:r>
          </w:p>
        </w:tc>
        <w:tc>
          <w:tcPr>
            <w:tcW w:w="1456" w:type="dxa"/>
            <w:tcBorders>
              <w:top w:val="single" w:sz="4" w:space="0" w:color="auto"/>
            </w:tcBorders>
          </w:tcPr>
          <w:p w:rsidR="00FD5B01" w:rsidRPr="00B92EC9" w:rsidRDefault="00FD5B01" w:rsidP="00937353">
            <w:pPr>
              <w:widowControl w:val="0"/>
              <w:jc w:val="center"/>
              <w:rPr>
                <w:szCs w:val="24"/>
              </w:rPr>
            </w:pPr>
            <w:r w:rsidRPr="00B92EC9">
              <w:t>24.5%</w:t>
            </w:r>
          </w:p>
        </w:tc>
        <w:tc>
          <w:tcPr>
            <w:tcW w:w="1985" w:type="dxa"/>
            <w:tcBorders>
              <w:top w:val="single" w:sz="4" w:space="0" w:color="auto"/>
            </w:tcBorders>
          </w:tcPr>
          <w:p w:rsidR="00FD5B01" w:rsidRPr="00B92EC9" w:rsidRDefault="00FD5B01" w:rsidP="00937353">
            <w:pPr>
              <w:widowControl w:val="0"/>
              <w:jc w:val="center"/>
              <w:rPr>
                <w:szCs w:val="24"/>
              </w:rPr>
            </w:pPr>
            <w:r w:rsidRPr="00B92EC9">
              <w:t>67.6%</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15</w:t>
            </w:r>
          </w:p>
        </w:tc>
        <w:tc>
          <w:tcPr>
            <w:tcW w:w="1621" w:type="dxa"/>
          </w:tcPr>
          <w:p w:rsidR="00FD5B01" w:rsidRPr="00B92EC9" w:rsidRDefault="00FD5B01" w:rsidP="00937353">
            <w:pPr>
              <w:widowControl w:val="0"/>
              <w:jc w:val="center"/>
              <w:rPr>
                <w:szCs w:val="24"/>
              </w:rPr>
            </w:pPr>
            <w:r w:rsidRPr="00B92EC9">
              <w:t>86.8%</w:t>
            </w:r>
          </w:p>
        </w:tc>
        <w:tc>
          <w:tcPr>
            <w:tcW w:w="1792" w:type="dxa"/>
          </w:tcPr>
          <w:p w:rsidR="00FD5B01" w:rsidRPr="00B92EC9" w:rsidRDefault="00FD5B01" w:rsidP="00937353">
            <w:pPr>
              <w:widowControl w:val="0"/>
              <w:jc w:val="center"/>
              <w:rPr>
                <w:szCs w:val="24"/>
              </w:rPr>
            </w:pPr>
            <w:r w:rsidRPr="00B92EC9">
              <w:t>66.6%</w:t>
            </w:r>
          </w:p>
        </w:tc>
        <w:tc>
          <w:tcPr>
            <w:tcW w:w="1456" w:type="dxa"/>
          </w:tcPr>
          <w:p w:rsidR="00FD5B01" w:rsidRPr="00B92EC9" w:rsidRDefault="00FD5B01" w:rsidP="00937353">
            <w:pPr>
              <w:widowControl w:val="0"/>
              <w:jc w:val="center"/>
              <w:rPr>
                <w:szCs w:val="24"/>
              </w:rPr>
            </w:pPr>
            <w:r w:rsidRPr="00B92EC9">
              <w:t>54.3%</w:t>
            </w:r>
          </w:p>
        </w:tc>
        <w:tc>
          <w:tcPr>
            <w:tcW w:w="1985" w:type="dxa"/>
          </w:tcPr>
          <w:p w:rsidR="00FD5B01" w:rsidRPr="00B92EC9" w:rsidRDefault="00FD5B01" w:rsidP="00937353">
            <w:pPr>
              <w:widowControl w:val="0"/>
              <w:jc w:val="center"/>
              <w:rPr>
                <w:szCs w:val="24"/>
              </w:rPr>
            </w:pPr>
            <w:r w:rsidRPr="00B92EC9">
              <w:t>90.1%</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16</w:t>
            </w:r>
          </w:p>
        </w:tc>
        <w:tc>
          <w:tcPr>
            <w:tcW w:w="1621" w:type="dxa"/>
          </w:tcPr>
          <w:p w:rsidR="00FD5B01" w:rsidRPr="00B92EC9" w:rsidRDefault="00FD5B01" w:rsidP="00937353">
            <w:pPr>
              <w:widowControl w:val="0"/>
              <w:jc w:val="center"/>
              <w:rPr>
                <w:szCs w:val="24"/>
              </w:rPr>
            </w:pPr>
            <w:r w:rsidRPr="00B92EC9">
              <w:t>76.8%</w:t>
            </w:r>
          </w:p>
        </w:tc>
        <w:tc>
          <w:tcPr>
            <w:tcW w:w="1792" w:type="dxa"/>
          </w:tcPr>
          <w:p w:rsidR="00FD5B01" w:rsidRPr="00B92EC9" w:rsidRDefault="00FD5B01" w:rsidP="00937353">
            <w:pPr>
              <w:widowControl w:val="0"/>
              <w:jc w:val="center"/>
              <w:rPr>
                <w:szCs w:val="24"/>
              </w:rPr>
            </w:pPr>
            <w:r w:rsidRPr="00B92EC9">
              <w:t>56.6%</w:t>
            </w:r>
          </w:p>
        </w:tc>
        <w:tc>
          <w:tcPr>
            <w:tcW w:w="1456" w:type="dxa"/>
          </w:tcPr>
          <w:p w:rsidR="00FD5B01" w:rsidRPr="00B92EC9" w:rsidRDefault="00FD5B01" w:rsidP="00937353">
            <w:pPr>
              <w:widowControl w:val="0"/>
              <w:jc w:val="center"/>
              <w:rPr>
                <w:szCs w:val="24"/>
              </w:rPr>
            </w:pPr>
            <w:r w:rsidRPr="00B92EC9">
              <w:t>46.2%</w:t>
            </w:r>
          </w:p>
        </w:tc>
        <w:tc>
          <w:tcPr>
            <w:tcW w:w="1985" w:type="dxa"/>
          </w:tcPr>
          <w:p w:rsidR="00FD5B01" w:rsidRPr="00B92EC9" w:rsidRDefault="00FD5B01" w:rsidP="00937353">
            <w:pPr>
              <w:widowControl w:val="0"/>
              <w:jc w:val="center"/>
              <w:rPr>
                <w:szCs w:val="24"/>
              </w:rPr>
            </w:pPr>
            <w:r w:rsidRPr="00B92EC9">
              <w:t>94.6%</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21</w:t>
            </w:r>
          </w:p>
        </w:tc>
        <w:tc>
          <w:tcPr>
            <w:tcW w:w="1621" w:type="dxa"/>
          </w:tcPr>
          <w:p w:rsidR="00FD5B01" w:rsidRPr="00B92EC9" w:rsidRDefault="00FD5B01" w:rsidP="00937353">
            <w:pPr>
              <w:widowControl w:val="0"/>
              <w:jc w:val="center"/>
              <w:rPr>
                <w:szCs w:val="24"/>
              </w:rPr>
            </w:pPr>
            <w:r w:rsidRPr="00B92EC9">
              <w:t>81.0%</w:t>
            </w:r>
          </w:p>
        </w:tc>
        <w:tc>
          <w:tcPr>
            <w:tcW w:w="1792" w:type="dxa"/>
          </w:tcPr>
          <w:p w:rsidR="00FD5B01" w:rsidRPr="00B92EC9" w:rsidRDefault="00FD5B01" w:rsidP="00937353">
            <w:pPr>
              <w:widowControl w:val="0"/>
              <w:jc w:val="center"/>
              <w:rPr>
                <w:szCs w:val="24"/>
              </w:rPr>
            </w:pPr>
            <w:r w:rsidRPr="00B92EC9">
              <w:t>60.8%</w:t>
            </w:r>
          </w:p>
        </w:tc>
        <w:tc>
          <w:tcPr>
            <w:tcW w:w="1456" w:type="dxa"/>
          </w:tcPr>
          <w:p w:rsidR="00FD5B01" w:rsidRPr="00B92EC9" w:rsidRDefault="00FD5B01" w:rsidP="00937353">
            <w:pPr>
              <w:widowControl w:val="0"/>
              <w:jc w:val="center"/>
              <w:rPr>
                <w:szCs w:val="24"/>
              </w:rPr>
            </w:pPr>
            <w:r w:rsidRPr="00B92EC9">
              <w:t>34.6%</w:t>
            </w:r>
          </w:p>
        </w:tc>
        <w:tc>
          <w:tcPr>
            <w:tcW w:w="1985" w:type="dxa"/>
          </w:tcPr>
          <w:p w:rsidR="00FD5B01" w:rsidRPr="00B92EC9" w:rsidRDefault="00FD5B01" w:rsidP="00937353">
            <w:pPr>
              <w:widowControl w:val="0"/>
              <w:jc w:val="center"/>
              <w:rPr>
                <w:szCs w:val="24"/>
              </w:rPr>
            </w:pPr>
            <w:r w:rsidRPr="00B92EC9">
              <w:t>88.8%</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22</w:t>
            </w:r>
          </w:p>
        </w:tc>
        <w:tc>
          <w:tcPr>
            <w:tcW w:w="1621" w:type="dxa"/>
          </w:tcPr>
          <w:p w:rsidR="00FD5B01" w:rsidRPr="00B92EC9" w:rsidRDefault="00FD5B01" w:rsidP="00937353">
            <w:pPr>
              <w:widowControl w:val="0"/>
              <w:jc w:val="center"/>
              <w:rPr>
                <w:szCs w:val="24"/>
              </w:rPr>
            </w:pPr>
            <w:r w:rsidRPr="00B92EC9">
              <w:t>88.5%</w:t>
            </w:r>
          </w:p>
        </w:tc>
        <w:tc>
          <w:tcPr>
            <w:tcW w:w="1792" w:type="dxa"/>
          </w:tcPr>
          <w:p w:rsidR="00FD5B01" w:rsidRPr="00B92EC9" w:rsidRDefault="00FD5B01" w:rsidP="00937353">
            <w:pPr>
              <w:widowControl w:val="0"/>
              <w:jc w:val="center"/>
              <w:rPr>
                <w:szCs w:val="24"/>
              </w:rPr>
            </w:pPr>
            <w:r w:rsidRPr="00B92EC9">
              <w:t>67.5%</w:t>
            </w:r>
          </w:p>
        </w:tc>
        <w:tc>
          <w:tcPr>
            <w:tcW w:w="1456" w:type="dxa"/>
          </w:tcPr>
          <w:p w:rsidR="00FD5B01" w:rsidRPr="00B92EC9" w:rsidRDefault="00FD5B01" w:rsidP="00937353">
            <w:pPr>
              <w:widowControl w:val="0"/>
              <w:jc w:val="center"/>
              <w:rPr>
                <w:szCs w:val="24"/>
              </w:rPr>
            </w:pPr>
            <w:r w:rsidRPr="00B92EC9">
              <w:t>54.2%</w:t>
            </w:r>
          </w:p>
        </w:tc>
        <w:tc>
          <w:tcPr>
            <w:tcW w:w="1985" w:type="dxa"/>
          </w:tcPr>
          <w:p w:rsidR="00FD5B01" w:rsidRPr="00B92EC9" w:rsidRDefault="00FD5B01" w:rsidP="00937353">
            <w:pPr>
              <w:widowControl w:val="0"/>
              <w:jc w:val="center"/>
              <w:rPr>
                <w:szCs w:val="24"/>
              </w:rPr>
            </w:pPr>
            <w:r w:rsidRPr="00B92EC9">
              <w:t>91.3%</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28</w:t>
            </w:r>
          </w:p>
        </w:tc>
        <w:tc>
          <w:tcPr>
            <w:tcW w:w="1621" w:type="dxa"/>
          </w:tcPr>
          <w:p w:rsidR="00FD5B01" w:rsidRPr="00B92EC9" w:rsidRDefault="00FD5B01" w:rsidP="00937353">
            <w:pPr>
              <w:widowControl w:val="0"/>
              <w:jc w:val="center"/>
              <w:rPr>
                <w:szCs w:val="24"/>
              </w:rPr>
            </w:pPr>
            <w:r w:rsidRPr="00B92EC9">
              <w:t>89.3%</w:t>
            </w:r>
          </w:p>
        </w:tc>
        <w:tc>
          <w:tcPr>
            <w:tcW w:w="1792" w:type="dxa"/>
          </w:tcPr>
          <w:p w:rsidR="00FD5B01" w:rsidRPr="00B92EC9" w:rsidRDefault="00FD5B01" w:rsidP="00937353">
            <w:pPr>
              <w:widowControl w:val="0"/>
              <w:jc w:val="center"/>
              <w:rPr>
                <w:szCs w:val="24"/>
              </w:rPr>
            </w:pPr>
            <w:r w:rsidRPr="00B92EC9">
              <w:t>65.4%</w:t>
            </w:r>
          </w:p>
        </w:tc>
        <w:tc>
          <w:tcPr>
            <w:tcW w:w="1456" w:type="dxa"/>
          </w:tcPr>
          <w:p w:rsidR="00FD5B01" w:rsidRPr="00B92EC9" w:rsidRDefault="00FD5B01" w:rsidP="00937353">
            <w:pPr>
              <w:widowControl w:val="0"/>
              <w:jc w:val="center"/>
              <w:rPr>
                <w:szCs w:val="24"/>
              </w:rPr>
            </w:pPr>
            <w:r w:rsidRPr="00B92EC9">
              <w:t>51.7%</w:t>
            </w:r>
          </w:p>
        </w:tc>
        <w:tc>
          <w:tcPr>
            <w:tcW w:w="1985" w:type="dxa"/>
          </w:tcPr>
          <w:p w:rsidR="00FD5B01" w:rsidRPr="00B92EC9" w:rsidRDefault="00FD5B01" w:rsidP="00937353">
            <w:pPr>
              <w:widowControl w:val="0"/>
              <w:jc w:val="center"/>
              <w:rPr>
                <w:szCs w:val="24"/>
              </w:rPr>
            </w:pPr>
            <w:r w:rsidRPr="00B92EC9">
              <w:t>99.9%</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29</w:t>
            </w:r>
          </w:p>
        </w:tc>
        <w:tc>
          <w:tcPr>
            <w:tcW w:w="1621" w:type="dxa"/>
          </w:tcPr>
          <w:p w:rsidR="00FD5B01" w:rsidRPr="00B92EC9" w:rsidRDefault="00FD5B01" w:rsidP="00937353">
            <w:pPr>
              <w:widowControl w:val="0"/>
              <w:jc w:val="center"/>
              <w:rPr>
                <w:szCs w:val="24"/>
              </w:rPr>
            </w:pPr>
            <w:r w:rsidRPr="00B92EC9">
              <w:t>57.3%</w:t>
            </w:r>
          </w:p>
        </w:tc>
        <w:tc>
          <w:tcPr>
            <w:tcW w:w="1792" w:type="dxa"/>
          </w:tcPr>
          <w:p w:rsidR="00FD5B01" w:rsidRPr="00B92EC9" w:rsidRDefault="00FD5B01" w:rsidP="00937353">
            <w:pPr>
              <w:widowControl w:val="0"/>
              <w:jc w:val="center"/>
              <w:rPr>
                <w:szCs w:val="24"/>
              </w:rPr>
            </w:pPr>
            <w:r w:rsidRPr="00B92EC9">
              <w:t>57.3%</w:t>
            </w:r>
          </w:p>
        </w:tc>
        <w:tc>
          <w:tcPr>
            <w:tcW w:w="1456" w:type="dxa"/>
          </w:tcPr>
          <w:p w:rsidR="00FD5B01" w:rsidRPr="00B92EC9" w:rsidRDefault="00FD5B01" w:rsidP="00937353">
            <w:pPr>
              <w:widowControl w:val="0"/>
              <w:jc w:val="center"/>
              <w:rPr>
                <w:szCs w:val="24"/>
              </w:rPr>
            </w:pPr>
            <w:r w:rsidRPr="00B92EC9">
              <w:t>34.4%</w:t>
            </w:r>
          </w:p>
        </w:tc>
        <w:tc>
          <w:tcPr>
            <w:tcW w:w="1985" w:type="dxa"/>
          </w:tcPr>
          <w:p w:rsidR="00FD5B01" w:rsidRPr="00B92EC9" w:rsidRDefault="00FD5B01" w:rsidP="00937353">
            <w:pPr>
              <w:widowControl w:val="0"/>
              <w:jc w:val="center"/>
              <w:rPr>
                <w:szCs w:val="24"/>
              </w:rPr>
            </w:pPr>
            <w:r w:rsidRPr="00B92EC9">
              <w:t>57.4%</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34</w:t>
            </w:r>
          </w:p>
        </w:tc>
        <w:tc>
          <w:tcPr>
            <w:tcW w:w="1621" w:type="dxa"/>
          </w:tcPr>
          <w:p w:rsidR="00FD5B01" w:rsidRPr="00B92EC9" w:rsidRDefault="00FD5B01" w:rsidP="00937353">
            <w:pPr>
              <w:widowControl w:val="0"/>
              <w:jc w:val="center"/>
              <w:rPr>
                <w:szCs w:val="24"/>
              </w:rPr>
            </w:pPr>
            <w:r w:rsidRPr="00B92EC9">
              <w:t>84.7%</w:t>
            </w:r>
          </w:p>
        </w:tc>
        <w:tc>
          <w:tcPr>
            <w:tcW w:w="1792" w:type="dxa"/>
          </w:tcPr>
          <w:p w:rsidR="00FD5B01" w:rsidRPr="00B92EC9" w:rsidRDefault="00FD5B01" w:rsidP="00937353">
            <w:pPr>
              <w:widowControl w:val="0"/>
              <w:jc w:val="center"/>
              <w:rPr>
                <w:szCs w:val="24"/>
              </w:rPr>
            </w:pPr>
            <w:r w:rsidRPr="00B92EC9">
              <w:t>59.4%</w:t>
            </w:r>
          </w:p>
        </w:tc>
        <w:tc>
          <w:tcPr>
            <w:tcW w:w="1456" w:type="dxa"/>
          </w:tcPr>
          <w:p w:rsidR="00FD5B01" w:rsidRPr="00B92EC9" w:rsidRDefault="00FD5B01" w:rsidP="00937353">
            <w:pPr>
              <w:widowControl w:val="0"/>
              <w:jc w:val="center"/>
              <w:rPr>
                <w:szCs w:val="24"/>
              </w:rPr>
            </w:pPr>
            <w:r w:rsidRPr="00B92EC9">
              <w:t>46.2%</w:t>
            </w:r>
          </w:p>
        </w:tc>
        <w:tc>
          <w:tcPr>
            <w:tcW w:w="1985" w:type="dxa"/>
          </w:tcPr>
          <w:p w:rsidR="00FD5B01" w:rsidRPr="00B92EC9" w:rsidRDefault="00FD5B01" w:rsidP="00937353">
            <w:pPr>
              <w:widowControl w:val="0"/>
              <w:jc w:val="center"/>
              <w:rPr>
                <w:szCs w:val="24"/>
              </w:rPr>
            </w:pPr>
            <w:r w:rsidRPr="00B92EC9">
              <w:t>75.6%</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37</w:t>
            </w:r>
          </w:p>
        </w:tc>
        <w:tc>
          <w:tcPr>
            <w:tcW w:w="1621" w:type="dxa"/>
          </w:tcPr>
          <w:p w:rsidR="00FD5B01" w:rsidRPr="00B92EC9" w:rsidRDefault="00FD5B01" w:rsidP="00937353">
            <w:pPr>
              <w:widowControl w:val="0"/>
              <w:jc w:val="center"/>
              <w:rPr>
                <w:szCs w:val="24"/>
              </w:rPr>
            </w:pPr>
            <w:r w:rsidRPr="00B92EC9">
              <w:t>81.2%</w:t>
            </w:r>
          </w:p>
        </w:tc>
        <w:tc>
          <w:tcPr>
            <w:tcW w:w="1792" w:type="dxa"/>
          </w:tcPr>
          <w:p w:rsidR="00FD5B01" w:rsidRPr="00B92EC9" w:rsidRDefault="00FD5B01" w:rsidP="00937353">
            <w:pPr>
              <w:widowControl w:val="0"/>
              <w:jc w:val="center"/>
              <w:rPr>
                <w:szCs w:val="24"/>
              </w:rPr>
            </w:pPr>
            <w:r w:rsidRPr="00B92EC9">
              <w:t>65.1%</w:t>
            </w:r>
          </w:p>
        </w:tc>
        <w:tc>
          <w:tcPr>
            <w:tcW w:w="1456" w:type="dxa"/>
          </w:tcPr>
          <w:p w:rsidR="00FD5B01" w:rsidRPr="00B92EC9" w:rsidRDefault="00FD5B01" w:rsidP="00937353">
            <w:pPr>
              <w:widowControl w:val="0"/>
              <w:jc w:val="center"/>
              <w:rPr>
                <w:szCs w:val="24"/>
              </w:rPr>
            </w:pPr>
            <w:r w:rsidRPr="00B92EC9">
              <w:t>54.4%</w:t>
            </w:r>
          </w:p>
        </w:tc>
        <w:tc>
          <w:tcPr>
            <w:tcW w:w="1985" w:type="dxa"/>
          </w:tcPr>
          <w:p w:rsidR="00FD5B01" w:rsidRPr="00B92EC9" w:rsidRDefault="00FD5B01" w:rsidP="00937353">
            <w:pPr>
              <w:widowControl w:val="0"/>
              <w:jc w:val="center"/>
              <w:rPr>
                <w:szCs w:val="24"/>
              </w:rPr>
            </w:pPr>
            <w:r w:rsidRPr="00B92EC9">
              <w:t>96.5%</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38</w:t>
            </w:r>
          </w:p>
        </w:tc>
        <w:tc>
          <w:tcPr>
            <w:tcW w:w="1621" w:type="dxa"/>
          </w:tcPr>
          <w:p w:rsidR="00FD5B01" w:rsidRPr="00B92EC9" w:rsidRDefault="00FD5B01" w:rsidP="00937353">
            <w:pPr>
              <w:widowControl w:val="0"/>
              <w:jc w:val="center"/>
              <w:rPr>
                <w:szCs w:val="24"/>
              </w:rPr>
            </w:pPr>
            <w:r w:rsidRPr="00B92EC9">
              <w:t>77.1%</w:t>
            </w:r>
          </w:p>
        </w:tc>
        <w:tc>
          <w:tcPr>
            <w:tcW w:w="1792" w:type="dxa"/>
          </w:tcPr>
          <w:p w:rsidR="00FD5B01" w:rsidRPr="00B92EC9" w:rsidRDefault="00FD5B01" w:rsidP="00937353">
            <w:pPr>
              <w:widowControl w:val="0"/>
              <w:jc w:val="center"/>
              <w:rPr>
                <w:szCs w:val="24"/>
              </w:rPr>
            </w:pPr>
            <w:r w:rsidRPr="00B92EC9">
              <w:t>57.1%</w:t>
            </w:r>
          </w:p>
        </w:tc>
        <w:tc>
          <w:tcPr>
            <w:tcW w:w="1456" w:type="dxa"/>
          </w:tcPr>
          <w:p w:rsidR="00FD5B01" w:rsidRPr="00B92EC9" w:rsidRDefault="00FD5B01" w:rsidP="00937353">
            <w:pPr>
              <w:widowControl w:val="0"/>
              <w:jc w:val="center"/>
              <w:rPr>
                <w:szCs w:val="24"/>
              </w:rPr>
            </w:pPr>
            <w:r w:rsidRPr="00B92EC9">
              <w:t>47.4%</w:t>
            </w:r>
          </w:p>
        </w:tc>
        <w:tc>
          <w:tcPr>
            <w:tcW w:w="1985" w:type="dxa"/>
          </w:tcPr>
          <w:p w:rsidR="00FD5B01" w:rsidRPr="00B92EC9" w:rsidRDefault="00FD5B01" w:rsidP="00937353">
            <w:pPr>
              <w:widowControl w:val="0"/>
              <w:jc w:val="center"/>
              <w:rPr>
                <w:szCs w:val="24"/>
              </w:rPr>
            </w:pPr>
            <w:r w:rsidRPr="00B92EC9">
              <w:t>76.2%</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42</w:t>
            </w:r>
          </w:p>
        </w:tc>
        <w:tc>
          <w:tcPr>
            <w:tcW w:w="1621" w:type="dxa"/>
          </w:tcPr>
          <w:p w:rsidR="00FD5B01" w:rsidRPr="00B92EC9" w:rsidRDefault="00FD5B01" w:rsidP="00937353">
            <w:pPr>
              <w:widowControl w:val="0"/>
              <w:jc w:val="center"/>
              <w:rPr>
                <w:szCs w:val="24"/>
              </w:rPr>
            </w:pPr>
            <w:r w:rsidRPr="00B92EC9">
              <w:t>80.9%</w:t>
            </w:r>
          </w:p>
        </w:tc>
        <w:tc>
          <w:tcPr>
            <w:tcW w:w="1792" w:type="dxa"/>
          </w:tcPr>
          <w:p w:rsidR="00FD5B01" w:rsidRPr="00B92EC9" w:rsidRDefault="00FD5B01" w:rsidP="00937353">
            <w:pPr>
              <w:widowControl w:val="0"/>
              <w:jc w:val="center"/>
              <w:rPr>
                <w:szCs w:val="24"/>
              </w:rPr>
            </w:pPr>
            <w:r w:rsidRPr="00B92EC9">
              <w:t>58.2%</w:t>
            </w:r>
          </w:p>
        </w:tc>
        <w:tc>
          <w:tcPr>
            <w:tcW w:w="1456" w:type="dxa"/>
          </w:tcPr>
          <w:p w:rsidR="00FD5B01" w:rsidRPr="00B92EC9" w:rsidRDefault="00FD5B01" w:rsidP="00937353">
            <w:pPr>
              <w:widowControl w:val="0"/>
              <w:jc w:val="center"/>
              <w:rPr>
                <w:szCs w:val="24"/>
              </w:rPr>
            </w:pPr>
            <w:r w:rsidRPr="00B92EC9">
              <w:t>58.2%</w:t>
            </w:r>
          </w:p>
        </w:tc>
        <w:tc>
          <w:tcPr>
            <w:tcW w:w="1985" w:type="dxa"/>
          </w:tcPr>
          <w:p w:rsidR="00FD5B01" w:rsidRPr="00B92EC9" w:rsidRDefault="00FD5B01" w:rsidP="00937353">
            <w:pPr>
              <w:widowControl w:val="0"/>
              <w:jc w:val="center"/>
              <w:rPr>
                <w:szCs w:val="24"/>
              </w:rPr>
            </w:pPr>
            <w:r w:rsidRPr="00B92EC9">
              <w:t>81.1%</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46</w:t>
            </w:r>
          </w:p>
        </w:tc>
        <w:tc>
          <w:tcPr>
            <w:tcW w:w="1621" w:type="dxa"/>
          </w:tcPr>
          <w:p w:rsidR="00FD5B01" w:rsidRPr="00B92EC9" w:rsidRDefault="00FD5B01" w:rsidP="00937353">
            <w:pPr>
              <w:widowControl w:val="0"/>
              <w:jc w:val="center"/>
              <w:rPr>
                <w:szCs w:val="24"/>
              </w:rPr>
            </w:pPr>
            <w:r w:rsidRPr="00B92EC9">
              <w:t>66.7%</w:t>
            </w:r>
          </w:p>
        </w:tc>
        <w:tc>
          <w:tcPr>
            <w:tcW w:w="1792" w:type="dxa"/>
          </w:tcPr>
          <w:p w:rsidR="00FD5B01" w:rsidRPr="00B92EC9" w:rsidRDefault="00FD5B01" w:rsidP="00937353">
            <w:pPr>
              <w:widowControl w:val="0"/>
              <w:jc w:val="center"/>
              <w:rPr>
                <w:szCs w:val="24"/>
              </w:rPr>
            </w:pPr>
            <w:r w:rsidRPr="00B92EC9">
              <w:t>44.1%</w:t>
            </w:r>
          </w:p>
        </w:tc>
        <w:tc>
          <w:tcPr>
            <w:tcW w:w="1456" w:type="dxa"/>
          </w:tcPr>
          <w:p w:rsidR="00FD5B01" w:rsidRPr="00B92EC9" w:rsidRDefault="00FD5B01" w:rsidP="00937353">
            <w:pPr>
              <w:widowControl w:val="0"/>
              <w:jc w:val="center"/>
              <w:rPr>
                <w:szCs w:val="24"/>
              </w:rPr>
            </w:pPr>
            <w:r w:rsidRPr="00B92EC9">
              <w:t>34.2%</w:t>
            </w:r>
          </w:p>
        </w:tc>
        <w:tc>
          <w:tcPr>
            <w:tcW w:w="1985" w:type="dxa"/>
          </w:tcPr>
          <w:p w:rsidR="00FD5B01" w:rsidRPr="00B92EC9" w:rsidRDefault="00FD5B01" w:rsidP="00937353">
            <w:pPr>
              <w:widowControl w:val="0"/>
              <w:jc w:val="center"/>
              <w:rPr>
                <w:szCs w:val="24"/>
              </w:rPr>
            </w:pPr>
            <w:r w:rsidRPr="00B92EC9">
              <w:t>97.5%</w:t>
            </w:r>
          </w:p>
        </w:tc>
      </w:tr>
      <w:tr w:rsidR="00FD5B01" w:rsidRPr="00B92EC9" w:rsidTr="00937353">
        <w:tc>
          <w:tcPr>
            <w:tcW w:w="1618" w:type="dxa"/>
          </w:tcPr>
          <w:p w:rsidR="00FD5B01" w:rsidRPr="00B92EC9" w:rsidRDefault="00FD5B01" w:rsidP="00937353">
            <w:pPr>
              <w:widowControl w:val="0"/>
              <w:jc w:val="center"/>
              <w:rPr>
                <w:szCs w:val="24"/>
              </w:rPr>
            </w:pPr>
            <w:r w:rsidRPr="00B92EC9">
              <w:rPr>
                <w:szCs w:val="24"/>
              </w:rPr>
              <w:t>57</w:t>
            </w:r>
          </w:p>
        </w:tc>
        <w:tc>
          <w:tcPr>
            <w:tcW w:w="1621" w:type="dxa"/>
          </w:tcPr>
          <w:p w:rsidR="00FD5B01" w:rsidRPr="00B92EC9" w:rsidRDefault="00FD5B01" w:rsidP="00937353">
            <w:pPr>
              <w:widowControl w:val="0"/>
              <w:jc w:val="center"/>
              <w:rPr>
                <w:szCs w:val="24"/>
              </w:rPr>
            </w:pPr>
            <w:r w:rsidRPr="00B92EC9">
              <w:t>58.5%</w:t>
            </w:r>
          </w:p>
        </w:tc>
        <w:tc>
          <w:tcPr>
            <w:tcW w:w="1792" w:type="dxa"/>
          </w:tcPr>
          <w:p w:rsidR="00FD5B01" w:rsidRPr="00B92EC9" w:rsidRDefault="00FD5B01" w:rsidP="00937353">
            <w:pPr>
              <w:widowControl w:val="0"/>
              <w:jc w:val="center"/>
              <w:rPr>
                <w:szCs w:val="24"/>
              </w:rPr>
            </w:pPr>
            <w:r w:rsidRPr="00B92EC9">
              <w:t>34.6%</w:t>
            </w:r>
          </w:p>
        </w:tc>
        <w:tc>
          <w:tcPr>
            <w:tcW w:w="1456" w:type="dxa"/>
          </w:tcPr>
          <w:p w:rsidR="00FD5B01" w:rsidRPr="00B92EC9" w:rsidRDefault="00FD5B01" w:rsidP="00937353">
            <w:pPr>
              <w:widowControl w:val="0"/>
              <w:jc w:val="center"/>
              <w:rPr>
                <w:szCs w:val="24"/>
              </w:rPr>
            </w:pPr>
            <w:r w:rsidRPr="00B92EC9">
              <w:t>25.2%</w:t>
            </w:r>
          </w:p>
        </w:tc>
        <w:tc>
          <w:tcPr>
            <w:tcW w:w="1985" w:type="dxa"/>
          </w:tcPr>
          <w:p w:rsidR="00FD5B01" w:rsidRPr="00B92EC9" w:rsidRDefault="00FD5B01" w:rsidP="00937353">
            <w:pPr>
              <w:widowControl w:val="0"/>
              <w:jc w:val="center"/>
              <w:rPr>
                <w:szCs w:val="24"/>
              </w:rPr>
            </w:pPr>
            <w:r w:rsidRPr="00B92EC9">
              <w:t>43.7%</w:t>
            </w:r>
          </w:p>
        </w:tc>
      </w:tr>
    </w:tbl>
    <w:p w:rsidR="00FD5B01" w:rsidRPr="00B92EC9" w:rsidRDefault="00FD5B01" w:rsidP="00FD5B01">
      <w:pPr>
        <w:widowControl w:val="0"/>
        <w:rPr>
          <w:i/>
          <w:szCs w:val="24"/>
        </w:rPr>
      </w:pPr>
    </w:p>
    <w:p w:rsidR="00463A17" w:rsidRDefault="00463A17" w:rsidP="00DB7A81">
      <w:pPr>
        <w:rPr>
          <w:lang w:eastAsia="ja-JP"/>
        </w:rPr>
      </w:pPr>
    </w:p>
    <w:p w:rsidR="00FD5B01" w:rsidRDefault="00FD5B01" w:rsidP="00DB7A81">
      <w:pPr>
        <w:rPr>
          <w:lang w:eastAsia="ja-JP"/>
        </w:rPr>
      </w:pPr>
    </w:p>
    <w:p w:rsidR="00FD5B01" w:rsidRDefault="00FD5B01" w:rsidP="00DB7A81">
      <w:pPr>
        <w:rPr>
          <w:lang w:eastAsia="ja-JP"/>
        </w:rPr>
      </w:pPr>
    </w:p>
    <w:p w:rsidR="00FD5B01" w:rsidRPr="00FD5B01" w:rsidRDefault="00FD5B01" w:rsidP="00FD5B01">
      <w:pPr>
        <w:pStyle w:val="Heading1"/>
        <w:rPr>
          <w:lang w:val="en-GB" w:eastAsia="ja-JP"/>
        </w:rPr>
      </w:pPr>
      <w:r w:rsidRPr="00FD5B01">
        <w:rPr>
          <w:lang w:val="en-GB" w:eastAsia="ja-JP"/>
        </w:rPr>
        <w:t>Conclusions and future work</w:t>
      </w:r>
    </w:p>
    <w:p w:rsidR="00FD5B01" w:rsidRPr="00FD5B01" w:rsidRDefault="00FD5B01" w:rsidP="00FD5B01">
      <w:pPr>
        <w:rPr>
          <w:lang w:val="en-GB" w:eastAsia="ja-JP"/>
        </w:rPr>
      </w:pPr>
    </w:p>
    <w:p w:rsidR="00ED5A19" w:rsidRDefault="005464FF"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00FD5B01" w:rsidRPr="00FD5B01">
        <w:rPr>
          <w:lang w:val="en-GB" w:eastAsia="ja-JP"/>
        </w:rPr>
        <w:t xml:space="preserve">The method proposed in TWC/33/20 Rev. has been applied to </w:t>
      </w:r>
      <w:r w:rsidR="006E5336">
        <w:rPr>
          <w:rFonts w:hint="eastAsia"/>
          <w:lang w:val="en-GB" w:eastAsia="ja-JP"/>
        </w:rPr>
        <w:t>the United Kingdom</w:t>
      </w:r>
      <w:r w:rsidR="00FD5B01" w:rsidRPr="00FD5B01">
        <w:rPr>
          <w:lang w:val="en-GB" w:eastAsia="ja-JP"/>
        </w:rPr>
        <w:t xml:space="preserve"> field pea data set and its performance evaluated. The results show how different risks may be balanced to select an appropriate value of </w:t>
      </w:r>
      <w:proofErr w:type="spellStart"/>
      <w:proofErr w:type="gramStart"/>
      <w:r w:rsidR="00FD5B01" w:rsidRPr="00FD5B01">
        <w:rPr>
          <w:lang w:val="en-GB" w:eastAsia="ja-JP"/>
        </w:rPr>
        <w:t>pD</w:t>
      </w:r>
      <w:proofErr w:type="spellEnd"/>
      <w:proofErr w:type="gramEnd"/>
      <w:r w:rsidR="00FD5B01" w:rsidRPr="00FD5B01">
        <w:rPr>
          <w:lang w:val="en-GB" w:eastAsia="ja-JP"/>
        </w:rPr>
        <w:t xml:space="preserve"> for calculating thresholds. </w:t>
      </w:r>
      <w:r w:rsidR="00FD5B01" w:rsidRPr="003133F8">
        <w:rPr>
          <w:lang w:val="en-GB" w:eastAsia="ja-JP"/>
        </w:rPr>
        <w:t xml:space="preserve">Based on these results, the </w:t>
      </w:r>
      <w:r w:rsidR="006E5336">
        <w:rPr>
          <w:rFonts w:hint="eastAsia"/>
          <w:lang w:val="en-GB" w:eastAsia="ja-JP"/>
        </w:rPr>
        <w:t>United Kingdom</w:t>
      </w:r>
      <w:r w:rsidR="00FD5B01" w:rsidRPr="003133F8">
        <w:rPr>
          <w:lang w:val="en-GB" w:eastAsia="ja-JP"/>
        </w:rPr>
        <w:t xml:space="preserve"> has now updated the first-year tolerances for pea so the tolerances now have a more transparent basis than previously.</w:t>
      </w:r>
      <w:r w:rsidR="00ED5A19">
        <w:rPr>
          <w:lang w:val="en-GB" w:eastAsia="ja-JP"/>
        </w:rPr>
        <w:t xml:space="preserve"> In this report we</w:t>
      </w:r>
      <w:r w:rsidR="00474DD3">
        <w:rPr>
          <w:rFonts w:hint="eastAsia"/>
          <w:lang w:val="en-GB" w:eastAsia="ja-JP"/>
        </w:rPr>
        <w:t xml:space="preserve"> ha</w:t>
      </w:r>
      <w:r w:rsidR="00ED5A19">
        <w:rPr>
          <w:lang w:val="en-GB" w:eastAsia="ja-JP"/>
        </w:rPr>
        <w:t>ve looked at the effectiveness of the method on a characteristic-by-characteristic basis. In future we intend to examine the effect on individual variety decisions.</w:t>
      </w:r>
    </w:p>
    <w:p w:rsidR="00FD5B01" w:rsidRPr="00FD5B01" w:rsidRDefault="00FD5B01" w:rsidP="00FD5B01">
      <w:pPr>
        <w:rPr>
          <w:lang w:val="en-GB" w:eastAsia="ja-JP"/>
        </w:rPr>
      </w:pPr>
    </w:p>
    <w:p w:rsidR="00FD5B01" w:rsidRPr="00FD5B01" w:rsidRDefault="005464FF"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00FD5B01" w:rsidRPr="00FD5B01">
        <w:rPr>
          <w:lang w:val="en-GB" w:eastAsia="ja-JP"/>
        </w:rPr>
        <w:t>The method could also be modified to give an early indication as to whether a candidate may have distinctness problems as well as guidance on the closest reference varieties. Both of these should be of benefit to COYD users.</w:t>
      </w:r>
    </w:p>
    <w:p w:rsidR="00FD5B01" w:rsidRPr="00FD5B01" w:rsidRDefault="00FD5B01" w:rsidP="00FD5B01">
      <w:pPr>
        <w:rPr>
          <w:lang w:val="en-GB" w:eastAsia="ja-JP"/>
        </w:rPr>
      </w:pPr>
    </w:p>
    <w:p w:rsidR="00FD5B01" w:rsidRPr="00FD5B01" w:rsidRDefault="005464FF"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00FD5B01" w:rsidRPr="00FD5B01">
        <w:rPr>
          <w:lang w:val="en-GB" w:eastAsia="ja-JP"/>
        </w:rPr>
        <w:t>We would welcome other example data sets so that the new method can be tested on other crops. We also plan to examine software options to make implementation easier.</w:t>
      </w:r>
    </w:p>
    <w:p w:rsidR="00FD5B01" w:rsidRPr="00FD5B01" w:rsidRDefault="00FD5B01" w:rsidP="00FD5B01">
      <w:pPr>
        <w:rPr>
          <w:lang w:val="en-GB" w:eastAsia="ja-JP"/>
        </w:rPr>
      </w:pPr>
    </w:p>
    <w:p w:rsidR="00FD5B01" w:rsidRPr="00FD5B01" w:rsidRDefault="00FD5B01" w:rsidP="00FD5B01">
      <w:pPr>
        <w:rPr>
          <w:lang w:val="en-GB" w:eastAsia="ja-JP"/>
        </w:rPr>
      </w:pPr>
    </w:p>
    <w:p w:rsidR="00FD5B01" w:rsidRPr="00FD5B01" w:rsidRDefault="00FD5B01" w:rsidP="00FD5B01">
      <w:pPr>
        <w:rPr>
          <w:lang w:val="en-GB" w:eastAsia="ja-JP"/>
        </w:rPr>
      </w:pPr>
    </w:p>
    <w:p w:rsidR="00FD5B01" w:rsidRPr="00FD5B01" w:rsidRDefault="00FD5B01" w:rsidP="00FD5B01">
      <w:pPr>
        <w:pStyle w:val="Heading1"/>
        <w:rPr>
          <w:lang w:val="en-GB" w:eastAsia="ja-JP"/>
        </w:rPr>
      </w:pPr>
      <w:r w:rsidRPr="00FD5B01">
        <w:rPr>
          <w:lang w:val="en-GB" w:eastAsia="ja-JP"/>
        </w:rPr>
        <w:t>Acknowledgements</w:t>
      </w:r>
    </w:p>
    <w:p w:rsidR="00FD5B01" w:rsidRPr="00FD5B01" w:rsidRDefault="00FD5B01" w:rsidP="00FD5B01">
      <w:pPr>
        <w:rPr>
          <w:lang w:val="en-GB" w:eastAsia="ja-JP"/>
        </w:rPr>
      </w:pPr>
    </w:p>
    <w:p w:rsidR="00FD5B01" w:rsidRPr="00FD5B01" w:rsidRDefault="005464FF" w:rsidP="00FD5B01">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00FD5B01" w:rsidRPr="00FD5B01">
        <w:rPr>
          <w:lang w:val="en-GB" w:eastAsia="ja-JP"/>
        </w:rPr>
        <w:t xml:space="preserve">This work has been funded by the Scottish Government. </w:t>
      </w:r>
    </w:p>
    <w:p w:rsidR="00FD5B01" w:rsidRPr="00FD5B01" w:rsidRDefault="00FD5B01" w:rsidP="00FD5B01">
      <w:pPr>
        <w:rPr>
          <w:lang w:val="en-GB" w:eastAsia="ja-JP"/>
        </w:rPr>
      </w:pPr>
    </w:p>
    <w:p w:rsidR="00FD5B01" w:rsidRPr="00FD5B01" w:rsidRDefault="00FD5B01" w:rsidP="00FD5B01">
      <w:pPr>
        <w:rPr>
          <w:lang w:val="en-GB" w:eastAsia="ja-JP"/>
        </w:rPr>
      </w:pPr>
    </w:p>
    <w:p w:rsidR="00FD5B01" w:rsidRPr="00FD5B01" w:rsidRDefault="00FD5B01" w:rsidP="00FD5B01">
      <w:pPr>
        <w:rPr>
          <w:lang w:val="en-GB" w:eastAsia="ja-JP"/>
        </w:rPr>
      </w:pPr>
      <w:r w:rsidRPr="00FD5B01">
        <w:rPr>
          <w:lang w:val="en-GB" w:eastAsia="ja-JP"/>
        </w:rPr>
        <w:t>Adrian Roberts (</w:t>
      </w:r>
      <w:r w:rsidR="00937353">
        <w:t>Biomathematics and Statistics Scotland (BioSS)</w:t>
      </w:r>
      <w:r w:rsidRPr="00FD5B01">
        <w:rPr>
          <w:lang w:val="en-GB" w:eastAsia="ja-JP"/>
        </w:rPr>
        <w:t>), Ian Nevison (BioSS) &amp; Tom Christie (SASA)</w:t>
      </w:r>
    </w:p>
    <w:p w:rsidR="00FD5B01" w:rsidRDefault="00FD5B01" w:rsidP="00DB7A81">
      <w:pPr>
        <w:rPr>
          <w:lang w:eastAsia="ja-JP"/>
        </w:rPr>
      </w:pPr>
    </w:p>
    <w:p w:rsidR="009D5D0F" w:rsidRDefault="009D5D0F" w:rsidP="000B116B">
      <w:pPr>
        <w:pStyle w:val="endofdoc"/>
        <w:rPr>
          <w:lang w:eastAsia="ja-JP"/>
        </w:rPr>
      </w:pPr>
    </w:p>
    <w:p w:rsidR="00755146" w:rsidRDefault="00755146" w:rsidP="000B116B">
      <w:pPr>
        <w:pStyle w:val="endofdoc"/>
        <w:rPr>
          <w:lang w:eastAsia="ja-JP"/>
        </w:rPr>
      </w:pPr>
    </w:p>
    <w:p w:rsidR="00F559F8" w:rsidRPr="001E700D" w:rsidRDefault="00F559F8" w:rsidP="000B116B">
      <w:pPr>
        <w:pStyle w:val="endofdoc"/>
        <w:rPr>
          <w:lang w:eastAsia="ja-JP"/>
        </w:rPr>
      </w:pPr>
    </w:p>
    <w:p w:rsidR="00981070" w:rsidRPr="006E06EB" w:rsidRDefault="00FD5B01" w:rsidP="00981070">
      <w:pPr>
        <w:jc w:val="right"/>
        <w:rPr>
          <w:rFonts w:cs="Arial"/>
          <w:lang w:eastAsia="ja-JP"/>
        </w:rPr>
      </w:pPr>
      <w:bookmarkStart w:id="0" w:name="_GoBack"/>
      <w:bookmarkEnd w:id="0"/>
      <w:r>
        <w:rPr>
          <w:rFonts w:cs="Arial"/>
          <w:lang w:eastAsia="ja-JP"/>
        </w:rPr>
        <w:t>[End</w:t>
      </w:r>
      <w:r>
        <w:rPr>
          <w:rFonts w:cs="Arial" w:hint="eastAsia"/>
          <w:lang w:eastAsia="ja-JP"/>
        </w:rPr>
        <w:t xml:space="preserve"> </w:t>
      </w:r>
      <w:r w:rsidR="00981070">
        <w:rPr>
          <w:rFonts w:cs="Arial"/>
          <w:lang w:eastAsia="ja-JP"/>
        </w:rPr>
        <w:t>of document]</w:t>
      </w:r>
    </w:p>
    <w:sectPr w:rsidR="00981070" w:rsidRPr="006E06EB" w:rsidSect="00EE20CE">
      <w:headerReference w:type="default" r:id="rId10"/>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36" w:rsidRDefault="006E5336">
      <w:r>
        <w:separator/>
      </w:r>
    </w:p>
    <w:p w:rsidR="006E5336" w:rsidRDefault="006E5336"/>
    <w:p w:rsidR="006E5336" w:rsidRDefault="006E5336"/>
  </w:endnote>
  <w:endnote w:type="continuationSeparator" w:id="0">
    <w:p w:rsidR="006E5336" w:rsidRDefault="006E5336">
      <w:r>
        <w:separator/>
      </w:r>
    </w:p>
    <w:p w:rsidR="006E5336" w:rsidRPr="00664515" w:rsidRDefault="006E5336">
      <w:pPr>
        <w:pStyle w:val="Footer"/>
        <w:spacing w:after="60"/>
        <w:rPr>
          <w:sz w:val="18"/>
          <w:lang w:val="fr-CH"/>
        </w:rPr>
      </w:pPr>
      <w:r w:rsidRPr="00664515">
        <w:rPr>
          <w:sz w:val="18"/>
          <w:lang w:val="fr-CH"/>
        </w:rPr>
        <w:t>[Suite de la note de la page précédente]</w:t>
      </w:r>
    </w:p>
    <w:p w:rsidR="006E5336" w:rsidRPr="00664515" w:rsidRDefault="006E5336">
      <w:pPr>
        <w:rPr>
          <w:lang w:val="fr-CH"/>
        </w:rPr>
      </w:pPr>
    </w:p>
    <w:p w:rsidR="006E5336" w:rsidRPr="00664515" w:rsidRDefault="006E5336">
      <w:pPr>
        <w:rPr>
          <w:lang w:val="fr-CH"/>
        </w:rPr>
      </w:pPr>
    </w:p>
  </w:endnote>
  <w:endnote w:type="continuationNotice" w:id="1">
    <w:p w:rsidR="006E5336" w:rsidRPr="00664515" w:rsidRDefault="006E5336">
      <w:pPr>
        <w:spacing w:before="60"/>
        <w:jc w:val="right"/>
        <w:rPr>
          <w:sz w:val="18"/>
          <w:lang w:val="fr-CH"/>
        </w:rPr>
      </w:pPr>
      <w:r w:rsidRPr="00664515">
        <w:rPr>
          <w:sz w:val="18"/>
          <w:lang w:val="fr-CH"/>
        </w:rPr>
        <w:t>[Suite de la note page suivante]</w:t>
      </w:r>
    </w:p>
    <w:p w:rsidR="006E5336" w:rsidRPr="00664515" w:rsidRDefault="006E5336">
      <w:pPr>
        <w:rPr>
          <w:lang w:val="fr-CH"/>
        </w:rPr>
      </w:pPr>
    </w:p>
    <w:p w:rsidR="006E5336" w:rsidRPr="00664515" w:rsidRDefault="006E533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altName w:val="Meiryo"/>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36" w:rsidRDefault="006E5336" w:rsidP="009D690D">
      <w:pPr>
        <w:spacing w:before="120"/>
      </w:pPr>
      <w:r>
        <w:separator/>
      </w:r>
    </w:p>
  </w:footnote>
  <w:footnote w:type="continuationSeparator" w:id="0">
    <w:p w:rsidR="006E5336" w:rsidRDefault="006E5336" w:rsidP="00520297">
      <w:pPr>
        <w:spacing w:before="120"/>
        <w:jc w:val="left"/>
      </w:pPr>
      <w:r>
        <w:separator/>
      </w:r>
    </w:p>
  </w:footnote>
  <w:footnote w:type="continuationNotice" w:id="1">
    <w:p w:rsidR="006E5336" w:rsidRDefault="006E53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36" w:rsidRPr="00C5280D" w:rsidRDefault="006E5336" w:rsidP="00EB048E">
    <w:pPr>
      <w:pStyle w:val="Header"/>
      <w:rPr>
        <w:rStyle w:val="PageNumber"/>
        <w:lang w:val="en-US" w:eastAsia="ja-JP"/>
      </w:rPr>
    </w:pPr>
    <w:r>
      <w:rPr>
        <w:rStyle w:val="PageNumber"/>
        <w:lang w:val="en-US"/>
      </w:rPr>
      <w:t>T</w:t>
    </w:r>
    <w:r>
      <w:rPr>
        <w:rStyle w:val="PageNumber"/>
        <w:rFonts w:hint="eastAsia"/>
        <w:lang w:val="en-US" w:eastAsia="ja-JP"/>
      </w:rPr>
      <w:t>W</w:t>
    </w:r>
    <w:r>
      <w:rPr>
        <w:rStyle w:val="PageNumber"/>
        <w:lang w:val="en-US"/>
      </w:rPr>
      <w:t>C/</w:t>
    </w:r>
    <w:r>
      <w:rPr>
        <w:rStyle w:val="PageNumber"/>
        <w:rFonts w:hint="eastAsia"/>
        <w:lang w:val="en-US" w:eastAsia="ja-JP"/>
      </w:rPr>
      <w:t>34</w:t>
    </w:r>
    <w:r>
      <w:rPr>
        <w:rStyle w:val="PageNumber"/>
        <w:lang w:val="en-US"/>
      </w:rPr>
      <w:t>/</w:t>
    </w:r>
    <w:r>
      <w:rPr>
        <w:rStyle w:val="PageNumber"/>
        <w:rFonts w:hint="eastAsia"/>
        <w:lang w:val="en-US" w:eastAsia="ja-JP"/>
      </w:rPr>
      <w:t>8</w:t>
    </w:r>
  </w:p>
  <w:p w:rsidR="006E5336" w:rsidRPr="00C5280D" w:rsidRDefault="006E533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A6E43">
      <w:rPr>
        <w:rStyle w:val="PageNumber"/>
        <w:noProof/>
        <w:lang w:val="en-US"/>
      </w:rPr>
      <w:t>2</w:t>
    </w:r>
    <w:r w:rsidRPr="00C5280D">
      <w:rPr>
        <w:rStyle w:val="PageNumber"/>
        <w:lang w:val="en-US"/>
      </w:rPr>
      <w:fldChar w:fldCharType="end"/>
    </w:r>
  </w:p>
  <w:p w:rsidR="006E5336" w:rsidRPr="00C5280D" w:rsidRDefault="006E5336" w:rsidP="00EE20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numRestart w:val="eachSect"/>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538A"/>
    <w:rsid w:val="00006932"/>
    <w:rsid w:val="00006AAA"/>
    <w:rsid w:val="00010CF3"/>
    <w:rsid w:val="00011E27"/>
    <w:rsid w:val="00014596"/>
    <w:rsid w:val="000148BC"/>
    <w:rsid w:val="00017887"/>
    <w:rsid w:val="00024AB8"/>
    <w:rsid w:val="00036028"/>
    <w:rsid w:val="00037956"/>
    <w:rsid w:val="000446B9"/>
    <w:rsid w:val="00047E21"/>
    <w:rsid w:val="0005479E"/>
    <w:rsid w:val="00056CC4"/>
    <w:rsid w:val="000603F5"/>
    <w:rsid w:val="00062278"/>
    <w:rsid w:val="00065111"/>
    <w:rsid w:val="00070C64"/>
    <w:rsid w:val="00074381"/>
    <w:rsid w:val="00085505"/>
    <w:rsid w:val="0008681F"/>
    <w:rsid w:val="0008766A"/>
    <w:rsid w:val="00087A51"/>
    <w:rsid w:val="0009708B"/>
    <w:rsid w:val="000A18CF"/>
    <w:rsid w:val="000B116B"/>
    <w:rsid w:val="000B3550"/>
    <w:rsid w:val="000B4E6C"/>
    <w:rsid w:val="000C7021"/>
    <w:rsid w:val="000C74D7"/>
    <w:rsid w:val="000D0DCF"/>
    <w:rsid w:val="000D3512"/>
    <w:rsid w:val="000D492E"/>
    <w:rsid w:val="000D670B"/>
    <w:rsid w:val="000D6BBC"/>
    <w:rsid w:val="000D7568"/>
    <w:rsid w:val="000D7780"/>
    <w:rsid w:val="000E2B4E"/>
    <w:rsid w:val="000F16FC"/>
    <w:rsid w:val="0010111D"/>
    <w:rsid w:val="001020DE"/>
    <w:rsid w:val="00102D0A"/>
    <w:rsid w:val="00105929"/>
    <w:rsid w:val="00110481"/>
    <w:rsid w:val="001131D5"/>
    <w:rsid w:val="0012615C"/>
    <w:rsid w:val="001327CF"/>
    <w:rsid w:val="00133843"/>
    <w:rsid w:val="00140BF3"/>
    <w:rsid w:val="00141DB8"/>
    <w:rsid w:val="0015231B"/>
    <w:rsid w:val="00152883"/>
    <w:rsid w:val="00156CF1"/>
    <w:rsid w:val="0017474A"/>
    <w:rsid w:val="0017500D"/>
    <w:rsid w:val="001758C6"/>
    <w:rsid w:val="00176EF8"/>
    <w:rsid w:val="00181315"/>
    <w:rsid w:val="001860BE"/>
    <w:rsid w:val="001B3CF9"/>
    <w:rsid w:val="001B40C7"/>
    <w:rsid w:val="001B482B"/>
    <w:rsid w:val="001B5DE0"/>
    <w:rsid w:val="001C0043"/>
    <w:rsid w:val="001C21C5"/>
    <w:rsid w:val="001C3DF3"/>
    <w:rsid w:val="001D1E5A"/>
    <w:rsid w:val="001D38E8"/>
    <w:rsid w:val="001D6BCA"/>
    <w:rsid w:val="001E6049"/>
    <w:rsid w:val="001E6E67"/>
    <w:rsid w:val="001E7623"/>
    <w:rsid w:val="001F1F2A"/>
    <w:rsid w:val="001F3F23"/>
    <w:rsid w:val="001F79CC"/>
    <w:rsid w:val="00204CB7"/>
    <w:rsid w:val="00204ED8"/>
    <w:rsid w:val="00206713"/>
    <w:rsid w:val="002103D6"/>
    <w:rsid w:val="00211820"/>
    <w:rsid w:val="0021332C"/>
    <w:rsid w:val="00213982"/>
    <w:rsid w:val="00216AED"/>
    <w:rsid w:val="0022393B"/>
    <w:rsid w:val="00237037"/>
    <w:rsid w:val="00237C5E"/>
    <w:rsid w:val="00237C7D"/>
    <w:rsid w:val="00242DB0"/>
    <w:rsid w:val="0024416D"/>
    <w:rsid w:val="00245B35"/>
    <w:rsid w:val="00245B49"/>
    <w:rsid w:val="0024705C"/>
    <w:rsid w:val="00257ED9"/>
    <w:rsid w:val="0027309C"/>
    <w:rsid w:val="0027498B"/>
    <w:rsid w:val="002800A0"/>
    <w:rsid w:val="00281060"/>
    <w:rsid w:val="00283387"/>
    <w:rsid w:val="0028383C"/>
    <w:rsid w:val="00286A49"/>
    <w:rsid w:val="00291E1B"/>
    <w:rsid w:val="0029439F"/>
    <w:rsid w:val="002966E1"/>
    <w:rsid w:val="00297947"/>
    <w:rsid w:val="002A159A"/>
    <w:rsid w:val="002A6E50"/>
    <w:rsid w:val="002A7092"/>
    <w:rsid w:val="002B674C"/>
    <w:rsid w:val="002C034E"/>
    <w:rsid w:val="002C2058"/>
    <w:rsid w:val="002C256A"/>
    <w:rsid w:val="002C2C18"/>
    <w:rsid w:val="002C6721"/>
    <w:rsid w:val="002C7278"/>
    <w:rsid w:val="002D3F24"/>
    <w:rsid w:val="002D59ED"/>
    <w:rsid w:val="002D6E11"/>
    <w:rsid w:val="002D7280"/>
    <w:rsid w:val="002D7606"/>
    <w:rsid w:val="002D7A76"/>
    <w:rsid w:val="002E488C"/>
    <w:rsid w:val="002E5FAB"/>
    <w:rsid w:val="002E7BA1"/>
    <w:rsid w:val="002F21EC"/>
    <w:rsid w:val="002F3719"/>
    <w:rsid w:val="002F5299"/>
    <w:rsid w:val="002F78FA"/>
    <w:rsid w:val="00301B99"/>
    <w:rsid w:val="00303079"/>
    <w:rsid w:val="00305A7F"/>
    <w:rsid w:val="003133F8"/>
    <w:rsid w:val="00314C8A"/>
    <w:rsid w:val="003152FE"/>
    <w:rsid w:val="00320B86"/>
    <w:rsid w:val="00323EA0"/>
    <w:rsid w:val="00325ACB"/>
    <w:rsid w:val="00326F2B"/>
    <w:rsid w:val="00327436"/>
    <w:rsid w:val="00333553"/>
    <w:rsid w:val="00337043"/>
    <w:rsid w:val="0034253A"/>
    <w:rsid w:val="00344BD6"/>
    <w:rsid w:val="0035528D"/>
    <w:rsid w:val="00356294"/>
    <w:rsid w:val="003604A2"/>
    <w:rsid w:val="00361821"/>
    <w:rsid w:val="00365AE2"/>
    <w:rsid w:val="00371AAC"/>
    <w:rsid w:val="00377207"/>
    <w:rsid w:val="00377348"/>
    <w:rsid w:val="00385487"/>
    <w:rsid w:val="0038574A"/>
    <w:rsid w:val="003A17C8"/>
    <w:rsid w:val="003A6B2C"/>
    <w:rsid w:val="003B083D"/>
    <w:rsid w:val="003B412F"/>
    <w:rsid w:val="003C563E"/>
    <w:rsid w:val="003C67B2"/>
    <w:rsid w:val="003C7C62"/>
    <w:rsid w:val="003D227C"/>
    <w:rsid w:val="003D2B4D"/>
    <w:rsid w:val="003D4C8E"/>
    <w:rsid w:val="003D5380"/>
    <w:rsid w:val="003D739C"/>
    <w:rsid w:val="003D7925"/>
    <w:rsid w:val="003F6136"/>
    <w:rsid w:val="003F613F"/>
    <w:rsid w:val="003F68E4"/>
    <w:rsid w:val="004013C9"/>
    <w:rsid w:val="00401704"/>
    <w:rsid w:val="00404ED8"/>
    <w:rsid w:val="00427139"/>
    <w:rsid w:val="00427166"/>
    <w:rsid w:val="00427BFC"/>
    <w:rsid w:val="0043115C"/>
    <w:rsid w:val="004356FA"/>
    <w:rsid w:val="00436CA9"/>
    <w:rsid w:val="004400AA"/>
    <w:rsid w:val="00443C8C"/>
    <w:rsid w:val="00444A88"/>
    <w:rsid w:val="00445D39"/>
    <w:rsid w:val="00445EE9"/>
    <w:rsid w:val="00463A17"/>
    <w:rsid w:val="00474DA4"/>
    <w:rsid w:val="00474DD3"/>
    <w:rsid w:val="00476429"/>
    <w:rsid w:val="0048757E"/>
    <w:rsid w:val="00496170"/>
    <w:rsid w:val="00496E13"/>
    <w:rsid w:val="004A1106"/>
    <w:rsid w:val="004A6C13"/>
    <w:rsid w:val="004A6E43"/>
    <w:rsid w:val="004B0C48"/>
    <w:rsid w:val="004B3BDB"/>
    <w:rsid w:val="004B4151"/>
    <w:rsid w:val="004C2E6D"/>
    <w:rsid w:val="004D047D"/>
    <w:rsid w:val="004D572C"/>
    <w:rsid w:val="004E51FF"/>
    <w:rsid w:val="004F305A"/>
    <w:rsid w:val="004F52DF"/>
    <w:rsid w:val="004F6F0C"/>
    <w:rsid w:val="00501DB9"/>
    <w:rsid w:val="005032CF"/>
    <w:rsid w:val="00503622"/>
    <w:rsid w:val="00503A14"/>
    <w:rsid w:val="00510B5E"/>
    <w:rsid w:val="00512164"/>
    <w:rsid w:val="0051621F"/>
    <w:rsid w:val="00517FE7"/>
    <w:rsid w:val="00520297"/>
    <w:rsid w:val="0052170C"/>
    <w:rsid w:val="00524D6D"/>
    <w:rsid w:val="00531DFC"/>
    <w:rsid w:val="005326C0"/>
    <w:rsid w:val="005338F9"/>
    <w:rsid w:val="00534DEC"/>
    <w:rsid w:val="00535451"/>
    <w:rsid w:val="005364B7"/>
    <w:rsid w:val="0054281C"/>
    <w:rsid w:val="00544984"/>
    <w:rsid w:val="005464FF"/>
    <w:rsid w:val="0055268D"/>
    <w:rsid w:val="005548FE"/>
    <w:rsid w:val="00555EAE"/>
    <w:rsid w:val="005579CC"/>
    <w:rsid w:val="00560DE6"/>
    <w:rsid w:val="00561402"/>
    <w:rsid w:val="0056324B"/>
    <w:rsid w:val="005657E9"/>
    <w:rsid w:val="00572B50"/>
    <w:rsid w:val="00572E44"/>
    <w:rsid w:val="00576BE4"/>
    <w:rsid w:val="005774FB"/>
    <w:rsid w:val="0058071A"/>
    <w:rsid w:val="00581731"/>
    <w:rsid w:val="005A0938"/>
    <w:rsid w:val="005A400A"/>
    <w:rsid w:val="005A54D5"/>
    <w:rsid w:val="005A566D"/>
    <w:rsid w:val="005A7294"/>
    <w:rsid w:val="005C1E5C"/>
    <w:rsid w:val="005D14EC"/>
    <w:rsid w:val="005E1D13"/>
    <w:rsid w:val="005E3498"/>
    <w:rsid w:val="005E3BE6"/>
    <w:rsid w:val="005E5FE3"/>
    <w:rsid w:val="005E737B"/>
    <w:rsid w:val="005F3352"/>
    <w:rsid w:val="0060518C"/>
    <w:rsid w:val="0061106E"/>
    <w:rsid w:val="00612379"/>
    <w:rsid w:val="0061555F"/>
    <w:rsid w:val="00625C12"/>
    <w:rsid w:val="00626CBF"/>
    <w:rsid w:val="006312E0"/>
    <w:rsid w:val="00634D70"/>
    <w:rsid w:val="00636918"/>
    <w:rsid w:val="00641200"/>
    <w:rsid w:val="006466F7"/>
    <w:rsid w:val="0065569B"/>
    <w:rsid w:val="00657E9F"/>
    <w:rsid w:val="00663CFF"/>
    <w:rsid w:val="00663ED8"/>
    <w:rsid w:val="00664515"/>
    <w:rsid w:val="00664A16"/>
    <w:rsid w:val="006729B7"/>
    <w:rsid w:val="00672E93"/>
    <w:rsid w:val="00677A71"/>
    <w:rsid w:val="00685423"/>
    <w:rsid w:val="00687EB4"/>
    <w:rsid w:val="00691CC8"/>
    <w:rsid w:val="00693F08"/>
    <w:rsid w:val="00695F7E"/>
    <w:rsid w:val="00696EC2"/>
    <w:rsid w:val="006B17D2"/>
    <w:rsid w:val="006B376B"/>
    <w:rsid w:val="006B45FA"/>
    <w:rsid w:val="006B663E"/>
    <w:rsid w:val="006C14C8"/>
    <w:rsid w:val="006C224E"/>
    <w:rsid w:val="006C4B11"/>
    <w:rsid w:val="006D4BE5"/>
    <w:rsid w:val="006D57F3"/>
    <w:rsid w:val="006D6DF7"/>
    <w:rsid w:val="006E06D7"/>
    <w:rsid w:val="006E06EB"/>
    <w:rsid w:val="006E3F38"/>
    <w:rsid w:val="006E475E"/>
    <w:rsid w:val="006E50D5"/>
    <w:rsid w:val="006E5336"/>
    <w:rsid w:val="006F0B74"/>
    <w:rsid w:val="006F7034"/>
    <w:rsid w:val="00700DFA"/>
    <w:rsid w:val="007110F1"/>
    <w:rsid w:val="007124EA"/>
    <w:rsid w:val="0071520D"/>
    <w:rsid w:val="0071708A"/>
    <w:rsid w:val="00721B0A"/>
    <w:rsid w:val="00732DEC"/>
    <w:rsid w:val="00735125"/>
    <w:rsid w:val="00735BD5"/>
    <w:rsid w:val="00735EA6"/>
    <w:rsid w:val="00740F21"/>
    <w:rsid w:val="00744627"/>
    <w:rsid w:val="00746475"/>
    <w:rsid w:val="00747831"/>
    <w:rsid w:val="0075117E"/>
    <w:rsid w:val="00751FE7"/>
    <w:rsid w:val="007549DA"/>
    <w:rsid w:val="00754AEB"/>
    <w:rsid w:val="00755146"/>
    <w:rsid w:val="007554E2"/>
    <w:rsid w:val="007556F6"/>
    <w:rsid w:val="007601FB"/>
    <w:rsid w:val="00760EEF"/>
    <w:rsid w:val="0076205B"/>
    <w:rsid w:val="00763A24"/>
    <w:rsid w:val="00773E62"/>
    <w:rsid w:val="00775A8B"/>
    <w:rsid w:val="00775AFC"/>
    <w:rsid w:val="00777EE5"/>
    <w:rsid w:val="007806FE"/>
    <w:rsid w:val="00783660"/>
    <w:rsid w:val="00784836"/>
    <w:rsid w:val="0079023E"/>
    <w:rsid w:val="007A540E"/>
    <w:rsid w:val="007B4B1B"/>
    <w:rsid w:val="007B6894"/>
    <w:rsid w:val="007C6639"/>
    <w:rsid w:val="007D0B9D"/>
    <w:rsid w:val="007D19B0"/>
    <w:rsid w:val="007D4B33"/>
    <w:rsid w:val="007E6A6C"/>
    <w:rsid w:val="007F498F"/>
    <w:rsid w:val="007F4D0E"/>
    <w:rsid w:val="007F5348"/>
    <w:rsid w:val="007F5E96"/>
    <w:rsid w:val="008001C5"/>
    <w:rsid w:val="00805BC3"/>
    <w:rsid w:val="0080679D"/>
    <w:rsid w:val="008108B0"/>
    <w:rsid w:val="00810FD7"/>
    <w:rsid w:val="00811B20"/>
    <w:rsid w:val="00813085"/>
    <w:rsid w:val="00816638"/>
    <w:rsid w:val="0082001D"/>
    <w:rsid w:val="008204C5"/>
    <w:rsid w:val="0082296E"/>
    <w:rsid w:val="00822ED0"/>
    <w:rsid w:val="00824099"/>
    <w:rsid w:val="0082539E"/>
    <w:rsid w:val="00827347"/>
    <w:rsid w:val="008273EE"/>
    <w:rsid w:val="00832C04"/>
    <w:rsid w:val="00833A10"/>
    <w:rsid w:val="00836E88"/>
    <w:rsid w:val="008409CE"/>
    <w:rsid w:val="00843A1E"/>
    <w:rsid w:val="00850D5B"/>
    <w:rsid w:val="00855DBD"/>
    <w:rsid w:val="008572CC"/>
    <w:rsid w:val="00861D44"/>
    <w:rsid w:val="008620DF"/>
    <w:rsid w:val="00863D89"/>
    <w:rsid w:val="00867AC1"/>
    <w:rsid w:val="00874A8F"/>
    <w:rsid w:val="00876672"/>
    <w:rsid w:val="00882B11"/>
    <w:rsid w:val="00885099"/>
    <w:rsid w:val="00885F22"/>
    <w:rsid w:val="008905B3"/>
    <w:rsid w:val="008973EC"/>
    <w:rsid w:val="008A243F"/>
    <w:rsid w:val="008A303B"/>
    <w:rsid w:val="008A395B"/>
    <w:rsid w:val="008A743F"/>
    <w:rsid w:val="008B03DA"/>
    <w:rsid w:val="008B47DB"/>
    <w:rsid w:val="008B4D70"/>
    <w:rsid w:val="008B5020"/>
    <w:rsid w:val="008B51D0"/>
    <w:rsid w:val="008C00C9"/>
    <w:rsid w:val="008C0970"/>
    <w:rsid w:val="008C4211"/>
    <w:rsid w:val="008D149E"/>
    <w:rsid w:val="008D2CF7"/>
    <w:rsid w:val="008E0885"/>
    <w:rsid w:val="008E212F"/>
    <w:rsid w:val="008E69ED"/>
    <w:rsid w:val="008E793E"/>
    <w:rsid w:val="008F5319"/>
    <w:rsid w:val="00900C26"/>
    <w:rsid w:val="0090197F"/>
    <w:rsid w:val="00906DDC"/>
    <w:rsid w:val="00914EC0"/>
    <w:rsid w:val="00917843"/>
    <w:rsid w:val="00917E23"/>
    <w:rsid w:val="00934E09"/>
    <w:rsid w:val="00936253"/>
    <w:rsid w:val="00937353"/>
    <w:rsid w:val="00940BE9"/>
    <w:rsid w:val="00941D47"/>
    <w:rsid w:val="009467A2"/>
    <w:rsid w:val="0095691C"/>
    <w:rsid w:val="00961205"/>
    <w:rsid w:val="00964BDD"/>
    <w:rsid w:val="00967B76"/>
    <w:rsid w:val="00970FED"/>
    <w:rsid w:val="009717E5"/>
    <w:rsid w:val="0097298C"/>
    <w:rsid w:val="00973639"/>
    <w:rsid w:val="00980C2D"/>
    <w:rsid w:val="00981070"/>
    <w:rsid w:val="009829BC"/>
    <w:rsid w:val="00984291"/>
    <w:rsid w:val="00986A08"/>
    <w:rsid w:val="00987EB2"/>
    <w:rsid w:val="00992D10"/>
    <w:rsid w:val="00997029"/>
    <w:rsid w:val="009A01EA"/>
    <w:rsid w:val="009A129E"/>
    <w:rsid w:val="009B0F51"/>
    <w:rsid w:val="009B5CBB"/>
    <w:rsid w:val="009C3FD8"/>
    <w:rsid w:val="009D0DE5"/>
    <w:rsid w:val="009D5D0F"/>
    <w:rsid w:val="009D690D"/>
    <w:rsid w:val="009E225F"/>
    <w:rsid w:val="009E5234"/>
    <w:rsid w:val="009E65B6"/>
    <w:rsid w:val="009E7594"/>
    <w:rsid w:val="009F1C62"/>
    <w:rsid w:val="009F3B15"/>
    <w:rsid w:val="00A005C2"/>
    <w:rsid w:val="00A01473"/>
    <w:rsid w:val="00A02509"/>
    <w:rsid w:val="00A07E10"/>
    <w:rsid w:val="00A12573"/>
    <w:rsid w:val="00A14C36"/>
    <w:rsid w:val="00A240DC"/>
    <w:rsid w:val="00A252A7"/>
    <w:rsid w:val="00A322D3"/>
    <w:rsid w:val="00A42709"/>
    <w:rsid w:val="00A42AC3"/>
    <w:rsid w:val="00A430CF"/>
    <w:rsid w:val="00A433BF"/>
    <w:rsid w:val="00A4478B"/>
    <w:rsid w:val="00A448C7"/>
    <w:rsid w:val="00A4542D"/>
    <w:rsid w:val="00A4597D"/>
    <w:rsid w:val="00A45C16"/>
    <w:rsid w:val="00A52B36"/>
    <w:rsid w:val="00A54309"/>
    <w:rsid w:val="00A57F89"/>
    <w:rsid w:val="00A614A3"/>
    <w:rsid w:val="00A6432B"/>
    <w:rsid w:val="00A744C4"/>
    <w:rsid w:val="00A80466"/>
    <w:rsid w:val="00A838FE"/>
    <w:rsid w:val="00A84684"/>
    <w:rsid w:val="00A85ACA"/>
    <w:rsid w:val="00AA014C"/>
    <w:rsid w:val="00AA52BA"/>
    <w:rsid w:val="00AA60E1"/>
    <w:rsid w:val="00AB2B93"/>
    <w:rsid w:val="00AB39ED"/>
    <w:rsid w:val="00AB61BA"/>
    <w:rsid w:val="00AC24D4"/>
    <w:rsid w:val="00AC4F04"/>
    <w:rsid w:val="00AC604D"/>
    <w:rsid w:val="00AD0C35"/>
    <w:rsid w:val="00AD1457"/>
    <w:rsid w:val="00AE0058"/>
    <w:rsid w:val="00AE0A0E"/>
    <w:rsid w:val="00AE0EF1"/>
    <w:rsid w:val="00AF0D78"/>
    <w:rsid w:val="00AF2B73"/>
    <w:rsid w:val="00AF44D8"/>
    <w:rsid w:val="00AF7C3D"/>
    <w:rsid w:val="00B014C2"/>
    <w:rsid w:val="00B05BF0"/>
    <w:rsid w:val="00B06FAA"/>
    <w:rsid w:val="00B07301"/>
    <w:rsid w:val="00B110B4"/>
    <w:rsid w:val="00B12F6F"/>
    <w:rsid w:val="00B224DE"/>
    <w:rsid w:val="00B53046"/>
    <w:rsid w:val="00B54B9E"/>
    <w:rsid w:val="00B577F8"/>
    <w:rsid w:val="00B61AD7"/>
    <w:rsid w:val="00B64336"/>
    <w:rsid w:val="00B649CA"/>
    <w:rsid w:val="00B812DB"/>
    <w:rsid w:val="00B81584"/>
    <w:rsid w:val="00B84BBD"/>
    <w:rsid w:val="00B94CC6"/>
    <w:rsid w:val="00B95EC0"/>
    <w:rsid w:val="00B97DA0"/>
    <w:rsid w:val="00BA3181"/>
    <w:rsid w:val="00BA43FB"/>
    <w:rsid w:val="00BA4780"/>
    <w:rsid w:val="00BA59EF"/>
    <w:rsid w:val="00BA72FD"/>
    <w:rsid w:val="00BB2F73"/>
    <w:rsid w:val="00BB714E"/>
    <w:rsid w:val="00BC1009"/>
    <w:rsid w:val="00BC127D"/>
    <w:rsid w:val="00BC1FE6"/>
    <w:rsid w:val="00BC4CF5"/>
    <w:rsid w:val="00BD4C24"/>
    <w:rsid w:val="00BE1DCF"/>
    <w:rsid w:val="00BE5E7B"/>
    <w:rsid w:val="00BF2AA3"/>
    <w:rsid w:val="00BF3A9C"/>
    <w:rsid w:val="00BF4B80"/>
    <w:rsid w:val="00C03628"/>
    <w:rsid w:val="00C061B6"/>
    <w:rsid w:val="00C07827"/>
    <w:rsid w:val="00C124C6"/>
    <w:rsid w:val="00C206D8"/>
    <w:rsid w:val="00C21DBF"/>
    <w:rsid w:val="00C224C1"/>
    <w:rsid w:val="00C2446C"/>
    <w:rsid w:val="00C272B3"/>
    <w:rsid w:val="00C36AE5"/>
    <w:rsid w:val="00C41E6D"/>
    <w:rsid w:val="00C41F17"/>
    <w:rsid w:val="00C4774A"/>
    <w:rsid w:val="00C52099"/>
    <w:rsid w:val="00C54BF4"/>
    <w:rsid w:val="00C5791C"/>
    <w:rsid w:val="00C61953"/>
    <w:rsid w:val="00C629A4"/>
    <w:rsid w:val="00C66290"/>
    <w:rsid w:val="00C662E0"/>
    <w:rsid w:val="00C72B7A"/>
    <w:rsid w:val="00C82146"/>
    <w:rsid w:val="00C83B86"/>
    <w:rsid w:val="00C8450D"/>
    <w:rsid w:val="00C85C59"/>
    <w:rsid w:val="00C867C9"/>
    <w:rsid w:val="00C87364"/>
    <w:rsid w:val="00C90BBE"/>
    <w:rsid w:val="00C9138C"/>
    <w:rsid w:val="00C96A65"/>
    <w:rsid w:val="00C973F2"/>
    <w:rsid w:val="00CA774A"/>
    <w:rsid w:val="00CB0E74"/>
    <w:rsid w:val="00CB5F26"/>
    <w:rsid w:val="00CB63F4"/>
    <w:rsid w:val="00CC10BE"/>
    <w:rsid w:val="00CC11B0"/>
    <w:rsid w:val="00CC16B9"/>
    <w:rsid w:val="00CC28D8"/>
    <w:rsid w:val="00CD0496"/>
    <w:rsid w:val="00CD5675"/>
    <w:rsid w:val="00CE0E16"/>
    <w:rsid w:val="00CE5AE2"/>
    <w:rsid w:val="00CE5D9D"/>
    <w:rsid w:val="00CF07A4"/>
    <w:rsid w:val="00CF53D2"/>
    <w:rsid w:val="00CF7E36"/>
    <w:rsid w:val="00D014DA"/>
    <w:rsid w:val="00D02D20"/>
    <w:rsid w:val="00D040CF"/>
    <w:rsid w:val="00D16F5A"/>
    <w:rsid w:val="00D20125"/>
    <w:rsid w:val="00D233D8"/>
    <w:rsid w:val="00D24210"/>
    <w:rsid w:val="00D26EEA"/>
    <w:rsid w:val="00D31156"/>
    <w:rsid w:val="00D3708D"/>
    <w:rsid w:val="00D40426"/>
    <w:rsid w:val="00D4331D"/>
    <w:rsid w:val="00D501E6"/>
    <w:rsid w:val="00D54C2D"/>
    <w:rsid w:val="00D54FAA"/>
    <w:rsid w:val="00D56591"/>
    <w:rsid w:val="00D57C96"/>
    <w:rsid w:val="00D62F84"/>
    <w:rsid w:val="00D64E2D"/>
    <w:rsid w:val="00D70654"/>
    <w:rsid w:val="00D71F82"/>
    <w:rsid w:val="00D73111"/>
    <w:rsid w:val="00D774B9"/>
    <w:rsid w:val="00D84086"/>
    <w:rsid w:val="00D91203"/>
    <w:rsid w:val="00D95174"/>
    <w:rsid w:val="00D95A5C"/>
    <w:rsid w:val="00DA3537"/>
    <w:rsid w:val="00DA472E"/>
    <w:rsid w:val="00DA6592"/>
    <w:rsid w:val="00DA6F36"/>
    <w:rsid w:val="00DA7A31"/>
    <w:rsid w:val="00DB2060"/>
    <w:rsid w:val="00DB2389"/>
    <w:rsid w:val="00DB79D7"/>
    <w:rsid w:val="00DB7A81"/>
    <w:rsid w:val="00DC00EA"/>
    <w:rsid w:val="00DD31D8"/>
    <w:rsid w:val="00DD43F8"/>
    <w:rsid w:val="00DD6610"/>
    <w:rsid w:val="00DE2887"/>
    <w:rsid w:val="00DF2A4D"/>
    <w:rsid w:val="00DF48F8"/>
    <w:rsid w:val="00DF74AF"/>
    <w:rsid w:val="00E02E8D"/>
    <w:rsid w:val="00E0704B"/>
    <w:rsid w:val="00E151DC"/>
    <w:rsid w:val="00E22369"/>
    <w:rsid w:val="00E23920"/>
    <w:rsid w:val="00E31FBC"/>
    <w:rsid w:val="00E3452D"/>
    <w:rsid w:val="00E417BF"/>
    <w:rsid w:val="00E52D7A"/>
    <w:rsid w:val="00E53A84"/>
    <w:rsid w:val="00E54BF2"/>
    <w:rsid w:val="00E553D6"/>
    <w:rsid w:val="00E5542C"/>
    <w:rsid w:val="00E60D05"/>
    <w:rsid w:val="00E61920"/>
    <w:rsid w:val="00E62F82"/>
    <w:rsid w:val="00E63E6B"/>
    <w:rsid w:val="00E6612F"/>
    <w:rsid w:val="00E72D49"/>
    <w:rsid w:val="00E74907"/>
    <w:rsid w:val="00E7593C"/>
    <w:rsid w:val="00E7678A"/>
    <w:rsid w:val="00E80940"/>
    <w:rsid w:val="00E826E3"/>
    <w:rsid w:val="00E82AAC"/>
    <w:rsid w:val="00E935F1"/>
    <w:rsid w:val="00E94A81"/>
    <w:rsid w:val="00E95EA4"/>
    <w:rsid w:val="00E96261"/>
    <w:rsid w:val="00E973B3"/>
    <w:rsid w:val="00E974C5"/>
    <w:rsid w:val="00EA1FFB"/>
    <w:rsid w:val="00EA5799"/>
    <w:rsid w:val="00EA5B19"/>
    <w:rsid w:val="00EB048E"/>
    <w:rsid w:val="00EB383D"/>
    <w:rsid w:val="00EB3EFA"/>
    <w:rsid w:val="00EC2F0D"/>
    <w:rsid w:val="00EC4D01"/>
    <w:rsid w:val="00ED2696"/>
    <w:rsid w:val="00ED43F4"/>
    <w:rsid w:val="00ED5A19"/>
    <w:rsid w:val="00ED7D70"/>
    <w:rsid w:val="00EE20CE"/>
    <w:rsid w:val="00EE3083"/>
    <w:rsid w:val="00EE3BA1"/>
    <w:rsid w:val="00EF06E6"/>
    <w:rsid w:val="00EF0C38"/>
    <w:rsid w:val="00EF25D3"/>
    <w:rsid w:val="00EF2F89"/>
    <w:rsid w:val="00EF7BD9"/>
    <w:rsid w:val="00F027EB"/>
    <w:rsid w:val="00F03AF7"/>
    <w:rsid w:val="00F04DEB"/>
    <w:rsid w:val="00F0667D"/>
    <w:rsid w:val="00F10088"/>
    <w:rsid w:val="00F115A5"/>
    <w:rsid w:val="00F1237A"/>
    <w:rsid w:val="00F15A31"/>
    <w:rsid w:val="00F22CBD"/>
    <w:rsid w:val="00F24EDC"/>
    <w:rsid w:val="00F26664"/>
    <w:rsid w:val="00F34A54"/>
    <w:rsid w:val="00F34A7F"/>
    <w:rsid w:val="00F37961"/>
    <w:rsid w:val="00F44839"/>
    <w:rsid w:val="00F469A2"/>
    <w:rsid w:val="00F472BF"/>
    <w:rsid w:val="00F51150"/>
    <w:rsid w:val="00F52FC2"/>
    <w:rsid w:val="00F559F8"/>
    <w:rsid w:val="00F617BA"/>
    <w:rsid w:val="00F62281"/>
    <w:rsid w:val="00F62A2A"/>
    <w:rsid w:val="00F6334D"/>
    <w:rsid w:val="00F6678C"/>
    <w:rsid w:val="00F738EA"/>
    <w:rsid w:val="00F80EEA"/>
    <w:rsid w:val="00F91AC9"/>
    <w:rsid w:val="00FA49AB"/>
    <w:rsid w:val="00FA4A5F"/>
    <w:rsid w:val="00FB0D37"/>
    <w:rsid w:val="00FB2998"/>
    <w:rsid w:val="00FC5EE5"/>
    <w:rsid w:val="00FD5720"/>
    <w:rsid w:val="00FD5B01"/>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DAD8-D899-482C-849D-A47E1FBF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2177</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MAY Jessica</cp:lastModifiedBy>
  <cp:revision>4</cp:revision>
  <cp:lastPrinted>2016-04-29T17:00:00Z</cp:lastPrinted>
  <dcterms:created xsi:type="dcterms:W3CDTF">2016-05-17T06:16:00Z</dcterms:created>
  <dcterms:modified xsi:type="dcterms:W3CDTF">2016-05-19T12:04:00Z</dcterms:modified>
</cp:coreProperties>
</file>