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332636">
              <w:t>C/3</w:t>
            </w:r>
            <w:r w:rsidR="003653C5">
              <w:t>3</w:t>
            </w:r>
            <w:r w:rsidR="00332636">
              <w:t>/</w:t>
            </w:r>
            <w:r w:rsidR="00FD1B3B">
              <w:t>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B51B94">
            <w:pPr>
              <w:pStyle w:val="Docoriginal"/>
            </w:pPr>
            <w:r w:rsidRPr="00B51B94">
              <w:rPr>
                <w:spacing w:val="0"/>
              </w:rPr>
              <w:t>DATE:</w:t>
            </w:r>
            <w:r w:rsidRPr="00B51B94">
              <w:rPr>
                <w:rStyle w:val="StyleDocoriginalNotBold1"/>
                <w:spacing w:val="0"/>
              </w:rPr>
              <w:t xml:space="preserve"> </w:t>
            </w:r>
            <w:bookmarkStart w:id="2" w:name="Date"/>
            <w:bookmarkEnd w:id="2"/>
            <w:r w:rsidR="00876C58" w:rsidRPr="00B51B94">
              <w:rPr>
                <w:rStyle w:val="StyleDocoriginalNotBold1"/>
                <w:spacing w:val="0"/>
              </w:rPr>
              <w:t xml:space="preserve"> </w:t>
            </w:r>
            <w:r w:rsidR="00B51B94" w:rsidRPr="00B51B94">
              <w:rPr>
                <w:rStyle w:val="StyleDocoriginalNotBold1"/>
                <w:spacing w:val="0"/>
              </w:rPr>
              <w:t>June 1</w:t>
            </w:r>
            <w:r w:rsidR="003653C5" w:rsidRPr="00B51B94">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2F5F4C" w:rsidRPr="00C5280D" w:rsidRDefault="002F5F4C" w:rsidP="002F5F4C">
      <w:pPr>
        <w:pStyle w:val="Titleofdoc0"/>
      </w:pPr>
      <w:bookmarkStart w:id="3" w:name="TitleOfDoc"/>
      <w:bookmarkEnd w:id="3"/>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2F5F4C" w:rsidRPr="00C5280D" w:rsidRDefault="002F5F4C" w:rsidP="002F5F4C">
      <w:pPr>
        <w:pStyle w:val="preparedby1"/>
      </w:pPr>
      <w:bookmarkStart w:id="4" w:name="Prepared"/>
      <w:bookmarkEnd w:id="4"/>
      <w:r w:rsidRPr="00704EB7">
        <w:t>Document prepared by the Office of the Union</w:t>
      </w:r>
      <w:r>
        <w:br/>
      </w:r>
      <w:r>
        <w:br/>
      </w:r>
      <w:r>
        <w:rPr>
          <w:color w:val="A6A6A6" w:themeColor="background1" w:themeShade="A6"/>
        </w:rPr>
        <w:t>Disclaimer:  this document does not represent UPOV policies or guidance</w:t>
      </w:r>
    </w:p>
    <w:p w:rsidR="002F5F4C" w:rsidRPr="00483972" w:rsidRDefault="002F5F4C" w:rsidP="002F5F4C">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9718947"/>
      <w:bookmarkStart w:id="13" w:name="_Toc419730134"/>
      <w:r w:rsidRPr="009D77D3">
        <w:t xml:space="preserve">Executive </w:t>
      </w:r>
      <w:r w:rsidRPr="00483972">
        <w:t>summary</w:t>
      </w:r>
      <w:bookmarkEnd w:id="5"/>
      <w:bookmarkEnd w:id="6"/>
      <w:bookmarkEnd w:id="7"/>
      <w:bookmarkEnd w:id="8"/>
      <w:bookmarkEnd w:id="9"/>
      <w:bookmarkEnd w:id="10"/>
      <w:bookmarkEnd w:id="11"/>
      <w:bookmarkEnd w:id="12"/>
      <w:bookmarkEnd w:id="13"/>
      <w:r w:rsidRPr="006C5654">
        <w:rPr>
          <w:color w:val="FF0000"/>
        </w:rPr>
        <w:t xml:space="preserve"> </w:t>
      </w:r>
    </w:p>
    <w:p w:rsidR="002F5F4C" w:rsidRDefault="002F5F4C" w:rsidP="002F5F4C">
      <w:pPr>
        <w:rPr>
          <w:lang w:eastAsia="ja-JP"/>
        </w:rPr>
      </w:pPr>
    </w:p>
    <w:p w:rsidR="002F5F4C" w:rsidRDefault="002F5F4C" w:rsidP="002F5F4C">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2F5F4C" w:rsidRDefault="002F5F4C" w:rsidP="002F5F4C">
      <w:pPr>
        <w:rPr>
          <w:snapToGrid w:val="0"/>
        </w:rPr>
      </w:pPr>
    </w:p>
    <w:p w:rsidR="002F5F4C" w:rsidRDefault="002F5F4C" w:rsidP="002F5F4C">
      <w:pPr>
        <w:pStyle w:val="DecisionParagraphs"/>
        <w:tabs>
          <w:tab w:val="left" w:pos="540"/>
        </w:tabs>
        <w:ind w:left="0"/>
        <w:rPr>
          <w:i w:val="0"/>
        </w:rPr>
      </w:pPr>
      <w:r w:rsidRPr="00727FCB">
        <w:rPr>
          <w:i w:val="0"/>
        </w:rPr>
        <w:fldChar w:fldCharType="begin"/>
      </w:r>
      <w:r w:rsidRPr="00727FCB">
        <w:rPr>
          <w:i w:val="0"/>
        </w:rPr>
        <w:instrText xml:space="preserve"> AUTONUM  </w:instrText>
      </w:r>
      <w:r w:rsidRPr="00727FCB">
        <w:rPr>
          <w:i w:val="0"/>
        </w:rPr>
        <w:fldChar w:fldCharType="end"/>
      </w:r>
      <w:r w:rsidRPr="00727FCB">
        <w:rPr>
          <w:i w:val="0"/>
        </w:rPr>
        <w:tab/>
        <w:t xml:space="preserve">The </w:t>
      </w:r>
      <w:r w:rsidR="00FD1B3B">
        <w:rPr>
          <w:rFonts w:hint="eastAsia"/>
          <w:i w:val="0"/>
        </w:rPr>
        <w:t>TW</w:t>
      </w:r>
      <w:r w:rsidR="00FD1B3B">
        <w:rPr>
          <w:i w:val="0"/>
        </w:rPr>
        <w:t>C</w:t>
      </w:r>
      <w:r w:rsidRPr="00727FCB">
        <w:rPr>
          <w:i w:val="0"/>
        </w:rPr>
        <w:t xml:space="preserve"> is invited to</w:t>
      </w:r>
      <w:r>
        <w:rPr>
          <w:rFonts w:hint="eastAsia"/>
          <w:i w:val="0"/>
        </w:rPr>
        <w:t xml:space="preserve"> </w:t>
      </w:r>
      <w:r>
        <w:rPr>
          <w:i w:val="0"/>
        </w:rPr>
        <w:t>consider</w:t>
      </w:r>
      <w:r w:rsidRPr="00DC0A07">
        <w:rPr>
          <w:i w:val="0"/>
        </w:rPr>
        <w:t xml:space="preserve"> </w:t>
      </w:r>
      <w:r>
        <w:rPr>
          <w:i w:val="0"/>
        </w:rPr>
        <w:t xml:space="preserve">the </w:t>
      </w:r>
      <w:r w:rsidRPr="00DC0A07">
        <w:rPr>
          <w:i w:val="0"/>
        </w:rPr>
        <w:t>draft guidance in the Annex to this document, for inclusion in a future revision of document TGP/8 on minimizing the variation due to different observers</w:t>
      </w:r>
      <w:r>
        <w:rPr>
          <w:i w:val="0"/>
        </w:rPr>
        <w:t>.</w:t>
      </w:r>
    </w:p>
    <w:p w:rsidR="002F5F4C" w:rsidRDefault="002F5F4C" w:rsidP="002F5F4C">
      <w:pPr>
        <w:ind w:left="1701" w:hanging="981"/>
      </w:pPr>
    </w:p>
    <w:p w:rsidR="002F5F4C" w:rsidRDefault="002F5F4C" w:rsidP="002F5F4C">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2F5F4C" w:rsidRPr="00791943" w:rsidRDefault="002F5F4C" w:rsidP="002F5F4C">
      <w:pPr>
        <w:rPr>
          <w:snapToGrid w:val="0"/>
        </w:rPr>
      </w:pPr>
    </w:p>
    <w:p w:rsidR="002F5F4C" w:rsidRDefault="002F5F4C" w:rsidP="00B51B94">
      <w:pPr>
        <w:pStyle w:val="TOC1"/>
        <w:spacing w:after="120"/>
        <w:contextualSpacing w:val="0"/>
        <w:rPr>
          <w:rFonts w:asciiTheme="minorHAnsi" w:eastAsiaTheme="minorEastAsia" w:hAnsiTheme="minorHAnsi" w:cstheme="minorBidi"/>
          <w:caps w:val="0"/>
          <w:sz w:val="22"/>
          <w:szCs w:val="22"/>
        </w:rPr>
      </w:pPr>
      <w:r w:rsidRPr="008B2341">
        <w:fldChar w:fldCharType="begin"/>
      </w:r>
      <w:r w:rsidRPr="008B2341">
        <w:instrText xml:space="preserve"> TOC \o "1-3" \h \z \u </w:instrText>
      </w:r>
      <w:r w:rsidRPr="008B2341">
        <w:fldChar w:fldCharType="separate"/>
      </w:r>
      <w:hyperlink w:anchor="_Toc419730134" w:history="1">
        <w:r w:rsidRPr="006023DA">
          <w:rPr>
            <w:rStyle w:val="Hyperlink"/>
          </w:rPr>
          <w:t>Executive summary</w:t>
        </w:r>
        <w:r>
          <w:rPr>
            <w:webHidden/>
          </w:rPr>
          <w:tab/>
        </w:r>
        <w:r>
          <w:rPr>
            <w:webHidden/>
          </w:rPr>
          <w:fldChar w:fldCharType="begin"/>
        </w:r>
        <w:r>
          <w:rPr>
            <w:webHidden/>
          </w:rPr>
          <w:instrText xml:space="preserve"> PAGEREF _Toc419730134 \h </w:instrText>
        </w:r>
        <w:r>
          <w:rPr>
            <w:webHidden/>
          </w:rPr>
        </w:r>
        <w:r>
          <w:rPr>
            <w:webHidden/>
          </w:rPr>
          <w:fldChar w:fldCharType="separate"/>
        </w:r>
        <w:r w:rsidR="002B54DB">
          <w:rPr>
            <w:webHidden/>
          </w:rPr>
          <w:t>1</w:t>
        </w:r>
        <w:r>
          <w:rPr>
            <w:webHidden/>
          </w:rPr>
          <w:fldChar w:fldCharType="end"/>
        </w:r>
      </w:hyperlink>
    </w:p>
    <w:p w:rsidR="002F5F4C" w:rsidRDefault="002B54DB" w:rsidP="00B51B94">
      <w:pPr>
        <w:pStyle w:val="TOC1"/>
        <w:spacing w:after="120"/>
        <w:contextualSpacing w:val="0"/>
        <w:rPr>
          <w:rFonts w:asciiTheme="minorHAnsi" w:eastAsiaTheme="minorEastAsia" w:hAnsiTheme="minorHAnsi" w:cstheme="minorBidi"/>
          <w:caps w:val="0"/>
          <w:sz w:val="22"/>
          <w:szCs w:val="22"/>
        </w:rPr>
      </w:pPr>
      <w:hyperlink w:anchor="_Toc419730135" w:history="1">
        <w:r w:rsidR="002F5F4C" w:rsidRPr="006023DA">
          <w:rPr>
            <w:rStyle w:val="Hyperlink"/>
          </w:rPr>
          <w:t>background</w:t>
        </w:r>
        <w:r w:rsidR="002F5F4C">
          <w:rPr>
            <w:webHidden/>
          </w:rPr>
          <w:tab/>
        </w:r>
        <w:r w:rsidR="002F5F4C">
          <w:rPr>
            <w:webHidden/>
          </w:rPr>
          <w:fldChar w:fldCharType="begin"/>
        </w:r>
        <w:r w:rsidR="002F5F4C">
          <w:rPr>
            <w:webHidden/>
          </w:rPr>
          <w:instrText xml:space="preserve"> PAGEREF _Toc419730135 \h </w:instrText>
        </w:r>
        <w:r w:rsidR="002F5F4C">
          <w:rPr>
            <w:webHidden/>
          </w:rPr>
        </w:r>
        <w:r w:rsidR="002F5F4C">
          <w:rPr>
            <w:webHidden/>
          </w:rPr>
          <w:fldChar w:fldCharType="separate"/>
        </w:r>
        <w:r>
          <w:rPr>
            <w:webHidden/>
          </w:rPr>
          <w:t>2</w:t>
        </w:r>
        <w:r w:rsidR="002F5F4C">
          <w:rPr>
            <w:webHidden/>
          </w:rPr>
          <w:fldChar w:fldCharType="end"/>
        </w:r>
      </w:hyperlink>
    </w:p>
    <w:p w:rsidR="002F5F4C" w:rsidRDefault="002B54DB" w:rsidP="00B51B94">
      <w:pPr>
        <w:pStyle w:val="TOC1"/>
        <w:spacing w:after="120"/>
        <w:contextualSpacing w:val="0"/>
        <w:rPr>
          <w:rFonts w:asciiTheme="minorHAnsi" w:eastAsiaTheme="minorEastAsia" w:hAnsiTheme="minorHAnsi" w:cstheme="minorBidi"/>
          <w:caps w:val="0"/>
          <w:sz w:val="22"/>
          <w:szCs w:val="22"/>
        </w:rPr>
      </w:pPr>
      <w:hyperlink w:anchor="_Toc419730136" w:history="1">
        <w:r w:rsidR="002F5F4C" w:rsidRPr="006023DA">
          <w:rPr>
            <w:rStyle w:val="Hyperlink"/>
          </w:rPr>
          <w:t>Developments in 2014</w:t>
        </w:r>
        <w:r w:rsidR="002F5F4C">
          <w:rPr>
            <w:webHidden/>
          </w:rPr>
          <w:tab/>
        </w:r>
        <w:r w:rsidR="002F5F4C">
          <w:rPr>
            <w:webHidden/>
          </w:rPr>
          <w:fldChar w:fldCharType="begin"/>
        </w:r>
        <w:r w:rsidR="002F5F4C">
          <w:rPr>
            <w:webHidden/>
          </w:rPr>
          <w:instrText xml:space="preserve"> PAGEREF _Toc419730136 \h </w:instrText>
        </w:r>
        <w:r w:rsidR="002F5F4C">
          <w:rPr>
            <w:webHidden/>
          </w:rPr>
        </w:r>
        <w:r w:rsidR="002F5F4C">
          <w:rPr>
            <w:webHidden/>
          </w:rPr>
          <w:fldChar w:fldCharType="separate"/>
        </w:r>
        <w:r>
          <w:rPr>
            <w:webHidden/>
          </w:rPr>
          <w:t>2</w:t>
        </w:r>
        <w:r w:rsidR="002F5F4C">
          <w:rPr>
            <w:webHidden/>
          </w:rPr>
          <w:fldChar w:fldCharType="end"/>
        </w:r>
      </w:hyperlink>
    </w:p>
    <w:p w:rsidR="002F5F4C" w:rsidRDefault="002B54DB" w:rsidP="00B51B94">
      <w:pPr>
        <w:pStyle w:val="TOC2"/>
        <w:rPr>
          <w:rFonts w:asciiTheme="minorHAnsi" w:eastAsiaTheme="minorEastAsia" w:hAnsiTheme="minorHAnsi" w:cstheme="minorBidi"/>
          <w:smallCaps/>
          <w:sz w:val="22"/>
          <w:szCs w:val="22"/>
        </w:rPr>
      </w:pPr>
      <w:hyperlink w:anchor="_Toc419730137" w:history="1">
        <w:r w:rsidR="002F5F4C" w:rsidRPr="006023DA">
          <w:rPr>
            <w:rStyle w:val="Hyperlink"/>
          </w:rPr>
          <w:t>Technical Committee</w:t>
        </w:r>
        <w:r w:rsidR="002F5F4C">
          <w:rPr>
            <w:webHidden/>
          </w:rPr>
          <w:tab/>
        </w:r>
        <w:r w:rsidR="002F5F4C">
          <w:rPr>
            <w:webHidden/>
          </w:rPr>
          <w:fldChar w:fldCharType="begin"/>
        </w:r>
        <w:r w:rsidR="002F5F4C">
          <w:rPr>
            <w:webHidden/>
          </w:rPr>
          <w:instrText xml:space="preserve"> PAGEREF _Toc419730137 \h </w:instrText>
        </w:r>
        <w:r w:rsidR="002F5F4C">
          <w:rPr>
            <w:webHidden/>
          </w:rPr>
        </w:r>
        <w:r w:rsidR="002F5F4C">
          <w:rPr>
            <w:webHidden/>
          </w:rPr>
          <w:fldChar w:fldCharType="separate"/>
        </w:r>
        <w:r>
          <w:rPr>
            <w:webHidden/>
          </w:rPr>
          <w:t>2</w:t>
        </w:r>
        <w:r w:rsidR="002F5F4C">
          <w:rPr>
            <w:webHidden/>
          </w:rPr>
          <w:fldChar w:fldCharType="end"/>
        </w:r>
      </w:hyperlink>
    </w:p>
    <w:p w:rsidR="002F5F4C" w:rsidRDefault="002B54DB" w:rsidP="00B51B94">
      <w:pPr>
        <w:pStyle w:val="TOC2"/>
        <w:rPr>
          <w:rFonts w:asciiTheme="minorHAnsi" w:eastAsiaTheme="minorEastAsia" w:hAnsiTheme="minorHAnsi" w:cstheme="minorBidi"/>
          <w:smallCaps/>
          <w:sz w:val="22"/>
          <w:szCs w:val="22"/>
        </w:rPr>
      </w:pPr>
      <w:hyperlink w:anchor="_Toc419730138" w:history="1">
        <w:r w:rsidR="002F5F4C" w:rsidRPr="006023DA">
          <w:rPr>
            <w:rStyle w:val="Hyperlink"/>
          </w:rPr>
          <w:t>Technical Working Parties</w:t>
        </w:r>
        <w:r w:rsidR="002F5F4C">
          <w:rPr>
            <w:webHidden/>
          </w:rPr>
          <w:tab/>
        </w:r>
        <w:r w:rsidR="002F5F4C">
          <w:rPr>
            <w:webHidden/>
          </w:rPr>
          <w:fldChar w:fldCharType="begin"/>
        </w:r>
        <w:r w:rsidR="002F5F4C">
          <w:rPr>
            <w:webHidden/>
          </w:rPr>
          <w:instrText xml:space="preserve"> PAGEREF _Toc419730138 \h </w:instrText>
        </w:r>
        <w:r w:rsidR="002F5F4C">
          <w:rPr>
            <w:webHidden/>
          </w:rPr>
        </w:r>
        <w:r w:rsidR="002F5F4C">
          <w:rPr>
            <w:webHidden/>
          </w:rPr>
          <w:fldChar w:fldCharType="separate"/>
        </w:r>
        <w:r>
          <w:rPr>
            <w:webHidden/>
          </w:rPr>
          <w:t>2</w:t>
        </w:r>
        <w:r w:rsidR="002F5F4C">
          <w:rPr>
            <w:webHidden/>
          </w:rPr>
          <w:fldChar w:fldCharType="end"/>
        </w:r>
      </w:hyperlink>
    </w:p>
    <w:p w:rsidR="002F5F4C" w:rsidRDefault="002B54DB" w:rsidP="00B51B94">
      <w:pPr>
        <w:pStyle w:val="TOC1"/>
        <w:spacing w:after="120"/>
        <w:contextualSpacing w:val="0"/>
        <w:rPr>
          <w:rFonts w:asciiTheme="minorHAnsi" w:eastAsiaTheme="minorEastAsia" w:hAnsiTheme="minorHAnsi" w:cstheme="minorBidi"/>
          <w:caps w:val="0"/>
          <w:sz w:val="22"/>
          <w:szCs w:val="22"/>
        </w:rPr>
      </w:pPr>
      <w:hyperlink w:anchor="_Toc419730139" w:history="1">
        <w:r w:rsidR="002F5F4C" w:rsidRPr="006023DA">
          <w:rPr>
            <w:rStyle w:val="Hyperlink"/>
          </w:rPr>
          <w:t>DEVELOPMENTS IN 201</w:t>
        </w:r>
        <w:r w:rsidR="002F5F4C" w:rsidRPr="006023DA">
          <w:rPr>
            <w:rStyle w:val="Hyperlink"/>
            <w:lang w:eastAsia="ja-JP"/>
          </w:rPr>
          <w:t>5</w:t>
        </w:r>
        <w:r w:rsidR="002F5F4C">
          <w:rPr>
            <w:webHidden/>
          </w:rPr>
          <w:tab/>
        </w:r>
        <w:r w:rsidR="002F5F4C">
          <w:rPr>
            <w:webHidden/>
          </w:rPr>
          <w:fldChar w:fldCharType="begin"/>
        </w:r>
        <w:r w:rsidR="002F5F4C">
          <w:rPr>
            <w:webHidden/>
          </w:rPr>
          <w:instrText xml:space="preserve"> PAGEREF _Toc419730139 \h </w:instrText>
        </w:r>
        <w:r w:rsidR="002F5F4C">
          <w:rPr>
            <w:webHidden/>
          </w:rPr>
        </w:r>
        <w:r w:rsidR="002F5F4C">
          <w:rPr>
            <w:webHidden/>
          </w:rPr>
          <w:fldChar w:fldCharType="separate"/>
        </w:r>
        <w:r>
          <w:rPr>
            <w:webHidden/>
          </w:rPr>
          <w:t>4</w:t>
        </w:r>
        <w:r w:rsidR="002F5F4C">
          <w:rPr>
            <w:webHidden/>
          </w:rPr>
          <w:fldChar w:fldCharType="end"/>
        </w:r>
      </w:hyperlink>
    </w:p>
    <w:p w:rsidR="002F5F4C" w:rsidRDefault="002B54DB" w:rsidP="00B51B94">
      <w:pPr>
        <w:pStyle w:val="TOC2"/>
        <w:rPr>
          <w:rFonts w:asciiTheme="minorHAnsi" w:eastAsiaTheme="minorEastAsia" w:hAnsiTheme="minorHAnsi" w:cstheme="minorBidi"/>
          <w:smallCaps/>
          <w:sz w:val="22"/>
          <w:szCs w:val="22"/>
        </w:rPr>
      </w:pPr>
      <w:hyperlink w:anchor="_Toc419730140" w:history="1">
        <w:r w:rsidR="002F5F4C" w:rsidRPr="006023DA">
          <w:rPr>
            <w:rStyle w:val="Hyperlink"/>
            <w:snapToGrid w:val="0"/>
            <w:lang w:eastAsia="ja-JP"/>
          </w:rPr>
          <w:t>Technical Committee</w:t>
        </w:r>
        <w:r w:rsidR="002F5F4C">
          <w:rPr>
            <w:webHidden/>
          </w:rPr>
          <w:tab/>
        </w:r>
        <w:r w:rsidR="002F5F4C">
          <w:rPr>
            <w:webHidden/>
          </w:rPr>
          <w:fldChar w:fldCharType="begin"/>
        </w:r>
        <w:r w:rsidR="002F5F4C">
          <w:rPr>
            <w:webHidden/>
          </w:rPr>
          <w:instrText xml:space="preserve"> PAGEREF _Toc419730140 \h </w:instrText>
        </w:r>
        <w:r w:rsidR="002F5F4C">
          <w:rPr>
            <w:webHidden/>
          </w:rPr>
        </w:r>
        <w:r w:rsidR="002F5F4C">
          <w:rPr>
            <w:webHidden/>
          </w:rPr>
          <w:fldChar w:fldCharType="separate"/>
        </w:r>
        <w:r>
          <w:rPr>
            <w:webHidden/>
          </w:rPr>
          <w:t>4</w:t>
        </w:r>
        <w:r w:rsidR="002F5F4C">
          <w:rPr>
            <w:webHidden/>
          </w:rPr>
          <w:fldChar w:fldCharType="end"/>
        </w:r>
      </w:hyperlink>
    </w:p>
    <w:p w:rsidR="002F5F4C" w:rsidRPr="00C31582" w:rsidRDefault="002F5F4C" w:rsidP="002F5F4C">
      <w:pPr>
        <w:ind w:left="1134" w:hanging="1134"/>
        <w:jc w:val="left"/>
        <w:rPr>
          <w:bCs/>
          <w:szCs w:val="24"/>
        </w:rPr>
      </w:pPr>
      <w:r w:rsidRPr="008B2341">
        <w:rPr>
          <w:bCs/>
          <w:szCs w:val="24"/>
        </w:rPr>
        <w:fldChar w:fldCharType="end"/>
      </w:r>
    </w:p>
    <w:p w:rsidR="002F5F4C" w:rsidRDefault="002F5F4C" w:rsidP="002F5F4C">
      <w:pPr>
        <w:jc w:val="left"/>
      </w:pPr>
      <w:r>
        <w:t xml:space="preserve">ANNEX: </w:t>
      </w:r>
      <w:r w:rsidRPr="00A260DE">
        <w:t>DRAFT GUIDANCE FOR FUTURE REVISION OF DOCUMENT TGP/8 ON MINIMIZING THE VARIATION DUE TO DIFFERENT OBSERVERS</w:t>
      </w:r>
      <w:r>
        <w:t xml:space="preserve"> OF THE SAME TRIAL</w:t>
      </w:r>
    </w:p>
    <w:p w:rsidR="002F5F4C" w:rsidRDefault="002F5F4C" w:rsidP="002F5F4C">
      <w:pPr>
        <w:jc w:val="left"/>
        <w:rPr>
          <w:caps/>
        </w:rPr>
      </w:pPr>
    </w:p>
    <w:p w:rsidR="002F5F4C" w:rsidRDefault="002F5F4C" w:rsidP="002F5F4C">
      <w:r>
        <w:fldChar w:fldCharType="begin"/>
      </w:r>
      <w:r w:rsidRPr="00791943">
        <w:instrText xml:space="preserve"> AUTONUM  </w:instrText>
      </w:r>
      <w:r>
        <w:fldChar w:fldCharType="end"/>
      </w:r>
      <w:r w:rsidRPr="00791943">
        <w:tab/>
        <w:t>The following abbreviations are used in this document:</w:t>
      </w:r>
    </w:p>
    <w:p w:rsidR="002F5F4C" w:rsidRPr="00791943" w:rsidRDefault="002F5F4C" w:rsidP="002F5F4C"/>
    <w:p w:rsidR="002F5F4C" w:rsidRPr="00791943" w:rsidRDefault="002F5F4C" w:rsidP="002F5F4C">
      <w:pPr>
        <w:ind w:left="1701" w:hanging="981"/>
      </w:pPr>
      <w:r w:rsidRPr="00791943">
        <w:t xml:space="preserve">CAJ:  </w:t>
      </w:r>
      <w:r w:rsidRPr="00791943">
        <w:tab/>
        <w:t xml:space="preserve">Administrative and Legal Committee </w:t>
      </w:r>
    </w:p>
    <w:p w:rsidR="002F5F4C" w:rsidRPr="00791943" w:rsidRDefault="002F5F4C" w:rsidP="002F5F4C">
      <w:pPr>
        <w:ind w:left="1701" w:hanging="981"/>
      </w:pPr>
      <w:r w:rsidRPr="00791943">
        <w:t xml:space="preserve">TC:  </w:t>
      </w:r>
      <w:r w:rsidRPr="00791943">
        <w:tab/>
        <w:t>Technical Committee</w:t>
      </w:r>
    </w:p>
    <w:p w:rsidR="002F5F4C" w:rsidRPr="00791943" w:rsidRDefault="002F5F4C" w:rsidP="002F5F4C">
      <w:pPr>
        <w:ind w:left="1701" w:hanging="981"/>
      </w:pPr>
      <w:r w:rsidRPr="00791943">
        <w:t xml:space="preserve">TC-EDC:  </w:t>
      </w:r>
      <w:r w:rsidRPr="00791943">
        <w:tab/>
        <w:t>Enlarged Editorial Committee</w:t>
      </w:r>
    </w:p>
    <w:p w:rsidR="002F5F4C" w:rsidRPr="00791943" w:rsidRDefault="002F5F4C" w:rsidP="002F5F4C">
      <w:pPr>
        <w:ind w:left="1701" w:hanging="981"/>
      </w:pPr>
      <w:r w:rsidRPr="00791943">
        <w:t xml:space="preserve">TWA:  </w:t>
      </w:r>
      <w:r w:rsidRPr="00791943">
        <w:tab/>
        <w:t>Technical Working Party for Agricultural Crops</w:t>
      </w:r>
    </w:p>
    <w:p w:rsidR="002F5F4C" w:rsidRDefault="002F5F4C" w:rsidP="002F5F4C">
      <w:pPr>
        <w:ind w:left="1701" w:hanging="981"/>
      </w:pPr>
      <w:r w:rsidRPr="00791943">
        <w:t xml:space="preserve">TWV:  </w:t>
      </w:r>
      <w:r w:rsidRPr="00791943">
        <w:tab/>
        <w:t xml:space="preserve">Technical </w:t>
      </w:r>
      <w:r w:rsidRPr="0037710C">
        <w:t>Working Party for Vegetables</w:t>
      </w:r>
    </w:p>
    <w:p w:rsidR="002F5F4C" w:rsidRPr="00791943" w:rsidRDefault="002F5F4C" w:rsidP="002F5F4C">
      <w:pPr>
        <w:ind w:left="1701" w:hanging="981"/>
      </w:pPr>
      <w:r w:rsidRPr="00791943">
        <w:t xml:space="preserve">TWC:  </w:t>
      </w:r>
      <w:r w:rsidRPr="00791943">
        <w:tab/>
        <w:t>Technical Working Party on Automation and Computer Programs</w:t>
      </w:r>
    </w:p>
    <w:p w:rsidR="002F5F4C" w:rsidRPr="00791943" w:rsidRDefault="002F5F4C" w:rsidP="002F5F4C">
      <w:pPr>
        <w:ind w:left="1701" w:hanging="981"/>
      </w:pPr>
      <w:r w:rsidRPr="00791943">
        <w:t xml:space="preserve">TWF:  </w:t>
      </w:r>
      <w:r w:rsidRPr="00791943">
        <w:tab/>
        <w:t xml:space="preserve">Technical Working Party for Fruit Crops </w:t>
      </w:r>
    </w:p>
    <w:p w:rsidR="002F5F4C" w:rsidRPr="00791943" w:rsidRDefault="002F5F4C" w:rsidP="002F5F4C">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2F5F4C" w:rsidRPr="00791943" w:rsidRDefault="002F5F4C" w:rsidP="002F5F4C">
      <w:pPr>
        <w:ind w:left="1701" w:hanging="981"/>
      </w:pPr>
      <w:r w:rsidRPr="00791943">
        <w:t>TWPs:</w:t>
      </w:r>
      <w:r w:rsidRPr="00791943">
        <w:tab/>
        <w:t>Technical Working Parties</w:t>
      </w:r>
    </w:p>
    <w:p w:rsidR="008460D9" w:rsidRDefault="008460D9">
      <w:pPr>
        <w:jc w:val="left"/>
        <w:rPr>
          <w:caps/>
        </w:rPr>
      </w:pPr>
      <w:r>
        <w:rPr>
          <w:caps/>
        </w:rPr>
        <w:br w:type="page"/>
      </w:r>
    </w:p>
    <w:p w:rsidR="002F5F4C" w:rsidRDefault="002F5F4C" w:rsidP="002F5F4C">
      <w:pPr>
        <w:jc w:val="left"/>
        <w:rPr>
          <w:caps/>
        </w:rPr>
      </w:pPr>
    </w:p>
    <w:p w:rsidR="002F5F4C" w:rsidRDefault="002F5F4C" w:rsidP="002F5F4C">
      <w:pPr>
        <w:pStyle w:val="Heading1"/>
        <w:keepNext w:val="0"/>
      </w:pPr>
      <w:bookmarkStart w:id="14" w:name="_Toc419730135"/>
      <w:r>
        <w:t>background</w:t>
      </w:r>
      <w:bookmarkEnd w:id="14"/>
    </w:p>
    <w:p w:rsidR="002F5F4C" w:rsidRPr="00375E8B" w:rsidRDefault="002F5F4C" w:rsidP="002F5F4C"/>
    <w:p w:rsidR="002F5F4C" w:rsidRPr="00467AB3" w:rsidRDefault="002F5F4C" w:rsidP="002F5F4C">
      <w:pPr>
        <w:pStyle w:val="Header"/>
        <w:tabs>
          <w:tab w:val="left" w:pos="720"/>
        </w:tabs>
        <w:jc w:val="both"/>
      </w:pPr>
      <w:r w:rsidRPr="00652FF1">
        <w:fldChar w:fldCharType="begin"/>
      </w:r>
      <w:r w:rsidRPr="00467AB3">
        <w:instrText xml:space="preserve"> AUTONUM  </w:instrText>
      </w:r>
      <w:r w:rsidRPr="00652FF1">
        <w:fldChar w:fldCharType="end"/>
      </w:r>
      <w:r w:rsidRPr="00467AB3">
        <w:tab/>
        <w:t>Document TGP/8/1 Draft 7 PART I, paragraph 2.9.1: “Control of variation due to different observers”, considered by the Technical Working Parties, at their sessions in 2007, states:</w:t>
      </w:r>
    </w:p>
    <w:p w:rsidR="002F5F4C" w:rsidRPr="00467AB3" w:rsidRDefault="002F5F4C" w:rsidP="002F5F4C">
      <w:pPr>
        <w:pStyle w:val="Header"/>
        <w:tabs>
          <w:tab w:val="left" w:pos="720"/>
        </w:tabs>
        <w:jc w:val="both"/>
      </w:pPr>
    </w:p>
    <w:p w:rsidR="002F5F4C" w:rsidRPr="008C63A0" w:rsidRDefault="002F5F4C" w:rsidP="002F5F4C">
      <w:pPr>
        <w:ind w:left="720" w:right="998"/>
        <w:rPr>
          <w:iCs/>
        </w:rPr>
      </w:pPr>
      <w:r>
        <w:rPr>
          <w:iCs/>
          <w:lang w:val="en-GB"/>
        </w:rPr>
        <w:t>“</w:t>
      </w:r>
      <w:r w:rsidRPr="008C63A0">
        <w:rPr>
          <w:iCs/>
          <w:lang w:val="en-GB"/>
        </w:rPr>
        <w:t xml:space="preserve">[If this section is required, TWPs are invited to contribute guidance on the control of variation due to different observers </w:t>
      </w:r>
      <w:r w:rsidRPr="008C63A0">
        <w:rPr>
          <w:iCs/>
        </w:rPr>
        <w:t>when statistical analysis is not used to determine distinctness and to consider it in relation to paragraph 2.7.2.9.]</w:t>
      </w:r>
      <w:r>
        <w:rPr>
          <w:iCs/>
        </w:rPr>
        <w:t>”</w:t>
      </w:r>
    </w:p>
    <w:p w:rsidR="002F5F4C" w:rsidRPr="00DD75D2" w:rsidRDefault="002F5F4C" w:rsidP="002F5F4C">
      <w:pPr>
        <w:ind w:left="720" w:right="998"/>
        <w:rPr>
          <w:i/>
          <w:iCs/>
          <w:lang w:val="en-GB"/>
        </w:rPr>
      </w:pPr>
    </w:p>
    <w:p w:rsidR="002F5F4C" w:rsidRDefault="002F5F4C" w:rsidP="002F5F4C">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2014 are presented in document</w:t>
      </w:r>
      <w:r w:rsidRPr="009656B4">
        <w:rPr>
          <w:rFonts w:cs="Arial"/>
        </w:rPr>
        <w:t xml:space="preserve"> </w:t>
      </w:r>
      <w:r w:rsidRPr="004717F7">
        <w:rPr>
          <w:rFonts w:cs="Arial"/>
        </w:rPr>
        <w:t>TC/50/21</w:t>
      </w:r>
      <w:r>
        <w:rPr>
          <w:rFonts w:cs="Arial"/>
        </w:rPr>
        <w:t xml:space="preserve"> “</w:t>
      </w:r>
      <w:r w:rsidRPr="004717F7">
        <w:t>R</w:t>
      </w:r>
      <w:r>
        <w:t>evision of document TGP/8: Part </w:t>
      </w:r>
      <w:r w:rsidRPr="004717F7">
        <w:t>I: DUS Trial Design and Data Analysis, New Section: Minimizing the Variation due to Different Observers”</w:t>
      </w:r>
      <w:r w:rsidRPr="004717F7">
        <w:rPr>
          <w:rFonts w:cs="Arial"/>
        </w:rPr>
        <w:t>.</w:t>
      </w:r>
      <w:r>
        <w:rPr>
          <w:rFonts w:cs="Arial"/>
          <w:color w:val="000000"/>
        </w:rPr>
        <w:t xml:space="preserve">   </w:t>
      </w:r>
    </w:p>
    <w:p w:rsidR="002F5F4C" w:rsidRDefault="002F5F4C" w:rsidP="002F5F4C">
      <w:pPr>
        <w:pStyle w:val="Heading1"/>
      </w:pPr>
    </w:p>
    <w:p w:rsidR="002F5F4C" w:rsidRPr="00F00C80" w:rsidRDefault="002F5F4C" w:rsidP="002F5F4C"/>
    <w:p w:rsidR="002F5F4C" w:rsidRDefault="002F5F4C" w:rsidP="002F5F4C">
      <w:pPr>
        <w:pStyle w:val="Heading1"/>
      </w:pPr>
      <w:bookmarkStart w:id="15" w:name="_Toc419730136"/>
      <w:r>
        <w:t>Developments in 2014</w:t>
      </w:r>
      <w:bookmarkEnd w:id="15"/>
    </w:p>
    <w:p w:rsidR="002F5F4C" w:rsidRDefault="002F5F4C" w:rsidP="002F5F4C"/>
    <w:p w:rsidR="002F5F4C" w:rsidRDefault="002F5F4C" w:rsidP="002F5F4C">
      <w:pPr>
        <w:pStyle w:val="Heading2"/>
      </w:pPr>
      <w:bookmarkStart w:id="16" w:name="_Toc419730137"/>
      <w:r>
        <w:t>Technical Committee</w:t>
      </w:r>
      <w:bookmarkEnd w:id="16"/>
    </w:p>
    <w:p w:rsidR="002F5F4C" w:rsidRDefault="002F5F4C" w:rsidP="002F5F4C"/>
    <w:p w:rsidR="002F5F4C" w:rsidRPr="004717F7" w:rsidRDefault="002F5F4C" w:rsidP="002F5F4C">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 xml:space="preserve">The TC </w:t>
      </w:r>
      <w:r w:rsidRPr="004717F7">
        <w:t>at its fiftieth session, held in Geneva from April 7 to 9, 2014,</w:t>
      </w:r>
      <w:r w:rsidRPr="004717F7">
        <w:rPr>
          <w:rFonts w:cs="Arial"/>
        </w:rPr>
        <w:t xml:space="preserve"> considered document TC/50/21</w:t>
      </w:r>
      <w:r>
        <w:rPr>
          <w:rFonts w:cs="Arial"/>
        </w:rPr>
        <w:t xml:space="preserve"> “</w:t>
      </w:r>
      <w:r w:rsidRPr="004717F7">
        <w:t>Revision of document TGP/8: Part I: DUS Trial Design and Data Analysis, New Section: Minimizing the Variation due to Different Observers”</w:t>
      </w:r>
      <w:r w:rsidRPr="004717F7">
        <w:rPr>
          <w:rFonts w:cs="Arial"/>
        </w:rPr>
        <w:t>.</w:t>
      </w:r>
    </w:p>
    <w:p w:rsidR="002F5F4C" w:rsidRPr="004717F7" w:rsidRDefault="002F5F4C" w:rsidP="002F5F4C">
      <w:pPr>
        <w:rPr>
          <w:rFonts w:cs="Arial"/>
        </w:rPr>
      </w:pPr>
    </w:p>
    <w:p w:rsidR="002F5F4C" w:rsidRPr="004717F7" w:rsidRDefault="002F5F4C" w:rsidP="002F5F4C">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w:t>
      </w:r>
      <w:r>
        <w:t xml:space="preserve"> an agreed set of varieties </w:t>
      </w:r>
      <w:r w:rsidRPr="008A572D">
        <w:t>(see documen</w:t>
      </w:r>
      <w:r>
        <w:t xml:space="preserve">t TC/50/36 “Report </w:t>
      </w:r>
      <w:r w:rsidRPr="00791943">
        <w:rPr>
          <w:rFonts w:cs="Arial"/>
        </w:rPr>
        <w:t xml:space="preserve">on </w:t>
      </w:r>
      <w:r w:rsidRPr="0018543E">
        <w:t>the Conclusions</w:t>
      </w:r>
      <w:r>
        <w:t>”, paragraph 46</w:t>
      </w:r>
      <w:r w:rsidRPr="008A572D">
        <w:t>)</w:t>
      </w:r>
      <w:r w:rsidRPr="004717F7">
        <w:t>.</w:t>
      </w:r>
    </w:p>
    <w:p w:rsidR="002F5F4C" w:rsidRPr="004717F7" w:rsidRDefault="002F5F4C" w:rsidP="002F5F4C"/>
    <w:p w:rsidR="002F5F4C" w:rsidRPr="004717F7" w:rsidRDefault="002F5F4C" w:rsidP="002F5F4C">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w:t>
      </w:r>
      <w:r>
        <w:t> </w:t>
      </w:r>
      <w:r w:rsidRPr="004717F7">
        <w:t>future revision of document TGP/8 on minimizing the variation due to different observers, including guidance on PQ and QN/MG characteristics, for consideration by the TWPs at their sessions in 2014</w:t>
      </w:r>
      <w:r>
        <w:t xml:space="preserve"> (</w:t>
      </w:r>
      <w:r w:rsidRPr="008A572D">
        <w:t>see</w:t>
      </w:r>
      <w:r>
        <w:t> </w:t>
      </w:r>
      <w:r w:rsidRPr="008A572D">
        <w:t>documen</w:t>
      </w:r>
      <w:r>
        <w:t xml:space="preserve">t TC/50/36 “Report </w:t>
      </w:r>
      <w:r w:rsidRPr="00791943">
        <w:rPr>
          <w:rFonts w:cs="Arial"/>
        </w:rPr>
        <w:t xml:space="preserve">on </w:t>
      </w:r>
      <w:r w:rsidRPr="0018543E">
        <w:t>the Conclusions</w:t>
      </w:r>
      <w:r>
        <w:t>”, paragraph 47)</w:t>
      </w:r>
      <w:r w:rsidRPr="004717F7">
        <w:t>.</w:t>
      </w:r>
    </w:p>
    <w:p w:rsidR="002F5F4C" w:rsidRPr="004717F7" w:rsidRDefault="002F5F4C" w:rsidP="002F5F4C"/>
    <w:p w:rsidR="002F5F4C" w:rsidRPr="00A260DE" w:rsidRDefault="002F5F4C" w:rsidP="002F5F4C">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t xml:space="preserve">(Mr. Nik Hulse) </w:t>
      </w:r>
      <w:r w:rsidRPr="00A260DE">
        <w:t xml:space="preserve">with the assistance of experts from the European Union, France, Germany, the Netherlands and the United Kingdom, provided draft guidance for future revision of document TGP/8 on minimizing the variation due to different observers, including guidance on PQ and QN/MG characteristics, </w:t>
      </w:r>
      <w:r w:rsidRPr="004717F7">
        <w:t>for consideration by the TWPs at their sessions in</w:t>
      </w:r>
      <w:r>
        <w:t> </w:t>
      </w:r>
      <w:r w:rsidRPr="004717F7">
        <w:t>2014</w:t>
      </w:r>
      <w:r w:rsidRPr="00A260DE">
        <w:t>.</w:t>
      </w:r>
    </w:p>
    <w:p w:rsidR="002F5F4C" w:rsidRPr="00A260DE" w:rsidRDefault="002F5F4C" w:rsidP="002F5F4C"/>
    <w:p w:rsidR="002F5F4C" w:rsidRDefault="002F5F4C" w:rsidP="002F5F4C">
      <w:r w:rsidRPr="00A260DE">
        <w:fldChar w:fldCharType="begin"/>
      </w:r>
      <w:r w:rsidRPr="00A260DE">
        <w:instrText xml:space="preserve"> AUTONUM  </w:instrText>
      </w:r>
      <w:r w:rsidRPr="00A260DE">
        <w:fldChar w:fldCharType="end"/>
      </w:r>
      <w:r w:rsidRPr="00A260DE">
        <w:tab/>
        <w:t xml:space="preserve">The </w:t>
      </w:r>
      <w:r>
        <w:t>expert</w:t>
      </w:r>
      <w:r w:rsidRPr="00A260DE">
        <w:t xml:space="preserve"> from Australia </w:t>
      </w:r>
      <w:r>
        <w:t>proposed that</w:t>
      </w:r>
      <w:r w:rsidRPr="00A260DE">
        <w:t xml:space="preserve"> the following points </w:t>
      </w:r>
      <w:r>
        <w:t>should be considered by the TWPs for future inclusion or clarification into the next draft of the guidance for</w:t>
      </w:r>
      <w:r w:rsidRPr="00A260DE">
        <w:t xml:space="preserve"> future revision of document TGP/8 on minimizing the variation due to different observers</w:t>
      </w:r>
      <w:r>
        <w:t>:</w:t>
      </w:r>
    </w:p>
    <w:p w:rsidR="002F5F4C" w:rsidRDefault="002F5F4C" w:rsidP="002F5F4C"/>
    <w:p w:rsidR="002F5F4C" w:rsidRDefault="002F5F4C" w:rsidP="002F5F4C">
      <w:pPr>
        <w:numPr>
          <w:ilvl w:val="0"/>
          <w:numId w:val="15"/>
        </w:numPr>
      </w:pPr>
      <w:r>
        <w:t xml:space="preserve">As already indicated in the draft, QN/MG can be dealt with in a similar way as QN/MS. However, it is important to note that in the case of QN/MG, the possible effect of random within-plot variation should also be considered. </w:t>
      </w:r>
    </w:p>
    <w:p w:rsidR="002F5F4C" w:rsidRDefault="002F5F4C" w:rsidP="002F5F4C">
      <w:pPr>
        <w:ind w:left="720"/>
      </w:pPr>
    </w:p>
    <w:p w:rsidR="002F5F4C" w:rsidRDefault="002F5F4C" w:rsidP="002F5F4C">
      <w:pPr>
        <w:numPr>
          <w:ilvl w:val="0"/>
          <w:numId w:val="15"/>
        </w:numPr>
      </w:pPr>
      <w:r>
        <w:t>Further consideration is required on how to incorporate guidance on PQ characteristics. It should be explained that TGP/14 is another useful tool in clarifying many PQ characteristics (e.g. shape). Differences between observers could possibly be tested by frequency of deviations.</w:t>
      </w:r>
      <w:r>
        <w:br/>
      </w:r>
    </w:p>
    <w:p w:rsidR="002F5F4C" w:rsidRDefault="002F5F4C" w:rsidP="002F5F4C">
      <w:pPr>
        <w:numPr>
          <w:ilvl w:val="0"/>
          <w:numId w:val="15"/>
        </w:numPr>
      </w:pPr>
      <w:r>
        <w:t>Currently the document focus is on variation between observers at the authority level. Consideration could be given to whether minimizing observer variation between authorities should be mentioned in this document or, perhaps, a separate future document.  Noting that such a consideration would introduce a greater number of factors such as GxE variation, sampling methods and ring tests.</w:t>
      </w:r>
    </w:p>
    <w:p w:rsidR="002F5F4C" w:rsidRDefault="002F5F4C" w:rsidP="002F5F4C"/>
    <w:p w:rsidR="008460D9" w:rsidRDefault="008460D9" w:rsidP="002F5F4C"/>
    <w:p w:rsidR="002F5F4C" w:rsidRDefault="002F5F4C" w:rsidP="002F5F4C">
      <w:pPr>
        <w:pStyle w:val="Heading2"/>
      </w:pPr>
      <w:bookmarkStart w:id="17" w:name="_Toc419730138"/>
      <w:r>
        <w:t>Technical Working Parties</w:t>
      </w:r>
      <w:bookmarkEnd w:id="17"/>
    </w:p>
    <w:p w:rsidR="002F5F4C" w:rsidRDefault="002F5F4C" w:rsidP="002F5F4C"/>
    <w:p w:rsidR="002F5F4C" w:rsidRDefault="002F5F4C" w:rsidP="002F5F4C">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t xml:space="preserve">The TWO, TWF, </w:t>
      </w:r>
      <w:r w:rsidRPr="00E461F1">
        <w:t>TWC</w:t>
      </w:r>
      <w:r>
        <w:t>,</w:t>
      </w:r>
      <w:r w:rsidRPr="00E461F1">
        <w:t xml:space="preserve"> </w:t>
      </w:r>
      <w:r w:rsidRPr="00F00C80">
        <w:t>TWV</w:t>
      </w:r>
      <w:r w:rsidRPr="00E461F1">
        <w:t xml:space="preserve"> </w:t>
      </w:r>
      <w:r>
        <w:t xml:space="preserve">and TWA </w:t>
      </w:r>
      <w:r w:rsidRPr="00F00C80">
        <w:t>considered</w:t>
      </w:r>
      <w:r w:rsidRPr="00AF2207">
        <w:rPr>
          <w:snapToGrid w:val="0"/>
        </w:rPr>
        <w:t xml:space="preserve"> document</w:t>
      </w:r>
      <w:r>
        <w:rPr>
          <w:snapToGrid w:val="0"/>
        </w:rPr>
        <w:t>s</w:t>
      </w:r>
      <w:r w:rsidRPr="00AF2207">
        <w:rPr>
          <w:snapToGrid w:val="0"/>
        </w:rPr>
        <w:t xml:space="preserve"> TWO/47/1</w:t>
      </w:r>
      <w:r>
        <w:rPr>
          <w:snapToGrid w:val="0"/>
        </w:rPr>
        <w:t>5,</w:t>
      </w:r>
      <w:r w:rsidRPr="00A628A7">
        <w:t xml:space="preserve"> </w:t>
      </w:r>
      <w:r w:rsidRPr="00653DEB">
        <w:t>TWF/45/1</w:t>
      </w:r>
      <w:r>
        <w:t>5,</w:t>
      </w:r>
      <w:r w:rsidRPr="00A628A7">
        <w:rPr>
          <w:snapToGrid w:val="0"/>
        </w:rPr>
        <w:t xml:space="preserve"> </w:t>
      </w:r>
      <w:r w:rsidRPr="00BD5B6E">
        <w:rPr>
          <w:snapToGrid w:val="0"/>
        </w:rPr>
        <w:t>TWC/32/1</w:t>
      </w:r>
      <w:r>
        <w:rPr>
          <w:snapToGrid w:val="0"/>
        </w:rPr>
        <w:t xml:space="preserve">5, </w:t>
      </w:r>
      <w:r w:rsidRPr="00142558">
        <w:t>TWV/48/1</w:t>
      </w:r>
      <w:r>
        <w:t xml:space="preserve">5 and </w:t>
      </w:r>
      <w:r w:rsidRPr="007D0BAC">
        <w:t>TWA/43/1</w:t>
      </w:r>
      <w:r>
        <w:t>5 “</w:t>
      </w:r>
      <w:r w:rsidRPr="000F51AB">
        <w:t>Revision of Document TGP/8: Part I: DUS Trial Design and Data Analysis, New Section: Minimizing the Variation due to Different Observers</w:t>
      </w:r>
      <w:r>
        <w:t xml:space="preserve">”, respectively </w:t>
      </w:r>
      <w:r w:rsidRPr="00F00C80">
        <w:t>(see document TWO/4</w:t>
      </w:r>
      <w:r>
        <w:t>7</w:t>
      </w:r>
      <w:r w:rsidRPr="00F00C80">
        <w:t>/2</w:t>
      </w:r>
      <w:r>
        <w:t>8</w:t>
      </w:r>
      <w:r w:rsidRPr="00F00C80">
        <w:t xml:space="preserve"> </w:t>
      </w:r>
      <w:r w:rsidRPr="00F00C80">
        <w:lastRenderedPageBreak/>
        <w:t xml:space="preserve">“Report”, paragraphs </w:t>
      </w:r>
      <w:r>
        <w:t>39</w:t>
      </w:r>
      <w:r w:rsidRPr="00F00C80">
        <w:t xml:space="preserve"> </w:t>
      </w:r>
      <w:r>
        <w:t>to 41</w:t>
      </w:r>
      <w:r w:rsidRPr="00F00C80">
        <w:t xml:space="preserve"> </w:t>
      </w:r>
      <w:r w:rsidRPr="00E461F1">
        <w:t>, document TWF/4</w:t>
      </w:r>
      <w:r>
        <w:t>5</w:t>
      </w:r>
      <w:r w:rsidRPr="00E461F1">
        <w:t>/3</w:t>
      </w:r>
      <w:r>
        <w:t>2</w:t>
      </w:r>
      <w:r w:rsidRPr="00E461F1">
        <w:t xml:space="preserve"> “Report”, paragraphs 2</w:t>
      </w:r>
      <w:r>
        <w:t>6</w:t>
      </w:r>
      <w:r w:rsidRPr="00E461F1">
        <w:t xml:space="preserve"> to </w:t>
      </w:r>
      <w:r>
        <w:t>32</w:t>
      </w:r>
      <w:r w:rsidRPr="00E461F1">
        <w:t>, document TWC/3</w:t>
      </w:r>
      <w:r>
        <w:t>2</w:t>
      </w:r>
      <w:r w:rsidRPr="00E461F1">
        <w:t>/</w:t>
      </w:r>
      <w:r>
        <w:t>28</w:t>
      </w:r>
      <w:r w:rsidRPr="00E461F1">
        <w:t xml:space="preserve"> “Report”, paragraphs </w:t>
      </w:r>
      <w:r>
        <w:t>50</w:t>
      </w:r>
      <w:r w:rsidRPr="00E461F1">
        <w:t xml:space="preserve"> </w:t>
      </w:r>
      <w:r>
        <w:t xml:space="preserve">to 53, </w:t>
      </w:r>
      <w:r w:rsidRPr="00E461F1">
        <w:t>document TWV/4</w:t>
      </w:r>
      <w:r>
        <w:t>8</w:t>
      </w:r>
      <w:r w:rsidRPr="00E461F1">
        <w:t>/</w:t>
      </w:r>
      <w:r>
        <w:t>43</w:t>
      </w:r>
      <w:r w:rsidRPr="00E461F1">
        <w:t xml:space="preserve"> “Report”, paragraphs </w:t>
      </w:r>
      <w:r>
        <w:t>34</w:t>
      </w:r>
      <w:r w:rsidRPr="00E461F1">
        <w:t xml:space="preserve"> to </w:t>
      </w:r>
      <w:r>
        <w:t>37</w:t>
      </w:r>
      <w:r w:rsidRPr="00E461F1">
        <w:t xml:space="preserve"> and document</w:t>
      </w:r>
      <w:r>
        <w:t> </w:t>
      </w:r>
      <w:r w:rsidRPr="00E461F1">
        <w:t>TWA/4</w:t>
      </w:r>
      <w:r>
        <w:t>3</w:t>
      </w:r>
      <w:r w:rsidRPr="00E461F1">
        <w:t>/</w:t>
      </w:r>
      <w:r>
        <w:t>27</w:t>
      </w:r>
      <w:r w:rsidRPr="00E461F1">
        <w:t xml:space="preserve"> “Report”, paragraphs </w:t>
      </w:r>
      <w:r>
        <w:t>28</w:t>
      </w:r>
      <w:r w:rsidRPr="00E461F1">
        <w:t xml:space="preserve"> to </w:t>
      </w:r>
      <w:r>
        <w:t>33</w:t>
      </w:r>
      <w:r w:rsidRPr="00E461F1">
        <w:t xml:space="preserve"> </w:t>
      </w:r>
      <w:r w:rsidRPr="00F00C80">
        <w:t>)</w:t>
      </w:r>
      <w:r w:rsidRPr="00AF2207">
        <w:rPr>
          <w:snapToGrid w:val="0"/>
        </w:rPr>
        <w:t>.</w:t>
      </w:r>
    </w:p>
    <w:p w:rsidR="002F5F4C" w:rsidRDefault="002F5F4C" w:rsidP="002F5F4C"/>
    <w:p w:rsidR="002F5F4C" w:rsidRDefault="002F5F4C" w:rsidP="002F5F4C">
      <w:r>
        <w:fldChar w:fldCharType="begin"/>
      </w:r>
      <w:r>
        <w:instrText xml:space="preserve"> AUTONUM  </w:instrText>
      </w:r>
      <w:r>
        <w:fldChar w:fldCharType="end"/>
      </w:r>
      <w:r>
        <w:tab/>
        <w:t xml:space="preserve">The TWO noted that the TWF had requested an expert from New Zealand to report at its session in 2014, on the previous work done on harmonized variety description for apple for an agreed set of varieties, as set out in document TWO/47/15, paragraph 18 </w:t>
      </w:r>
      <w:r w:rsidRPr="00F00C80">
        <w:t>(see document TWO/4</w:t>
      </w:r>
      <w:r>
        <w:t>7</w:t>
      </w:r>
      <w:r w:rsidRPr="00F00C80">
        <w:t>/2</w:t>
      </w:r>
      <w:r>
        <w:t>8 “Report”, paragraph 40).</w:t>
      </w:r>
    </w:p>
    <w:p w:rsidR="00931ADB" w:rsidRDefault="00931ADB" w:rsidP="002F5F4C">
      <w:pPr>
        <w:rPr>
          <w:lang w:eastAsia="ja-JP"/>
        </w:rPr>
      </w:pPr>
    </w:p>
    <w:p w:rsidR="002F5F4C" w:rsidRDefault="002F5F4C" w:rsidP="002F5F4C">
      <w:r>
        <w:fldChar w:fldCharType="begin"/>
      </w:r>
      <w:r>
        <w:instrText xml:space="preserve"> AUTONUM  </w:instrText>
      </w:r>
      <w:r>
        <w:fldChar w:fldCharType="end"/>
      </w:r>
      <w:r>
        <w:tab/>
        <w:t xml:space="preserve">The TWO, TWF, TWC, TWV and TWA agreed that the draft guidance presented at their sessions in the Annex to </w:t>
      </w:r>
      <w:r w:rsidRPr="00AF2207">
        <w:rPr>
          <w:snapToGrid w:val="0"/>
        </w:rPr>
        <w:t>document</w:t>
      </w:r>
      <w:r>
        <w:rPr>
          <w:snapToGrid w:val="0"/>
        </w:rPr>
        <w:t>s</w:t>
      </w:r>
      <w:r w:rsidRPr="00AF2207">
        <w:rPr>
          <w:snapToGrid w:val="0"/>
        </w:rPr>
        <w:t xml:space="preserve"> TWO/47/1</w:t>
      </w:r>
      <w:r>
        <w:rPr>
          <w:snapToGrid w:val="0"/>
        </w:rPr>
        <w:t>5,</w:t>
      </w:r>
      <w:r w:rsidRPr="00A628A7">
        <w:t xml:space="preserve"> </w:t>
      </w:r>
      <w:r w:rsidRPr="00653DEB">
        <w:t>TWF/45/1</w:t>
      </w:r>
      <w:r>
        <w:t>5,</w:t>
      </w:r>
      <w:r w:rsidRPr="00A628A7">
        <w:rPr>
          <w:snapToGrid w:val="0"/>
        </w:rPr>
        <w:t xml:space="preserve"> </w:t>
      </w:r>
      <w:r w:rsidRPr="00BD5B6E">
        <w:rPr>
          <w:snapToGrid w:val="0"/>
        </w:rPr>
        <w:t>TWC/32/1</w:t>
      </w:r>
      <w:r>
        <w:rPr>
          <w:snapToGrid w:val="0"/>
        </w:rPr>
        <w:t xml:space="preserve">5, </w:t>
      </w:r>
      <w:r w:rsidRPr="00142558">
        <w:t>TWV/48/1</w:t>
      </w:r>
      <w:r>
        <w:t xml:space="preserve">5 and </w:t>
      </w:r>
      <w:r w:rsidRPr="007D0BAC">
        <w:t>TWA/43/1</w:t>
      </w:r>
      <w:r>
        <w:t>5, respectively, should continue to be developed for inclusion in a future revision of document TGP/8 on minimizing the variation due to different observers, including guidance on PQ and QN/MG characteristics, in conjunction with the points raised by the expert from Australia in documents</w:t>
      </w:r>
      <w:r w:rsidRPr="008D4F25">
        <w:t xml:space="preserve"> </w:t>
      </w:r>
      <w:r>
        <w:t xml:space="preserve">TWO/47/15, </w:t>
      </w:r>
      <w:r w:rsidRPr="00653DEB">
        <w:t>TWF/45/1</w:t>
      </w:r>
      <w:r>
        <w:t>5,</w:t>
      </w:r>
      <w:r w:rsidRPr="00A628A7">
        <w:rPr>
          <w:snapToGrid w:val="0"/>
        </w:rPr>
        <w:t xml:space="preserve"> </w:t>
      </w:r>
      <w:r w:rsidRPr="00BD5B6E">
        <w:rPr>
          <w:snapToGrid w:val="0"/>
        </w:rPr>
        <w:t>TWC/32/1</w:t>
      </w:r>
      <w:r>
        <w:rPr>
          <w:snapToGrid w:val="0"/>
        </w:rPr>
        <w:t xml:space="preserve">5, </w:t>
      </w:r>
      <w:r w:rsidRPr="00142558">
        <w:t>TWV/48/1</w:t>
      </w:r>
      <w:r>
        <w:t xml:space="preserve">5 and reproduced in paragraph 21 of this document </w:t>
      </w:r>
      <w:r w:rsidRPr="00F00C80">
        <w:t>(see document</w:t>
      </w:r>
      <w:r>
        <w:t>s</w:t>
      </w:r>
      <w:r w:rsidRPr="00F00C80">
        <w:t xml:space="preserve"> TWO/4</w:t>
      </w:r>
      <w:r>
        <w:t>7</w:t>
      </w:r>
      <w:r w:rsidRPr="00F00C80">
        <w:t>/2</w:t>
      </w:r>
      <w:r>
        <w:t>8</w:t>
      </w:r>
      <w:r w:rsidRPr="00F00C80">
        <w:t xml:space="preserve"> “Report”, paragraph</w:t>
      </w:r>
      <w:r>
        <w:t xml:space="preserve"> 41, </w:t>
      </w:r>
      <w:r w:rsidRPr="00E461F1">
        <w:t>TWF/4</w:t>
      </w:r>
      <w:r>
        <w:t>5</w:t>
      </w:r>
      <w:r w:rsidRPr="00E461F1">
        <w:t>/3</w:t>
      </w:r>
      <w:r>
        <w:t>2</w:t>
      </w:r>
      <w:r w:rsidRPr="00E461F1">
        <w:t xml:space="preserve"> “Report”, paragraph</w:t>
      </w:r>
      <w:r>
        <w:t xml:space="preserve"> 27,  </w:t>
      </w:r>
      <w:r w:rsidRPr="00E461F1">
        <w:t>TWC/3</w:t>
      </w:r>
      <w:r>
        <w:t>2</w:t>
      </w:r>
      <w:r w:rsidRPr="00E461F1">
        <w:t>/</w:t>
      </w:r>
      <w:r>
        <w:t>28</w:t>
      </w:r>
      <w:r w:rsidRPr="00E461F1">
        <w:t xml:space="preserve"> “Report”, paragraph</w:t>
      </w:r>
      <w:r>
        <w:t xml:space="preserve"> 52, </w:t>
      </w:r>
      <w:r w:rsidRPr="00E461F1">
        <w:t>TWV/4</w:t>
      </w:r>
      <w:r>
        <w:t>8</w:t>
      </w:r>
      <w:r w:rsidRPr="00E461F1">
        <w:t>/</w:t>
      </w:r>
      <w:r>
        <w:t>43</w:t>
      </w:r>
      <w:r w:rsidRPr="00E461F1">
        <w:t xml:space="preserve"> “Report”, paragraph</w:t>
      </w:r>
      <w:r>
        <w:t xml:space="preserve"> 34 and </w:t>
      </w:r>
      <w:r w:rsidRPr="00E461F1">
        <w:t>TWA/4</w:t>
      </w:r>
      <w:r>
        <w:t>3</w:t>
      </w:r>
      <w:r w:rsidRPr="00E461F1">
        <w:t>/</w:t>
      </w:r>
      <w:r>
        <w:t>27</w:t>
      </w:r>
      <w:r w:rsidRPr="00E461F1">
        <w:t xml:space="preserve"> “Report”, paragraph</w:t>
      </w:r>
      <w:r>
        <w:t xml:space="preserve">s 30).  </w:t>
      </w:r>
    </w:p>
    <w:p w:rsidR="002F5F4C" w:rsidRDefault="002F5F4C" w:rsidP="002F5F4C"/>
    <w:p w:rsidR="002F5F4C" w:rsidRDefault="002F5F4C" w:rsidP="002F5F4C">
      <w:r w:rsidRPr="00653DEB">
        <w:fldChar w:fldCharType="begin"/>
      </w:r>
      <w:r w:rsidRPr="00653DEB">
        <w:instrText xml:space="preserve"> AUTONUM  </w:instrText>
      </w:r>
      <w:r w:rsidRPr="00653DEB">
        <w:fldChar w:fldCharType="end"/>
      </w:r>
      <w:r w:rsidRPr="00653DEB">
        <w:tab/>
      </w:r>
      <w:r>
        <w:t xml:space="preserve">The TWO and the TWA agreed that the document should </w:t>
      </w:r>
      <w:r w:rsidRPr="00201794">
        <w:t>focus on variation between observers at the authority level and not on minimizing observer variation between authorities</w:t>
      </w:r>
      <w:r>
        <w:t xml:space="preserve"> </w:t>
      </w:r>
      <w:r w:rsidRPr="00F00C80">
        <w:t>(see document</w:t>
      </w:r>
      <w:r>
        <w:t>s</w:t>
      </w:r>
      <w:r w:rsidRPr="00F00C80">
        <w:t xml:space="preserve"> TWO/4</w:t>
      </w:r>
      <w:r>
        <w:t>7</w:t>
      </w:r>
      <w:r w:rsidRPr="00F00C80">
        <w:t>/2</w:t>
      </w:r>
      <w:r>
        <w:t>8</w:t>
      </w:r>
      <w:r w:rsidRPr="00F00C80">
        <w:t xml:space="preserve"> “Report”, paragraph</w:t>
      </w:r>
      <w:r>
        <w:t xml:space="preserve"> 41 and </w:t>
      </w:r>
      <w:r w:rsidRPr="00E461F1">
        <w:t>TWA/4</w:t>
      </w:r>
      <w:r>
        <w:t>3</w:t>
      </w:r>
      <w:r w:rsidRPr="00E461F1">
        <w:t>/</w:t>
      </w:r>
      <w:r>
        <w:t>27</w:t>
      </w:r>
      <w:r w:rsidRPr="00E461F1">
        <w:t xml:space="preserve"> “Report”, paragraph</w:t>
      </w:r>
      <w:r>
        <w:t xml:space="preserve"> 31)</w:t>
      </w:r>
      <w:r w:rsidRPr="00201794">
        <w:t>.</w:t>
      </w:r>
      <w:r>
        <w:t xml:space="preserve"> </w:t>
      </w:r>
    </w:p>
    <w:p w:rsidR="002F5F4C" w:rsidRDefault="002F5F4C" w:rsidP="002F5F4C"/>
    <w:p w:rsidR="002F5F4C" w:rsidRPr="00653DEB" w:rsidRDefault="002F5F4C" w:rsidP="002F5F4C">
      <w:r w:rsidRPr="00653DEB">
        <w:fldChar w:fldCharType="begin"/>
      </w:r>
      <w:r w:rsidRPr="00653DEB">
        <w:instrText xml:space="preserve"> AUTONUM  </w:instrText>
      </w:r>
      <w:r w:rsidRPr="00653DEB">
        <w:fldChar w:fldCharType="end"/>
      </w:r>
      <w:r w:rsidRPr="00653DEB">
        <w:tab/>
        <w:t>The TWF received a presentation from the experts from Germany and New Zealand on the previous work done on harmonized variety description</w:t>
      </w:r>
      <w:r>
        <w:t>s</w:t>
      </w:r>
      <w:r w:rsidRPr="00653DEB">
        <w:t xml:space="preserve"> for apple for an agreed set of varieties, as reproduced in document TWF/45/28</w:t>
      </w:r>
      <w:r>
        <w:t xml:space="preserve"> (see </w:t>
      </w:r>
      <w:r w:rsidRPr="00E461F1">
        <w:t>document TWF/4</w:t>
      </w:r>
      <w:r>
        <w:t>5</w:t>
      </w:r>
      <w:r w:rsidRPr="00E461F1">
        <w:t>/3</w:t>
      </w:r>
      <w:r>
        <w:t>2</w:t>
      </w:r>
      <w:r w:rsidRPr="00E461F1">
        <w:t xml:space="preserve"> “Report”, paragraph</w:t>
      </w:r>
      <w:r>
        <w:t xml:space="preserve"> 28)</w:t>
      </w:r>
      <w:r w:rsidRPr="00653DEB">
        <w:t>.</w:t>
      </w:r>
    </w:p>
    <w:p w:rsidR="002F5F4C" w:rsidRPr="00653DEB" w:rsidRDefault="002F5F4C" w:rsidP="002F5F4C"/>
    <w:p w:rsidR="002F5F4C" w:rsidRPr="00653DEB" w:rsidRDefault="002F5F4C" w:rsidP="002F5F4C">
      <w:r w:rsidRPr="00653DEB">
        <w:fldChar w:fldCharType="begin"/>
      </w:r>
      <w:r w:rsidRPr="00653DEB">
        <w:instrText xml:space="preserve"> AUTONUM  </w:instrText>
      </w:r>
      <w:r w:rsidRPr="00653DEB">
        <w:fldChar w:fldCharType="end"/>
      </w:r>
      <w:r w:rsidRPr="00653DEB">
        <w:tab/>
        <w:t>The TWF agreed on the importance on minimizing the variation between different observers and also between authorities and therefore suggest</w:t>
      </w:r>
      <w:r>
        <w:t>ed</w:t>
      </w:r>
      <w:r w:rsidRPr="00653DEB">
        <w:t xml:space="preserve"> to consider a study on the possibility to start a new project on harmonized variety description for an agreed set of varieties.  The expert from Germany proposed to present to the TWF, at its forty-sixth session, </w:t>
      </w:r>
      <w:r>
        <w:t>a</w:t>
      </w:r>
      <w:r w:rsidRPr="00653DEB">
        <w:t xml:space="preserve"> protocol </w:t>
      </w:r>
      <w:r>
        <w:t>for</w:t>
      </w:r>
      <w:r w:rsidRPr="00653DEB">
        <w:t xml:space="preserve"> the project with an agreed list of varieties to be examined, in order to consider if it could be relevant to</w:t>
      </w:r>
      <w:r>
        <w:t xml:space="preserve"> further</w:t>
      </w:r>
      <w:r w:rsidRPr="00653DEB">
        <w:t xml:space="preserve"> develop the study</w:t>
      </w:r>
      <w:r>
        <w:t xml:space="preserve"> (see </w:t>
      </w:r>
      <w:r w:rsidRPr="00E461F1">
        <w:t>document TWF/4</w:t>
      </w:r>
      <w:r>
        <w:t>5</w:t>
      </w:r>
      <w:r w:rsidRPr="00E461F1">
        <w:t>/3</w:t>
      </w:r>
      <w:r>
        <w:t>2</w:t>
      </w:r>
      <w:r w:rsidRPr="00E461F1">
        <w:t xml:space="preserve"> “Report”, paragraph</w:t>
      </w:r>
      <w:r>
        <w:t xml:space="preserve"> 30)</w:t>
      </w:r>
      <w:r w:rsidRPr="00653DEB">
        <w:t>.</w:t>
      </w:r>
    </w:p>
    <w:p w:rsidR="002F5F4C" w:rsidRPr="00653DEB" w:rsidRDefault="002F5F4C" w:rsidP="002F5F4C"/>
    <w:p w:rsidR="002F5F4C" w:rsidRPr="00653DEB" w:rsidRDefault="002F5F4C" w:rsidP="002F5F4C">
      <w:r w:rsidRPr="00653DEB">
        <w:fldChar w:fldCharType="begin"/>
      </w:r>
      <w:r w:rsidRPr="00653DEB">
        <w:instrText xml:space="preserve"> AUTONUM  </w:instrText>
      </w:r>
      <w:r w:rsidRPr="00653DEB">
        <w:fldChar w:fldCharType="end"/>
      </w:r>
      <w:r w:rsidRPr="00653DEB">
        <w:tab/>
        <w:t xml:space="preserve">The TWF </w:t>
      </w:r>
      <w:r>
        <w:t xml:space="preserve">and the TWV </w:t>
      </w:r>
      <w:r w:rsidRPr="00653DEB">
        <w:t>noted the importance of the quality of the Test Guidelines in providing clear guidance for DUS examiners and in ensuring the consistency of observations</w:t>
      </w:r>
      <w:r>
        <w:t xml:space="preserve"> </w:t>
      </w:r>
      <w:r w:rsidRPr="00142558">
        <w:t>between observers within each authority</w:t>
      </w:r>
      <w:r w:rsidRPr="00653DEB">
        <w:t>, and the importance of the continuous training of examiners</w:t>
      </w:r>
      <w:r>
        <w:t xml:space="preserve"> (see </w:t>
      </w:r>
      <w:r w:rsidRPr="00E461F1">
        <w:t>document</w:t>
      </w:r>
      <w:r>
        <w:t>s</w:t>
      </w:r>
      <w:r w:rsidRPr="00E461F1">
        <w:t xml:space="preserve"> TWF/4</w:t>
      </w:r>
      <w:r>
        <w:t>5</w:t>
      </w:r>
      <w:r w:rsidRPr="00E461F1">
        <w:t>/3</w:t>
      </w:r>
      <w:r>
        <w:t>2</w:t>
      </w:r>
      <w:r w:rsidRPr="00E461F1">
        <w:t xml:space="preserve"> “Report”, paragraph</w:t>
      </w:r>
      <w:r>
        <w:t xml:space="preserve"> 31 and </w:t>
      </w:r>
      <w:r w:rsidRPr="00E461F1">
        <w:t>TWV/4</w:t>
      </w:r>
      <w:r>
        <w:t>8</w:t>
      </w:r>
      <w:r w:rsidRPr="00E461F1">
        <w:t>/</w:t>
      </w:r>
      <w:r>
        <w:t>43</w:t>
      </w:r>
      <w:r w:rsidRPr="00F00C80">
        <w:t xml:space="preserve"> “Report”, paragraph</w:t>
      </w:r>
      <w:r>
        <w:t xml:space="preserve"> 35)</w:t>
      </w:r>
      <w:r w:rsidRPr="00653DEB">
        <w:t>.</w:t>
      </w:r>
    </w:p>
    <w:p w:rsidR="002F5F4C" w:rsidRPr="00653DEB" w:rsidRDefault="002F5F4C" w:rsidP="002F5F4C"/>
    <w:p w:rsidR="002F5F4C" w:rsidRPr="00653DEB" w:rsidRDefault="002F5F4C" w:rsidP="002F5F4C">
      <w:r w:rsidRPr="00653DEB">
        <w:fldChar w:fldCharType="begin"/>
      </w:r>
      <w:r w:rsidRPr="00653DEB">
        <w:instrText xml:space="preserve"> AUTONUM  </w:instrText>
      </w:r>
      <w:r w:rsidRPr="00653DEB">
        <w:fldChar w:fldCharType="end"/>
      </w:r>
      <w:r w:rsidRPr="00653DEB">
        <w:tab/>
        <w:t>The TWF invited the expert from Australia to report</w:t>
      </w:r>
      <w:r>
        <w:t>,</w:t>
      </w:r>
      <w:r w:rsidRPr="00653DEB">
        <w:t xml:space="preserve"> at its forty-sixth session, on the effect of location, observer and year on the conformity of a characteristic for a specific crop</w:t>
      </w:r>
      <w:r>
        <w:t xml:space="preserve"> (see </w:t>
      </w:r>
      <w:r w:rsidRPr="00E461F1">
        <w:t>document TWF/4</w:t>
      </w:r>
      <w:r>
        <w:t>5</w:t>
      </w:r>
      <w:r w:rsidRPr="00E461F1">
        <w:t>/3</w:t>
      </w:r>
      <w:r>
        <w:t>2</w:t>
      </w:r>
      <w:r w:rsidRPr="00E461F1">
        <w:t xml:space="preserve"> “Report”, paragraph</w:t>
      </w:r>
      <w:r>
        <w:t xml:space="preserve"> 32)</w:t>
      </w:r>
      <w:r w:rsidRPr="00653DEB">
        <w:t>.</w:t>
      </w:r>
    </w:p>
    <w:p w:rsidR="002F5F4C" w:rsidRDefault="002F5F4C" w:rsidP="002F5F4C"/>
    <w:p w:rsidR="002F5F4C" w:rsidRPr="00BD5B6E" w:rsidRDefault="002F5F4C" w:rsidP="002F5F4C">
      <w:r w:rsidRPr="00BD5B6E">
        <w:fldChar w:fldCharType="begin"/>
      </w:r>
      <w:r w:rsidRPr="00BD5B6E">
        <w:instrText xml:space="preserve"> AUTONUM  </w:instrText>
      </w:r>
      <w:r w:rsidRPr="00BD5B6E">
        <w:fldChar w:fldCharType="end"/>
      </w:r>
      <w:r w:rsidRPr="00BD5B6E">
        <w:tab/>
        <w:t xml:space="preserve">The TWC noted that the expert from New Zealand </w:t>
      </w:r>
      <w:r>
        <w:t xml:space="preserve">had </w:t>
      </w:r>
      <w:r w:rsidRPr="00BD5B6E">
        <w:t>reported at the forty</w:t>
      </w:r>
      <w:r>
        <w:t>-</w:t>
      </w:r>
      <w:r w:rsidRPr="00BD5B6E">
        <w:t>fifth session of the TWF on the previous work done on harmonized variety description for apple for an agreed set of varieties</w:t>
      </w:r>
      <w:r>
        <w:t xml:space="preserve"> (see document </w:t>
      </w:r>
      <w:r w:rsidRPr="00E461F1">
        <w:t>TWC/3</w:t>
      </w:r>
      <w:r>
        <w:t>2</w:t>
      </w:r>
      <w:r w:rsidRPr="00E461F1">
        <w:t>/</w:t>
      </w:r>
      <w:r>
        <w:t>28</w:t>
      </w:r>
      <w:r w:rsidRPr="00E461F1">
        <w:t xml:space="preserve"> “Report”, paragraph</w:t>
      </w:r>
      <w:r>
        <w:t xml:space="preserve"> 51).</w:t>
      </w:r>
    </w:p>
    <w:p w:rsidR="002F5F4C" w:rsidRPr="00BD5B6E" w:rsidRDefault="002F5F4C" w:rsidP="002F5F4C"/>
    <w:p w:rsidR="002F5F4C" w:rsidRPr="00BD5B6E" w:rsidRDefault="002F5F4C" w:rsidP="002F5F4C">
      <w:pPr>
        <w:keepLines/>
        <w:spacing w:before="60" w:after="60"/>
      </w:pPr>
      <w:r w:rsidRPr="00BD5B6E">
        <w:fldChar w:fldCharType="begin"/>
      </w:r>
      <w:r w:rsidRPr="00BD5B6E">
        <w:instrText xml:space="preserve"> AUTONUM  </w:instrText>
      </w:r>
      <w:r w:rsidRPr="00BD5B6E">
        <w:fldChar w:fldCharType="end"/>
      </w:r>
      <w:r w:rsidRPr="00BD5B6E">
        <w:tab/>
        <w:t xml:space="preserve">The TWC agreed that the draft guidance should start on variation between observers at the authority level </w:t>
      </w:r>
      <w:r>
        <w:t>and between</w:t>
      </w:r>
      <w:r w:rsidRPr="00BD5B6E">
        <w:t xml:space="preserve"> different</w:t>
      </w:r>
      <w:r>
        <w:t xml:space="preserve"> authorities at a </w:t>
      </w:r>
      <w:r w:rsidRPr="00BD5B6E">
        <w:t xml:space="preserve">future </w:t>
      </w:r>
      <w:r>
        <w:t xml:space="preserve">stage (see document </w:t>
      </w:r>
      <w:r w:rsidRPr="00E461F1">
        <w:t>TWC/3</w:t>
      </w:r>
      <w:r>
        <w:t>2</w:t>
      </w:r>
      <w:r w:rsidRPr="00E461F1">
        <w:t>/</w:t>
      </w:r>
      <w:r>
        <w:t>28</w:t>
      </w:r>
      <w:r w:rsidRPr="00E461F1">
        <w:t xml:space="preserve"> “Report”, paragraph</w:t>
      </w:r>
      <w:r>
        <w:t xml:space="preserve"> 53)</w:t>
      </w:r>
      <w:r w:rsidRPr="00BD5B6E">
        <w:t>.</w:t>
      </w:r>
    </w:p>
    <w:p w:rsidR="002F5F4C" w:rsidRDefault="002F5F4C" w:rsidP="002F5F4C"/>
    <w:p w:rsidR="002F5F4C" w:rsidRPr="00142558" w:rsidRDefault="002F5F4C" w:rsidP="002F5F4C">
      <w:r w:rsidRPr="00142558">
        <w:fldChar w:fldCharType="begin"/>
      </w:r>
      <w:r w:rsidRPr="00142558">
        <w:instrText xml:space="preserve"> AUTONUM  </w:instrText>
      </w:r>
      <w:r w:rsidRPr="00142558">
        <w:fldChar w:fldCharType="end"/>
      </w:r>
      <w:r w:rsidRPr="00142558">
        <w:tab/>
        <w:t>The TWV suggested the inclusion of a t</w:t>
      </w:r>
      <w:r>
        <w:t>raining exercise in a DUS trial</w:t>
      </w:r>
      <w:r w:rsidRPr="00142558">
        <w:t xml:space="preserve"> as a basis to share experiences in the field and to enhance the use of the TWV for training</w:t>
      </w:r>
      <w:r>
        <w:t xml:space="preserve"> (see document </w:t>
      </w:r>
      <w:r w:rsidRPr="00E461F1">
        <w:t>TWV/4</w:t>
      </w:r>
      <w:r>
        <w:t>8</w:t>
      </w:r>
      <w:r w:rsidRPr="00E461F1">
        <w:t>/</w:t>
      </w:r>
      <w:r>
        <w:t>43</w:t>
      </w:r>
      <w:r w:rsidRPr="00F00C80">
        <w:t xml:space="preserve"> “Report”, paragraph</w:t>
      </w:r>
      <w:r>
        <w:t> 36)</w:t>
      </w:r>
      <w:r w:rsidRPr="00142558">
        <w:t>.</w:t>
      </w:r>
    </w:p>
    <w:p w:rsidR="002F5F4C" w:rsidRPr="00142558" w:rsidRDefault="002F5F4C" w:rsidP="002F5F4C"/>
    <w:p w:rsidR="002F5F4C" w:rsidRPr="007D0BAC" w:rsidRDefault="002F5F4C" w:rsidP="002F5F4C">
      <w:r w:rsidRPr="007D0BAC">
        <w:fldChar w:fldCharType="begin"/>
      </w:r>
      <w:r w:rsidRPr="007D0BAC">
        <w:instrText xml:space="preserve"> AUTONUM  </w:instrText>
      </w:r>
      <w:r w:rsidRPr="007D0BAC">
        <w:fldChar w:fldCharType="end"/>
      </w:r>
      <w:r w:rsidRPr="007D0BAC">
        <w:tab/>
        <w:t>The TWA noted that an expert from New Zealand had made a presentation at the forty-fifth session of the TWF on the previous work done on harmonized variety descriptions for apple for an agreed set of varieties, as presented in TWF/45/28 “H</w:t>
      </w:r>
      <w:r w:rsidRPr="007D0BAC">
        <w:rPr>
          <w:color w:val="000000"/>
        </w:rPr>
        <w:t>armonized example varieties for Apple: historical data and possible new developments”</w:t>
      </w:r>
      <w:r>
        <w:rPr>
          <w:color w:val="000000"/>
        </w:rPr>
        <w:t xml:space="preserve"> (see </w:t>
      </w:r>
      <w:r w:rsidRPr="00E461F1">
        <w:t>document TWA/4</w:t>
      </w:r>
      <w:r>
        <w:t>3</w:t>
      </w:r>
      <w:r w:rsidRPr="00E461F1">
        <w:t>/</w:t>
      </w:r>
      <w:r>
        <w:t>27</w:t>
      </w:r>
      <w:r w:rsidRPr="00E461F1">
        <w:t xml:space="preserve"> “Report”, paragraph</w:t>
      </w:r>
      <w:r>
        <w:t xml:space="preserve"> 29)</w:t>
      </w:r>
      <w:r w:rsidRPr="007D0BAC">
        <w:t>.</w:t>
      </w:r>
    </w:p>
    <w:p w:rsidR="002F5F4C" w:rsidRPr="007D0BAC" w:rsidRDefault="002F5F4C" w:rsidP="002F5F4C"/>
    <w:p w:rsidR="002F5F4C" w:rsidRPr="007D0BAC" w:rsidRDefault="002F5F4C" w:rsidP="002F5F4C">
      <w:r w:rsidRPr="007D0BAC">
        <w:fldChar w:fldCharType="begin"/>
      </w:r>
      <w:r w:rsidRPr="007D0BAC">
        <w:instrText xml:space="preserve"> AUTONUM  </w:instrText>
      </w:r>
      <w:r w:rsidRPr="007D0BAC">
        <w:fldChar w:fldCharType="end"/>
      </w:r>
      <w:r w:rsidRPr="007D0BAC">
        <w:tab/>
        <w:t>The TWA noted the importance of the quality of the Test Guidelines for providing clear guidance for DUS examiners and for ensuring consistency of observations, and the importance of the continuous training of examiners. The TWA agreed</w:t>
      </w:r>
      <w:r>
        <w:t xml:space="preserve"> to propose a general recommendation that, if possible,</w:t>
      </w:r>
      <w:r w:rsidRPr="007D0BAC">
        <w:t xml:space="preserve"> one observer should be used per trial to avoid variation in observations</w:t>
      </w:r>
      <w:r>
        <w:t xml:space="preserve"> </w:t>
      </w:r>
      <w:r>
        <w:rPr>
          <w:color w:val="000000"/>
        </w:rPr>
        <w:t xml:space="preserve">(see </w:t>
      </w:r>
      <w:r w:rsidRPr="00E461F1">
        <w:t>document TWA/4</w:t>
      </w:r>
      <w:r>
        <w:t>3</w:t>
      </w:r>
      <w:r w:rsidRPr="00E461F1">
        <w:t>/</w:t>
      </w:r>
      <w:r>
        <w:t>27</w:t>
      </w:r>
      <w:r w:rsidRPr="00E461F1">
        <w:t xml:space="preserve"> “Report”, paragraph</w:t>
      </w:r>
      <w:r>
        <w:t xml:space="preserve"> 32)</w:t>
      </w:r>
      <w:r w:rsidRPr="007D0BAC">
        <w:t>.</w:t>
      </w:r>
    </w:p>
    <w:p w:rsidR="002F5F4C" w:rsidRPr="007D0BAC" w:rsidRDefault="002F5F4C" w:rsidP="002F5F4C"/>
    <w:p w:rsidR="002F5F4C" w:rsidRPr="007D0BAC" w:rsidRDefault="002F5F4C" w:rsidP="002F5F4C">
      <w:r w:rsidRPr="007D0BAC">
        <w:lastRenderedPageBreak/>
        <w:fldChar w:fldCharType="begin"/>
      </w:r>
      <w:r w:rsidRPr="007D0BAC">
        <w:instrText xml:space="preserve"> AUTONUM  </w:instrText>
      </w:r>
      <w:r w:rsidRPr="007D0BAC">
        <w:fldChar w:fldCharType="end"/>
      </w:r>
      <w:r w:rsidRPr="007D0BAC">
        <w:tab/>
        <w:t>The TWA agreed that QN/MG characteristics could be dealt with in a similar way to QN/MS and noted that the possible effect of random within-plot variation should also be considered.  The TWA agreed that differences between observers on PQ characteristics could be tested using non-parametric methods, such as frequency of deviations</w:t>
      </w:r>
      <w:r>
        <w:t xml:space="preserve"> </w:t>
      </w:r>
      <w:r>
        <w:rPr>
          <w:color w:val="000000"/>
        </w:rPr>
        <w:t xml:space="preserve">(see </w:t>
      </w:r>
      <w:r w:rsidRPr="00E461F1">
        <w:t>document TWA/4</w:t>
      </w:r>
      <w:r>
        <w:t>3</w:t>
      </w:r>
      <w:r w:rsidRPr="00E461F1">
        <w:t>/</w:t>
      </w:r>
      <w:r>
        <w:t>27</w:t>
      </w:r>
      <w:r w:rsidRPr="00E461F1">
        <w:t xml:space="preserve"> “Report”, paragraph</w:t>
      </w:r>
      <w:r>
        <w:t xml:space="preserve"> 33)</w:t>
      </w:r>
      <w:r w:rsidRPr="007D0BAC">
        <w:t>.</w:t>
      </w:r>
    </w:p>
    <w:p w:rsidR="002F5F4C" w:rsidRDefault="002F5F4C" w:rsidP="002F5F4C"/>
    <w:p w:rsidR="002F5F4C" w:rsidRDefault="002F5F4C" w:rsidP="002F5F4C">
      <w:r w:rsidRPr="007D0BAC">
        <w:fldChar w:fldCharType="begin"/>
      </w:r>
      <w:r w:rsidRPr="007D0BAC">
        <w:instrText xml:space="preserve"> AUTONUM  </w:instrText>
      </w:r>
      <w:r w:rsidRPr="007D0BAC">
        <w:fldChar w:fldCharType="end"/>
      </w:r>
      <w:r w:rsidRPr="007D0BAC">
        <w:tab/>
      </w:r>
      <w:r w:rsidRPr="00A260DE">
        <w:t>In response to</w:t>
      </w:r>
      <w:r>
        <w:t xml:space="preserve"> the comments made by the TWPs at their sessions in 2015, </w:t>
      </w:r>
      <w:r w:rsidRPr="00903BA9">
        <w:t xml:space="preserve">Mr. Nik Hulse (Australia), </w:t>
      </w:r>
      <w:r>
        <w:t>prepared a new</w:t>
      </w:r>
      <w:r w:rsidRPr="00903BA9">
        <w:t xml:space="preserve"> draft</w:t>
      </w:r>
      <w:r>
        <w:t xml:space="preserve"> of</w:t>
      </w:r>
      <w:r w:rsidRPr="00903BA9">
        <w:t xml:space="preserve"> guidance to be included in TGP/8 Part I</w:t>
      </w:r>
      <w:proofErr w:type="gramStart"/>
      <w:r w:rsidRPr="00903BA9">
        <w:t>:DUS</w:t>
      </w:r>
      <w:proofErr w:type="gramEnd"/>
      <w:r w:rsidRPr="00903BA9">
        <w:t xml:space="preserve"> Trial and Design and Data Analysis, New Section: Minimizing the Varia</w:t>
      </w:r>
      <w:r>
        <w:t>tion due to Different Observers</w:t>
      </w:r>
      <w:r w:rsidRPr="00903BA9">
        <w:t>,</w:t>
      </w:r>
      <w:r>
        <w:t xml:space="preserve"> as reproduced in the Annex to document TC/51/16,</w:t>
      </w:r>
      <w:r w:rsidRPr="00903BA9">
        <w:t xml:space="preserve"> for</w:t>
      </w:r>
      <w:r>
        <w:t xml:space="preserve"> </w:t>
      </w:r>
      <w:r w:rsidRPr="00903BA9">
        <w:t>consideration by the TWPs at their sessions in 201</w:t>
      </w:r>
      <w:r>
        <w:t>5</w:t>
      </w:r>
      <w:r w:rsidRPr="00903BA9">
        <w:t>.</w:t>
      </w:r>
    </w:p>
    <w:p w:rsidR="002F5F4C" w:rsidRDefault="002F5F4C" w:rsidP="002F5F4C"/>
    <w:p w:rsidR="008460D9" w:rsidRDefault="008460D9" w:rsidP="002F5F4C"/>
    <w:p w:rsidR="002F5F4C" w:rsidRDefault="002F5F4C" w:rsidP="002F5F4C">
      <w:pPr>
        <w:pStyle w:val="Heading1"/>
        <w:rPr>
          <w:lang w:eastAsia="ja-JP"/>
        </w:rPr>
      </w:pPr>
      <w:bookmarkStart w:id="18" w:name="_Toc419718951"/>
      <w:bookmarkStart w:id="19" w:name="_Toc419730139"/>
      <w:r>
        <w:t>DEVELOPMENTS IN 201</w:t>
      </w:r>
      <w:r>
        <w:rPr>
          <w:rFonts w:hint="eastAsia"/>
          <w:lang w:eastAsia="ja-JP"/>
        </w:rPr>
        <w:t>5</w:t>
      </w:r>
      <w:bookmarkEnd w:id="18"/>
      <w:bookmarkEnd w:id="19"/>
    </w:p>
    <w:p w:rsidR="002F5F4C" w:rsidRDefault="002F5F4C" w:rsidP="002F5F4C">
      <w:pPr>
        <w:keepNext/>
        <w:keepLines/>
        <w:rPr>
          <w:lang w:eastAsia="ja-JP"/>
        </w:rPr>
      </w:pPr>
    </w:p>
    <w:p w:rsidR="002F5F4C" w:rsidRDefault="002F5F4C" w:rsidP="002F5F4C">
      <w:pPr>
        <w:pStyle w:val="Heading2"/>
        <w:rPr>
          <w:snapToGrid w:val="0"/>
          <w:lang w:eastAsia="ja-JP"/>
        </w:rPr>
      </w:pPr>
      <w:bookmarkStart w:id="20" w:name="_Toc419718952"/>
      <w:bookmarkStart w:id="21" w:name="_Toc419730140"/>
      <w:r>
        <w:rPr>
          <w:rFonts w:hint="eastAsia"/>
          <w:snapToGrid w:val="0"/>
          <w:lang w:eastAsia="ja-JP"/>
        </w:rPr>
        <w:t>Technical Committee</w:t>
      </w:r>
      <w:bookmarkEnd w:id="20"/>
      <w:bookmarkEnd w:id="21"/>
    </w:p>
    <w:p w:rsidR="002F5F4C" w:rsidRDefault="002F5F4C" w:rsidP="002F5F4C">
      <w:pPr>
        <w:rPr>
          <w:lang w:eastAsia="ja-JP"/>
        </w:rPr>
      </w:pPr>
    </w:p>
    <w:p w:rsidR="002F5F4C" w:rsidRDefault="002F5F4C" w:rsidP="002F5F4C">
      <w:r w:rsidRPr="000B03FD">
        <w:fldChar w:fldCharType="begin"/>
      </w:r>
      <w:r w:rsidRPr="000B03FD">
        <w:instrText xml:space="preserve"> AUTONUM  </w:instrText>
      </w:r>
      <w:r w:rsidRPr="000B03FD">
        <w:fldChar w:fldCharType="end"/>
      </w:r>
      <w:r w:rsidRPr="000B03FD">
        <w:tab/>
        <w:t>The TC</w:t>
      </w:r>
      <w:r>
        <w:rPr>
          <w:rFonts w:hint="eastAsia"/>
          <w:lang w:eastAsia="ja-JP"/>
        </w:rPr>
        <w:t>, at its fifty-first session, held in Geneva, from March 23 to 25, 2015,</w:t>
      </w:r>
      <w:r w:rsidRPr="000B03FD">
        <w:t xml:space="preserve"> considered document TC/51/16</w:t>
      </w:r>
      <w:r>
        <w:t xml:space="preserve"> “Revision of document TGP/8: Part I: DUS Trial Design and Data Analysis, New Section: Minimizing the Variation due to Different Observers“ </w:t>
      </w:r>
      <w:r w:rsidRPr="000B03FD">
        <w:t xml:space="preserve"> and the draft guidance for inclusion in document TGP/8 on minimizing the variation due to different observers of the same trial, as reproduced in the Annex to document TC/51/16, in conjunction with the comments of the TWPs at their sessions in 2014</w:t>
      </w:r>
      <w:r>
        <w:t xml:space="preserve"> </w:t>
      </w:r>
      <w:r>
        <w:rPr>
          <w:rFonts w:hint="eastAsia"/>
          <w:iCs/>
          <w:spacing w:val="-4"/>
          <w:lang w:eastAsia="ja-JP"/>
        </w:rPr>
        <w:t>(</w:t>
      </w:r>
      <w:r>
        <w:rPr>
          <w:rFonts w:hint="eastAsia"/>
          <w:lang w:eastAsia="ja-JP"/>
        </w:rPr>
        <w:t>see document TC/51/39, paragraph 13</w:t>
      </w:r>
      <w:r>
        <w:rPr>
          <w:lang w:eastAsia="ja-JP"/>
        </w:rPr>
        <w:t>2</w:t>
      </w:r>
      <w:r>
        <w:rPr>
          <w:rFonts w:hint="eastAsia"/>
          <w:lang w:eastAsia="ja-JP"/>
        </w:rPr>
        <w:t>)</w:t>
      </w:r>
      <w:r w:rsidRPr="000B03FD">
        <w:t>.</w:t>
      </w:r>
    </w:p>
    <w:p w:rsidR="002F5F4C" w:rsidRDefault="002F5F4C" w:rsidP="002F5F4C"/>
    <w:p w:rsidR="002F5F4C" w:rsidRDefault="002F5F4C" w:rsidP="002F5F4C">
      <w:r w:rsidRPr="000B03FD">
        <w:fldChar w:fldCharType="begin"/>
      </w:r>
      <w:r w:rsidRPr="000B03FD">
        <w:instrText xml:space="preserve"> AUTONUM  </w:instrText>
      </w:r>
      <w:r w:rsidRPr="000B03FD">
        <w:fldChar w:fldCharType="end"/>
      </w:r>
      <w:r w:rsidRPr="000B03FD">
        <w:tab/>
        <w:t>The TC agreed to request the expert from Australia to continue developing the document to be presented to the TWPs at their sessions in 2015, and to amend the title to that used in the Annex to document TC/51/16 “Minimizing the variation due to different observers of the same trial”</w:t>
      </w:r>
      <w:r>
        <w:t xml:space="preserve"> </w:t>
      </w:r>
      <w:r>
        <w:rPr>
          <w:rFonts w:hint="eastAsia"/>
          <w:iCs/>
          <w:spacing w:val="-4"/>
          <w:lang w:eastAsia="ja-JP"/>
        </w:rPr>
        <w:t>(</w:t>
      </w:r>
      <w:r>
        <w:rPr>
          <w:rFonts w:hint="eastAsia"/>
          <w:lang w:eastAsia="ja-JP"/>
        </w:rPr>
        <w:t>see document TC/51/39, paragraph</w:t>
      </w:r>
      <w:r>
        <w:rPr>
          <w:lang w:eastAsia="ja-JP"/>
        </w:rPr>
        <w:t xml:space="preserve"> 133</w:t>
      </w:r>
      <w:r>
        <w:rPr>
          <w:rFonts w:hint="eastAsia"/>
          <w:lang w:eastAsia="ja-JP"/>
        </w:rPr>
        <w:t>)</w:t>
      </w:r>
      <w:r w:rsidRPr="000B03FD">
        <w:t>.</w:t>
      </w:r>
    </w:p>
    <w:p w:rsidR="002F5F4C" w:rsidRDefault="002F5F4C" w:rsidP="002F5F4C"/>
    <w:p w:rsidR="002F5F4C" w:rsidRDefault="002F5F4C" w:rsidP="002F5F4C">
      <w:r w:rsidRPr="000B03FD">
        <w:fldChar w:fldCharType="begin"/>
      </w:r>
      <w:r w:rsidRPr="000B03FD">
        <w:instrText xml:space="preserve"> AUTONUM  </w:instrText>
      </w:r>
      <w:r w:rsidRPr="000B03FD">
        <w:fldChar w:fldCharType="end"/>
      </w:r>
      <w:r w:rsidRPr="000B03FD">
        <w:tab/>
      </w:r>
      <w:r w:rsidRPr="00A260DE">
        <w:t xml:space="preserve">In response to the request of the TC, the drafter from Australia </w:t>
      </w:r>
      <w:r>
        <w:t>(Mr. Nik Hulse)</w:t>
      </w:r>
      <w:r w:rsidRPr="00A260DE">
        <w:t xml:space="preserve">, </w:t>
      </w:r>
      <w:r>
        <w:t xml:space="preserve">has </w:t>
      </w:r>
      <w:r w:rsidRPr="00A260DE">
        <w:t xml:space="preserve">provided </w:t>
      </w:r>
      <w:r>
        <w:t xml:space="preserve">revised </w:t>
      </w:r>
      <w:r w:rsidRPr="00A260DE">
        <w:t xml:space="preserve">draft guidance for future revision of document TGP/8 on minimizing the variation due to different observers, </w:t>
      </w:r>
      <w:r w:rsidRPr="004717F7">
        <w:t>for consideration by the TWPs at their sessions in</w:t>
      </w:r>
      <w:r>
        <w:t> 2015, as presented in the Annex to this document</w:t>
      </w:r>
      <w:r w:rsidRPr="00A260DE">
        <w:t>.</w:t>
      </w:r>
    </w:p>
    <w:p w:rsidR="002F5F4C" w:rsidRDefault="002F5F4C" w:rsidP="002F5F4C"/>
    <w:p w:rsidR="002F5F4C" w:rsidRPr="00D21B66" w:rsidRDefault="002F5F4C" w:rsidP="002F5F4C">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FD1B3B">
        <w:rPr>
          <w:i/>
        </w:rPr>
        <w:tab/>
        <w:t>The TWC</w:t>
      </w:r>
      <w:r>
        <w:rPr>
          <w:i/>
        </w:rPr>
        <w:t xml:space="preserve"> is</w:t>
      </w:r>
      <w:r w:rsidRPr="00330930">
        <w:rPr>
          <w:i/>
        </w:rPr>
        <w:t xml:space="preserve"> invited to</w:t>
      </w:r>
      <w:r>
        <w:rPr>
          <w:i/>
        </w:rPr>
        <w:t xml:space="preserve"> </w:t>
      </w:r>
      <w:r>
        <w:rPr>
          <w:i/>
          <w:iCs/>
        </w:rPr>
        <w:t>consider the draft guidance in the Annex to this document, for inclusion in a future revision of document TGP/8 on minimizing the variation due to different observers.</w:t>
      </w:r>
    </w:p>
    <w:p w:rsidR="002F5F4C" w:rsidRDefault="002F5F4C" w:rsidP="002F5F4C"/>
    <w:p w:rsidR="002F5F4C" w:rsidRDefault="002F5F4C" w:rsidP="002F5F4C"/>
    <w:p w:rsidR="002F5F4C" w:rsidRPr="004717F7" w:rsidRDefault="002F5F4C" w:rsidP="002F5F4C"/>
    <w:p w:rsidR="002F5F4C" w:rsidRPr="00C5280D" w:rsidRDefault="002F5F4C" w:rsidP="002F5F4C">
      <w:pPr>
        <w:jc w:val="right"/>
      </w:pPr>
      <w:r w:rsidRPr="004717F7">
        <w:t>[Annex follows]</w:t>
      </w:r>
    </w:p>
    <w:p w:rsidR="00FD1B3B" w:rsidRDefault="00FD1B3B" w:rsidP="00FD1B3B">
      <w:pPr>
        <w:tabs>
          <w:tab w:val="left" w:pos="6690"/>
        </w:tabs>
      </w:pPr>
      <w:r>
        <w:tab/>
      </w:r>
    </w:p>
    <w:p w:rsidR="00FD1B3B" w:rsidRDefault="00FD1B3B" w:rsidP="00FD1B3B"/>
    <w:p w:rsidR="002F5F4C" w:rsidRPr="00FD1B3B" w:rsidRDefault="002F5F4C" w:rsidP="00FD1B3B">
      <w:pPr>
        <w:sectPr w:rsidR="002F5F4C" w:rsidRPr="00FD1B3B" w:rsidSect="00931ADB">
          <w:headerReference w:type="default" r:id="rId9"/>
          <w:pgSz w:w="11907" w:h="16840" w:code="9"/>
          <w:pgMar w:top="510" w:right="1134" w:bottom="1134" w:left="1134" w:header="510" w:footer="680" w:gutter="0"/>
          <w:pgNumType w:start="1"/>
          <w:cols w:space="720"/>
          <w:titlePg/>
        </w:sectPr>
      </w:pPr>
      <w:bookmarkStart w:id="22" w:name="_GoBack"/>
      <w:bookmarkEnd w:id="22"/>
    </w:p>
    <w:p w:rsidR="002F5F4C" w:rsidRDefault="002F5F4C" w:rsidP="002F5F4C">
      <w:pPr>
        <w:jc w:val="right"/>
      </w:pPr>
    </w:p>
    <w:p w:rsidR="002F5F4C" w:rsidRPr="00561A1A" w:rsidRDefault="002F5F4C" w:rsidP="008460D9">
      <w:pPr>
        <w:tabs>
          <w:tab w:val="right" w:pos="9638"/>
        </w:tabs>
        <w:jc w:val="center"/>
        <w:rPr>
          <w:rFonts w:cs="Arial"/>
          <w:b/>
          <w:bCs/>
          <w:caps/>
          <w:color w:val="000000"/>
          <w:u w:val="single"/>
          <w:lang w:val="en-GB"/>
        </w:rPr>
      </w:pPr>
      <w:r w:rsidRPr="00561A1A">
        <w:t>TGP/8/1: PART I:  NEW SECTION:  MINIMIZING THE VARIATION DUE TO DIFFERENT OBSERVERS</w:t>
      </w:r>
    </w:p>
    <w:p w:rsidR="002F5F4C" w:rsidRPr="00293475" w:rsidRDefault="002F5F4C" w:rsidP="002F5F4C">
      <w:pPr>
        <w:jc w:val="center"/>
        <w:rPr>
          <w:rFonts w:cs="Arial"/>
          <w:u w:val="single"/>
          <w:lang w:val="en-GB"/>
        </w:rPr>
      </w:pPr>
      <w:r w:rsidRPr="00293475">
        <w:rPr>
          <w:rFonts w:cs="Arial"/>
          <w:highlight w:val="lightGray"/>
          <w:u w:val="single"/>
          <w:lang w:val="en-GB"/>
        </w:rPr>
        <w:t>OF THE SAME TRIAL</w:t>
      </w:r>
    </w:p>
    <w:p w:rsidR="002F5F4C" w:rsidRDefault="002F5F4C" w:rsidP="002F5F4C">
      <w:pPr>
        <w:jc w:val="center"/>
        <w:rPr>
          <w:rFonts w:cs="Arial"/>
          <w:lang w:val="en-GB"/>
        </w:rPr>
      </w:pPr>
    </w:p>
    <w:p w:rsidR="002F5F4C" w:rsidRPr="00A260DE" w:rsidRDefault="002F5F4C" w:rsidP="002F5F4C">
      <w:pPr>
        <w:pBdr>
          <w:top w:val="single" w:sz="4" w:space="1" w:color="auto"/>
          <w:left w:val="single" w:sz="4" w:space="4" w:color="auto"/>
          <w:bottom w:val="single" w:sz="4" w:space="1" w:color="auto"/>
          <w:right w:val="single" w:sz="4" w:space="4" w:color="auto"/>
        </w:pBdr>
      </w:pPr>
      <w:r>
        <w:t xml:space="preserve">Compared to the version presented to the TC at </w:t>
      </w:r>
      <w:r>
        <w:rPr>
          <w:rFonts w:hint="eastAsia"/>
          <w:lang w:eastAsia="ja-JP"/>
        </w:rPr>
        <w:t>its fifty-first session</w:t>
      </w:r>
      <w:r>
        <w:t xml:space="preserve">, the proposed changes are presented below in highlight and </w:t>
      </w:r>
      <w:r w:rsidRPr="0044392F">
        <w:rPr>
          <w:highlight w:val="lightGray"/>
          <w:u w:val="single"/>
        </w:rPr>
        <w:t>underline</w:t>
      </w:r>
      <w:r>
        <w:t xml:space="preserve"> (insertion) and </w:t>
      </w:r>
      <w:r w:rsidRPr="0044392F">
        <w:rPr>
          <w:strike/>
          <w:highlight w:val="lightGray"/>
        </w:rPr>
        <w:t>strikethrough</w:t>
      </w:r>
      <w:r>
        <w:t xml:space="preserve"> (deletion).</w:t>
      </w:r>
    </w:p>
    <w:p w:rsidR="002F5F4C" w:rsidRPr="0044392F" w:rsidRDefault="002F5F4C" w:rsidP="002F5F4C">
      <w:pPr>
        <w:jc w:val="left"/>
        <w:rPr>
          <w:rFonts w:ascii="Times New Roman" w:eastAsia="Calibri" w:hAnsi="Times New Roman" w:cs="Arial"/>
          <w:noProof/>
          <w:sz w:val="24"/>
          <w:szCs w:val="24"/>
          <w:lang w:eastAsia="ko-KR"/>
        </w:rPr>
      </w:pPr>
    </w:p>
    <w:p w:rsidR="002F5F4C" w:rsidRPr="00E44A0F" w:rsidRDefault="002F5F4C" w:rsidP="002F5F4C">
      <w:pPr>
        <w:jc w:val="center"/>
        <w:rPr>
          <w:rFonts w:ascii="Times New Roman" w:eastAsia="Calibri" w:hAnsi="Times New Roman" w:cs="Arial"/>
          <w:noProof/>
          <w:sz w:val="24"/>
          <w:szCs w:val="24"/>
          <w:lang w:val="en-GB" w:eastAsia="ko-KR"/>
        </w:rPr>
      </w:pPr>
    </w:p>
    <w:p w:rsidR="002F5F4C" w:rsidRPr="0044392F" w:rsidRDefault="002F5F4C" w:rsidP="002F5F4C">
      <w:pPr>
        <w:jc w:val="left"/>
        <w:rPr>
          <w:rFonts w:eastAsia="Calibri" w:cs="Arial"/>
          <w:noProof/>
          <w:u w:val="single"/>
          <w:lang w:val="en-AU" w:eastAsia="ko-KR"/>
        </w:rPr>
      </w:pPr>
      <w:r w:rsidRPr="0044392F">
        <w:rPr>
          <w:rFonts w:eastAsia="Calibri" w:cs="Arial"/>
          <w:noProof/>
          <w:u w:val="single"/>
          <w:lang w:val="en-AU" w:eastAsia="ko-KR"/>
        </w:rPr>
        <w:t>1. Introduction</w:t>
      </w:r>
    </w:p>
    <w:p w:rsidR="002F5F4C" w:rsidRPr="0044392F" w:rsidRDefault="002F5F4C" w:rsidP="002F5F4C">
      <w:pPr>
        <w:jc w:val="left"/>
        <w:rPr>
          <w:rFonts w:eastAsia="Calibri" w:cs="Arial"/>
          <w:noProof/>
          <w:u w:val="single"/>
          <w:lang w:val="en-AU" w:eastAsia="ko-KR"/>
        </w:rPr>
      </w:pPr>
    </w:p>
    <w:p w:rsidR="002F5F4C" w:rsidRPr="0044392F" w:rsidRDefault="002F5F4C" w:rsidP="002F5F4C">
      <w:pPr>
        <w:jc w:val="left"/>
        <w:rPr>
          <w:rFonts w:eastAsia="Calibri" w:cs="Arial"/>
          <w:noProof/>
          <w:lang w:val="en-AU" w:eastAsia="ko-KR"/>
        </w:rPr>
      </w:pPr>
      <w:r w:rsidRPr="0044392F">
        <w:rPr>
          <w:rFonts w:eastAsia="Calibri" w:cs="Arial"/>
          <w:noProof/>
          <w:highlight w:val="lightGray"/>
          <w:u w:val="single"/>
          <w:lang w:val="en-AU" w:eastAsia="ko-KR"/>
        </w:rPr>
        <w:t>This document considers variation between observers of the same trial at the authority level.</w:t>
      </w:r>
      <w:r w:rsidRPr="0044392F">
        <w:rPr>
          <w:rFonts w:eastAsia="Calibri" w:cs="Arial"/>
          <w:noProof/>
          <w:lang w:val="en-AU" w:eastAsia="ko-KR"/>
        </w:rPr>
        <w:t xml:space="preserve">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Colour chart, the lighting conditions and so on. </w:t>
      </w:r>
      <w:r w:rsidRPr="0044392F">
        <w:rPr>
          <w:rFonts w:eastAsia="Calibri" w:cs="Arial"/>
          <w:noProof/>
          <w:highlight w:val="lightGray"/>
          <w:u w:val="single"/>
          <w:lang w:val="en-AU" w:eastAsia="ko-KR"/>
        </w:rPr>
        <w:t>Differences between observers on PQ characteristics could be tested using non-parametric methods, such as frequency of deviations.</w:t>
      </w:r>
      <w:r w:rsidRPr="0044392F">
        <w:rPr>
          <w:rFonts w:eastAsia="Calibri" w:cs="Arial"/>
          <w:noProof/>
          <w:lang w:val="en-AU" w:eastAsia="ko-KR"/>
        </w:rPr>
        <w:t xml:space="preserve">These aspects are not covered in this document. </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1.1</w:t>
      </w:r>
      <w:r w:rsidRPr="0044392F">
        <w:rPr>
          <w:rFonts w:eastAsia="Calibri" w:cs="Arial"/>
          <w:noProof/>
          <w:lang w:val="en-AU" w:eastAsia="ko-KR"/>
        </w:rPr>
        <w:tab/>
        <w:t>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1.2</w:t>
      </w:r>
      <w:r w:rsidRPr="0044392F">
        <w:rPr>
          <w:rFonts w:eastAsia="Calibri" w:cs="Arial"/>
          <w:noProof/>
          <w:lang w:val="en-AU" w:eastAsia="ko-KR"/>
        </w:rPr>
        <w:tab/>
        <w:t>It is recommended that, wherever possible, one observer should be used per trial to minimize variation in observations due to different observers.</w:t>
      </w:r>
    </w:p>
    <w:p w:rsidR="002F5F4C" w:rsidRPr="0044392F" w:rsidRDefault="002F5F4C" w:rsidP="002F5F4C">
      <w:pPr>
        <w:spacing w:before="120" w:after="120"/>
        <w:jc w:val="left"/>
        <w:rPr>
          <w:rFonts w:eastAsia="Calibri" w:cs="Arial"/>
          <w:noProof/>
          <w:u w:val="single"/>
          <w:lang w:val="en-AU" w:eastAsia="ko-KR"/>
        </w:rPr>
      </w:pPr>
    </w:p>
    <w:p w:rsidR="002F5F4C" w:rsidRPr="0044392F" w:rsidRDefault="002F5F4C" w:rsidP="002F5F4C">
      <w:pPr>
        <w:spacing w:before="120" w:after="120"/>
        <w:jc w:val="left"/>
        <w:rPr>
          <w:rFonts w:eastAsia="Calibri" w:cs="Arial"/>
          <w:noProof/>
          <w:u w:val="single"/>
          <w:lang w:val="en-AU" w:eastAsia="ko-KR"/>
        </w:rPr>
      </w:pPr>
      <w:r w:rsidRPr="0044392F">
        <w:rPr>
          <w:rFonts w:eastAsia="Calibri" w:cs="Arial"/>
          <w:noProof/>
          <w:u w:val="single"/>
          <w:lang w:val="en-AU" w:eastAsia="ko-KR"/>
        </w:rPr>
        <w:t>2. Training and importance of clear explanations of characteristics and method of observation</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2.1</w:t>
      </w:r>
      <w:r w:rsidRPr="0044392F">
        <w:rPr>
          <w:rFonts w:eastAsia="Calibri" w:cs="Arial"/>
          <w:noProof/>
          <w:lang w:val="en-AU"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2F5F4C" w:rsidRPr="0044392F" w:rsidRDefault="002F5F4C" w:rsidP="002F5F4C">
      <w:pPr>
        <w:spacing w:before="120" w:after="120"/>
        <w:jc w:val="left"/>
        <w:rPr>
          <w:rFonts w:eastAsia="Calibri" w:cs="Arial"/>
          <w:strike/>
          <w:noProof/>
          <w:lang w:val="en-AU" w:eastAsia="ko-KR"/>
        </w:rPr>
      </w:pPr>
      <w:r w:rsidRPr="0044392F">
        <w:rPr>
          <w:rFonts w:eastAsia="Calibri" w:cs="Arial"/>
          <w:noProof/>
          <w:lang w:val="en-AU" w:eastAsia="ko-KR"/>
        </w:rPr>
        <w:t>2.2</w:t>
      </w:r>
      <w:r w:rsidRPr="0044392F">
        <w:rPr>
          <w:rFonts w:eastAsia="Calibri" w:cs="Arial"/>
          <w:noProof/>
          <w:lang w:val="en-AU" w:eastAsia="ko-KR"/>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2.</w:t>
      </w:r>
      <w:r w:rsidRPr="0044392F">
        <w:rPr>
          <w:rFonts w:eastAsia="Calibri" w:cs="Arial"/>
          <w:strike/>
          <w:noProof/>
          <w:highlight w:val="lightGray"/>
          <w:u w:val="single"/>
          <w:lang w:val="en-AU" w:eastAsia="ko-KR"/>
        </w:rPr>
        <w:t>4</w:t>
      </w:r>
      <w:r w:rsidRPr="0044392F">
        <w:rPr>
          <w:rFonts w:eastAsia="Calibri" w:cs="Arial"/>
          <w:noProof/>
          <w:highlight w:val="lightGray"/>
          <w:u w:val="single"/>
          <w:lang w:val="en-AU" w:eastAsia="ko-KR"/>
        </w:rPr>
        <w:t>3</w:t>
      </w:r>
      <w:r w:rsidRPr="0044392F">
        <w:rPr>
          <w:rFonts w:eastAsia="Calibri" w:cs="Arial"/>
          <w:noProof/>
          <w:lang w:val="en-AU" w:eastAsia="ko-KR"/>
        </w:rPr>
        <w:t xml:space="preserve"> The Glossary of Terms Used in UPOV Documents (TGP/14/2) provides useful guidance for clarifying many characteristics, in particular PQ characteristics.  </w:t>
      </w:r>
      <w:r w:rsidRPr="0044392F">
        <w:rPr>
          <w:rFonts w:eastAsia="Calibri" w:cs="Arial"/>
          <w:noProof/>
          <w:lang w:val="en-AU" w:eastAsia="ko-KR"/>
        </w:rPr>
        <w:br/>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2.</w:t>
      </w:r>
      <w:r w:rsidRPr="0044392F">
        <w:rPr>
          <w:rFonts w:eastAsia="Calibri" w:cs="Arial"/>
          <w:strike/>
          <w:noProof/>
          <w:highlight w:val="lightGray"/>
          <w:u w:val="single"/>
          <w:lang w:val="en-AU" w:eastAsia="ko-KR"/>
        </w:rPr>
        <w:t>3</w:t>
      </w:r>
      <w:r w:rsidRPr="0044392F">
        <w:rPr>
          <w:rFonts w:eastAsia="Calibri" w:cs="Arial"/>
          <w:noProof/>
          <w:highlight w:val="lightGray"/>
          <w:u w:val="single"/>
          <w:lang w:val="en-AU" w:eastAsia="ko-KR"/>
        </w:rPr>
        <w:t>4</w:t>
      </w:r>
      <w:r w:rsidRPr="0044392F">
        <w:rPr>
          <w:rFonts w:eastAsia="Calibri" w:cs="Arial"/>
          <w:noProof/>
          <w:lang w:val="en-AU" w:eastAsia="ko-KR"/>
        </w:rPr>
        <w:tab/>
        <w:t>Once an observer is trained it is important to ensure frequent refresher training and recalibration.</w:t>
      </w:r>
    </w:p>
    <w:p w:rsidR="002F5F4C" w:rsidRPr="0044392F" w:rsidRDefault="002F5F4C" w:rsidP="002F5F4C">
      <w:pPr>
        <w:spacing w:before="120" w:after="120"/>
        <w:jc w:val="left"/>
        <w:rPr>
          <w:rFonts w:eastAsia="Calibri" w:cs="Arial"/>
          <w:noProof/>
          <w:u w:val="single"/>
          <w:lang w:val="en-AU" w:eastAsia="ko-KR"/>
        </w:rPr>
      </w:pPr>
    </w:p>
    <w:p w:rsidR="002F5F4C" w:rsidRPr="0044392F" w:rsidRDefault="002F5F4C" w:rsidP="002F5F4C">
      <w:pPr>
        <w:spacing w:before="120" w:after="120"/>
        <w:jc w:val="left"/>
        <w:rPr>
          <w:rFonts w:eastAsia="Calibri" w:cs="Arial"/>
          <w:noProof/>
          <w:u w:val="single"/>
          <w:lang w:val="en-AU" w:eastAsia="ko-KR"/>
        </w:rPr>
      </w:pPr>
      <w:r w:rsidRPr="0044392F">
        <w:rPr>
          <w:rFonts w:eastAsia="Calibri" w:cs="Arial"/>
          <w:noProof/>
          <w:u w:val="single"/>
          <w:lang w:val="en-AU" w:eastAsia="ko-KR"/>
        </w:rPr>
        <w:t>3. Testing the calibration</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3.1</w:t>
      </w:r>
      <w:r w:rsidRPr="0044392F">
        <w:rPr>
          <w:rFonts w:eastAsia="Calibri" w:cs="Arial"/>
          <w:noProof/>
          <w:lang w:val="en-AU"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3.2</w:t>
      </w:r>
      <w:r w:rsidRPr="0044392F">
        <w:rPr>
          <w:rFonts w:eastAsia="Calibri" w:cs="Arial"/>
          <w:noProof/>
          <w:lang w:val="en-AU" w:eastAsia="ko-KR"/>
        </w:rPr>
        <w:tab/>
        <w:t xml:space="preserve">A calibration experiment can be set up and analyzed in different ways. Generally it involves multiple observers, measuring the same set of material and assessing differences between the observers. </w:t>
      </w:r>
    </w:p>
    <w:p w:rsidR="002F5F4C" w:rsidRPr="0044392F" w:rsidRDefault="002F5F4C" w:rsidP="002F5F4C">
      <w:pPr>
        <w:spacing w:before="120" w:after="120"/>
        <w:jc w:val="left"/>
        <w:rPr>
          <w:rFonts w:eastAsia="Calibri" w:cs="Arial"/>
          <w:noProof/>
          <w:u w:val="single"/>
          <w:lang w:val="en-AU" w:eastAsia="ko-KR"/>
        </w:rPr>
      </w:pPr>
    </w:p>
    <w:p w:rsidR="002F5F4C" w:rsidRPr="0044392F" w:rsidRDefault="002F5F4C" w:rsidP="002F5F4C">
      <w:pPr>
        <w:spacing w:before="120" w:after="120"/>
        <w:jc w:val="left"/>
        <w:rPr>
          <w:rFonts w:eastAsia="Calibri" w:cs="Arial"/>
          <w:noProof/>
          <w:u w:val="single"/>
          <w:lang w:val="en-AU" w:eastAsia="ko-KR"/>
        </w:rPr>
      </w:pPr>
      <w:r w:rsidRPr="0044392F">
        <w:rPr>
          <w:rFonts w:eastAsia="Calibri" w:cs="Arial"/>
          <w:noProof/>
          <w:u w:val="single"/>
          <w:lang w:val="en-AU" w:eastAsia="ko-KR"/>
        </w:rPr>
        <w:t>4. Testing the calibration for QN/MG or QN/MS characteristics</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4.1</w:t>
      </w:r>
      <w:r w:rsidRPr="0044392F">
        <w:rPr>
          <w:rFonts w:eastAsia="Calibri" w:cs="Arial"/>
          <w:noProof/>
          <w:lang w:val="en-AU"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4.2</w:t>
      </w:r>
      <w:r w:rsidRPr="0044392F">
        <w:rPr>
          <w:rFonts w:eastAsia="Calibri" w:cs="Arial"/>
          <w:noProof/>
          <w:lang w:val="en-AU"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4.3</w:t>
      </w:r>
      <w:r w:rsidRPr="0044392F">
        <w:rPr>
          <w:rFonts w:eastAsia="Calibri" w:cs="Arial"/>
          <w:noProof/>
          <w:lang w:val="en-AU" w:eastAsia="ko-KR"/>
        </w:rPr>
        <w:tab/>
        <w:t>Other quality checks can be based on the repeatability and reproducibility tests for laboratories as described in ISO 5725-2. Free software is available on the ISTA website to obtain values and graphs according to this ISO standard.</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4.4</w:t>
      </w:r>
      <w:r w:rsidRPr="0044392F">
        <w:rPr>
          <w:rFonts w:eastAsia="Calibri" w:cs="Arial"/>
          <w:noProof/>
          <w:lang w:val="en-AU"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4.5</w:t>
      </w:r>
      <w:r w:rsidRPr="0044392F">
        <w:rPr>
          <w:rFonts w:eastAsia="Calibri" w:cs="Arial"/>
          <w:noProof/>
          <w:lang w:val="en-AU" w:eastAsia="ko-KR"/>
        </w:rPr>
        <w:tab/>
        <w:t xml:space="preserve">In the case of QN/MG observations consideration and allowance may need to be given to </w:t>
      </w:r>
      <w:r w:rsidRPr="0044392F">
        <w:rPr>
          <w:rFonts w:eastAsia="Calibri" w:cs="Arial"/>
          <w:noProof/>
          <w:highlight w:val="lightGray"/>
          <w:u w:val="single"/>
          <w:lang w:val="en-AU" w:eastAsia="ko-KR"/>
        </w:rPr>
        <w:t>the</w:t>
      </w:r>
      <w:r w:rsidRPr="0044392F">
        <w:rPr>
          <w:rFonts w:eastAsia="Calibri" w:cs="Arial"/>
          <w:noProof/>
          <w:lang w:val="en-AU" w:eastAsia="ko-KR"/>
        </w:rPr>
        <w:t xml:space="preserve"> possible </w:t>
      </w:r>
      <w:r w:rsidRPr="0044392F">
        <w:rPr>
          <w:rFonts w:eastAsia="Calibri" w:cs="Arial"/>
          <w:noProof/>
          <w:highlight w:val="lightGray"/>
          <w:u w:val="single"/>
          <w:lang w:val="en-AU" w:eastAsia="ko-KR"/>
        </w:rPr>
        <w:t>random</w:t>
      </w:r>
      <w:r w:rsidRPr="0044392F">
        <w:rPr>
          <w:rFonts w:eastAsia="Calibri" w:cs="Arial"/>
          <w:noProof/>
          <w:lang w:val="en-AU" w:eastAsia="ko-KR"/>
        </w:rPr>
        <w:t xml:space="preserve"> within plot variation.</w:t>
      </w:r>
    </w:p>
    <w:p w:rsidR="002F5F4C" w:rsidRPr="0044392F" w:rsidRDefault="002F5F4C" w:rsidP="002F5F4C">
      <w:pPr>
        <w:spacing w:before="120" w:after="120"/>
        <w:jc w:val="left"/>
        <w:rPr>
          <w:rFonts w:eastAsia="Calibri" w:cs="Arial"/>
          <w:noProof/>
          <w:u w:val="single"/>
          <w:lang w:val="en-AU" w:eastAsia="ko-KR"/>
        </w:rPr>
      </w:pP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u w:val="single"/>
          <w:lang w:val="en-AU" w:eastAsia="ko-KR"/>
        </w:rPr>
        <w:t>5. Testing the calibration for QN/VS or QN/VG characteristics</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5.1</w:t>
      </w:r>
      <w:r w:rsidRPr="0044392F">
        <w:rPr>
          <w:rFonts w:eastAsia="Calibri" w:cs="Arial"/>
          <w:noProof/>
          <w:lang w:val="en-AU"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5.2</w:t>
      </w:r>
      <w:r w:rsidRPr="0044392F">
        <w:rPr>
          <w:rFonts w:eastAsia="Calibri" w:cs="Arial"/>
          <w:noProof/>
          <w:lang w:val="en-AU"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5.3</w:t>
      </w:r>
      <w:r w:rsidRPr="0044392F">
        <w:rPr>
          <w:rFonts w:eastAsia="Calibri" w:cs="Arial"/>
          <w:noProof/>
          <w:lang w:val="en-AU"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5.4</w:t>
      </w:r>
      <w:r w:rsidRPr="0044392F">
        <w:rPr>
          <w:rFonts w:eastAsia="Calibri" w:cs="Arial"/>
          <w:noProof/>
          <w:lang w:val="en-AU"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2F5F4C" w:rsidRPr="0044392F" w:rsidRDefault="002F5F4C" w:rsidP="002F5F4C">
      <w:pPr>
        <w:spacing w:before="120" w:after="120"/>
        <w:jc w:val="left"/>
        <w:rPr>
          <w:rFonts w:eastAsia="Calibri" w:cs="Arial"/>
          <w:noProof/>
          <w:u w:val="single"/>
          <w:lang w:val="en-AU" w:eastAsia="ko-KR"/>
        </w:rPr>
      </w:pPr>
    </w:p>
    <w:p w:rsidR="002F5F4C" w:rsidRPr="0044392F" w:rsidRDefault="002F5F4C" w:rsidP="002F5F4C">
      <w:pPr>
        <w:spacing w:before="120" w:after="120"/>
        <w:jc w:val="left"/>
        <w:rPr>
          <w:rFonts w:eastAsia="Calibri" w:cs="Arial"/>
          <w:noProof/>
          <w:u w:val="single"/>
          <w:lang w:val="en-AU" w:eastAsia="ko-KR"/>
        </w:rPr>
      </w:pPr>
      <w:r w:rsidRPr="0044392F">
        <w:rPr>
          <w:rFonts w:eastAsia="Calibri" w:cs="Arial"/>
          <w:noProof/>
          <w:u w:val="single"/>
          <w:lang w:val="en-AU" w:eastAsia="ko-KR"/>
        </w:rPr>
        <w:t>6. Trial design</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6.1</w:t>
      </w:r>
      <w:r w:rsidRPr="0044392F">
        <w:rPr>
          <w:rFonts w:eastAsia="Calibri" w:cs="Arial"/>
          <w:noProof/>
          <w:lang w:val="en-AU" w:eastAsia="ko-KR"/>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w:t>
      </w:r>
      <w:r w:rsidRPr="0044392F">
        <w:rPr>
          <w:rFonts w:eastAsia="Calibri" w:cs="Arial"/>
          <w:noProof/>
          <w:lang w:val="en-AU" w:eastAsia="ko-KR"/>
        </w:rPr>
        <w:lastRenderedPageBreak/>
        <w:t>and an observer can be assigned to the sub blocks. In this way we can correct for systematic differences between observers.</w:t>
      </w:r>
    </w:p>
    <w:p w:rsidR="002F5F4C" w:rsidRPr="0044392F" w:rsidRDefault="002F5F4C" w:rsidP="002F5F4C">
      <w:pPr>
        <w:spacing w:before="120" w:after="120"/>
        <w:jc w:val="left"/>
        <w:rPr>
          <w:rFonts w:eastAsia="Calibri" w:cs="Arial"/>
          <w:noProof/>
          <w:lang w:val="en-AU" w:eastAsia="ko-KR"/>
        </w:rPr>
      </w:pPr>
    </w:p>
    <w:p w:rsidR="002F5F4C" w:rsidRPr="0044392F" w:rsidRDefault="002F5F4C" w:rsidP="002F5F4C">
      <w:pPr>
        <w:keepNext/>
        <w:keepLines/>
        <w:spacing w:before="120" w:after="120"/>
        <w:jc w:val="left"/>
        <w:rPr>
          <w:rFonts w:eastAsia="Calibri" w:cs="Arial"/>
          <w:noProof/>
          <w:u w:val="single"/>
          <w:lang w:val="en-AU" w:eastAsia="ko-KR"/>
        </w:rPr>
      </w:pPr>
      <w:r w:rsidRPr="0044392F">
        <w:rPr>
          <w:rFonts w:eastAsia="Calibri" w:cs="Arial"/>
          <w:noProof/>
          <w:u w:val="single"/>
          <w:lang w:val="en-AU" w:eastAsia="ko-KR"/>
        </w:rPr>
        <w:t>7. Example of Cohen’s Kappa</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7.1</w:t>
      </w:r>
      <w:r w:rsidRPr="0044392F">
        <w:rPr>
          <w:rFonts w:eastAsia="Calibri" w:cs="Arial"/>
          <w:noProof/>
          <w:lang w:val="en-AU" w:eastAsia="ko-KR"/>
        </w:rPr>
        <w:tab/>
        <w:t>In this example, there are three observers and 30 objects (plots or varieties).The characteristic is observed on a scale of 1 to 6.The raw data and their tabulated scores are given in the following tables.</w:t>
      </w:r>
    </w:p>
    <w:p w:rsidR="002F5F4C" w:rsidRPr="0044392F" w:rsidRDefault="002F5F4C" w:rsidP="002F5F4C">
      <w:pPr>
        <w:spacing w:before="120" w:after="120"/>
        <w:jc w:val="left"/>
        <w:rPr>
          <w:rFonts w:eastAsia="Calibri" w:cs="Arial"/>
          <w:noProof/>
          <w:lang w:val="en-AU" w:eastAsia="ko-KR"/>
        </w:rPr>
      </w:pPr>
    </w:p>
    <w:p w:rsidR="002F5F4C" w:rsidRPr="0044392F" w:rsidRDefault="002F5F4C" w:rsidP="002F5F4C">
      <w:pPr>
        <w:spacing w:before="120" w:after="120"/>
        <w:jc w:val="left"/>
        <w:rPr>
          <w:rFonts w:eastAsia="Calibri" w:cs="Arial"/>
          <w:noProof/>
          <w:lang w:val="en-AU" w:eastAsia="ko-KR"/>
        </w:rPr>
        <w:sectPr w:rsidR="002F5F4C" w:rsidRPr="0044392F" w:rsidSect="00931ADB">
          <w:headerReference w:type="default" r:id="rId10"/>
          <w:headerReference w:type="first" r:id="rId11"/>
          <w:pgSz w:w="11907" w:h="16840" w:code="9"/>
          <w:pgMar w:top="510" w:right="1134" w:bottom="1134" w:left="1134" w:header="510" w:footer="680" w:gutter="0"/>
          <w:pgNumType w:start="1"/>
          <w:cols w:space="720"/>
          <w:titlePg/>
        </w:sectPr>
      </w:pPr>
    </w:p>
    <w:tbl>
      <w:tblPr>
        <w:tblW w:w="3840"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2F5F4C" w:rsidRPr="0044392F" w:rsidTr="00931ADB">
        <w:trPr>
          <w:tblHeader/>
        </w:trPr>
        <w:tc>
          <w:tcPr>
            <w:tcW w:w="960" w:type="dxa"/>
            <w:tcBorders>
              <w:top w:val="single" w:sz="4" w:space="0" w:color="auto"/>
              <w:left w:val="single" w:sz="4" w:space="0" w:color="auto"/>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lastRenderedPageBreak/>
              <w:t>Variety</w:t>
            </w:r>
          </w:p>
        </w:tc>
        <w:tc>
          <w:tcPr>
            <w:tcW w:w="96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 xml:space="preserve">Observer </w:t>
            </w:r>
          </w:p>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96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Observer</w:t>
            </w:r>
          </w:p>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2</w:t>
            </w:r>
          </w:p>
        </w:tc>
        <w:tc>
          <w:tcPr>
            <w:tcW w:w="960" w:type="dxa"/>
            <w:tcBorders>
              <w:top w:val="single" w:sz="4" w:space="0" w:color="auto"/>
              <w:left w:val="nil"/>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Observer</w:t>
            </w:r>
          </w:p>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r>
      <w:tr w:rsidR="002F5F4C" w:rsidRPr="0044392F" w:rsidTr="00931ADB">
        <w:tc>
          <w:tcPr>
            <w:tcW w:w="960" w:type="dxa"/>
            <w:tcBorders>
              <w:top w:val="single" w:sz="4" w:space="0" w:color="auto"/>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w:t>
            </w:r>
          </w:p>
        </w:tc>
        <w:tc>
          <w:tcPr>
            <w:tcW w:w="960" w:type="dxa"/>
            <w:tcBorders>
              <w:top w:val="single" w:sz="4" w:space="0" w:color="auto"/>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single" w:sz="4" w:space="0" w:color="auto"/>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single" w:sz="4" w:space="0" w:color="auto"/>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V3</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V4</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V5</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V6</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V7</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V8</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V9</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V10</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V11</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V13</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4</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V14</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V15</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V16</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V17</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5</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V18</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V19</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V20</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V21</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V23</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V24</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V25</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V26</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V27</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V28</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5</w:t>
            </w:r>
          </w:p>
        </w:tc>
      </w:tr>
      <w:tr w:rsidR="002F5F4C" w:rsidRPr="0044392F" w:rsidTr="00931ADB">
        <w:tc>
          <w:tcPr>
            <w:tcW w:w="960"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V29</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5</w:t>
            </w:r>
          </w:p>
        </w:tc>
      </w:tr>
      <w:tr w:rsidR="002F5F4C" w:rsidRPr="0044392F" w:rsidTr="00931ADB">
        <w:tc>
          <w:tcPr>
            <w:tcW w:w="960" w:type="dxa"/>
            <w:tcBorders>
              <w:top w:val="nil"/>
              <w:left w:val="single" w:sz="4" w:space="0" w:color="auto"/>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V30</w:t>
            </w:r>
          </w:p>
        </w:tc>
        <w:tc>
          <w:tcPr>
            <w:tcW w:w="960" w:type="dxa"/>
            <w:tcBorders>
              <w:top w:val="nil"/>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4</w:t>
            </w:r>
          </w:p>
        </w:tc>
      </w:tr>
      <w:tr w:rsidR="002F5F4C" w:rsidRPr="0044392F" w:rsidTr="00931ADB">
        <w:tc>
          <w:tcPr>
            <w:tcW w:w="960" w:type="dxa"/>
            <w:tcBorders>
              <w:top w:val="nil"/>
              <w:left w:val="single" w:sz="4" w:space="0" w:color="auto"/>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p>
        </w:tc>
        <w:tc>
          <w:tcPr>
            <w:tcW w:w="960" w:type="dxa"/>
            <w:tcBorders>
              <w:top w:val="nil"/>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en-AU" w:eastAsia="ko-KR"/>
              </w:rPr>
            </w:pPr>
          </w:p>
        </w:tc>
        <w:tc>
          <w:tcPr>
            <w:tcW w:w="960" w:type="dxa"/>
            <w:tcBorders>
              <w:top w:val="nil"/>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en-AU" w:eastAsia="ko-KR"/>
              </w:rPr>
            </w:pPr>
          </w:p>
        </w:tc>
        <w:tc>
          <w:tcPr>
            <w:tcW w:w="960" w:type="dxa"/>
            <w:tcBorders>
              <w:top w:val="nil"/>
              <w:left w:val="nil"/>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p>
        </w:tc>
      </w:tr>
    </w:tbl>
    <w:p w:rsidR="002F5F4C" w:rsidRPr="0044392F" w:rsidRDefault="002F5F4C" w:rsidP="002F5F4C">
      <w:pPr>
        <w:jc w:val="left"/>
        <w:rPr>
          <w:rFonts w:eastAsia="Calibri" w:cs="Arial"/>
          <w:noProof/>
          <w:lang w:val="en-AU" w:eastAsia="ko-KR"/>
        </w:rPr>
      </w:pPr>
    </w:p>
    <w:p w:rsidR="002F5F4C" w:rsidRDefault="002F5F4C" w:rsidP="002F5F4C">
      <w:pPr>
        <w:jc w:val="left"/>
        <w:rPr>
          <w:rFonts w:eastAsia="Calibri" w:cs="Arial"/>
          <w:noProof/>
          <w:lang w:val="en-AU" w:eastAsia="ko-KR"/>
        </w:rPr>
      </w:pPr>
      <w:r>
        <w:rPr>
          <w:rFonts w:eastAsia="Calibri" w:cs="Arial"/>
          <w:noProof/>
          <w:lang w:val="en-AU" w:eastAsia="ko-KR"/>
        </w:rPr>
        <w:br w:type="page"/>
      </w:r>
    </w:p>
    <w:p w:rsidR="002F5F4C" w:rsidRPr="0044392F" w:rsidRDefault="002F5F4C" w:rsidP="002F5F4C">
      <w:pPr>
        <w:jc w:val="left"/>
        <w:rPr>
          <w:rFonts w:eastAsia="Calibri" w:cs="Arial"/>
          <w:noProof/>
          <w:lang w:val="en-AU"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2F5F4C" w:rsidRPr="0044392F" w:rsidTr="00931ADB">
        <w:trPr>
          <w:tblHeader/>
        </w:trPr>
        <w:tc>
          <w:tcPr>
            <w:tcW w:w="1134" w:type="dxa"/>
            <w:tcBorders>
              <w:top w:val="single" w:sz="4" w:space="0" w:color="auto"/>
              <w:left w:val="single" w:sz="4" w:space="0" w:color="auto"/>
              <w:bottom w:val="single" w:sz="4" w:space="0" w:color="auto"/>
              <w:right w:val="nil"/>
            </w:tcBorders>
            <w:noWrap/>
            <w:vAlign w:val="bottom"/>
          </w:tcPr>
          <w:p w:rsidR="002F5F4C" w:rsidRPr="0044392F" w:rsidRDefault="002F5F4C" w:rsidP="00931ADB">
            <w:pPr>
              <w:jc w:val="left"/>
              <w:rPr>
                <w:rFonts w:eastAsia="Calibri" w:cs="Arial"/>
                <w:noProof/>
                <w:color w:val="000000"/>
                <w:lang w:val="nl-NL" w:eastAsia="ko-KR"/>
              </w:rPr>
            </w:pPr>
            <w:r w:rsidRPr="0044392F">
              <w:rPr>
                <w:rFonts w:eastAsia="Calibri" w:cs="Arial"/>
                <w:noProof/>
                <w:color w:val="000000"/>
                <w:lang w:val="nl-NL" w:eastAsia="ko-KR"/>
              </w:rPr>
              <w:t>Scores for variety</w:t>
            </w:r>
          </w:p>
        </w:tc>
        <w:tc>
          <w:tcPr>
            <w:tcW w:w="567"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567"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2</w:t>
            </w:r>
          </w:p>
        </w:tc>
        <w:tc>
          <w:tcPr>
            <w:tcW w:w="567"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c>
          <w:tcPr>
            <w:tcW w:w="567"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4</w:t>
            </w:r>
          </w:p>
        </w:tc>
        <w:tc>
          <w:tcPr>
            <w:tcW w:w="567"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5</w:t>
            </w:r>
          </w:p>
        </w:tc>
        <w:tc>
          <w:tcPr>
            <w:tcW w:w="567" w:type="dxa"/>
            <w:tcBorders>
              <w:top w:val="single" w:sz="4" w:space="0" w:color="auto"/>
              <w:left w:val="nil"/>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6</w:t>
            </w:r>
          </w:p>
        </w:tc>
      </w:tr>
      <w:tr w:rsidR="002F5F4C" w:rsidRPr="0044392F" w:rsidTr="00931ADB">
        <w:tc>
          <w:tcPr>
            <w:tcW w:w="1134" w:type="dxa"/>
            <w:tcBorders>
              <w:top w:val="single" w:sz="4" w:space="0" w:color="auto"/>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w:t>
            </w:r>
          </w:p>
        </w:tc>
        <w:tc>
          <w:tcPr>
            <w:tcW w:w="567" w:type="dxa"/>
            <w:tcBorders>
              <w:top w:val="single" w:sz="4" w:space="0" w:color="auto"/>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single" w:sz="4" w:space="0" w:color="auto"/>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V3</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V4</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V5</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V6</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V7</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V8</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V9</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V13</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V14</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V15</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V16</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V17</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V18</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V19</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V23</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V24</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V25</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V26</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V27</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V28</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r>
      <w:tr w:rsidR="002F5F4C" w:rsidRPr="0044392F" w:rsidTr="00931ADB">
        <w:tc>
          <w:tcPr>
            <w:tcW w:w="1134" w:type="dxa"/>
            <w:tcBorders>
              <w:top w:val="nil"/>
              <w:left w:val="single" w:sz="4" w:space="0" w:color="auto"/>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V29</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2</w:t>
            </w:r>
          </w:p>
        </w:tc>
      </w:tr>
      <w:tr w:rsidR="002F5F4C" w:rsidRPr="0044392F" w:rsidTr="00931ADB">
        <w:tc>
          <w:tcPr>
            <w:tcW w:w="1134" w:type="dxa"/>
            <w:tcBorders>
              <w:top w:val="nil"/>
              <w:left w:val="single" w:sz="4" w:space="0" w:color="auto"/>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V30</w:t>
            </w:r>
          </w:p>
        </w:tc>
        <w:tc>
          <w:tcPr>
            <w:tcW w:w="567" w:type="dxa"/>
            <w:tcBorders>
              <w:top w:val="nil"/>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en-AU" w:eastAsia="ko-KR"/>
              </w:rPr>
            </w:pPr>
            <w:r w:rsidRPr="0044392F">
              <w:rPr>
                <w:rFonts w:eastAsia="Calibri" w:cs="Arial"/>
                <w:noProof/>
                <w:color w:val="000000"/>
                <w:lang w:val="en-AU" w:eastAsia="ko-KR"/>
              </w:rPr>
              <w:t>0</w:t>
            </w:r>
          </w:p>
        </w:tc>
      </w:tr>
    </w:tbl>
    <w:p w:rsidR="002F5F4C" w:rsidRPr="0044392F" w:rsidRDefault="002F5F4C" w:rsidP="002F5F4C">
      <w:pPr>
        <w:keepNext/>
        <w:spacing w:before="120" w:after="120"/>
        <w:jc w:val="left"/>
        <w:rPr>
          <w:rFonts w:eastAsia="Calibri" w:cs="Arial"/>
          <w:noProof/>
          <w:lang w:val="en-AU" w:eastAsia="ko-KR"/>
        </w:rPr>
        <w:sectPr w:rsidR="002F5F4C" w:rsidRPr="0044392F" w:rsidSect="00931ADB">
          <w:headerReference w:type="default" r:id="rId12"/>
          <w:type w:val="continuous"/>
          <w:pgSz w:w="11907" w:h="16840" w:code="9"/>
          <w:pgMar w:top="510" w:right="1134" w:bottom="1134" w:left="1134" w:header="510" w:footer="680" w:gutter="0"/>
          <w:cols w:num="2" w:space="720"/>
          <w:titlePg/>
        </w:sectPr>
      </w:pPr>
    </w:p>
    <w:p w:rsidR="002F5F4C" w:rsidRPr="0044392F" w:rsidRDefault="002F5F4C" w:rsidP="002F5F4C">
      <w:pPr>
        <w:keepNext/>
        <w:spacing w:before="120" w:after="120"/>
        <w:jc w:val="left"/>
        <w:rPr>
          <w:rFonts w:eastAsia="Calibri" w:cs="Arial"/>
          <w:noProof/>
          <w:lang w:val="en-AU" w:eastAsia="ko-KR"/>
        </w:rPr>
      </w:pPr>
      <w:r w:rsidRPr="0044392F">
        <w:rPr>
          <w:rFonts w:eastAsia="Calibri" w:cs="Arial"/>
          <w:noProof/>
          <w:lang w:val="en-AU" w:eastAsia="ko-KR"/>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2F5F4C" w:rsidRPr="0044392F" w:rsidTr="00931ADB">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O1\O2</w:t>
            </w:r>
          </w:p>
        </w:tc>
        <w:tc>
          <w:tcPr>
            <w:tcW w:w="72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70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2</w:t>
            </w:r>
          </w:p>
        </w:tc>
        <w:tc>
          <w:tcPr>
            <w:tcW w:w="64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c>
          <w:tcPr>
            <w:tcW w:w="68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4</w:t>
            </w:r>
          </w:p>
        </w:tc>
        <w:tc>
          <w:tcPr>
            <w:tcW w:w="68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5</w:t>
            </w:r>
          </w:p>
        </w:tc>
        <w:tc>
          <w:tcPr>
            <w:tcW w:w="673"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6</w:t>
            </w:r>
          </w:p>
        </w:tc>
        <w:tc>
          <w:tcPr>
            <w:tcW w:w="709" w:type="dxa"/>
            <w:tcBorders>
              <w:top w:val="single" w:sz="4" w:space="0" w:color="auto"/>
              <w:left w:val="nil"/>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Total</w:t>
            </w:r>
          </w:p>
        </w:tc>
      </w:tr>
      <w:tr w:rsidR="002F5F4C" w:rsidRPr="0044392F" w:rsidTr="00931ADB">
        <w:trPr>
          <w:trHeight w:val="300"/>
        </w:trPr>
        <w:tc>
          <w:tcPr>
            <w:tcW w:w="740"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72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c>
          <w:tcPr>
            <w:tcW w:w="70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r>
      <w:tr w:rsidR="002F5F4C" w:rsidRPr="0044392F" w:rsidTr="00931ADB">
        <w:trPr>
          <w:trHeight w:val="300"/>
        </w:trPr>
        <w:tc>
          <w:tcPr>
            <w:tcW w:w="740"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2</w:t>
            </w:r>
          </w:p>
        </w:tc>
        <w:tc>
          <w:tcPr>
            <w:tcW w:w="72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10</w:t>
            </w:r>
          </w:p>
        </w:tc>
        <w:tc>
          <w:tcPr>
            <w:tcW w:w="70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5</w:t>
            </w:r>
          </w:p>
        </w:tc>
        <w:tc>
          <w:tcPr>
            <w:tcW w:w="64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709"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17</w:t>
            </w:r>
          </w:p>
        </w:tc>
      </w:tr>
      <w:tr w:rsidR="002F5F4C" w:rsidRPr="0044392F" w:rsidTr="00931ADB">
        <w:trPr>
          <w:trHeight w:val="300"/>
        </w:trPr>
        <w:tc>
          <w:tcPr>
            <w:tcW w:w="740"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c>
          <w:tcPr>
            <w:tcW w:w="72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64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r>
      <w:tr w:rsidR="002F5F4C" w:rsidRPr="0044392F" w:rsidTr="00931ADB">
        <w:trPr>
          <w:trHeight w:val="300"/>
        </w:trPr>
        <w:tc>
          <w:tcPr>
            <w:tcW w:w="740"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4</w:t>
            </w:r>
          </w:p>
        </w:tc>
        <w:tc>
          <w:tcPr>
            <w:tcW w:w="72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r>
      <w:tr w:rsidR="002F5F4C" w:rsidRPr="0044392F" w:rsidTr="00931ADB">
        <w:trPr>
          <w:trHeight w:val="300"/>
        </w:trPr>
        <w:tc>
          <w:tcPr>
            <w:tcW w:w="740"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5</w:t>
            </w:r>
          </w:p>
        </w:tc>
        <w:tc>
          <w:tcPr>
            <w:tcW w:w="72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9"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r>
      <w:tr w:rsidR="002F5F4C" w:rsidRPr="0044392F" w:rsidTr="00931ADB">
        <w:trPr>
          <w:trHeight w:val="300"/>
        </w:trPr>
        <w:tc>
          <w:tcPr>
            <w:tcW w:w="740" w:type="dxa"/>
            <w:tcBorders>
              <w:top w:val="nil"/>
              <w:left w:val="single" w:sz="4" w:space="0" w:color="auto"/>
              <w:bottom w:val="nil"/>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6</w:t>
            </w:r>
          </w:p>
        </w:tc>
        <w:tc>
          <w:tcPr>
            <w:tcW w:w="72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9" w:type="dxa"/>
            <w:tcBorders>
              <w:top w:val="nil"/>
              <w:left w:val="single" w:sz="4" w:space="0" w:color="auto"/>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r>
      <w:tr w:rsidR="002F5F4C" w:rsidRPr="0044392F" w:rsidTr="00931ADB">
        <w:trPr>
          <w:trHeight w:val="300"/>
        </w:trPr>
        <w:tc>
          <w:tcPr>
            <w:tcW w:w="740" w:type="dxa"/>
            <w:tcBorders>
              <w:top w:val="nil"/>
              <w:left w:val="single" w:sz="4" w:space="0" w:color="auto"/>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Total</w:t>
            </w:r>
          </w:p>
        </w:tc>
        <w:tc>
          <w:tcPr>
            <w:tcW w:w="72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15</w:t>
            </w:r>
          </w:p>
        </w:tc>
        <w:tc>
          <w:tcPr>
            <w:tcW w:w="70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6</w:t>
            </w:r>
          </w:p>
        </w:tc>
        <w:tc>
          <w:tcPr>
            <w:tcW w:w="64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w:t>
            </w:r>
          </w:p>
        </w:tc>
        <w:tc>
          <w:tcPr>
            <w:tcW w:w="680" w:type="dxa"/>
            <w:tcBorders>
              <w:top w:val="single" w:sz="4" w:space="0" w:color="auto"/>
              <w:left w:val="nil"/>
              <w:bottom w:val="single" w:sz="4" w:space="0" w:color="auto"/>
              <w:right w:val="nil"/>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single" w:sz="4" w:space="0" w:color="auto"/>
              <w:left w:val="nil"/>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5</w:t>
            </w:r>
          </w:p>
        </w:tc>
        <w:tc>
          <w:tcPr>
            <w:tcW w:w="709" w:type="dxa"/>
            <w:tcBorders>
              <w:top w:val="nil"/>
              <w:left w:val="nil"/>
              <w:bottom w:val="single" w:sz="4" w:space="0" w:color="auto"/>
              <w:right w:val="single" w:sz="4" w:space="0" w:color="auto"/>
            </w:tcBorders>
            <w:noWrap/>
            <w:vAlign w:val="bottom"/>
          </w:tcPr>
          <w:p w:rsidR="002F5F4C" w:rsidRPr="0044392F" w:rsidRDefault="002F5F4C" w:rsidP="00931ADB">
            <w:pPr>
              <w:jc w:val="right"/>
              <w:rPr>
                <w:rFonts w:eastAsia="Calibri" w:cs="Arial"/>
                <w:noProof/>
                <w:color w:val="000000"/>
                <w:lang w:val="nl-NL" w:eastAsia="ko-KR"/>
              </w:rPr>
            </w:pPr>
            <w:r w:rsidRPr="0044392F">
              <w:rPr>
                <w:rFonts w:eastAsia="Calibri" w:cs="Arial"/>
                <w:noProof/>
                <w:color w:val="000000"/>
                <w:lang w:val="nl-NL" w:eastAsia="ko-KR"/>
              </w:rPr>
              <w:t>30</w:t>
            </w:r>
          </w:p>
        </w:tc>
      </w:tr>
    </w:tbl>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The Kappa coefficient between observer 1 and 2, κ(O1,O2) is calculated as follows:</w:t>
      </w:r>
    </w:p>
    <w:p w:rsidR="002F5F4C" w:rsidRPr="0044392F" w:rsidRDefault="002F5F4C" w:rsidP="002F5F4C">
      <w:pPr>
        <w:numPr>
          <w:ilvl w:val="0"/>
          <w:numId w:val="14"/>
        </w:numPr>
        <w:spacing w:before="120" w:after="120"/>
        <w:contextualSpacing/>
        <w:jc w:val="left"/>
        <w:rPr>
          <w:rFonts w:eastAsia="Calibri" w:cs="Arial"/>
          <w:noProof/>
          <w:lang w:val="en-AU" w:eastAsia="ko-KR"/>
        </w:rPr>
      </w:pPr>
      <w:r w:rsidRPr="0044392F">
        <w:rPr>
          <w:rFonts w:eastAsia="Calibri" w:cs="Arial"/>
          <w:noProof/>
          <w:lang w:val="en-AU" w:eastAsia="ko-KR"/>
        </w:rPr>
        <w:t>κ(O1,O2) = (P(agreement between O1 and  O2) – P(e)) / (1 – P(e)) where:</w:t>
      </w:r>
    </w:p>
    <w:p w:rsidR="002F5F4C" w:rsidRPr="0044392F" w:rsidRDefault="002F5F4C" w:rsidP="002F5F4C">
      <w:pPr>
        <w:numPr>
          <w:ilvl w:val="0"/>
          <w:numId w:val="14"/>
        </w:numPr>
        <w:spacing w:before="120" w:after="120"/>
        <w:contextualSpacing/>
        <w:jc w:val="left"/>
        <w:rPr>
          <w:rFonts w:eastAsia="Calibri" w:cs="Arial"/>
          <w:noProof/>
          <w:lang w:val="en-AU" w:eastAsia="ko-KR"/>
        </w:rPr>
      </w:pPr>
      <w:r w:rsidRPr="0044392F">
        <w:rPr>
          <w:rFonts w:eastAsia="Calibri" w:cs="Arial"/>
          <w:noProof/>
          <w:lang w:val="en-AU" w:eastAsia="ko-KR"/>
        </w:rPr>
        <w:t>P(agreement) =  (3+5+0+1+0+2)/30 = 11/30 ≈ 0.3667 (diagonal elements)</w:t>
      </w:r>
    </w:p>
    <w:p w:rsidR="002F5F4C" w:rsidRPr="0044392F" w:rsidRDefault="002F5F4C" w:rsidP="002F5F4C">
      <w:pPr>
        <w:numPr>
          <w:ilvl w:val="0"/>
          <w:numId w:val="14"/>
        </w:numPr>
        <w:spacing w:before="120" w:after="120"/>
        <w:contextualSpacing/>
        <w:jc w:val="left"/>
        <w:rPr>
          <w:rFonts w:eastAsia="Calibri" w:cs="Arial"/>
          <w:noProof/>
          <w:lang w:val="pt-BR" w:eastAsia="ko-KR"/>
        </w:rPr>
      </w:pPr>
      <w:r w:rsidRPr="0044392F">
        <w:rPr>
          <w:rFonts w:eastAsia="Calibri" w:cs="Arial"/>
          <w:noProof/>
          <w:lang w:val="pt-BR" w:eastAsia="ko-KR"/>
        </w:rPr>
        <w:t>P(e) = (3/30).(15/30) + (17/30).(6/30) + (3/30).(1/30) + (1/30).(3/30) + (3/30).(0/30) + (3/30).(5/30) ≈ 0.1867. (pair-wise margins)</w:t>
      </w:r>
    </w:p>
    <w:p w:rsidR="002F5F4C" w:rsidRPr="0044392F" w:rsidRDefault="002F5F4C" w:rsidP="002F5F4C">
      <w:pPr>
        <w:numPr>
          <w:ilvl w:val="0"/>
          <w:numId w:val="14"/>
        </w:numPr>
        <w:spacing w:before="120" w:after="120"/>
        <w:contextualSpacing/>
        <w:jc w:val="left"/>
        <w:rPr>
          <w:rFonts w:eastAsia="Calibri" w:cs="Arial"/>
          <w:noProof/>
          <w:lang w:val="en-AU" w:eastAsia="ko-KR"/>
        </w:rPr>
      </w:pPr>
      <w:r w:rsidRPr="0044392F">
        <w:rPr>
          <w:rFonts w:eastAsia="Calibri" w:cs="Arial"/>
          <w:noProof/>
          <w:lang w:val="en-AU" w:eastAsia="ko-KR"/>
        </w:rPr>
        <w:t>So κ(O1,O2) ≈ (0.3667-0.1867) / (1-0.1867) ≈ 0.22</w:t>
      </w:r>
    </w:p>
    <w:p w:rsidR="002F5F4C" w:rsidRPr="0044392F" w:rsidRDefault="002F5F4C" w:rsidP="002F5F4C">
      <w:pPr>
        <w:spacing w:before="120" w:after="120"/>
        <w:jc w:val="left"/>
        <w:rPr>
          <w:rFonts w:eastAsia="Calibri" w:cs="Arial"/>
          <w:noProof/>
          <w:lang w:val="en-AU" w:eastAsia="ko-KR"/>
        </w:rPr>
      </w:pPr>
      <w:r w:rsidRPr="0044392F">
        <w:rPr>
          <w:rFonts w:eastAsia="Calibri" w:cs="Arial"/>
          <w:noProof/>
          <w:lang w:val="en-AU"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2F5F4C" w:rsidRPr="0044392F" w:rsidRDefault="002F5F4C" w:rsidP="002F5F4C">
      <w:pPr>
        <w:spacing w:before="120" w:after="120"/>
        <w:jc w:val="left"/>
        <w:rPr>
          <w:rFonts w:eastAsia="Calibri" w:cs="Arial"/>
          <w:noProof/>
          <w:u w:val="single"/>
          <w:lang w:val="en-AU" w:eastAsia="ko-KR"/>
        </w:rPr>
      </w:pPr>
    </w:p>
    <w:p w:rsidR="002F5F4C" w:rsidRPr="0044392F" w:rsidRDefault="002F5F4C" w:rsidP="002F5F4C">
      <w:pPr>
        <w:spacing w:before="120" w:after="120"/>
        <w:jc w:val="left"/>
        <w:rPr>
          <w:rFonts w:eastAsia="Calibri" w:cs="Arial"/>
          <w:noProof/>
          <w:u w:val="single"/>
          <w:lang w:val="en-AU" w:eastAsia="ko-KR"/>
        </w:rPr>
      </w:pPr>
      <w:r w:rsidRPr="0044392F">
        <w:rPr>
          <w:rFonts w:eastAsia="Calibri" w:cs="Arial"/>
          <w:noProof/>
          <w:u w:val="single"/>
          <w:lang w:val="en-AU" w:eastAsia="ko-KR"/>
        </w:rPr>
        <w:t>8. References</w:t>
      </w:r>
    </w:p>
    <w:p w:rsidR="002F5F4C" w:rsidRPr="0044392F" w:rsidRDefault="002F5F4C" w:rsidP="002F5F4C">
      <w:pPr>
        <w:spacing w:before="120" w:after="120"/>
        <w:jc w:val="left"/>
        <w:rPr>
          <w:rFonts w:eastAsia="Calibri" w:cs="Arial"/>
          <w:noProof/>
          <w:lang w:val="en-AU" w:eastAsia="ko-KR"/>
        </w:rPr>
      </w:pPr>
      <w:r w:rsidRPr="0044392F">
        <w:rPr>
          <w:rFonts w:eastAsia="Calibri" w:cs="Arial"/>
          <w:b/>
          <w:noProof/>
          <w:lang w:val="en-AU" w:eastAsia="ko-KR"/>
        </w:rPr>
        <w:t>Cohen, J</w:t>
      </w:r>
      <w:r w:rsidRPr="0044392F">
        <w:rPr>
          <w:rFonts w:eastAsia="Calibri" w:cs="Arial"/>
          <w:noProof/>
          <w:lang w:val="en-AU" w:eastAsia="ko-KR"/>
        </w:rPr>
        <w:t>. (1960) A coefficient of agreement for nominal scales. Educational and Psychological Measurement 20: 37-46.</w:t>
      </w:r>
    </w:p>
    <w:p w:rsidR="002F5F4C" w:rsidRPr="0044392F" w:rsidRDefault="002F5F4C" w:rsidP="002F5F4C">
      <w:pPr>
        <w:spacing w:before="120" w:after="120"/>
        <w:jc w:val="left"/>
        <w:rPr>
          <w:rFonts w:eastAsia="Calibri" w:cs="Arial"/>
          <w:noProof/>
          <w:lang w:val="en-AU" w:eastAsia="ko-KR"/>
        </w:rPr>
      </w:pPr>
      <w:r w:rsidRPr="0044392F">
        <w:rPr>
          <w:rFonts w:eastAsia="Calibri" w:cs="Arial"/>
          <w:b/>
          <w:noProof/>
          <w:lang w:val="en-AU" w:eastAsia="ko-KR"/>
        </w:rPr>
        <w:t>Cohen, J</w:t>
      </w:r>
      <w:r w:rsidRPr="0044392F">
        <w:rPr>
          <w:rFonts w:eastAsia="Calibri" w:cs="Arial"/>
          <w:noProof/>
          <w:lang w:val="en-AU" w:eastAsia="ko-KR"/>
        </w:rPr>
        <w:t>. (1968) Weighted kappa: Nominal scale agreement provision for scaled disagreement or partial credit. Psychological Bulletin, 70(4): 213-220. </w:t>
      </w:r>
    </w:p>
    <w:p w:rsidR="002F5F4C" w:rsidRPr="0044392F" w:rsidRDefault="002F5F4C" w:rsidP="002F5F4C">
      <w:pPr>
        <w:spacing w:before="120" w:after="120"/>
        <w:jc w:val="left"/>
        <w:rPr>
          <w:rFonts w:eastAsia="Calibri" w:cs="Arial"/>
          <w:noProof/>
          <w:lang w:val="en-AU" w:eastAsia="ko-KR"/>
        </w:rPr>
      </w:pPr>
      <w:r w:rsidRPr="0044392F">
        <w:rPr>
          <w:rFonts w:eastAsia="Calibri" w:cs="Arial"/>
          <w:b/>
          <w:noProof/>
          <w:lang w:val="en-AU" w:eastAsia="ko-KR"/>
        </w:rPr>
        <w:t>Bland, J. M. Altman D. G.</w:t>
      </w:r>
      <w:r w:rsidRPr="0044392F">
        <w:rPr>
          <w:rFonts w:eastAsia="Calibri" w:cs="Arial"/>
          <w:noProof/>
          <w:lang w:val="en-AU" w:eastAsia="ko-KR"/>
        </w:rPr>
        <w:t xml:space="preserve"> (1986) Statistical methods for assessing agreement between two methods of clinical measurement, Lancet: 307–310.</w:t>
      </w:r>
    </w:p>
    <w:p w:rsidR="002F5F4C" w:rsidRPr="0044392F" w:rsidRDefault="002B54DB" w:rsidP="002F5F4C">
      <w:pPr>
        <w:spacing w:before="120" w:after="120"/>
        <w:jc w:val="left"/>
        <w:rPr>
          <w:rFonts w:eastAsia="Calibri" w:cs="Arial"/>
          <w:noProof/>
          <w:lang w:val="en-AU" w:eastAsia="ko-KR"/>
        </w:rPr>
      </w:pPr>
      <w:hyperlink r:id="rId13" w:history="1">
        <w:r w:rsidR="002F5F4C" w:rsidRPr="0044392F">
          <w:rPr>
            <w:rFonts w:eastAsia="Calibri" w:cs="Arial"/>
            <w:noProof/>
            <w:color w:val="0000FF"/>
            <w:u w:val="single"/>
            <w:lang w:val="en-AU" w:eastAsia="ko-KR"/>
          </w:rPr>
          <w:t>http://www.seedtest.org/en/stats-tool-box-_content---1--1143.html</w:t>
        </w:r>
      </w:hyperlink>
      <w:r w:rsidR="002F5F4C" w:rsidRPr="0044392F">
        <w:rPr>
          <w:rFonts w:eastAsia="Calibri" w:cs="Arial"/>
          <w:noProof/>
          <w:lang w:val="en-AU" w:eastAsia="ko-KR"/>
        </w:rPr>
        <w:t xml:space="preserve"> (ISO 5725-2 based software)</w:t>
      </w:r>
    </w:p>
    <w:p w:rsidR="002F5F4C" w:rsidRPr="00E44A0F" w:rsidRDefault="002F5F4C" w:rsidP="002F5F4C">
      <w:pPr>
        <w:rPr>
          <w:rFonts w:cs="Arial"/>
          <w:u w:val="single"/>
          <w:lang w:val="en-AU"/>
        </w:rPr>
      </w:pPr>
    </w:p>
    <w:p w:rsidR="002F5F4C" w:rsidRDefault="002F5F4C" w:rsidP="002F5F4C">
      <w:pPr>
        <w:spacing w:before="480"/>
        <w:ind w:left="567" w:hanging="567"/>
        <w:jc w:val="right"/>
      </w:pPr>
      <w:r w:rsidRPr="00561A1A">
        <w:t xml:space="preserve"> [End of </w:t>
      </w:r>
      <w:r w:rsidR="000C629D">
        <w:t xml:space="preserve">Annex and of </w:t>
      </w:r>
      <w:r w:rsidRPr="00561A1A">
        <w:t>document]</w:t>
      </w:r>
    </w:p>
    <w:p w:rsidR="002F5F4C" w:rsidRDefault="002F5F4C" w:rsidP="002F5F4C"/>
    <w:p w:rsidR="00DF474C" w:rsidRDefault="00DF474C" w:rsidP="002F5F4C">
      <w:pPr>
        <w:pStyle w:val="Titleofdoc0"/>
        <w:rPr>
          <w:snapToGrid w:val="0"/>
        </w:rPr>
      </w:pPr>
    </w:p>
    <w:sectPr w:rsidR="00DF474C" w:rsidSect="00906DDC">
      <w:headerReference w:type="default" r:id="rId14"/>
      <w:head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DB" w:rsidRDefault="00931ADB" w:rsidP="006655D3">
      <w:r>
        <w:separator/>
      </w:r>
    </w:p>
    <w:p w:rsidR="00931ADB" w:rsidRDefault="00931ADB" w:rsidP="006655D3"/>
    <w:p w:rsidR="00931ADB" w:rsidRDefault="00931ADB" w:rsidP="006655D3"/>
  </w:endnote>
  <w:endnote w:type="continuationSeparator" w:id="0">
    <w:p w:rsidR="00931ADB" w:rsidRDefault="00931ADB" w:rsidP="006655D3">
      <w:r>
        <w:separator/>
      </w:r>
    </w:p>
    <w:p w:rsidR="00931ADB" w:rsidRPr="005C3496" w:rsidRDefault="00931ADB">
      <w:pPr>
        <w:pStyle w:val="Footer"/>
        <w:spacing w:after="60"/>
        <w:rPr>
          <w:sz w:val="18"/>
          <w:lang w:val="fr-CH"/>
        </w:rPr>
      </w:pPr>
      <w:r w:rsidRPr="005C3496">
        <w:rPr>
          <w:sz w:val="18"/>
          <w:lang w:val="fr-CH"/>
        </w:rPr>
        <w:t>[Suite de la note de la page précédente]</w:t>
      </w:r>
    </w:p>
    <w:p w:rsidR="00931ADB" w:rsidRPr="005C3496" w:rsidRDefault="00931ADB" w:rsidP="006655D3">
      <w:pPr>
        <w:rPr>
          <w:lang w:val="fr-CH"/>
        </w:rPr>
      </w:pPr>
    </w:p>
    <w:p w:rsidR="00931ADB" w:rsidRPr="005C3496" w:rsidRDefault="00931ADB" w:rsidP="006655D3">
      <w:pPr>
        <w:rPr>
          <w:lang w:val="fr-CH"/>
        </w:rPr>
      </w:pPr>
    </w:p>
  </w:endnote>
  <w:endnote w:type="continuationNotice" w:id="1">
    <w:p w:rsidR="00931ADB" w:rsidRPr="005C3496" w:rsidRDefault="00931ADB" w:rsidP="006655D3">
      <w:pPr>
        <w:rPr>
          <w:lang w:val="fr-CH"/>
        </w:rPr>
      </w:pPr>
      <w:r w:rsidRPr="005C3496">
        <w:rPr>
          <w:lang w:val="fr-CH"/>
        </w:rPr>
        <w:t>[Suite de la note page suivante]</w:t>
      </w:r>
    </w:p>
    <w:p w:rsidR="00931ADB" w:rsidRPr="005C3496" w:rsidRDefault="00931ADB" w:rsidP="006655D3">
      <w:pPr>
        <w:rPr>
          <w:lang w:val="fr-CH"/>
        </w:rPr>
      </w:pPr>
    </w:p>
    <w:p w:rsidR="00931ADB" w:rsidRPr="005C3496" w:rsidRDefault="00931AD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DB" w:rsidRDefault="00931ADB" w:rsidP="006655D3">
      <w:r>
        <w:separator/>
      </w:r>
    </w:p>
  </w:footnote>
  <w:footnote w:type="continuationSeparator" w:id="0">
    <w:p w:rsidR="00931ADB" w:rsidRDefault="00931ADB" w:rsidP="006655D3">
      <w:r>
        <w:separator/>
      </w:r>
    </w:p>
  </w:footnote>
  <w:footnote w:type="continuationNotice" w:id="1">
    <w:p w:rsidR="00931ADB" w:rsidRPr="00AB530F" w:rsidRDefault="00931AD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DB" w:rsidRDefault="00931ADB">
    <w:pPr>
      <w:pStyle w:val="Header"/>
    </w:pPr>
    <w:r>
      <w:t>TWC/33/15</w:t>
    </w:r>
  </w:p>
  <w:p w:rsidR="00931ADB" w:rsidRDefault="00931ADB">
    <w:pPr>
      <w:pStyle w:val="Header"/>
    </w:pPr>
    <w:proofErr w:type="gramStart"/>
    <w:r>
      <w:t>page</w:t>
    </w:r>
    <w:proofErr w:type="gramEnd"/>
    <w:r>
      <w:t xml:space="preserve"> </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B54DB">
          <w:rPr>
            <w:noProof/>
          </w:rPr>
          <w:t>4</w:t>
        </w:r>
        <w:r>
          <w:rPr>
            <w:noProof/>
          </w:rPr>
          <w:fldChar w:fldCharType="end"/>
        </w:r>
      </w:sdtContent>
    </w:sdt>
  </w:p>
  <w:p w:rsidR="00931ADB" w:rsidRDefault="00931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DB" w:rsidRDefault="00931ADB" w:rsidP="00931ADB">
    <w:pPr>
      <w:pStyle w:val="Header"/>
    </w:pPr>
    <w:r>
      <w:t>TWC/33/15</w:t>
    </w:r>
  </w:p>
  <w:p w:rsidR="00931ADB" w:rsidRDefault="00931ADB" w:rsidP="00931ADB">
    <w:pPr>
      <w:pStyle w:val="Header"/>
    </w:pPr>
    <w:r>
      <w:t xml:space="preserve">Annex, page </w:t>
    </w:r>
    <w:sdt>
      <w:sdtPr>
        <w:id w:val="-1476783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B54DB">
          <w:rPr>
            <w:noProof/>
          </w:rPr>
          <w:t>3</w:t>
        </w:r>
        <w:r>
          <w:rPr>
            <w:noProof/>
          </w:rPr>
          <w:fldChar w:fldCharType="end"/>
        </w:r>
      </w:sdtContent>
    </w:sdt>
  </w:p>
  <w:p w:rsidR="00931ADB" w:rsidRDefault="00931ADB" w:rsidP="00931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DB" w:rsidRDefault="00931ADB" w:rsidP="00931ADB">
    <w:pPr>
      <w:pStyle w:val="Header"/>
    </w:pPr>
    <w:r>
      <w:t>TWC/33/15</w:t>
    </w:r>
  </w:p>
  <w:p w:rsidR="00931ADB" w:rsidRDefault="00931ADB" w:rsidP="00931ADB">
    <w:pPr>
      <w:pStyle w:val="Header"/>
    </w:pPr>
  </w:p>
  <w:p w:rsidR="00931ADB" w:rsidRDefault="00931ADB" w:rsidP="00931ADB">
    <w:pPr>
      <w:pStyle w:val="Header"/>
    </w:pPr>
    <w:r>
      <w:t xml:space="preserve">ANNEX </w:t>
    </w:r>
  </w:p>
  <w:p w:rsidR="00931ADB" w:rsidRPr="008A2BD6" w:rsidRDefault="00931ADB" w:rsidP="00931A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DB" w:rsidRDefault="00931ADB" w:rsidP="00931ADB">
    <w:pPr>
      <w:pStyle w:val="Header"/>
    </w:pPr>
    <w:r>
      <w:t>TWC/33/15</w:t>
    </w:r>
  </w:p>
  <w:p w:rsidR="00931ADB" w:rsidRDefault="00931ADB" w:rsidP="00931ADB">
    <w:pPr>
      <w:pStyle w:val="Header"/>
    </w:pPr>
    <w:r>
      <w:t xml:space="preserve">Annex, page </w:t>
    </w:r>
    <w:sdt>
      <w:sdtPr>
        <w:id w:val="3937847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B54DB">
          <w:rPr>
            <w:noProof/>
          </w:rPr>
          <w:t>4</w:t>
        </w:r>
        <w:r>
          <w:rPr>
            <w:noProof/>
          </w:rPr>
          <w:fldChar w:fldCharType="end"/>
        </w:r>
      </w:sdtContent>
    </w:sdt>
  </w:p>
  <w:p w:rsidR="00931ADB" w:rsidRDefault="00931ADB" w:rsidP="00931A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DB" w:rsidRPr="00832298" w:rsidRDefault="00931ADB" w:rsidP="00832298">
    <w:pPr>
      <w:pStyle w:val="Header"/>
    </w:pPr>
    <w:r w:rsidRPr="00832298">
      <w:t>TW</w:t>
    </w:r>
    <w:r>
      <w:t>C/33</w:t>
    </w:r>
    <w:r w:rsidRPr="00832298">
      <w:t>/</w:t>
    </w:r>
    <w:r w:rsidRPr="00685222">
      <w:rPr>
        <w:highlight w:val="cyan"/>
      </w:rPr>
      <w:t>xx</w:t>
    </w:r>
  </w:p>
  <w:p w:rsidR="00931ADB" w:rsidRPr="00C5280D" w:rsidRDefault="00931AD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931ADB" w:rsidRPr="00C5280D" w:rsidRDefault="00931ADB"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DB" w:rsidRDefault="00931ADB" w:rsidP="00931ADB">
    <w:pPr>
      <w:pStyle w:val="Header"/>
    </w:pPr>
    <w:r>
      <w:t>TWC/33/15</w:t>
    </w:r>
  </w:p>
  <w:p w:rsidR="00931ADB" w:rsidRDefault="00931ADB" w:rsidP="00931ADB">
    <w:pPr>
      <w:pStyle w:val="Header"/>
    </w:pPr>
    <w:r>
      <w:t xml:space="preserve">Annex, page </w:t>
    </w:r>
    <w:r>
      <w:fldChar w:fldCharType="begin"/>
    </w:r>
    <w:r>
      <w:instrText xml:space="preserve"> PAGE   \* MERGEFORMAT </w:instrText>
    </w:r>
    <w:r>
      <w:fldChar w:fldCharType="separate"/>
    </w:r>
    <w:r w:rsidR="002B54DB">
      <w:rPr>
        <w:noProof/>
      </w:rPr>
      <w:t>5</w:t>
    </w:r>
    <w:r>
      <w:rPr>
        <w:noProof/>
      </w:rPr>
      <w:fldChar w:fldCharType="end"/>
    </w:r>
  </w:p>
  <w:p w:rsidR="00931ADB" w:rsidRPr="008A2BD6" w:rsidRDefault="00931ADB" w:rsidP="00931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4C"/>
    <w:rsid w:val="00010CF3"/>
    <w:rsid w:val="00011E27"/>
    <w:rsid w:val="000148BC"/>
    <w:rsid w:val="00024AB8"/>
    <w:rsid w:val="00030854"/>
    <w:rsid w:val="00036028"/>
    <w:rsid w:val="00044642"/>
    <w:rsid w:val="000446B9"/>
    <w:rsid w:val="00046193"/>
    <w:rsid w:val="00047E21"/>
    <w:rsid w:val="00085505"/>
    <w:rsid w:val="000A7662"/>
    <w:rsid w:val="000C629D"/>
    <w:rsid w:val="000C7021"/>
    <w:rsid w:val="000D6BBC"/>
    <w:rsid w:val="000D7780"/>
    <w:rsid w:val="000E616A"/>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6E50"/>
    <w:rsid w:val="002B54DB"/>
    <w:rsid w:val="002C256A"/>
    <w:rsid w:val="002F5F4C"/>
    <w:rsid w:val="00305A7F"/>
    <w:rsid w:val="003152FE"/>
    <w:rsid w:val="00327436"/>
    <w:rsid w:val="00332636"/>
    <w:rsid w:val="00336288"/>
    <w:rsid w:val="00344BD6"/>
    <w:rsid w:val="0035528D"/>
    <w:rsid w:val="00361821"/>
    <w:rsid w:val="003653C5"/>
    <w:rsid w:val="003B3894"/>
    <w:rsid w:val="003D227C"/>
    <w:rsid w:val="003D2B4D"/>
    <w:rsid w:val="00425702"/>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C124E"/>
    <w:rsid w:val="007D0B9D"/>
    <w:rsid w:val="007D19B0"/>
    <w:rsid w:val="007F498F"/>
    <w:rsid w:val="0080679D"/>
    <w:rsid w:val="008108B0"/>
    <w:rsid w:val="00811B20"/>
    <w:rsid w:val="0082296E"/>
    <w:rsid w:val="00824099"/>
    <w:rsid w:val="00832298"/>
    <w:rsid w:val="00843C68"/>
    <w:rsid w:val="008460D9"/>
    <w:rsid w:val="00867AC1"/>
    <w:rsid w:val="00876C58"/>
    <w:rsid w:val="008A743F"/>
    <w:rsid w:val="008C0970"/>
    <w:rsid w:val="008D2CF7"/>
    <w:rsid w:val="00900C26"/>
    <w:rsid w:val="0090197F"/>
    <w:rsid w:val="00903656"/>
    <w:rsid w:val="00906DDC"/>
    <w:rsid w:val="00931ADB"/>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51B94"/>
    <w:rsid w:val="00B71144"/>
    <w:rsid w:val="00B84BBD"/>
    <w:rsid w:val="00BA43FB"/>
    <w:rsid w:val="00BB0967"/>
    <w:rsid w:val="00BC127D"/>
    <w:rsid w:val="00BC1FE6"/>
    <w:rsid w:val="00C061B6"/>
    <w:rsid w:val="00C10F27"/>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1B3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B51B94"/>
    <w:pPr>
      <w:tabs>
        <w:tab w:val="right" w:leader="dot" w:pos="9639"/>
      </w:tabs>
      <w:spacing w:after="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StyleDocoriginalNotBoldNotBold">
    <w:name w:val="Style Style Doc_original + Not Bold + Not Bold"/>
    <w:basedOn w:val="StyleDocoriginalNotBold"/>
    <w:link w:val="StyleStyleDocoriginalNotBoldNotBoldChar"/>
    <w:rsid w:val="002F5F4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F5F4C"/>
    <w:rPr>
      <w:rFonts w:ascii="Arial" w:hAnsi="Arial"/>
      <w:b w:val="0"/>
      <w:bCs w:val="0"/>
      <w:spacing w:val="10"/>
      <w:lang w:val="en-US" w:eastAsia="en-US" w:bidi="ar-SA"/>
    </w:rPr>
  </w:style>
  <w:style w:type="character" w:customStyle="1" w:styleId="HeaderChar">
    <w:name w:val="Header Char"/>
    <w:basedOn w:val="DefaultParagraphFont"/>
    <w:link w:val="Header"/>
    <w:uiPriority w:val="99"/>
    <w:locked/>
    <w:rsid w:val="002F5F4C"/>
    <w:rPr>
      <w:rFonts w:ascii="Arial" w:hAnsi="Arial"/>
    </w:rPr>
  </w:style>
  <w:style w:type="paragraph" w:styleId="ListParagraph">
    <w:name w:val="List Paragraph"/>
    <w:basedOn w:val="Normal"/>
    <w:uiPriority w:val="34"/>
    <w:qFormat/>
    <w:rsid w:val="002F5F4C"/>
    <w:pPr>
      <w:ind w:left="720"/>
      <w:contextualSpacing/>
    </w:pPr>
  </w:style>
  <w:style w:type="paragraph" w:customStyle="1" w:styleId="Default">
    <w:name w:val="Default"/>
    <w:rsid w:val="002F5F4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B51B94"/>
    <w:pPr>
      <w:tabs>
        <w:tab w:val="right" w:leader="dot" w:pos="9639"/>
      </w:tabs>
      <w:spacing w:after="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StyleDocoriginalNotBoldNotBold">
    <w:name w:val="Style Style Doc_original + Not Bold + Not Bold"/>
    <w:basedOn w:val="StyleDocoriginalNotBold"/>
    <w:link w:val="StyleStyleDocoriginalNotBoldNotBoldChar"/>
    <w:rsid w:val="002F5F4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F5F4C"/>
    <w:rPr>
      <w:rFonts w:ascii="Arial" w:hAnsi="Arial"/>
      <w:b w:val="0"/>
      <w:bCs w:val="0"/>
      <w:spacing w:val="10"/>
      <w:lang w:val="en-US" w:eastAsia="en-US" w:bidi="ar-SA"/>
    </w:rPr>
  </w:style>
  <w:style w:type="character" w:customStyle="1" w:styleId="HeaderChar">
    <w:name w:val="Header Char"/>
    <w:basedOn w:val="DefaultParagraphFont"/>
    <w:link w:val="Header"/>
    <w:uiPriority w:val="99"/>
    <w:locked/>
    <w:rsid w:val="002F5F4C"/>
    <w:rPr>
      <w:rFonts w:ascii="Arial" w:hAnsi="Arial"/>
    </w:rPr>
  </w:style>
  <w:style w:type="paragraph" w:styleId="ListParagraph">
    <w:name w:val="List Paragraph"/>
    <w:basedOn w:val="Normal"/>
    <w:uiPriority w:val="34"/>
    <w:qFormat/>
    <w:rsid w:val="002F5F4C"/>
    <w:pPr>
      <w:ind w:left="720"/>
      <w:contextualSpacing/>
    </w:pPr>
  </w:style>
  <w:style w:type="paragraph" w:customStyle="1" w:styleId="Default">
    <w:name w:val="Default"/>
    <w:rsid w:val="002F5F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edtest.org/en/stats-tool-box-_content---1--1143.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53</TotalTime>
  <Pages>9</Pages>
  <Words>3994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9</cp:revision>
  <cp:lastPrinted>2015-06-01T14:23:00Z</cp:lastPrinted>
  <dcterms:created xsi:type="dcterms:W3CDTF">2015-05-21T14:02:00Z</dcterms:created>
  <dcterms:modified xsi:type="dcterms:W3CDTF">2015-06-01T14:23:00Z</dcterms:modified>
</cp:coreProperties>
</file>