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B30781" w:rsidRDefault="00D95650" w:rsidP="006655D3">
            <w:pPr>
              <w:pStyle w:val="LogoUPOV"/>
            </w:pPr>
            <w:r w:rsidRPr="00B30781">
              <w:rPr>
                <w:noProof/>
              </w:rPr>
              <w:drawing>
                <wp:inline distT="0" distB="0" distL="0" distR="0" wp14:anchorId="7562DFED" wp14:editId="6D358F51">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B30781" w:rsidRDefault="0024416D" w:rsidP="006655D3">
            <w:pPr>
              <w:pStyle w:val="Lettrine"/>
            </w:pPr>
            <w:r w:rsidRPr="00B30781">
              <w:t>E</w:t>
            </w:r>
          </w:p>
          <w:p w:rsidR="000D7780" w:rsidRPr="00B30781" w:rsidRDefault="00A910A3" w:rsidP="006655D3">
            <w:pPr>
              <w:pStyle w:val="Docoriginal"/>
            </w:pPr>
            <w:r>
              <w:t>TWC/32</w:t>
            </w:r>
            <w:r w:rsidR="00667404" w:rsidRPr="00B30781">
              <w:t>/</w:t>
            </w:r>
            <w:bookmarkStart w:id="0" w:name="Code"/>
            <w:bookmarkEnd w:id="0"/>
            <w:r w:rsidR="00713717" w:rsidRPr="00B30781">
              <w:t>3</w:t>
            </w:r>
          </w:p>
          <w:p w:rsidR="000D7780" w:rsidRPr="00B30781" w:rsidRDefault="0061555F" w:rsidP="006655D3">
            <w:pPr>
              <w:pStyle w:val="Docoriginal"/>
              <w:rPr>
                <w:b w:val="0"/>
                <w:spacing w:val="0"/>
              </w:rPr>
            </w:pPr>
            <w:r w:rsidRPr="00B30781">
              <w:rPr>
                <w:rStyle w:val="StyleDoclangBold"/>
                <w:b/>
                <w:bCs/>
                <w:spacing w:val="0"/>
              </w:rPr>
              <w:t>ORIGINAL</w:t>
            </w:r>
            <w:r w:rsidR="000D7780" w:rsidRPr="00B30781">
              <w:rPr>
                <w:rStyle w:val="StyleDoclangBold"/>
                <w:b/>
                <w:bCs/>
                <w:spacing w:val="0"/>
              </w:rPr>
              <w:t>:</w:t>
            </w:r>
            <w:r w:rsidRPr="00B30781">
              <w:rPr>
                <w:rStyle w:val="StyleDocoriginalNotBold1"/>
                <w:spacing w:val="0"/>
              </w:rPr>
              <w:t xml:space="preserve"> </w:t>
            </w:r>
            <w:bookmarkStart w:id="1" w:name="Original"/>
            <w:bookmarkEnd w:id="1"/>
            <w:r w:rsidR="00876C58" w:rsidRPr="00B30781">
              <w:rPr>
                <w:rStyle w:val="StyleDocoriginalNotBold1"/>
                <w:spacing w:val="0"/>
              </w:rPr>
              <w:t xml:space="preserve"> </w:t>
            </w:r>
            <w:r w:rsidR="0024416D" w:rsidRPr="00B30781">
              <w:rPr>
                <w:b w:val="0"/>
                <w:spacing w:val="0"/>
              </w:rPr>
              <w:t>English</w:t>
            </w:r>
          </w:p>
          <w:p w:rsidR="000D7780" w:rsidRPr="00C5280D" w:rsidRDefault="000D7780" w:rsidP="00B30781">
            <w:pPr>
              <w:pStyle w:val="Docoriginal"/>
            </w:pPr>
            <w:r w:rsidRPr="00B30781">
              <w:rPr>
                <w:spacing w:val="0"/>
              </w:rPr>
              <w:t>DATE:</w:t>
            </w:r>
            <w:r w:rsidRPr="00B30781">
              <w:rPr>
                <w:rStyle w:val="StyleDocoriginalNotBold1"/>
                <w:spacing w:val="0"/>
              </w:rPr>
              <w:t xml:space="preserve"> </w:t>
            </w:r>
            <w:bookmarkStart w:id="2" w:name="Date"/>
            <w:bookmarkEnd w:id="2"/>
            <w:r w:rsidR="00713717" w:rsidRPr="00CE4921">
              <w:rPr>
                <w:rStyle w:val="StyleDocoriginalNotBold1"/>
                <w:spacing w:val="0"/>
              </w:rPr>
              <w:t>April 2</w:t>
            </w:r>
            <w:r w:rsidR="00B30781" w:rsidRPr="00CE4921">
              <w:rPr>
                <w:rStyle w:val="StyleDocoriginalNotBold1"/>
                <w:spacing w:val="0"/>
              </w:rPr>
              <w:t>8</w:t>
            </w:r>
            <w:r w:rsidR="00713717" w:rsidRPr="00CE4921">
              <w:rPr>
                <w:rStyle w:val="StyleDocoriginalNotBold1"/>
                <w:spacing w:val="0"/>
              </w:rPr>
              <w:t>, 2014</w:t>
            </w:r>
            <w:r w:rsidR="00876C58">
              <w:rPr>
                <w:rStyle w:val="StyleDocoriginalNotBold1"/>
                <w:spacing w:val="0"/>
              </w:rPr>
              <w:t xml:space="preserve"> </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144DA8">
        <w:t>on automation and computer programs</w:t>
      </w:r>
    </w:p>
    <w:p w:rsidR="0018780B" w:rsidRPr="00C5280D" w:rsidRDefault="008C39BF" w:rsidP="0018780B">
      <w:pPr>
        <w:pStyle w:val="Sessiontcplacedate"/>
      </w:pPr>
      <w:r>
        <w:t>Thirty-Second</w:t>
      </w:r>
      <w:r w:rsidR="0061555F" w:rsidRPr="00C5280D">
        <w:t xml:space="preserve"> S</w:t>
      </w:r>
      <w:r w:rsidR="00867AC1" w:rsidRPr="00C5280D">
        <w:t>ession</w:t>
      </w:r>
      <w:r w:rsidR="00361821" w:rsidRPr="00C5280D">
        <w:br/>
      </w:r>
      <w:r>
        <w:rPr>
          <w:rFonts w:cs="Arial"/>
        </w:rPr>
        <w:t>Helsinki</w:t>
      </w:r>
      <w:r w:rsidR="0018780B" w:rsidRPr="00CC587F">
        <w:rPr>
          <w:rFonts w:cs="Arial"/>
        </w:rPr>
        <w:t xml:space="preserve">, </w:t>
      </w:r>
      <w:r>
        <w:rPr>
          <w:rFonts w:cs="Arial"/>
        </w:rPr>
        <w:t>Finland</w:t>
      </w:r>
      <w:r w:rsidR="0018780B" w:rsidRPr="00C5280D">
        <w:t>,</w:t>
      </w:r>
      <w:r w:rsidR="0018780B">
        <w:t xml:space="preserve"> </w:t>
      </w:r>
      <w:r>
        <w:t>June</w:t>
      </w:r>
      <w:r w:rsidR="00BC40A0">
        <w:t xml:space="preserve"> </w:t>
      </w:r>
      <w:r w:rsidR="008F46DC">
        <w:t>3</w:t>
      </w:r>
      <w:r w:rsidR="00BC40A0">
        <w:t xml:space="preserve"> to </w:t>
      </w:r>
      <w:r>
        <w:t>6</w:t>
      </w:r>
      <w:r w:rsidR="00BC40A0">
        <w:t>, 2014</w:t>
      </w:r>
    </w:p>
    <w:p w:rsidR="00A9235D" w:rsidRPr="00C5280D" w:rsidRDefault="00A9235D" w:rsidP="00A9235D">
      <w:pPr>
        <w:pStyle w:val="Titleofdoc0"/>
      </w:pPr>
      <w:bookmarkStart w:id="3" w:name="TitleOfDoc"/>
      <w:bookmarkStart w:id="4" w:name="Prepared"/>
      <w:bookmarkEnd w:id="3"/>
      <w:bookmarkEnd w:id="4"/>
      <w:r w:rsidRPr="00192206">
        <w:t>TGP documents</w:t>
      </w:r>
      <w:bookmarkStart w:id="5" w:name="_GoBack"/>
      <w:bookmarkEnd w:id="5"/>
    </w:p>
    <w:p w:rsidR="00A9235D" w:rsidRPr="00C5280D" w:rsidRDefault="00A9235D" w:rsidP="00A9235D">
      <w:pPr>
        <w:pStyle w:val="preparedby1"/>
      </w:pPr>
      <w:r w:rsidRPr="00CE4795">
        <w:t>Document prepared by the Office of the Union</w:t>
      </w:r>
      <w:r>
        <w:br/>
      </w:r>
      <w:r>
        <w:br/>
      </w:r>
      <w:r>
        <w:rPr>
          <w:color w:val="A6A6A6" w:themeColor="background1" w:themeShade="A6"/>
        </w:rPr>
        <w:t>Disclaimer:  this document does not represent UPOV policies or guidance</w:t>
      </w:r>
    </w:p>
    <w:p w:rsidR="007E2882" w:rsidRDefault="007E2882" w:rsidP="007E2882">
      <w:r>
        <w:rPr>
          <w:rFonts w:cs="Arial"/>
        </w:rPr>
        <w:fldChar w:fldCharType="begin"/>
      </w:r>
      <w:r>
        <w:rPr>
          <w:rFonts w:cs="Arial"/>
        </w:rPr>
        <w:instrText xml:space="preserve"> AUTONUM  </w:instrText>
      </w:r>
      <w:r>
        <w:rPr>
          <w:rFonts w:cs="Arial"/>
        </w:rPr>
        <w:fldChar w:fldCharType="end"/>
      </w:r>
      <w:r>
        <w:rPr>
          <w:rFonts w:cs="Arial"/>
        </w:rPr>
        <w:tab/>
      </w:r>
      <w:r>
        <w:t xml:space="preserve">The purpose of this document is to provide an overview of developments concerning </w:t>
      </w:r>
      <w:r w:rsidR="00592D23">
        <w:rPr>
          <w:rFonts w:cs="Arial"/>
        </w:rPr>
        <w:t>Test Guidelines’ Procedures (TGP documents)</w:t>
      </w:r>
      <w:r>
        <w:t xml:space="preserve">. </w:t>
      </w:r>
    </w:p>
    <w:p w:rsidR="007E2882" w:rsidRDefault="007E2882" w:rsidP="007E2882">
      <w:pPr>
        <w:rPr>
          <w:rFonts w:cs="Arial"/>
          <w:sz w:val="16"/>
        </w:rPr>
      </w:pPr>
    </w:p>
    <w:p w:rsidR="007E2882" w:rsidRDefault="007E2882" w:rsidP="007E2882">
      <w:pPr>
        <w:rPr>
          <w:rFonts w:cs="Arial"/>
        </w:rPr>
      </w:pPr>
      <w:r>
        <w:rPr>
          <w:rFonts w:cs="Arial"/>
        </w:rPr>
        <w:fldChar w:fldCharType="begin"/>
      </w:r>
      <w:r>
        <w:rPr>
          <w:rFonts w:cs="Arial"/>
        </w:rPr>
        <w:instrText xml:space="preserve"> AUTONUM  </w:instrText>
      </w:r>
      <w:r>
        <w:rPr>
          <w:rFonts w:cs="Arial"/>
        </w:rPr>
        <w:fldChar w:fldCharType="end"/>
      </w:r>
      <w:r>
        <w:rPr>
          <w:rFonts w:cs="Arial"/>
        </w:rPr>
        <w:tab/>
        <w:t>The following abbreviations are used in this document:</w:t>
      </w:r>
    </w:p>
    <w:p w:rsidR="007E2882" w:rsidRDefault="007E2882" w:rsidP="007E2882">
      <w:pPr>
        <w:ind w:left="1701" w:hanging="1134"/>
        <w:rPr>
          <w:rFonts w:cs="Arial"/>
        </w:rPr>
      </w:pPr>
    </w:p>
    <w:p w:rsidR="007E2882" w:rsidRDefault="007E2882" w:rsidP="007E2882">
      <w:pPr>
        <w:ind w:left="1701" w:hanging="1134"/>
        <w:rPr>
          <w:rFonts w:cs="Arial"/>
        </w:rPr>
      </w:pPr>
      <w:r>
        <w:rPr>
          <w:rFonts w:cs="Arial"/>
        </w:rPr>
        <w:t xml:space="preserve">CAJ:  </w:t>
      </w:r>
      <w:r>
        <w:rPr>
          <w:rFonts w:cs="Arial"/>
        </w:rPr>
        <w:tab/>
        <w:t xml:space="preserve">Administrative and Legal Committee </w:t>
      </w:r>
    </w:p>
    <w:p w:rsidR="007E2882" w:rsidRDefault="007E2882" w:rsidP="007E2882">
      <w:pPr>
        <w:ind w:left="1701" w:hanging="1134"/>
        <w:rPr>
          <w:rFonts w:cs="Arial"/>
        </w:rPr>
      </w:pPr>
      <w:r>
        <w:rPr>
          <w:rFonts w:cs="Arial"/>
        </w:rPr>
        <w:t xml:space="preserve">TC:  </w:t>
      </w:r>
      <w:r>
        <w:rPr>
          <w:rFonts w:cs="Arial"/>
        </w:rPr>
        <w:tab/>
        <w:t>Technical Committee</w:t>
      </w:r>
    </w:p>
    <w:p w:rsidR="007E2882" w:rsidRDefault="007E2882" w:rsidP="007E2882">
      <w:pPr>
        <w:ind w:left="1701" w:hanging="1134"/>
        <w:rPr>
          <w:rFonts w:cs="Arial"/>
        </w:rPr>
      </w:pPr>
      <w:r>
        <w:rPr>
          <w:rFonts w:cs="Arial"/>
        </w:rPr>
        <w:t xml:space="preserve">TC-EDC:  </w:t>
      </w:r>
      <w:r>
        <w:rPr>
          <w:rFonts w:cs="Arial"/>
        </w:rPr>
        <w:tab/>
        <w:t>Enlarged Editorial Committee</w:t>
      </w:r>
    </w:p>
    <w:p w:rsidR="007E2882" w:rsidRDefault="007E2882" w:rsidP="007E2882">
      <w:pPr>
        <w:ind w:left="1701" w:hanging="1134"/>
        <w:rPr>
          <w:rFonts w:cs="Arial"/>
        </w:rPr>
      </w:pPr>
      <w:r>
        <w:rPr>
          <w:rFonts w:cs="Arial"/>
        </w:rPr>
        <w:t xml:space="preserve">TWA:  </w:t>
      </w:r>
      <w:r>
        <w:rPr>
          <w:rFonts w:cs="Arial"/>
        </w:rPr>
        <w:tab/>
        <w:t>Technical Working Party for Agricultural Crops</w:t>
      </w:r>
    </w:p>
    <w:p w:rsidR="007E2882" w:rsidRDefault="007E2882" w:rsidP="007E2882">
      <w:pPr>
        <w:ind w:left="1701" w:hanging="1134"/>
        <w:rPr>
          <w:rFonts w:cs="Arial"/>
        </w:rPr>
      </w:pPr>
      <w:r>
        <w:rPr>
          <w:rFonts w:cs="Arial"/>
        </w:rPr>
        <w:t xml:space="preserve">TWC:  </w:t>
      </w:r>
      <w:r>
        <w:rPr>
          <w:rFonts w:cs="Arial"/>
        </w:rPr>
        <w:tab/>
        <w:t>Technical Working Party on Automation and Computer Programs</w:t>
      </w:r>
    </w:p>
    <w:p w:rsidR="007E2882" w:rsidRDefault="007E2882" w:rsidP="007E2882">
      <w:pPr>
        <w:ind w:left="1701" w:hanging="1134"/>
        <w:rPr>
          <w:rFonts w:cs="Arial"/>
        </w:rPr>
      </w:pPr>
      <w:r>
        <w:rPr>
          <w:rFonts w:cs="Arial"/>
        </w:rPr>
        <w:t xml:space="preserve">TWF:  </w:t>
      </w:r>
      <w:r>
        <w:rPr>
          <w:rFonts w:cs="Arial"/>
        </w:rPr>
        <w:tab/>
        <w:t xml:space="preserve">Technical Working Party for Fruit Crops </w:t>
      </w:r>
    </w:p>
    <w:p w:rsidR="007E2882" w:rsidRDefault="00A910A3" w:rsidP="007E2882">
      <w:pPr>
        <w:ind w:left="1701" w:hanging="1134"/>
        <w:rPr>
          <w:rFonts w:cs="Arial"/>
        </w:rPr>
      </w:pPr>
      <w:r>
        <w:rPr>
          <w:rFonts w:cs="Arial"/>
        </w:rPr>
        <w:t>TWC</w:t>
      </w:r>
      <w:r w:rsidR="007E2882">
        <w:rPr>
          <w:rFonts w:cs="Arial"/>
        </w:rPr>
        <w:t xml:space="preserve">:  </w:t>
      </w:r>
      <w:r w:rsidR="007E2882">
        <w:rPr>
          <w:rFonts w:cs="Arial"/>
        </w:rPr>
        <w:tab/>
        <w:t xml:space="preserve">Technical Working Party for Ornamental Plants and Forest Trees </w:t>
      </w:r>
    </w:p>
    <w:p w:rsidR="007E2882" w:rsidRDefault="007E2882" w:rsidP="007E2882">
      <w:pPr>
        <w:ind w:left="1701" w:hanging="1134"/>
        <w:rPr>
          <w:rFonts w:cs="Arial"/>
        </w:rPr>
      </w:pPr>
      <w:r>
        <w:rPr>
          <w:rFonts w:cs="Arial"/>
        </w:rPr>
        <w:t xml:space="preserve">TWV:  </w:t>
      </w:r>
      <w:r>
        <w:rPr>
          <w:rFonts w:cs="Arial"/>
        </w:rPr>
        <w:tab/>
        <w:t>Technical Working Party for Vegetables</w:t>
      </w:r>
    </w:p>
    <w:p w:rsidR="007E2882" w:rsidRDefault="007E2882" w:rsidP="007E2882">
      <w:pPr>
        <w:ind w:left="1701" w:hanging="1134"/>
        <w:rPr>
          <w:rFonts w:cs="Arial"/>
          <w:color w:val="000000"/>
        </w:rPr>
      </w:pPr>
      <w:r>
        <w:rPr>
          <w:rFonts w:cs="Arial"/>
          <w:color w:val="000000"/>
        </w:rPr>
        <w:t>TWPs:</w:t>
      </w:r>
      <w:r>
        <w:rPr>
          <w:rFonts w:cs="Arial"/>
          <w:color w:val="000000"/>
        </w:rPr>
        <w:tab/>
        <w:t>Technical Working Parties</w:t>
      </w:r>
    </w:p>
    <w:p w:rsidR="007E2882" w:rsidRDefault="007E2882" w:rsidP="007E2882">
      <w:pPr>
        <w:jc w:val="left"/>
        <w:rPr>
          <w:rFonts w:cs="Arial"/>
          <w:color w:val="000000"/>
        </w:rPr>
        <w:sectPr w:rsidR="007E2882" w:rsidSect="00610C85">
          <w:pgSz w:w="11907" w:h="16840"/>
          <w:pgMar w:top="510" w:right="1134" w:bottom="851" w:left="1134" w:header="510" w:footer="680" w:gutter="0"/>
          <w:cols w:space="720"/>
          <w:titlePg/>
          <w:docGrid w:linePitch="272"/>
        </w:sectPr>
      </w:pPr>
    </w:p>
    <w:p w:rsidR="007E2882" w:rsidRDefault="007E2882" w:rsidP="007E2882">
      <w:pPr>
        <w:jc w:val="left"/>
        <w:rPr>
          <w:rFonts w:cs="Arial"/>
          <w:color w:val="000000"/>
        </w:rPr>
      </w:pPr>
      <w:r>
        <w:rPr>
          <w:rFonts w:cs="Arial"/>
        </w:rPr>
        <w:lastRenderedPageBreak/>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p w:rsidR="00903656" w:rsidRDefault="00903656" w:rsidP="00AB530F">
      <w:pPr>
        <w:rPr>
          <w:snapToGrid w:val="0"/>
        </w:rPr>
      </w:pPr>
    </w:p>
    <w:p w:rsidR="00144DA8" w:rsidRDefault="009269A8">
      <w:pPr>
        <w:pStyle w:val="TOC1"/>
        <w:rPr>
          <w:rFonts w:asciiTheme="minorHAnsi" w:eastAsiaTheme="minorEastAsia" w:hAnsiTheme="minorHAnsi" w:cstheme="minorBidi"/>
          <w:caps w:val="0"/>
          <w:sz w:val="22"/>
          <w:szCs w:val="22"/>
        </w:rPr>
      </w:pPr>
      <w:r>
        <w:rPr>
          <w:caps w:val="0"/>
          <w:snapToGrid w:val="0"/>
        </w:rPr>
        <w:fldChar w:fldCharType="begin"/>
      </w:r>
      <w:r>
        <w:rPr>
          <w:caps w:val="0"/>
          <w:snapToGrid w:val="0"/>
        </w:rPr>
        <w:instrText xml:space="preserve"> TOC \o "1-3" \u </w:instrText>
      </w:r>
      <w:r>
        <w:rPr>
          <w:caps w:val="0"/>
          <w:snapToGrid w:val="0"/>
        </w:rPr>
        <w:fldChar w:fldCharType="separate"/>
      </w:r>
      <w:r w:rsidR="00144DA8">
        <w:t>I.</w:t>
      </w:r>
      <w:r w:rsidR="00144DA8">
        <w:rPr>
          <w:rFonts w:asciiTheme="minorHAnsi" w:eastAsiaTheme="minorEastAsia" w:hAnsiTheme="minorHAnsi" w:cstheme="minorBidi"/>
          <w:caps w:val="0"/>
          <w:sz w:val="22"/>
          <w:szCs w:val="22"/>
        </w:rPr>
        <w:tab/>
      </w:r>
      <w:r w:rsidR="00144DA8">
        <w:t>BACKGROUND</w:t>
      </w:r>
      <w:r w:rsidR="00144DA8">
        <w:tab/>
      </w:r>
      <w:r w:rsidR="00144DA8">
        <w:fldChar w:fldCharType="begin"/>
      </w:r>
      <w:r w:rsidR="00144DA8">
        <w:instrText xml:space="preserve"> PAGEREF _Toc386188635 \h </w:instrText>
      </w:r>
      <w:r w:rsidR="00144DA8">
        <w:fldChar w:fldCharType="separate"/>
      </w:r>
      <w:r w:rsidR="00CE4921">
        <w:t>3</w:t>
      </w:r>
      <w:r w:rsidR="00144DA8">
        <w:fldChar w:fldCharType="end"/>
      </w:r>
    </w:p>
    <w:p w:rsidR="00144DA8" w:rsidRDefault="00144DA8">
      <w:pPr>
        <w:pStyle w:val="TOC1"/>
        <w:rPr>
          <w:rFonts w:asciiTheme="minorHAnsi" w:eastAsiaTheme="minorEastAsia" w:hAnsiTheme="minorHAnsi" w:cstheme="minorBidi"/>
          <w:caps w:val="0"/>
          <w:sz w:val="22"/>
          <w:szCs w:val="22"/>
        </w:rPr>
      </w:pPr>
      <w:r w:rsidRPr="00C85D8E">
        <w:rPr>
          <w:snapToGrid w:val="0"/>
        </w:rPr>
        <w:t>II.</w:t>
      </w:r>
      <w:r>
        <w:rPr>
          <w:rFonts w:asciiTheme="minorHAnsi" w:eastAsiaTheme="minorEastAsia" w:hAnsiTheme="minorHAnsi" w:cstheme="minorBidi"/>
          <w:caps w:val="0"/>
          <w:sz w:val="22"/>
          <w:szCs w:val="22"/>
        </w:rPr>
        <w:tab/>
      </w:r>
      <w:r w:rsidRPr="00C85D8E">
        <w:rPr>
          <w:snapToGrid w:val="0"/>
        </w:rPr>
        <w:t>Matters for adoption by the council in 2014</w:t>
      </w:r>
      <w:r>
        <w:tab/>
      </w:r>
      <w:r>
        <w:fldChar w:fldCharType="begin"/>
      </w:r>
      <w:r>
        <w:instrText xml:space="preserve"> PAGEREF _Toc386188636 \h </w:instrText>
      </w:r>
      <w:r>
        <w:fldChar w:fldCharType="separate"/>
      </w:r>
      <w:r w:rsidR="00CE4921">
        <w:t>3</w:t>
      </w:r>
      <w:r>
        <w:fldChar w:fldCharType="end"/>
      </w:r>
    </w:p>
    <w:p w:rsidR="00144DA8" w:rsidRDefault="00144DA8">
      <w:pPr>
        <w:pStyle w:val="TOC2"/>
        <w:rPr>
          <w:rFonts w:asciiTheme="minorHAnsi" w:eastAsiaTheme="minorEastAsia" w:hAnsiTheme="minorHAnsi" w:cstheme="minorBidi"/>
          <w:sz w:val="22"/>
          <w:szCs w:val="22"/>
        </w:rPr>
      </w:pPr>
      <w:r>
        <w:t>TGP/0:  List of TGP Documents and Latest Issue Dates</w:t>
      </w:r>
      <w:r>
        <w:tab/>
      </w:r>
      <w:r>
        <w:fldChar w:fldCharType="begin"/>
      </w:r>
      <w:r>
        <w:instrText xml:space="preserve"> PAGEREF _Toc386188637 \h </w:instrText>
      </w:r>
      <w:r>
        <w:fldChar w:fldCharType="separate"/>
      </w:r>
      <w:r w:rsidR="00CE4921">
        <w:t>3</w:t>
      </w:r>
      <w:r>
        <w:fldChar w:fldCharType="end"/>
      </w:r>
    </w:p>
    <w:p w:rsidR="00144DA8" w:rsidRDefault="00144DA8">
      <w:pPr>
        <w:pStyle w:val="TOC2"/>
        <w:rPr>
          <w:rFonts w:asciiTheme="minorHAnsi" w:eastAsiaTheme="minorEastAsia" w:hAnsiTheme="minorHAnsi" w:cstheme="minorBidi"/>
          <w:sz w:val="22"/>
          <w:szCs w:val="22"/>
        </w:rPr>
      </w:pPr>
      <w:r>
        <w:t>TGP/2:  List of Test Guidelines Adopted by UPOV</w:t>
      </w:r>
      <w:r>
        <w:tab/>
      </w:r>
      <w:r>
        <w:fldChar w:fldCharType="begin"/>
      </w:r>
      <w:r>
        <w:instrText xml:space="preserve"> PAGEREF _Toc386188638 \h </w:instrText>
      </w:r>
      <w:r>
        <w:fldChar w:fldCharType="separate"/>
      </w:r>
      <w:r w:rsidR="00CE4921">
        <w:t>3</w:t>
      </w:r>
      <w:r>
        <w:fldChar w:fldCharType="end"/>
      </w:r>
    </w:p>
    <w:p w:rsidR="00144DA8" w:rsidRDefault="00144DA8">
      <w:pPr>
        <w:pStyle w:val="TOC2"/>
        <w:rPr>
          <w:rFonts w:asciiTheme="minorHAnsi" w:eastAsiaTheme="minorEastAsia" w:hAnsiTheme="minorHAnsi" w:cstheme="minorBidi"/>
          <w:sz w:val="22"/>
          <w:szCs w:val="22"/>
        </w:rPr>
      </w:pPr>
      <w:r>
        <w:t>TGP/5:  Experience and Cooperation in DUS Testing: Section 10: Notification of Additional Characteristics</w:t>
      </w:r>
      <w:r>
        <w:tab/>
      </w:r>
      <w:r>
        <w:fldChar w:fldCharType="begin"/>
      </w:r>
      <w:r>
        <w:instrText xml:space="preserve"> PAGEREF _Toc386188639 \h </w:instrText>
      </w:r>
      <w:r>
        <w:fldChar w:fldCharType="separate"/>
      </w:r>
      <w:r w:rsidR="00CE4921">
        <w:t>3</w:t>
      </w:r>
      <w:r>
        <w:fldChar w:fldCharType="end"/>
      </w:r>
    </w:p>
    <w:p w:rsidR="00144DA8" w:rsidRDefault="00144DA8">
      <w:pPr>
        <w:pStyle w:val="TOC2"/>
        <w:rPr>
          <w:rFonts w:asciiTheme="minorHAnsi" w:eastAsiaTheme="minorEastAsia" w:hAnsiTheme="minorHAnsi" w:cstheme="minorBidi"/>
          <w:sz w:val="22"/>
          <w:szCs w:val="22"/>
        </w:rPr>
      </w:pPr>
      <w:r>
        <w:t>TGP/7:  Development of Test Guidelines</w:t>
      </w:r>
      <w:r>
        <w:tab/>
      </w:r>
      <w:r>
        <w:fldChar w:fldCharType="begin"/>
      </w:r>
      <w:r>
        <w:instrText xml:space="preserve"> PAGEREF _Toc386188640 \h </w:instrText>
      </w:r>
      <w:r>
        <w:fldChar w:fldCharType="separate"/>
      </w:r>
      <w:r w:rsidR="00CE4921">
        <w:t>3</w:t>
      </w:r>
      <w:r>
        <w:fldChar w:fldCharType="end"/>
      </w:r>
    </w:p>
    <w:p w:rsidR="00144DA8" w:rsidRDefault="00144DA8">
      <w:pPr>
        <w:pStyle w:val="TOC3"/>
        <w:rPr>
          <w:rFonts w:asciiTheme="minorHAnsi" w:eastAsiaTheme="minorEastAsia" w:hAnsiTheme="minorHAnsi" w:cstheme="minorBidi"/>
          <w:i w:val="0"/>
          <w:sz w:val="22"/>
          <w:szCs w:val="22"/>
          <w:lang w:val="en-US"/>
        </w:rPr>
      </w:pPr>
      <w:r w:rsidRPr="00144DA8">
        <w:rPr>
          <w:lang w:val="en-US"/>
        </w:rPr>
        <w:t>Revisions previously agreed by the TC</w:t>
      </w:r>
      <w:r w:rsidRPr="00144DA8">
        <w:rPr>
          <w:lang w:val="en-US"/>
        </w:rPr>
        <w:tab/>
      </w:r>
      <w:r>
        <w:fldChar w:fldCharType="begin"/>
      </w:r>
      <w:r w:rsidRPr="00144DA8">
        <w:rPr>
          <w:lang w:val="en-US"/>
        </w:rPr>
        <w:instrText xml:space="preserve"> PAGEREF _Toc386188641 \h </w:instrText>
      </w:r>
      <w:r>
        <w:fldChar w:fldCharType="separate"/>
      </w:r>
      <w:r w:rsidR="00CE4921">
        <w:rPr>
          <w:lang w:val="en-US"/>
        </w:rPr>
        <w:t>3</w:t>
      </w:r>
      <w:r>
        <w:fldChar w:fldCharType="end"/>
      </w:r>
    </w:p>
    <w:p w:rsidR="00144DA8" w:rsidRDefault="00144DA8">
      <w:pPr>
        <w:pStyle w:val="TOC3"/>
        <w:rPr>
          <w:rFonts w:asciiTheme="minorHAnsi" w:eastAsiaTheme="minorEastAsia" w:hAnsiTheme="minorHAnsi" w:cstheme="minorBidi"/>
          <w:i w:val="0"/>
          <w:sz w:val="22"/>
          <w:szCs w:val="22"/>
          <w:lang w:val="en-US"/>
        </w:rPr>
      </w:pPr>
      <w:r w:rsidRPr="00144DA8">
        <w:rPr>
          <w:lang w:val="en-US"/>
        </w:rPr>
        <w:t>Amendments to revisions previously agreed by the TC</w:t>
      </w:r>
      <w:r w:rsidRPr="00144DA8">
        <w:rPr>
          <w:lang w:val="en-US"/>
        </w:rPr>
        <w:tab/>
      </w:r>
      <w:r>
        <w:fldChar w:fldCharType="begin"/>
      </w:r>
      <w:r w:rsidRPr="00144DA8">
        <w:rPr>
          <w:lang w:val="en-US"/>
        </w:rPr>
        <w:instrText xml:space="preserve"> PAGEREF _Toc386188642 \h </w:instrText>
      </w:r>
      <w:r>
        <w:fldChar w:fldCharType="separate"/>
      </w:r>
      <w:r w:rsidR="00CE4921">
        <w:rPr>
          <w:lang w:val="en-US"/>
        </w:rPr>
        <w:t>3</w:t>
      </w:r>
      <w:r>
        <w:fldChar w:fldCharType="end"/>
      </w:r>
    </w:p>
    <w:p w:rsidR="00144DA8" w:rsidRDefault="00144DA8">
      <w:pPr>
        <w:pStyle w:val="TOC3"/>
        <w:rPr>
          <w:rFonts w:asciiTheme="minorHAnsi" w:eastAsiaTheme="minorEastAsia" w:hAnsiTheme="minorHAnsi" w:cstheme="minorBidi"/>
          <w:i w:val="0"/>
          <w:sz w:val="22"/>
          <w:szCs w:val="22"/>
          <w:lang w:val="en-US"/>
        </w:rPr>
      </w:pPr>
      <w:r w:rsidRPr="00144DA8">
        <w:rPr>
          <w:lang w:val="en-US"/>
        </w:rPr>
        <w:t>Revisions agreed by the TC at its fiftieth session</w:t>
      </w:r>
      <w:r w:rsidRPr="00144DA8">
        <w:rPr>
          <w:lang w:val="en-US"/>
        </w:rPr>
        <w:tab/>
      </w:r>
      <w:r>
        <w:fldChar w:fldCharType="begin"/>
      </w:r>
      <w:r w:rsidRPr="00144DA8">
        <w:rPr>
          <w:lang w:val="en-US"/>
        </w:rPr>
        <w:instrText xml:space="preserve"> PAGEREF _Toc386188643 \h </w:instrText>
      </w:r>
      <w:r>
        <w:fldChar w:fldCharType="separate"/>
      </w:r>
      <w:r w:rsidR="00CE4921">
        <w:rPr>
          <w:lang w:val="en-US"/>
        </w:rPr>
        <w:t>4</w:t>
      </w:r>
      <w:r>
        <w:fldChar w:fldCharType="end"/>
      </w:r>
    </w:p>
    <w:p w:rsidR="00144DA8" w:rsidRDefault="00144DA8">
      <w:pPr>
        <w:pStyle w:val="TOC2"/>
        <w:rPr>
          <w:rFonts w:asciiTheme="minorHAnsi" w:eastAsiaTheme="minorEastAsia" w:hAnsiTheme="minorHAnsi" w:cstheme="minorBidi"/>
          <w:sz w:val="22"/>
          <w:szCs w:val="22"/>
        </w:rPr>
      </w:pPr>
      <w:r>
        <w:t>TGP/8: Trial Design and Techniques Used in the Examination of Distinctness, Uniformity and Stability</w:t>
      </w:r>
      <w:r>
        <w:tab/>
      </w:r>
      <w:r>
        <w:fldChar w:fldCharType="begin"/>
      </w:r>
      <w:r>
        <w:instrText xml:space="preserve"> PAGEREF _Toc386188644 \h </w:instrText>
      </w:r>
      <w:r>
        <w:fldChar w:fldCharType="separate"/>
      </w:r>
      <w:r w:rsidR="00CE4921">
        <w:t>6</w:t>
      </w:r>
      <w:r>
        <w:fldChar w:fldCharType="end"/>
      </w:r>
    </w:p>
    <w:p w:rsidR="00144DA8" w:rsidRDefault="00144DA8">
      <w:pPr>
        <w:pStyle w:val="TOC3"/>
        <w:rPr>
          <w:rFonts w:asciiTheme="minorHAnsi" w:eastAsiaTheme="minorEastAsia" w:hAnsiTheme="minorHAnsi" w:cstheme="minorBidi"/>
          <w:i w:val="0"/>
          <w:sz w:val="22"/>
          <w:szCs w:val="22"/>
          <w:lang w:val="en-US"/>
        </w:rPr>
      </w:pPr>
      <w:r w:rsidRPr="00144DA8">
        <w:rPr>
          <w:lang w:val="en-US"/>
        </w:rPr>
        <w:t>Revisions previously agreed by the TC</w:t>
      </w:r>
      <w:r w:rsidRPr="00144DA8">
        <w:rPr>
          <w:lang w:val="en-US"/>
        </w:rPr>
        <w:tab/>
      </w:r>
      <w:r>
        <w:fldChar w:fldCharType="begin"/>
      </w:r>
      <w:r w:rsidRPr="00144DA8">
        <w:rPr>
          <w:lang w:val="en-US"/>
        </w:rPr>
        <w:instrText xml:space="preserve"> PAGEREF _Toc386188645 \h </w:instrText>
      </w:r>
      <w:r>
        <w:fldChar w:fldCharType="separate"/>
      </w:r>
      <w:r w:rsidR="00CE4921">
        <w:rPr>
          <w:lang w:val="en-US"/>
        </w:rPr>
        <w:t>6</w:t>
      </w:r>
      <w:r>
        <w:fldChar w:fldCharType="end"/>
      </w:r>
    </w:p>
    <w:p w:rsidR="00144DA8" w:rsidRDefault="00144DA8">
      <w:pPr>
        <w:pStyle w:val="TOC3"/>
        <w:rPr>
          <w:rFonts w:asciiTheme="minorHAnsi" w:eastAsiaTheme="minorEastAsia" w:hAnsiTheme="minorHAnsi" w:cstheme="minorBidi"/>
          <w:i w:val="0"/>
          <w:sz w:val="22"/>
          <w:szCs w:val="22"/>
          <w:lang w:val="en-US"/>
        </w:rPr>
      </w:pPr>
      <w:r w:rsidRPr="00144DA8">
        <w:rPr>
          <w:lang w:val="en-US"/>
        </w:rPr>
        <w:t>Amendments to revisions previously agreed by the TC</w:t>
      </w:r>
      <w:r w:rsidRPr="00144DA8">
        <w:rPr>
          <w:lang w:val="en-US"/>
        </w:rPr>
        <w:tab/>
      </w:r>
      <w:r>
        <w:fldChar w:fldCharType="begin"/>
      </w:r>
      <w:r w:rsidRPr="00144DA8">
        <w:rPr>
          <w:lang w:val="en-US"/>
        </w:rPr>
        <w:instrText xml:space="preserve"> PAGEREF _Toc386188646 \h </w:instrText>
      </w:r>
      <w:r>
        <w:fldChar w:fldCharType="separate"/>
      </w:r>
      <w:r w:rsidR="00CE4921">
        <w:rPr>
          <w:lang w:val="en-US"/>
        </w:rPr>
        <w:t>6</w:t>
      </w:r>
      <w:r>
        <w:fldChar w:fldCharType="end"/>
      </w:r>
    </w:p>
    <w:p w:rsidR="00144DA8" w:rsidRDefault="00144DA8">
      <w:pPr>
        <w:pStyle w:val="TOC3"/>
        <w:rPr>
          <w:rFonts w:asciiTheme="minorHAnsi" w:eastAsiaTheme="minorEastAsia" w:hAnsiTheme="minorHAnsi" w:cstheme="minorBidi"/>
          <w:i w:val="0"/>
          <w:sz w:val="22"/>
          <w:szCs w:val="22"/>
          <w:lang w:val="en-US"/>
        </w:rPr>
      </w:pPr>
      <w:r w:rsidRPr="00144DA8">
        <w:rPr>
          <w:lang w:val="en-US"/>
        </w:rPr>
        <w:t>Revision agreed by the TC at its fiftieth session</w:t>
      </w:r>
      <w:r w:rsidRPr="00144DA8">
        <w:rPr>
          <w:lang w:val="en-US"/>
        </w:rPr>
        <w:tab/>
      </w:r>
      <w:r>
        <w:fldChar w:fldCharType="begin"/>
      </w:r>
      <w:r w:rsidRPr="00144DA8">
        <w:rPr>
          <w:lang w:val="en-US"/>
        </w:rPr>
        <w:instrText xml:space="preserve"> PAGEREF _Toc386188647 \h </w:instrText>
      </w:r>
      <w:r>
        <w:fldChar w:fldCharType="separate"/>
      </w:r>
      <w:r w:rsidR="00CE4921">
        <w:rPr>
          <w:lang w:val="en-US"/>
        </w:rPr>
        <w:t>6</w:t>
      </w:r>
      <w:r>
        <w:fldChar w:fldCharType="end"/>
      </w:r>
    </w:p>
    <w:p w:rsidR="00144DA8" w:rsidRDefault="00144DA8">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Future Revision of TGP Documents</w:t>
      </w:r>
      <w:r>
        <w:tab/>
      </w:r>
      <w:r>
        <w:fldChar w:fldCharType="begin"/>
      </w:r>
      <w:r>
        <w:instrText xml:space="preserve"> PAGEREF _Toc386188648 \h </w:instrText>
      </w:r>
      <w:r>
        <w:fldChar w:fldCharType="separate"/>
      </w:r>
      <w:r w:rsidR="00CE4921">
        <w:t>6</w:t>
      </w:r>
      <w:r>
        <w:fldChar w:fldCharType="end"/>
      </w:r>
    </w:p>
    <w:p w:rsidR="00144DA8" w:rsidRDefault="00144DA8">
      <w:pPr>
        <w:pStyle w:val="TOC2"/>
        <w:rPr>
          <w:rFonts w:asciiTheme="minorHAnsi" w:eastAsiaTheme="minorEastAsia" w:hAnsiTheme="minorHAnsi" w:cstheme="minorBidi"/>
          <w:sz w:val="22"/>
          <w:szCs w:val="22"/>
        </w:rPr>
      </w:pPr>
      <w:r>
        <w:t>TGP/7:  Development of Test Guidelines</w:t>
      </w:r>
      <w:r>
        <w:tab/>
      </w:r>
      <w:r>
        <w:fldChar w:fldCharType="begin"/>
      </w:r>
      <w:r>
        <w:instrText xml:space="preserve"> PAGEREF _Toc386188649 \h </w:instrText>
      </w:r>
      <w:r>
        <w:fldChar w:fldCharType="separate"/>
      </w:r>
      <w:r w:rsidR="00CE4921">
        <w:t>7</w:t>
      </w:r>
      <w:r>
        <w:fldChar w:fldCharType="end"/>
      </w:r>
    </w:p>
    <w:p w:rsidR="00144DA8" w:rsidRDefault="00144DA8">
      <w:pPr>
        <w:pStyle w:val="TOC2"/>
        <w:rPr>
          <w:rFonts w:asciiTheme="minorHAnsi" w:eastAsiaTheme="minorEastAsia" w:hAnsiTheme="minorHAnsi" w:cstheme="minorBidi"/>
          <w:sz w:val="22"/>
          <w:szCs w:val="22"/>
        </w:rPr>
      </w:pPr>
      <w:r>
        <w:t>TGP/8:  Trial Design and Techniques Used in the Examination of Distinctness, Uniformity and Stability</w:t>
      </w:r>
      <w:r>
        <w:tab/>
      </w:r>
      <w:r>
        <w:fldChar w:fldCharType="begin"/>
      </w:r>
      <w:r>
        <w:instrText xml:space="preserve"> PAGEREF _Toc386188650 \h </w:instrText>
      </w:r>
      <w:r>
        <w:fldChar w:fldCharType="separate"/>
      </w:r>
      <w:r w:rsidR="00CE4921">
        <w:t>7</w:t>
      </w:r>
      <w:r>
        <w:fldChar w:fldCharType="end"/>
      </w:r>
    </w:p>
    <w:p w:rsidR="00144DA8" w:rsidRDefault="00144DA8">
      <w:pPr>
        <w:pStyle w:val="TOC2"/>
        <w:rPr>
          <w:rFonts w:asciiTheme="minorHAnsi" w:eastAsiaTheme="minorEastAsia" w:hAnsiTheme="minorHAnsi" w:cstheme="minorBidi"/>
          <w:sz w:val="22"/>
          <w:szCs w:val="22"/>
        </w:rPr>
      </w:pPr>
      <w:r>
        <w:t>TGP/9:  Examining Distinctness</w:t>
      </w:r>
      <w:r>
        <w:tab/>
      </w:r>
      <w:r>
        <w:fldChar w:fldCharType="begin"/>
      </w:r>
      <w:r>
        <w:instrText xml:space="preserve"> PAGEREF _Toc386188651 \h </w:instrText>
      </w:r>
      <w:r>
        <w:fldChar w:fldCharType="separate"/>
      </w:r>
      <w:r w:rsidR="00CE4921">
        <w:t>7</w:t>
      </w:r>
      <w:r>
        <w:fldChar w:fldCharType="end"/>
      </w:r>
    </w:p>
    <w:p w:rsidR="00144DA8" w:rsidRDefault="00144DA8">
      <w:pPr>
        <w:pStyle w:val="TOC2"/>
        <w:rPr>
          <w:rFonts w:asciiTheme="minorHAnsi" w:eastAsiaTheme="minorEastAsia" w:hAnsiTheme="minorHAnsi" w:cstheme="minorBidi"/>
          <w:sz w:val="22"/>
          <w:szCs w:val="22"/>
        </w:rPr>
      </w:pPr>
      <w:r>
        <w:t>TGP/14:  Glossary of Terms Used in UPOV Documents</w:t>
      </w:r>
      <w:r>
        <w:tab/>
      </w:r>
      <w:r>
        <w:fldChar w:fldCharType="begin"/>
      </w:r>
      <w:r>
        <w:instrText xml:space="preserve"> PAGEREF _Toc386188652 \h </w:instrText>
      </w:r>
      <w:r>
        <w:fldChar w:fldCharType="separate"/>
      </w:r>
      <w:r w:rsidR="00CE4921">
        <w:t>7</w:t>
      </w:r>
      <w:r>
        <w:fldChar w:fldCharType="end"/>
      </w:r>
    </w:p>
    <w:p w:rsidR="00144DA8" w:rsidRDefault="00144DA8">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PROGRAM FOR THE DEVELOPMENT OF TGP DOCUMENTS</w:t>
      </w:r>
      <w:r>
        <w:tab/>
      </w:r>
      <w:r>
        <w:fldChar w:fldCharType="begin"/>
      </w:r>
      <w:r>
        <w:instrText xml:space="preserve"> PAGEREF _Toc386188653 \h </w:instrText>
      </w:r>
      <w:r>
        <w:fldChar w:fldCharType="separate"/>
      </w:r>
      <w:r w:rsidR="00CE4921">
        <w:t>8</w:t>
      </w:r>
      <w:r>
        <w:fldChar w:fldCharType="end"/>
      </w:r>
    </w:p>
    <w:p w:rsidR="00BC6435" w:rsidRDefault="009269A8" w:rsidP="00AB530F">
      <w:pPr>
        <w:rPr>
          <w:snapToGrid w:val="0"/>
        </w:rPr>
      </w:pPr>
      <w:r>
        <w:rPr>
          <w:caps/>
          <w:noProof/>
          <w:snapToGrid w:val="0"/>
        </w:rPr>
        <w:fldChar w:fldCharType="end"/>
      </w:r>
    </w:p>
    <w:p w:rsidR="00A05CF8" w:rsidRDefault="00A05CF8" w:rsidP="00924658">
      <w:pPr>
        <w:ind w:left="1418" w:hanging="1418"/>
      </w:pPr>
      <w:r>
        <w:t>ANNEX I:</w:t>
      </w:r>
      <w:r>
        <w:tab/>
        <w:t>Revision of document TGP/8 Section 10: Uniformity assessment on the basis of the relative variance method</w:t>
      </w:r>
    </w:p>
    <w:p w:rsidR="009C2C5C" w:rsidRDefault="009C2C5C" w:rsidP="00924658">
      <w:pPr>
        <w:ind w:left="1418" w:hanging="1418"/>
      </w:pPr>
      <w:r>
        <w:t>ANNEX</w:t>
      </w:r>
      <w:r w:rsidR="00A05CF8">
        <w:t xml:space="preserve"> II</w:t>
      </w:r>
      <w:r>
        <w:t>:</w:t>
      </w:r>
      <w:r>
        <w:tab/>
        <w:t>Program for the development of TGP documents</w:t>
      </w:r>
    </w:p>
    <w:p w:rsidR="009C2C5C" w:rsidRDefault="00D513EB" w:rsidP="00924658">
      <w:pPr>
        <w:keepNext/>
        <w:ind w:left="1418" w:hanging="1418"/>
        <w:rPr>
          <w:rFonts w:cs="Arial"/>
        </w:rPr>
      </w:pPr>
      <w:r>
        <w:rPr>
          <w:rFonts w:cs="Arial"/>
        </w:rPr>
        <w:t xml:space="preserve">  </w:t>
      </w:r>
      <w:r w:rsidR="00924658">
        <w:rPr>
          <w:rFonts w:cs="Arial"/>
        </w:rPr>
        <w:t>Appendix</w:t>
      </w:r>
      <w:r w:rsidR="009C2C5C">
        <w:rPr>
          <w:rFonts w:cs="Arial"/>
        </w:rPr>
        <w:t>:</w:t>
      </w:r>
      <w:r w:rsidR="009C2C5C">
        <w:rPr>
          <w:rFonts w:cs="Arial"/>
        </w:rPr>
        <w:tab/>
      </w:r>
      <w:bookmarkStart w:id="6" w:name="OLE_LINK7"/>
      <w:bookmarkStart w:id="7" w:name="OLE_LINK6"/>
      <w:r w:rsidR="009C2C5C">
        <w:rPr>
          <w:rFonts w:cs="Arial"/>
        </w:rPr>
        <w:t>Program for Revision of Document TGP/8</w:t>
      </w:r>
    </w:p>
    <w:bookmarkEnd w:id="6"/>
    <w:bookmarkEnd w:id="7"/>
    <w:p w:rsidR="008E53E9" w:rsidRDefault="008E53E9">
      <w:pPr>
        <w:jc w:val="left"/>
        <w:rPr>
          <w:snapToGrid w:val="0"/>
        </w:rPr>
      </w:pPr>
      <w:r>
        <w:rPr>
          <w:snapToGrid w:val="0"/>
        </w:rPr>
        <w:br w:type="page"/>
      </w:r>
    </w:p>
    <w:p w:rsidR="007E2882" w:rsidRDefault="007E2882" w:rsidP="007E2882">
      <w:pPr>
        <w:pStyle w:val="Heading1"/>
      </w:pPr>
      <w:bookmarkStart w:id="8" w:name="_Toc352678045"/>
      <w:bookmarkStart w:id="9" w:name="_Toc353797725"/>
      <w:bookmarkStart w:id="10" w:name="_Toc386188635"/>
      <w:r>
        <w:lastRenderedPageBreak/>
        <w:t>I.</w:t>
      </w:r>
      <w:r>
        <w:tab/>
        <w:t>BACKGROUND</w:t>
      </w:r>
      <w:bookmarkEnd w:id="8"/>
      <w:bookmarkEnd w:id="9"/>
      <w:bookmarkEnd w:id="10"/>
    </w:p>
    <w:p w:rsidR="007E2882" w:rsidRDefault="007E2882" w:rsidP="007E2882">
      <w:pPr>
        <w:rPr>
          <w:rFonts w:cs="Arial"/>
        </w:rPr>
      </w:pPr>
    </w:p>
    <w:p w:rsidR="007E2882" w:rsidRDefault="007E2882" w:rsidP="007E2882">
      <w:pPr>
        <w:rPr>
          <w:rFonts w:cs="Arial"/>
        </w:rPr>
      </w:pPr>
      <w:r>
        <w:rPr>
          <w:rFonts w:cs="Arial"/>
        </w:rPr>
        <w:fldChar w:fldCharType="begin"/>
      </w:r>
      <w:r>
        <w:rPr>
          <w:rFonts w:cs="Arial"/>
        </w:rPr>
        <w:instrText xml:space="preserve"> AUTONUM  </w:instrText>
      </w:r>
      <w:r>
        <w:rPr>
          <w:rFonts w:cs="Arial"/>
        </w:rPr>
        <w:fldChar w:fldCharType="end"/>
      </w:r>
      <w:r>
        <w:rPr>
          <w:rFonts w:cs="Arial"/>
          <w:color w:val="000000"/>
        </w:rPr>
        <w:tab/>
      </w:r>
      <w:r>
        <w:rPr>
          <w:rFonts w:cs="Arial"/>
        </w:rPr>
        <w:t xml:space="preserve">The approved </w:t>
      </w:r>
      <w:r w:rsidR="00592D23">
        <w:rPr>
          <w:rFonts w:cs="Arial"/>
        </w:rPr>
        <w:t xml:space="preserve">TGP documents </w:t>
      </w:r>
      <w:r>
        <w:rPr>
          <w:rFonts w:cs="Arial"/>
        </w:rPr>
        <w:t xml:space="preserve">are published on the UPOV website at </w:t>
      </w:r>
      <w:hyperlink r:id="rId10" w:history="1">
        <w:r>
          <w:rPr>
            <w:rStyle w:val="Hyperlink"/>
          </w:rPr>
          <w:t>http://www.upov.int/upov_collection/en/</w:t>
        </w:r>
      </w:hyperlink>
    </w:p>
    <w:p w:rsidR="00262828" w:rsidRDefault="00262828" w:rsidP="00AB530F">
      <w:pPr>
        <w:rPr>
          <w:snapToGrid w:val="0"/>
        </w:rPr>
      </w:pPr>
    </w:p>
    <w:p w:rsidR="00592D23" w:rsidRDefault="00592D23" w:rsidP="00AB530F">
      <w:pPr>
        <w:rPr>
          <w:snapToGrid w:val="0"/>
        </w:rPr>
      </w:pPr>
    </w:p>
    <w:p w:rsidR="00262828" w:rsidRDefault="002242D8" w:rsidP="00262828">
      <w:pPr>
        <w:pStyle w:val="Heading1"/>
        <w:rPr>
          <w:snapToGrid w:val="0"/>
        </w:rPr>
      </w:pPr>
      <w:bookmarkStart w:id="11" w:name="_Toc386188636"/>
      <w:r>
        <w:rPr>
          <w:snapToGrid w:val="0"/>
        </w:rPr>
        <w:t>II.</w:t>
      </w:r>
      <w:r>
        <w:rPr>
          <w:snapToGrid w:val="0"/>
        </w:rPr>
        <w:tab/>
      </w:r>
      <w:r w:rsidR="00262828">
        <w:rPr>
          <w:snapToGrid w:val="0"/>
        </w:rPr>
        <w:t>Matters for adoption by the council in 2014</w:t>
      </w:r>
      <w:bookmarkEnd w:id="11"/>
    </w:p>
    <w:p w:rsidR="00262828" w:rsidRPr="00262828" w:rsidRDefault="00262828" w:rsidP="00262828"/>
    <w:p w:rsidR="00262828" w:rsidRDefault="00262828" w:rsidP="00262828">
      <w:r>
        <w:fldChar w:fldCharType="begin"/>
      </w:r>
      <w:r>
        <w:instrText xml:space="preserve"> AUTONUM  </w:instrText>
      </w:r>
      <w:r>
        <w:fldChar w:fldCharType="end"/>
      </w:r>
      <w:r>
        <w:tab/>
        <w:t xml:space="preserve">The TC </w:t>
      </w:r>
      <w:r w:rsidR="00592D23">
        <w:t xml:space="preserve">at its fiftieth session held in Geneva, on April 7 to 9, 2014, </w:t>
      </w:r>
      <w:r>
        <w:t xml:space="preserve">agreed to invite the Council to adopt the following revisions of TGP documents at its </w:t>
      </w:r>
      <w:r w:rsidR="00884F2A">
        <w:t xml:space="preserve">forty-eighth ordinary </w:t>
      </w:r>
      <w:r w:rsidR="00592D23">
        <w:t>session</w:t>
      </w:r>
      <w:r w:rsidR="00884F2A">
        <w:t>,</w:t>
      </w:r>
      <w:r>
        <w:t xml:space="preserve"> </w:t>
      </w:r>
      <w:r w:rsidR="00592D23">
        <w:t xml:space="preserve">to be held </w:t>
      </w:r>
      <w:r>
        <w:t>on October</w:t>
      </w:r>
      <w:r w:rsidR="00C16772">
        <w:t> </w:t>
      </w:r>
      <w:r>
        <w:t>15, 2014, as follows:</w:t>
      </w:r>
    </w:p>
    <w:p w:rsidR="00262828" w:rsidRDefault="00262828" w:rsidP="00262828"/>
    <w:p w:rsidR="00262828" w:rsidRPr="00332739" w:rsidRDefault="00262828" w:rsidP="00F671DA">
      <w:pPr>
        <w:pStyle w:val="Heading2"/>
      </w:pPr>
      <w:bookmarkStart w:id="12" w:name="_Toc374385107"/>
      <w:bookmarkStart w:id="13" w:name="_Toc374631044"/>
      <w:bookmarkStart w:id="14" w:name="_Toc374632516"/>
      <w:bookmarkStart w:id="15" w:name="_Toc374635716"/>
      <w:bookmarkStart w:id="16" w:name="_Toc378251505"/>
      <w:bookmarkStart w:id="17" w:name="_Toc381279966"/>
      <w:bookmarkStart w:id="18" w:name="_Toc386188637"/>
      <w:r w:rsidRPr="00332739">
        <w:t>TGP/0:  List of TGP Documents and Latest Issue Dates</w:t>
      </w:r>
      <w:bookmarkEnd w:id="12"/>
      <w:bookmarkEnd w:id="13"/>
      <w:bookmarkEnd w:id="14"/>
      <w:bookmarkEnd w:id="15"/>
      <w:bookmarkEnd w:id="16"/>
      <w:bookmarkEnd w:id="17"/>
      <w:bookmarkEnd w:id="18"/>
    </w:p>
    <w:p w:rsidR="00262828" w:rsidRDefault="00262828" w:rsidP="00262828">
      <w:pPr>
        <w:keepNext/>
      </w:pPr>
    </w:p>
    <w:p w:rsidR="00262828" w:rsidRDefault="00262828" w:rsidP="00262828">
      <w:r w:rsidRPr="00290F6F">
        <w:fldChar w:fldCharType="begin"/>
      </w:r>
      <w:r w:rsidRPr="00290F6F">
        <w:instrText xml:space="preserve"> AUTONUM  </w:instrText>
      </w:r>
      <w:r w:rsidRPr="00290F6F">
        <w:fldChar w:fldCharType="end"/>
      </w:r>
      <w:r w:rsidRPr="00290F6F">
        <w:tab/>
      </w:r>
      <w:r w:rsidR="00592D23">
        <w:t>T</w:t>
      </w:r>
      <w:r w:rsidRPr="00290F6F">
        <w:t xml:space="preserve">he Council </w:t>
      </w:r>
      <w:r w:rsidR="00592D23">
        <w:t>will</w:t>
      </w:r>
      <w:r w:rsidRPr="00290F6F">
        <w:t xml:space="preserve"> be invited to adopt document TGP/0/7, in order to reflect the adoption of TGP</w:t>
      </w:r>
      <w:r w:rsidR="00592D23">
        <w:t> </w:t>
      </w:r>
      <w:r w:rsidRPr="00290F6F">
        <w:t>documents</w:t>
      </w:r>
      <w:r w:rsidR="00592D23">
        <w:t>.</w:t>
      </w:r>
    </w:p>
    <w:p w:rsidR="002242D8" w:rsidRDefault="002242D8">
      <w:pPr>
        <w:jc w:val="left"/>
      </w:pPr>
    </w:p>
    <w:p w:rsidR="00262828" w:rsidRPr="00E33134" w:rsidRDefault="00262828" w:rsidP="00F671DA">
      <w:pPr>
        <w:pStyle w:val="Heading2"/>
      </w:pPr>
      <w:bookmarkStart w:id="19" w:name="_Toc374385108"/>
      <w:bookmarkStart w:id="20" w:name="_Toc374631045"/>
      <w:bookmarkStart w:id="21" w:name="_Toc374632517"/>
      <w:bookmarkStart w:id="22" w:name="_Toc374635717"/>
      <w:bookmarkStart w:id="23" w:name="_Toc378251506"/>
      <w:bookmarkStart w:id="24" w:name="_Toc381279967"/>
      <w:bookmarkStart w:id="25" w:name="_Toc386188638"/>
      <w:r w:rsidRPr="00E33134">
        <w:t>TGP/2:  List of Test Guidelines Adopted by UPOV</w:t>
      </w:r>
      <w:bookmarkEnd w:id="19"/>
      <w:bookmarkEnd w:id="20"/>
      <w:bookmarkEnd w:id="21"/>
      <w:bookmarkEnd w:id="22"/>
      <w:bookmarkEnd w:id="23"/>
      <w:bookmarkEnd w:id="24"/>
      <w:bookmarkEnd w:id="25"/>
    </w:p>
    <w:p w:rsidR="00262828" w:rsidRPr="00290F6F" w:rsidRDefault="00262828" w:rsidP="00332739"/>
    <w:bookmarkStart w:id="26" w:name="_Toc374385109"/>
    <w:bookmarkStart w:id="27" w:name="_Toc374631046"/>
    <w:bookmarkStart w:id="28" w:name="_Toc374632518"/>
    <w:bookmarkStart w:id="29" w:name="_Toc374635718"/>
    <w:p w:rsidR="00262828" w:rsidRDefault="00262828" w:rsidP="00332739">
      <w:r w:rsidRPr="00290F6F">
        <w:fldChar w:fldCharType="begin"/>
      </w:r>
      <w:r w:rsidRPr="00290F6F">
        <w:instrText xml:space="preserve"> AUTONUM  </w:instrText>
      </w:r>
      <w:r w:rsidRPr="00290F6F">
        <w:fldChar w:fldCharType="end"/>
      </w:r>
      <w:r w:rsidRPr="00290F6F">
        <w:tab/>
      </w:r>
      <w:r w:rsidR="00332739">
        <w:t>Following the launching of the redesigned UPOV website on November 1, 2011, t</w:t>
      </w:r>
      <w:r w:rsidRPr="00290F6F">
        <w:t xml:space="preserve">he TC </w:t>
      </w:r>
      <w:r>
        <w:t xml:space="preserve">agreed that </w:t>
      </w:r>
      <w:r w:rsidRPr="00F95FF4">
        <w:t xml:space="preserve">document TGP/2 </w:t>
      </w:r>
      <w:r>
        <w:t xml:space="preserve">be amended </w:t>
      </w:r>
      <w:r w:rsidRPr="00F95FF4">
        <w:t>to read as follows</w:t>
      </w:r>
      <w:r w:rsidR="0096678D">
        <w:t xml:space="preserve"> (see document TC/50/36 “Report on the Conclusions”, paragraph 26)</w:t>
      </w:r>
      <w:r w:rsidRPr="00F95FF4">
        <w:t>:</w:t>
      </w:r>
    </w:p>
    <w:p w:rsidR="00262828" w:rsidRPr="00290F6F" w:rsidRDefault="00262828" w:rsidP="00332739"/>
    <w:p w:rsidR="00262828" w:rsidRPr="00290F6F" w:rsidRDefault="00262828" w:rsidP="00262828">
      <w:pPr>
        <w:ind w:left="567" w:right="567"/>
        <w:rPr>
          <w:sz w:val="18"/>
        </w:rPr>
      </w:pPr>
      <w:r w:rsidRPr="00290F6F">
        <w:rPr>
          <w:sz w:val="18"/>
        </w:rPr>
        <w:t xml:space="preserve">“A list and copies of adopted and published Test Guidelines can be obtained at </w:t>
      </w:r>
      <w:r w:rsidRPr="00E90457">
        <w:rPr>
          <w:sz w:val="18"/>
          <w:u w:val="single"/>
        </w:rPr>
        <w:t>http://www.upov.int/test_guidelines/en/</w:t>
      </w:r>
      <w:r w:rsidRPr="00E90457">
        <w:rPr>
          <w:sz w:val="18"/>
        </w:rPr>
        <w:t>”.</w:t>
      </w:r>
      <w:r w:rsidRPr="00290F6F">
        <w:rPr>
          <w:sz w:val="18"/>
        </w:rPr>
        <w:t xml:space="preserve"> </w:t>
      </w:r>
    </w:p>
    <w:p w:rsidR="00262828" w:rsidRPr="00290F6F" w:rsidRDefault="00262828" w:rsidP="00262828"/>
    <w:p w:rsidR="00262828" w:rsidRPr="00E33134" w:rsidRDefault="00262828" w:rsidP="00F671DA">
      <w:pPr>
        <w:pStyle w:val="Heading2"/>
      </w:pPr>
      <w:bookmarkStart w:id="30" w:name="_Toc378251507"/>
      <w:bookmarkStart w:id="31" w:name="_Toc381279968"/>
      <w:bookmarkStart w:id="32" w:name="_Toc386188639"/>
      <w:r w:rsidRPr="00E33134">
        <w:t>TGP/5:  Experience and Cooperation in DUS Testing: Section 10: Notification of Additional Characteristics</w:t>
      </w:r>
      <w:bookmarkEnd w:id="26"/>
      <w:bookmarkEnd w:id="27"/>
      <w:bookmarkEnd w:id="28"/>
      <w:bookmarkEnd w:id="29"/>
      <w:bookmarkEnd w:id="30"/>
      <w:bookmarkEnd w:id="31"/>
      <w:bookmarkEnd w:id="32"/>
    </w:p>
    <w:p w:rsidR="00262828" w:rsidRPr="00290F6F" w:rsidRDefault="00262828" w:rsidP="00332739"/>
    <w:p w:rsidR="00262828" w:rsidRPr="00B22F6D" w:rsidRDefault="00262828" w:rsidP="00332739">
      <w:pPr>
        <w:rPr>
          <w:rFonts w:cs="Arial"/>
        </w:rPr>
      </w:pPr>
      <w:r w:rsidRPr="00B22F6D">
        <w:fldChar w:fldCharType="begin"/>
      </w:r>
      <w:r w:rsidRPr="00B22F6D">
        <w:instrText xml:space="preserve"> AUTONUM  </w:instrText>
      </w:r>
      <w:r w:rsidRPr="00B22F6D">
        <w:fldChar w:fldCharType="end"/>
      </w:r>
      <w:r w:rsidRPr="00B22F6D">
        <w:tab/>
      </w:r>
      <w:r w:rsidR="00332739">
        <w:t xml:space="preserve">Following the </w:t>
      </w:r>
      <w:r w:rsidR="00AF2329">
        <w:t xml:space="preserve">conclusion </w:t>
      </w:r>
      <w:r w:rsidR="007E47F0">
        <w:t xml:space="preserve">of </w:t>
      </w:r>
      <w:r w:rsidR="00AF2329">
        <w:t xml:space="preserve">discussions on disclaimers </w:t>
      </w:r>
      <w:r w:rsidR="007E47F0">
        <w:t>on UPOV documents in</w:t>
      </w:r>
      <w:r w:rsidR="00AF2329">
        <w:t xml:space="preserve"> the Consultative</w:t>
      </w:r>
      <w:r w:rsidR="007E47F0">
        <w:t> </w:t>
      </w:r>
      <w:r w:rsidR="00AF2329">
        <w:t>Committee</w:t>
      </w:r>
      <w:r w:rsidR="00332739">
        <w:t>, t</w:t>
      </w:r>
      <w:r w:rsidR="00332739" w:rsidRPr="00290F6F">
        <w:t xml:space="preserve">he </w:t>
      </w:r>
      <w:r w:rsidR="00332739">
        <w:t xml:space="preserve">TC </w:t>
      </w:r>
      <w:r>
        <w:t xml:space="preserve">agreed that </w:t>
      </w:r>
      <w:r w:rsidRPr="00622F1B">
        <w:t xml:space="preserve">the guidance in document TGP/5: Section 10, </w:t>
      </w:r>
      <w:r>
        <w:t>should read as follows</w:t>
      </w:r>
      <w:r w:rsidR="0096678D">
        <w:t xml:space="preserve"> (see document TC/50/36 “Report on the Conclusions”, paragraph 27)</w:t>
      </w:r>
      <w:r>
        <w:t>:</w:t>
      </w:r>
    </w:p>
    <w:p w:rsidR="00262828" w:rsidRPr="00290F6F" w:rsidRDefault="00262828" w:rsidP="00332739"/>
    <w:p w:rsidR="00262828" w:rsidRPr="00B937E4" w:rsidRDefault="00262828" w:rsidP="00262828">
      <w:pPr>
        <w:ind w:left="567" w:right="566"/>
        <w:rPr>
          <w:sz w:val="18"/>
          <w:szCs w:val="18"/>
        </w:rPr>
      </w:pPr>
      <w:r w:rsidRPr="00B937E4">
        <w:rPr>
          <w:sz w:val="18"/>
          <w:szCs w:val="18"/>
        </w:rPr>
        <w:t>“4.2</w:t>
      </w:r>
      <w:r w:rsidRPr="00B937E4">
        <w:rPr>
          <w:sz w:val="18"/>
          <w:szCs w:val="18"/>
        </w:rPr>
        <w:tab/>
        <w:t>Proposals for additional characteristics and states of expression notified to the Office of the Union by means of document TGP/5 Section 10, will be presented to the relevant Technical Working Party(</w:t>
      </w:r>
      <w:proofErr w:type="spellStart"/>
      <w:r w:rsidRPr="00B937E4">
        <w:rPr>
          <w:sz w:val="18"/>
          <w:szCs w:val="18"/>
        </w:rPr>
        <w:t>ies</w:t>
      </w:r>
      <w:proofErr w:type="spellEnd"/>
      <w:r w:rsidRPr="00B937E4">
        <w:rPr>
          <w:sz w:val="18"/>
          <w:szCs w:val="18"/>
        </w:rPr>
        <w:t xml:space="preserve">) (TWP(s)) at the earliest opportunity with information on the extent of use of the characteristic.  The characteristics will then, as appropriate, be posted on the </w:t>
      </w:r>
      <w:r w:rsidRPr="00B937E4">
        <w:rPr>
          <w:rFonts w:ascii="ArialMT" w:eastAsia="MS Mincho" w:hAnsi="ArialMT" w:cs="ArialMT"/>
          <w:sz w:val="18"/>
          <w:szCs w:val="18"/>
          <w:lang w:eastAsia="ja-JP"/>
        </w:rPr>
        <w:t>TG Drafters’ Webpage</w:t>
      </w:r>
      <w:r w:rsidRPr="00B937E4">
        <w:rPr>
          <w:sz w:val="18"/>
          <w:szCs w:val="18"/>
        </w:rPr>
        <w:t xml:space="preserve"> of the UPOV website (</w:t>
      </w:r>
      <w:r w:rsidRPr="00B937E4">
        <w:rPr>
          <w:i/>
          <w:sz w:val="18"/>
          <w:szCs w:val="18"/>
        </w:rPr>
        <w:t>http://www.upov.int/restricted_temporary/tg/index.html</w:t>
      </w:r>
      <w:r w:rsidRPr="00B937E4">
        <w:rPr>
          <w:sz w:val="18"/>
          <w:szCs w:val="18"/>
        </w:rPr>
        <w:t>) on the basis of comments made by the relevant TWP(s), and/or the TWP(s) may initiate a revision or a partial revision of the Test Guidelines concerned.”</w:t>
      </w:r>
    </w:p>
    <w:p w:rsidR="00262828" w:rsidRDefault="00262828" w:rsidP="00262828"/>
    <w:p w:rsidR="00262828" w:rsidRPr="00332739" w:rsidRDefault="00262828" w:rsidP="00F671DA">
      <w:pPr>
        <w:pStyle w:val="Heading2"/>
      </w:pPr>
      <w:bookmarkStart w:id="33" w:name="_Toc352678053"/>
      <w:bookmarkStart w:id="34" w:name="_Toc353797733"/>
      <w:bookmarkStart w:id="35" w:name="_Toc386188640"/>
      <w:bookmarkStart w:id="36" w:name="_Toc347908323"/>
      <w:r w:rsidRPr="00332739">
        <w:t xml:space="preserve">TGP/7: </w:t>
      </w:r>
      <w:r w:rsidR="00924658">
        <w:t xml:space="preserve"> </w:t>
      </w:r>
      <w:r w:rsidRPr="00332739">
        <w:t>Development of Test Guidelines</w:t>
      </w:r>
      <w:bookmarkEnd w:id="33"/>
      <w:bookmarkEnd w:id="34"/>
      <w:bookmarkEnd w:id="35"/>
    </w:p>
    <w:p w:rsidR="00262828" w:rsidRDefault="00262828" w:rsidP="009354A0"/>
    <w:p w:rsidR="00C27913" w:rsidRDefault="00C27913" w:rsidP="00460CA6">
      <w:pPr>
        <w:pStyle w:val="Heading3"/>
      </w:pPr>
      <w:bookmarkStart w:id="37" w:name="_Toc386188641"/>
      <w:r>
        <w:t>Revisions previously agreed by the TC</w:t>
      </w:r>
      <w:bookmarkEnd w:id="37"/>
    </w:p>
    <w:p w:rsidR="00C27913" w:rsidRPr="00C27913" w:rsidRDefault="00C27913" w:rsidP="00C27913"/>
    <w:p w:rsidR="009354A0" w:rsidRDefault="009354A0" w:rsidP="009354A0">
      <w:r>
        <w:fldChar w:fldCharType="begin"/>
      </w:r>
      <w:r>
        <w:instrText xml:space="preserve"> AUTONUM  </w:instrText>
      </w:r>
      <w:r>
        <w:fldChar w:fldCharType="end"/>
      </w:r>
      <w:r>
        <w:tab/>
      </w:r>
      <w:r w:rsidRPr="00290F6F">
        <w:t>The TC note</w:t>
      </w:r>
      <w:r>
        <w:t>d</w:t>
      </w:r>
      <w:r w:rsidRPr="00290F6F">
        <w:t xml:space="preserve"> that the </w:t>
      </w:r>
      <w:r>
        <w:t xml:space="preserve">following </w:t>
      </w:r>
      <w:r w:rsidRPr="00290F6F">
        <w:t>revisions to document TGP/7 previously agreed</w:t>
      </w:r>
      <w:r>
        <w:t xml:space="preserve"> by the TC</w:t>
      </w:r>
      <w:r w:rsidRPr="00290F6F">
        <w:t xml:space="preserve"> </w:t>
      </w:r>
      <w:r>
        <w:t xml:space="preserve">would </w:t>
      </w:r>
      <w:r w:rsidRPr="00290F6F">
        <w:t>be a basis for the adoption of document TGP/7/4 by the Council, at its forty</w:t>
      </w:r>
      <w:r>
        <w:noBreakHyphen/>
      </w:r>
      <w:r w:rsidRPr="00290F6F">
        <w:t>eighth ordinary session</w:t>
      </w:r>
      <w:r w:rsidR="00C27913">
        <w:t xml:space="preserve"> </w:t>
      </w:r>
      <w:r w:rsidR="00673908">
        <w:t>(see document TC/50/36 “Report on the Conclusions”, paragraph 28)</w:t>
      </w:r>
      <w:r>
        <w:t>:</w:t>
      </w:r>
    </w:p>
    <w:p w:rsidR="009354A0" w:rsidRDefault="009354A0" w:rsidP="009354A0"/>
    <w:p w:rsidR="00C27913" w:rsidRDefault="00C27913" w:rsidP="00B54D53">
      <w:pPr>
        <w:numPr>
          <w:ilvl w:val="0"/>
          <w:numId w:val="12"/>
        </w:numPr>
      </w:pPr>
      <w:bookmarkStart w:id="38" w:name="_Toc347908324"/>
      <w:r>
        <w:t>Selection of Asterisked Characteristics</w:t>
      </w:r>
      <w:bookmarkEnd w:id="38"/>
    </w:p>
    <w:p w:rsidR="00C27913" w:rsidRDefault="00C27913" w:rsidP="00C27913">
      <w:pPr>
        <w:numPr>
          <w:ilvl w:val="0"/>
          <w:numId w:val="12"/>
        </w:numPr>
      </w:pPr>
      <w:bookmarkStart w:id="39" w:name="_Toc347908327"/>
      <w:r>
        <w:t>Procedure for the Development of Test Guidelines</w:t>
      </w:r>
      <w:bookmarkEnd w:id="39"/>
      <w:r>
        <w:t xml:space="preserve"> </w:t>
      </w:r>
    </w:p>
    <w:p w:rsidR="00C27913" w:rsidRDefault="00C27913" w:rsidP="00C27913">
      <w:pPr>
        <w:numPr>
          <w:ilvl w:val="0"/>
          <w:numId w:val="12"/>
        </w:numPr>
      </w:pPr>
      <w:r>
        <w:t>Guidance on Number of Plants to be Examined (for Distinctness)</w:t>
      </w:r>
    </w:p>
    <w:p w:rsidR="00C27913" w:rsidRDefault="00C27913" w:rsidP="00C27913">
      <w:pPr>
        <w:numPr>
          <w:ilvl w:val="0"/>
          <w:numId w:val="12"/>
        </w:numPr>
      </w:pPr>
      <w:r>
        <w:t>Guidance for Method of Observation</w:t>
      </w:r>
    </w:p>
    <w:p w:rsidR="00B54D53" w:rsidRDefault="00B54D53" w:rsidP="00B54D53">
      <w:pPr>
        <w:numPr>
          <w:ilvl w:val="0"/>
          <w:numId w:val="12"/>
        </w:numPr>
      </w:pPr>
      <w:r>
        <w:t>Number of Plants Required for Description</w:t>
      </w:r>
    </w:p>
    <w:p w:rsidR="00F671DA" w:rsidRDefault="00F671DA" w:rsidP="00F671DA">
      <w:pPr>
        <w:numPr>
          <w:ilvl w:val="0"/>
          <w:numId w:val="12"/>
        </w:numPr>
      </w:pPr>
      <w:r>
        <w:t>Coverage of Types of Varieties in Test Guidelines</w:t>
      </w:r>
    </w:p>
    <w:p w:rsidR="00C27913" w:rsidRDefault="00C27913" w:rsidP="009354A0"/>
    <w:p w:rsidR="00F671DA" w:rsidRDefault="00592D23" w:rsidP="00460CA6">
      <w:pPr>
        <w:pStyle w:val="Heading3"/>
      </w:pPr>
      <w:bookmarkStart w:id="40" w:name="_Toc386188642"/>
      <w:r>
        <w:t>Amendments to r</w:t>
      </w:r>
      <w:r w:rsidR="00F671DA">
        <w:t>evisions previously agreed by the TC</w:t>
      </w:r>
      <w:bookmarkEnd w:id="40"/>
      <w:r w:rsidR="00F671DA">
        <w:t xml:space="preserve"> </w:t>
      </w:r>
    </w:p>
    <w:p w:rsidR="00C27913" w:rsidRDefault="00C27913" w:rsidP="009354A0"/>
    <w:p w:rsidR="00F671DA" w:rsidRDefault="00F671DA" w:rsidP="00F671DA">
      <w:r>
        <w:fldChar w:fldCharType="begin"/>
      </w:r>
      <w:r>
        <w:instrText xml:space="preserve"> AUTONUM  </w:instrText>
      </w:r>
      <w:r>
        <w:fldChar w:fldCharType="end"/>
      </w:r>
      <w:r>
        <w:tab/>
      </w:r>
      <w:r w:rsidRPr="00290F6F">
        <w:t>The TC note</w:t>
      </w:r>
      <w:r>
        <w:t>d</w:t>
      </w:r>
      <w:r w:rsidRPr="00290F6F">
        <w:t xml:space="preserve"> that the </w:t>
      </w:r>
      <w:r>
        <w:t xml:space="preserve">following </w:t>
      </w:r>
      <w:r w:rsidRPr="00290F6F">
        <w:t>revisions to document TGP/7 previously agreed</w:t>
      </w:r>
      <w:r>
        <w:t xml:space="preserve"> by the TC</w:t>
      </w:r>
      <w:r w:rsidRPr="00290F6F">
        <w:t xml:space="preserve"> </w:t>
      </w:r>
      <w:r>
        <w:t xml:space="preserve">would </w:t>
      </w:r>
      <w:r w:rsidRPr="00290F6F">
        <w:t>be a basis for the adoption of document TGP/7/4 by the Council, at its forty</w:t>
      </w:r>
      <w:r>
        <w:noBreakHyphen/>
      </w:r>
      <w:r w:rsidRPr="00290F6F">
        <w:t>eighth ordinary session</w:t>
      </w:r>
      <w:r>
        <w:t>, subject to amendments as presented below (see document TC/50/36 “Report on the Conclusions”, paragraph 28):</w:t>
      </w:r>
    </w:p>
    <w:bookmarkEnd w:id="36"/>
    <w:p w:rsidR="008E53E9" w:rsidRDefault="008E53E9">
      <w:pPr>
        <w:jc w:val="left"/>
      </w:pPr>
      <w:r>
        <w:br w:type="page"/>
      </w:r>
    </w:p>
    <w:p w:rsidR="00262828" w:rsidRDefault="00262828" w:rsidP="00262828">
      <w:pPr>
        <w:keepNext/>
        <w:numPr>
          <w:ilvl w:val="0"/>
          <w:numId w:val="12"/>
        </w:numPr>
      </w:pPr>
      <w:r>
        <w:lastRenderedPageBreak/>
        <w:t xml:space="preserve">Quantity of Plant Material Required </w:t>
      </w:r>
    </w:p>
    <w:p w:rsidR="00673908" w:rsidRDefault="00673908" w:rsidP="00673908"/>
    <w:p w:rsidR="003751BF" w:rsidRDefault="00673908" w:rsidP="00673908">
      <w:r>
        <w:fldChar w:fldCharType="begin"/>
      </w:r>
      <w:r>
        <w:instrText xml:space="preserve"> AUTONUM  </w:instrText>
      </w:r>
      <w:r>
        <w:fldChar w:fldCharType="end"/>
      </w:r>
      <w:r>
        <w:tab/>
      </w:r>
      <w:r w:rsidR="003751BF">
        <w:t>Annex 3</w:t>
      </w:r>
      <w:r w:rsidR="00884F2A">
        <w:t xml:space="preserve"> “Guidance Notes (GN) for the TG Template”,</w:t>
      </w:r>
      <w:r w:rsidR="003751BF">
        <w:t xml:space="preserve"> GN 7 </w:t>
      </w:r>
      <w:r w:rsidR="00884F2A">
        <w:t xml:space="preserve">“Quantity of plant material required” </w:t>
      </w:r>
      <w:r w:rsidR="003751BF">
        <w:t xml:space="preserve">should </w:t>
      </w:r>
      <w:r w:rsidR="00884F2A">
        <w:t>read as follows</w:t>
      </w:r>
      <w:r w:rsidR="003751BF">
        <w:t>:</w:t>
      </w:r>
    </w:p>
    <w:p w:rsidR="003751BF" w:rsidRDefault="003751BF" w:rsidP="00673908"/>
    <w:p w:rsidR="003751BF" w:rsidRPr="003751BF" w:rsidRDefault="003751BF" w:rsidP="003751BF">
      <w:pPr>
        <w:keepNext/>
        <w:ind w:left="567" w:right="567"/>
        <w:rPr>
          <w:rFonts w:cs="Arial"/>
          <w:sz w:val="18"/>
          <w:szCs w:val="18"/>
        </w:rPr>
      </w:pPr>
      <w:r w:rsidRPr="003751BF">
        <w:rPr>
          <w:rFonts w:cs="Arial"/>
          <w:sz w:val="18"/>
          <w:szCs w:val="18"/>
        </w:rPr>
        <w:t>“The drafter of the Test Guidelines should consider the following factors when determining the quantity of material required:</w:t>
      </w:r>
    </w:p>
    <w:p w:rsidR="003751BF" w:rsidRPr="003751BF" w:rsidRDefault="003751BF" w:rsidP="003751BF">
      <w:pPr>
        <w:keepNext/>
        <w:ind w:left="567" w:right="567"/>
        <w:rPr>
          <w:rFonts w:cs="Arial"/>
          <w:sz w:val="18"/>
          <w:szCs w:val="18"/>
        </w:rPr>
      </w:pPr>
    </w:p>
    <w:p w:rsidR="003751BF" w:rsidRPr="003751BF" w:rsidRDefault="003751BF" w:rsidP="003751BF">
      <w:pPr>
        <w:keepNext/>
        <w:tabs>
          <w:tab w:val="right" w:pos="567"/>
        </w:tabs>
        <w:ind w:left="1701" w:right="567" w:hanging="567"/>
        <w:rPr>
          <w:sz w:val="18"/>
          <w:szCs w:val="18"/>
        </w:rPr>
      </w:pPr>
      <w:r>
        <w:rPr>
          <w:rFonts w:cs="Arial"/>
          <w:sz w:val="18"/>
          <w:szCs w:val="18"/>
        </w:rPr>
        <w:t>“</w:t>
      </w:r>
      <w:r w:rsidRPr="003751BF">
        <w:rPr>
          <w:rFonts w:cs="Arial"/>
          <w:sz w:val="18"/>
          <w:szCs w:val="18"/>
        </w:rPr>
        <w:t>(</w:t>
      </w:r>
      <w:proofErr w:type="spellStart"/>
      <w:r w:rsidRPr="003751BF">
        <w:rPr>
          <w:rFonts w:cs="Arial"/>
          <w:sz w:val="18"/>
          <w:szCs w:val="18"/>
        </w:rPr>
        <w:t>i</w:t>
      </w:r>
      <w:proofErr w:type="spellEnd"/>
      <w:r w:rsidRPr="003751BF">
        <w:rPr>
          <w:rFonts w:cs="Arial"/>
          <w:sz w:val="18"/>
          <w:szCs w:val="18"/>
        </w:rPr>
        <w:t>)</w:t>
      </w:r>
      <w:r w:rsidRPr="003751BF">
        <w:rPr>
          <w:rFonts w:cs="Arial"/>
          <w:sz w:val="18"/>
          <w:szCs w:val="18"/>
        </w:rPr>
        <w:tab/>
        <w:t>Number of plants/ parts of plants to be examined</w:t>
      </w:r>
    </w:p>
    <w:p w:rsidR="003751BF" w:rsidRPr="003751BF" w:rsidRDefault="003751BF" w:rsidP="003751BF">
      <w:pPr>
        <w:keepNext/>
        <w:tabs>
          <w:tab w:val="right" w:pos="426"/>
        </w:tabs>
        <w:ind w:left="1701" w:right="567" w:hanging="567"/>
        <w:rPr>
          <w:sz w:val="18"/>
          <w:szCs w:val="18"/>
        </w:rPr>
      </w:pPr>
      <w:r>
        <w:rPr>
          <w:rFonts w:cs="Arial"/>
          <w:sz w:val="18"/>
          <w:szCs w:val="18"/>
        </w:rPr>
        <w:t>“</w:t>
      </w:r>
      <w:r w:rsidRPr="003751BF">
        <w:rPr>
          <w:rFonts w:cs="Arial"/>
          <w:sz w:val="18"/>
          <w:szCs w:val="18"/>
        </w:rPr>
        <w:t>(ii)</w:t>
      </w:r>
      <w:r w:rsidRPr="003751BF">
        <w:rPr>
          <w:rFonts w:cs="Arial"/>
          <w:sz w:val="18"/>
          <w:szCs w:val="18"/>
        </w:rPr>
        <w:tab/>
        <w:t>Number of growing cycles</w:t>
      </w:r>
    </w:p>
    <w:p w:rsidR="003751BF" w:rsidRPr="003751BF" w:rsidRDefault="003751BF" w:rsidP="003751BF">
      <w:pPr>
        <w:keepNext/>
        <w:tabs>
          <w:tab w:val="right" w:pos="567"/>
        </w:tabs>
        <w:ind w:left="1701" w:right="567" w:hanging="567"/>
        <w:rPr>
          <w:sz w:val="18"/>
          <w:szCs w:val="18"/>
        </w:rPr>
      </w:pPr>
      <w:r>
        <w:rPr>
          <w:rFonts w:cs="Arial"/>
          <w:sz w:val="18"/>
          <w:szCs w:val="18"/>
        </w:rPr>
        <w:t>“</w:t>
      </w:r>
      <w:r w:rsidRPr="003751BF">
        <w:rPr>
          <w:rFonts w:cs="Arial"/>
          <w:sz w:val="18"/>
          <w:szCs w:val="18"/>
        </w:rPr>
        <w:t>(iii)</w:t>
      </w:r>
      <w:r w:rsidRPr="003751BF">
        <w:rPr>
          <w:rFonts w:cs="Arial"/>
          <w:sz w:val="18"/>
          <w:szCs w:val="18"/>
        </w:rPr>
        <w:tab/>
        <w:t>Variability within the crop</w:t>
      </w:r>
    </w:p>
    <w:p w:rsidR="003751BF" w:rsidRPr="003751BF" w:rsidRDefault="003751BF" w:rsidP="003751BF">
      <w:pPr>
        <w:keepNext/>
        <w:ind w:left="1701" w:right="567" w:hanging="567"/>
        <w:rPr>
          <w:sz w:val="18"/>
          <w:szCs w:val="18"/>
        </w:rPr>
      </w:pPr>
      <w:r>
        <w:rPr>
          <w:rFonts w:cs="Arial"/>
          <w:sz w:val="18"/>
          <w:szCs w:val="18"/>
        </w:rPr>
        <w:t>“</w:t>
      </w:r>
      <w:r w:rsidRPr="003751BF">
        <w:rPr>
          <w:rFonts w:cs="Arial"/>
          <w:sz w:val="18"/>
          <w:szCs w:val="18"/>
        </w:rPr>
        <w:t>(iv)</w:t>
      </w:r>
      <w:r w:rsidRPr="003751BF">
        <w:rPr>
          <w:rFonts w:cs="Arial"/>
          <w:sz w:val="18"/>
          <w:szCs w:val="18"/>
        </w:rPr>
        <w:tab/>
        <w:t>Additional tests (e.g. resistance tests, bolting trials)</w:t>
      </w:r>
      <w:r w:rsidRPr="003751BF">
        <w:rPr>
          <w:sz w:val="18"/>
          <w:szCs w:val="18"/>
        </w:rPr>
        <w:t xml:space="preserve"> </w:t>
      </w:r>
    </w:p>
    <w:p w:rsidR="003751BF" w:rsidRPr="003751BF" w:rsidRDefault="003751BF" w:rsidP="003751BF">
      <w:pPr>
        <w:keepNext/>
        <w:ind w:left="1701" w:right="567" w:hanging="567"/>
        <w:rPr>
          <w:sz w:val="18"/>
          <w:szCs w:val="18"/>
        </w:rPr>
      </w:pPr>
      <w:r>
        <w:rPr>
          <w:rFonts w:cs="Arial"/>
          <w:sz w:val="18"/>
          <w:szCs w:val="18"/>
        </w:rPr>
        <w:t>“</w:t>
      </w:r>
      <w:r w:rsidRPr="003751BF">
        <w:rPr>
          <w:rFonts w:cs="Arial"/>
          <w:sz w:val="18"/>
          <w:szCs w:val="18"/>
        </w:rPr>
        <w:t>(v)</w:t>
      </w:r>
      <w:r w:rsidRPr="003751BF">
        <w:rPr>
          <w:rFonts w:cs="Arial"/>
          <w:sz w:val="18"/>
          <w:szCs w:val="18"/>
        </w:rPr>
        <w:tab/>
        <w:t>Features of propagation (e.g. cross-pollination, self-pollination, vegetative propagation)</w:t>
      </w:r>
      <w:r w:rsidRPr="003751BF">
        <w:rPr>
          <w:sz w:val="18"/>
          <w:szCs w:val="18"/>
        </w:rPr>
        <w:t xml:space="preserve"> </w:t>
      </w:r>
    </w:p>
    <w:p w:rsidR="003751BF" w:rsidRPr="003751BF" w:rsidRDefault="003751BF" w:rsidP="003751BF">
      <w:pPr>
        <w:keepNext/>
        <w:ind w:left="1701" w:right="567" w:hanging="567"/>
        <w:rPr>
          <w:sz w:val="18"/>
          <w:szCs w:val="18"/>
        </w:rPr>
      </w:pPr>
      <w:r>
        <w:rPr>
          <w:rFonts w:cs="Arial"/>
          <w:sz w:val="18"/>
          <w:szCs w:val="18"/>
        </w:rPr>
        <w:t>“</w:t>
      </w:r>
      <w:r w:rsidRPr="003751BF">
        <w:rPr>
          <w:rFonts w:cs="Arial"/>
          <w:sz w:val="18"/>
          <w:szCs w:val="18"/>
        </w:rPr>
        <w:t>(vi)</w:t>
      </w:r>
      <w:r w:rsidRPr="003751BF">
        <w:rPr>
          <w:rFonts w:cs="Arial"/>
          <w:sz w:val="18"/>
          <w:szCs w:val="18"/>
        </w:rPr>
        <w:tab/>
        <w:t>Crop type (e.g. root crop, leaf crop, fruit crop, cut flower, cereal, etc.)</w:t>
      </w:r>
      <w:r w:rsidRPr="003751BF">
        <w:rPr>
          <w:sz w:val="18"/>
          <w:szCs w:val="18"/>
        </w:rPr>
        <w:t xml:space="preserve"> </w:t>
      </w:r>
    </w:p>
    <w:p w:rsidR="003751BF" w:rsidRPr="003751BF" w:rsidRDefault="003751BF" w:rsidP="003751BF">
      <w:pPr>
        <w:keepNext/>
        <w:tabs>
          <w:tab w:val="right" w:pos="1418"/>
        </w:tabs>
        <w:ind w:left="1701" w:right="567" w:hanging="567"/>
        <w:rPr>
          <w:sz w:val="18"/>
          <w:szCs w:val="18"/>
        </w:rPr>
      </w:pPr>
      <w:r w:rsidRPr="003751BF">
        <w:rPr>
          <w:rFonts w:cs="Arial"/>
          <w:sz w:val="18"/>
          <w:szCs w:val="18"/>
        </w:rPr>
        <w:tab/>
      </w:r>
      <w:r>
        <w:rPr>
          <w:rFonts w:cs="Arial"/>
          <w:sz w:val="18"/>
          <w:szCs w:val="18"/>
        </w:rPr>
        <w:t>“</w:t>
      </w:r>
      <w:r w:rsidRPr="003751BF">
        <w:rPr>
          <w:rFonts w:cs="Arial"/>
          <w:sz w:val="18"/>
          <w:szCs w:val="18"/>
        </w:rPr>
        <w:t>(vii)</w:t>
      </w:r>
      <w:r w:rsidRPr="003751BF">
        <w:rPr>
          <w:rFonts w:cs="Arial"/>
          <w:sz w:val="18"/>
          <w:szCs w:val="18"/>
        </w:rPr>
        <w:tab/>
        <w:t>Storage in variety collection</w:t>
      </w:r>
    </w:p>
    <w:p w:rsidR="003751BF" w:rsidRPr="003751BF" w:rsidRDefault="003751BF" w:rsidP="003751BF">
      <w:pPr>
        <w:keepNext/>
        <w:tabs>
          <w:tab w:val="right" w:pos="1418"/>
        </w:tabs>
        <w:ind w:left="1701" w:right="567" w:hanging="567"/>
        <w:rPr>
          <w:sz w:val="18"/>
          <w:szCs w:val="18"/>
        </w:rPr>
      </w:pPr>
      <w:r w:rsidRPr="003751BF">
        <w:rPr>
          <w:rFonts w:cs="Arial"/>
          <w:sz w:val="18"/>
          <w:szCs w:val="18"/>
        </w:rPr>
        <w:tab/>
      </w:r>
      <w:r>
        <w:rPr>
          <w:rFonts w:cs="Arial"/>
          <w:sz w:val="18"/>
          <w:szCs w:val="18"/>
        </w:rPr>
        <w:t>“</w:t>
      </w:r>
      <w:r w:rsidRPr="003751BF">
        <w:rPr>
          <w:rFonts w:cs="Arial"/>
          <w:sz w:val="18"/>
          <w:szCs w:val="18"/>
        </w:rPr>
        <w:t>(viii)</w:t>
      </w:r>
      <w:r w:rsidRPr="003751BF">
        <w:rPr>
          <w:rFonts w:cs="Arial"/>
          <w:sz w:val="18"/>
          <w:szCs w:val="18"/>
        </w:rPr>
        <w:tab/>
        <w:t>Exchange between testing authorities</w:t>
      </w:r>
    </w:p>
    <w:p w:rsidR="003751BF" w:rsidRPr="003751BF" w:rsidRDefault="003751BF" w:rsidP="003751BF">
      <w:pPr>
        <w:keepNext/>
        <w:ind w:left="1701" w:right="567" w:hanging="567"/>
        <w:rPr>
          <w:sz w:val="18"/>
          <w:szCs w:val="18"/>
        </w:rPr>
      </w:pPr>
      <w:r>
        <w:rPr>
          <w:rFonts w:cs="Arial"/>
          <w:sz w:val="18"/>
          <w:szCs w:val="18"/>
        </w:rPr>
        <w:t>“</w:t>
      </w:r>
      <w:r w:rsidRPr="003751BF">
        <w:rPr>
          <w:rFonts w:cs="Arial"/>
          <w:sz w:val="18"/>
          <w:szCs w:val="18"/>
        </w:rPr>
        <w:t>(ix)</w:t>
      </w:r>
      <w:r w:rsidRPr="003751BF">
        <w:rPr>
          <w:rFonts w:cs="Arial"/>
          <w:sz w:val="18"/>
          <w:szCs w:val="18"/>
        </w:rPr>
        <w:tab/>
        <w:t>Seed quality (germination) requirements</w:t>
      </w:r>
    </w:p>
    <w:p w:rsidR="003751BF" w:rsidRPr="003751BF" w:rsidRDefault="003751BF" w:rsidP="003751BF">
      <w:pPr>
        <w:keepNext/>
        <w:ind w:left="1701" w:right="567" w:hanging="567"/>
        <w:rPr>
          <w:sz w:val="18"/>
          <w:szCs w:val="18"/>
        </w:rPr>
      </w:pPr>
      <w:r>
        <w:rPr>
          <w:rFonts w:cs="Arial"/>
          <w:sz w:val="18"/>
          <w:szCs w:val="18"/>
        </w:rPr>
        <w:t>“</w:t>
      </w:r>
      <w:r w:rsidRPr="003751BF">
        <w:rPr>
          <w:rFonts w:cs="Arial"/>
          <w:sz w:val="18"/>
          <w:szCs w:val="18"/>
        </w:rPr>
        <w:t>(x)</w:t>
      </w:r>
      <w:r w:rsidRPr="003751BF">
        <w:rPr>
          <w:rFonts w:cs="Arial"/>
          <w:sz w:val="18"/>
          <w:szCs w:val="18"/>
        </w:rPr>
        <w:tab/>
        <w:t>Cultivation system (outdoor/glasshouse)</w:t>
      </w:r>
      <w:r w:rsidRPr="003751BF">
        <w:rPr>
          <w:sz w:val="18"/>
          <w:szCs w:val="18"/>
        </w:rPr>
        <w:t xml:space="preserve"> </w:t>
      </w:r>
    </w:p>
    <w:p w:rsidR="003751BF" w:rsidRPr="003751BF" w:rsidRDefault="003751BF" w:rsidP="003751BF">
      <w:pPr>
        <w:keepNext/>
        <w:ind w:left="1701" w:right="567" w:hanging="567"/>
        <w:rPr>
          <w:sz w:val="18"/>
          <w:szCs w:val="18"/>
        </w:rPr>
      </w:pPr>
      <w:r>
        <w:rPr>
          <w:rFonts w:cs="Arial"/>
          <w:sz w:val="18"/>
          <w:szCs w:val="18"/>
        </w:rPr>
        <w:t>“</w:t>
      </w:r>
      <w:r w:rsidRPr="003751BF">
        <w:rPr>
          <w:rFonts w:cs="Arial"/>
          <w:sz w:val="18"/>
          <w:szCs w:val="18"/>
        </w:rPr>
        <w:t>(xi)</w:t>
      </w:r>
      <w:r w:rsidRPr="003751BF">
        <w:rPr>
          <w:rFonts w:cs="Arial"/>
          <w:sz w:val="18"/>
          <w:szCs w:val="18"/>
        </w:rPr>
        <w:tab/>
        <w:t>Sowing system</w:t>
      </w:r>
    </w:p>
    <w:p w:rsidR="003751BF" w:rsidRPr="003751BF" w:rsidRDefault="003751BF" w:rsidP="003751BF">
      <w:pPr>
        <w:keepNext/>
        <w:tabs>
          <w:tab w:val="right" w:pos="1418"/>
        </w:tabs>
        <w:ind w:left="1701" w:right="567" w:hanging="567"/>
        <w:rPr>
          <w:sz w:val="18"/>
          <w:szCs w:val="18"/>
        </w:rPr>
      </w:pPr>
      <w:r w:rsidRPr="003751BF">
        <w:rPr>
          <w:rFonts w:cs="Arial"/>
          <w:sz w:val="18"/>
          <w:szCs w:val="18"/>
        </w:rPr>
        <w:tab/>
      </w:r>
      <w:r>
        <w:rPr>
          <w:rFonts w:cs="Arial"/>
          <w:sz w:val="18"/>
          <w:szCs w:val="18"/>
        </w:rPr>
        <w:t>“</w:t>
      </w:r>
      <w:r w:rsidRPr="003751BF">
        <w:rPr>
          <w:rFonts w:cs="Arial"/>
          <w:sz w:val="18"/>
          <w:szCs w:val="18"/>
        </w:rPr>
        <w:t>(xii)</w:t>
      </w:r>
      <w:r w:rsidRPr="003751BF">
        <w:rPr>
          <w:rFonts w:cs="Arial"/>
          <w:sz w:val="18"/>
          <w:szCs w:val="18"/>
        </w:rPr>
        <w:tab/>
        <w:t>Predominant method of observation (e.g. MS, VG)</w:t>
      </w:r>
      <w:r w:rsidRPr="003751BF">
        <w:rPr>
          <w:sz w:val="18"/>
          <w:szCs w:val="18"/>
        </w:rPr>
        <w:t xml:space="preserve"> </w:t>
      </w:r>
    </w:p>
    <w:p w:rsidR="003751BF" w:rsidRDefault="003751BF" w:rsidP="00673908"/>
    <w:p w:rsidR="00673908" w:rsidRPr="00A02308" w:rsidRDefault="00673908" w:rsidP="00A02308">
      <w:pPr>
        <w:ind w:left="567" w:right="567"/>
        <w:rPr>
          <w:sz w:val="18"/>
        </w:rPr>
      </w:pPr>
      <w:r w:rsidRPr="00A02308">
        <w:rPr>
          <w:rFonts w:cs="Arial"/>
          <w:sz w:val="18"/>
          <w:szCs w:val="18"/>
        </w:rPr>
        <w:t xml:space="preserve">“In general, in the case of </w:t>
      </w:r>
      <w:r w:rsidRPr="00A02308">
        <w:rPr>
          <w:rFonts w:cs="Arial"/>
          <w:i/>
          <w:iCs/>
          <w:sz w:val="18"/>
          <w:szCs w:val="18"/>
        </w:rPr>
        <w:t>plants</w:t>
      </w:r>
      <w:r w:rsidRPr="00A02308">
        <w:rPr>
          <w:rFonts w:cs="Arial"/>
          <w:sz w:val="18"/>
          <w:szCs w:val="18"/>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Test Guidelines is the minimum quantity that an authority might request of the applicant.  Therefore, each authority may decide to request a larger quantity of plant material, for example to allow for potential losses during establishment (see GN 7 (a)</w:t>
      </w:r>
      <w:r w:rsidRPr="00A02308">
        <w:rPr>
          <w:rFonts w:cs="Arial"/>
          <w:iCs/>
          <w:sz w:val="18"/>
          <w:szCs w:val="18"/>
        </w:rPr>
        <w:t>)</w:t>
      </w:r>
      <w:r w:rsidRPr="00A02308">
        <w:rPr>
          <w:rFonts w:cs="Arial"/>
          <w:sz w:val="18"/>
          <w:szCs w:val="18"/>
        </w:rPr>
        <w:t>.”</w:t>
      </w:r>
    </w:p>
    <w:p w:rsidR="00673908" w:rsidRDefault="00673908" w:rsidP="00673908"/>
    <w:p w:rsidR="00262828" w:rsidRDefault="00262828" w:rsidP="00262828">
      <w:pPr>
        <w:numPr>
          <w:ilvl w:val="0"/>
          <w:numId w:val="12"/>
        </w:numPr>
      </w:pPr>
      <w:r>
        <w:t xml:space="preserve">Example Varieties </w:t>
      </w:r>
    </w:p>
    <w:p w:rsidR="00673908" w:rsidRDefault="00673908" w:rsidP="00673908"/>
    <w:p w:rsidR="00673908" w:rsidRDefault="00673908" w:rsidP="00673908">
      <w:pPr>
        <w:tabs>
          <w:tab w:val="left" w:pos="76"/>
        </w:tabs>
      </w:pPr>
      <w:r>
        <w:fldChar w:fldCharType="begin"/>
      </w:r>
      <w:r>
        <w:instrText xml:space="preserve"> AUTONUM  </w:instrText>
      </w:r>
      <w:r>
        <w:fldChar w:fldCharType="end"/>
      </w:r>
      <w:r>
        <w:tab/>
      </w:r>
      <w:r w:rsidR="00533918">
        <w:t>Section 3.2.2 t</w:t>
      </w:r>
      <w:r w:rsidRPr="00CE090D">
        <w:rPr>
          <w:rFonts w:cs="Arial"/>
          <w:color w:val="000000" w:themeColor="text1"/>
        </w:rPr>
        <w:t xml:space="preserve">o read as follows: </w:t>
      </w:r>
      <w:r w:rsidRPr="00CE090D">
        <w:t>“3.2.2</w:t>
      </w:r>
      <w:r>
        <w:t xml:space="preserve">  </w:t>
      </w:r>
      <w:r w:rsidRPr="00CE090D">
        <w:t xml:space="preserve">Where different sets of example varieties are provided for different types of varieties covered by the same Test Guidelines, they are placed in the Table of Characteristics in the same column as normal.  The sets of example varieties (e.g. winter and spring) are separated by a semicolon, </w:t>
      </w:r>
      <w:r w:rsidRPr="0017278A">
        <w:t>and/or indicated by</w:t>
      </w:r>
      <w:r w:rsidRPr="00CE090D">
        <w:t xml:space="preserve"> a key </w:t>
      </w:r>
      <w:r w:rsidRPr="0017278A">
        <w:t>which is</w:t>
      </w:r>
      <w:r w:rsidRPr="00CE090D">
        <w:t xml:space="preserve"> provided for each set and an explanation </w:t>
      </w:r>
      <w:r w:rsidRPr="0017278A">
        <w:t xml:space="preserve">for the option chosen should be </w:t>
      </w:r>
      <w:r w:rsidRPr="00CE090D">
        <w:t>included in the legend of Chapter 6 of the Test Guidelines.</w:t>
      </w:r>
      <w:r>
        <w:t>”</w:t>
      </w:r>
    </w:p>
    <w:p w:rsidR="00673908" w:rsidRDefault="00673908" w:rsidP="00673908"/>
    <w:p w:rsidR="00262828" w:rsidRDefault="00262828" w:rsidP="00262828">
      <w:pPr>
        <w:numPr>
          <w:ilvl w:val="0"/>
          <w:numId w:val="12"/>
        </w:numPr>
      </w:pPr>
      <w:r>
        <w:t>Providing Photographs with the Technical Questionnaire</w:t>
      </w:r>
    </w:p>
    <w:p w:rsidR="00F671DA" w:rsidRDefault="00F671DA" w:rsidP="00F671DA"/>
    <w:p w:rsidR="00F671DA" w:rsidRDefault="00F671DA" w:rsidP="00F671DA">
      <w:r>
        <w:fldChar w:fldCharType="begin"/>
      </w:r>
      <w:r>
        <w:instrText xml:space="preserve"> AUTONUM  </w:instrText>
      </w:r>
      <w:r>
        <w:fldChar w:fldCharType="end"/>
      </w:r>
      <w:r>
        <w:tab/>
      </w:r>
      <w:r w:rsidR="00CA1D00">
        <w:t xml:space="preserve">The first sentence of the introduction to the new GN 35 </w:t>
      </w:r>
      <w:r w:rsidR="00884F2A">
        <w:t xml:space="preserve">“Providing photographs with the Technical Questionnaire” </w:t>
      </w:r>
      <w:r w:rsidR="00CA1D00">
        <w:rPr>
          <w:rFonts w:cs="Arial"/>
          <w:color w:val="000000" w:themeColor="text1"/>
        </w:rPr>
        <w:t xml:space="preserve">should </w:t>
      </w:r>
      <w:r>
        <w:rPr>
          <w:rFonts w:cs="Arial"/>
          <w:color w:val="000000" w:themeColor="text1"/>
        </w:rPr>
        <w:t>read: “</w:t>
      </w:r>
      <w:r w:rsidRPr="00FC3E4F">
        <w:rPr>
          <w:rFonts w:cs="Arial"/>
        </w:rPr>
        <w:t>The taking of photographs is influenced by factors, such as light conditions, quality and setting of the camera, and the background.</w:t>
      </w:r>
      <w:r>
        <w:rPr>
          <w:rFonts w:cs="Arial"/>
        </w:rPr>
        <w:t xml:space="preserve">” </w:t>
      </w:r>
      <w:r w:rsidRPr="00FC3E4F">
        <w:rPr>
          <w:rFonts w:cs="Arial"/>
        </w:rPr>
        <w:t xml:space="preserve"> </w:t>
      </w:r>
    </w:p>
    <w:p w:rsidR="009354A0" w:rsidRDefault="009354A0" w:rsidP="002242D8">
      <w:bookmarkStart w:id="41" w:name="_Toc352678054"/>
      <w:bookmarkStart w:id="42" w:name="_Toc353797734"/>
    </w:p>
    <w:p w:rsidR="002242D8" w:rsidRDefault="002242D8" w:rsidP="00460CA6">
      <w:pPr>
        <w:pStyle w:val="Heading3"/>
      </w:pPr>
      <w:bookmarkStart w:id="43" w:name="_Toc386188643"/>
      <w:r>
        <w:t>Revisions agreed by the TC at its fiftieth session</w:t>
      </w:r>
      <w:bookmarkEnd w:id="43"/>
    </w:p>
    <w:p w:rsidR="002242D8" w:rsidRDefault="002242D8" w:rsidP="002242D8"/>
    <w:bookmarkStart w:id="44" w:name="_Toc374385111"/>
    <w:bookmarkStart w:id="45" w:name="_Toc374631048"/>
    <w:bookmarkStart w:id="46" w:name="_Toc374632520"/>
    <w:bookmarkStart w:id="47" w:name="_Toc374635720"/>
    <w:bookmarkStart w:id="48" w:name="_Toc378251509"/>
    <w:bookmarkStart w:id="49" w:name="_Toc381279970"/>
    <w:p w:rsidR="002242D8" w:rsidRDefault="002242D8" w:rsidP="002242D8">
      <w:r>
        <w:fldChar w:fldCharType="begin"/>
      </w:r>
      <w:r>
        <w:instrText xml:space="preserve"> AUTONUM  </w:instrText>
      </w:r>
      <w:r>
        <w:fldChar w:fldCharType="end"/>
      </w:r>
      <w:r>
        <w:tab/>
      </w:r>
      <w:r w:rsidRPr="00290F6F">
        <w:t>The TC agreed</w:t>
      </w:r>
      <w:r>
        <w:t xml:space="preserve"> that the following revisions to document TGP/7 should be put forward for adoption</w:t>
      </w:r>
      <w:r w:rsidRPr="00290F6F">
        <w:t xml:space="preserve"> by the Council, at its forty</w:t>
      </w:r>
      <w:r>
        <w:noBreakHyphen/>
      </w:r>
      <w:r w:rsidRPr="00290F6F">
        <w:t>eighth ordinary session</w:t>
      </w:r>
      <w:r>
        <w:t xml:space="preserve"> (see document TC/50/36 “Report on the Conclusions”, paragraphs 30 to 36):</w:t>
      </w:r>
    </w:p>
    <w:p w:rsidR="002242D8" w:rsidRDefault="002242D8" w:rsidP="002242D8">
      <w:pPr>
        <w:rPr>
          <w:i/>
        </w:rPr>
      </w:pPr>
    </w:p>
    <w:p w:rsidR="002242D8" w:rsidRPr="00BC1C3E" w:rsidRDefault="002242D8" w:rsidP="008A6923">
      <w:pPr>
        <w:pStyle w:val="Heading4"/>
        <w:rPr>
          <w:lang w:val="en-US"/>
        </w:rPr>
      </w:pPr>
      <w:r w:rsidRPr="00BC1C3E">
        <w:rPr>
          <w:lang w:val="en-US"/>
        </w:rPr>
        <w:t>(</w:t>
      </w:r>
      <w:proofErr w:type="spellStart"/>
      <w:r w:rsidRPr="00BC1C3E">
        <w:rPr>
          <w:lang w:val="en-US"/>
        </w:rPr>
        <w:t>i</w:t>
      </w:r>
      <w:proofErr w:type="spellEnd"/>
      <w:r w:rsidRPr="00BC1C3E">
        <w:rPr>
          <w:lang w:val="en-US"/>
        </w:rPr>
        <w:t>)</w:t>
      </w:r>
      <w:r w:rsidRPr="00BC1C3E">
        <w:rPr>
          <w:lang w:val="en-US"/>
        </w:rPr>
        <w:tab/>
        <w:t>Additional Standard Wording for Growing Cycle for Tropical Species</w:t>
      </w:r>
      <w:bookmarkEnd w:id="44"/>
      <w:bookmarkEnd w:id="45"/>
      <w:bookmarkEnd w:id="46"/>
      <w:bookmarkEnd w:id="47"/>
      <w:bookmarkEnd w:id="48"/>
      <w:bookmarkEnd w:id="49"/>
    </w:p>
    <w:p w:rsidR="002242D8" w:rsidRDefault="002242D8" w:rsidP="002242D8"/>
    <w:p w:rsidR="002242D8" w:rsidRDefault="002242D8" w:rsidP="002242D8">
      <w:r>
        <w:fldChar w:fldCharType="begin"/>
      </w:r>
      <w:r>
        <w:instrText xml:space="preserve"> AUTONUM  </w:instrText>
      </w:r>
      <w:r>
        <w:fldChar w:fldCharType="end"/>
      </w:r>
      <w:r>
        <w:tab/>
      </w:r>
      <w:r w:rsidRPr="00330930">
        <w:t xml:space="preserve">The TC </w:t>
      </w:r>
      <w:r>
        <w:t xml:space="preserve">agreed with the proposed ASW for </w:t>
      </w:r>
      <w:r w:rsidRPr="004E0DDA">
        <w:t>evergreen species with indeterminate growth</w:t>
      </w:r>
      <w:r>
        <w:t xml:space="preserve"> </w:t>
      </w:r>
      <w:r w:rsidR="00F91E7A">
        <w:t xml:space="preserve">for inclusion in document TGP/7, Annex </w:t>
      </w:r>
      <w:r w:rsidR="00884F2A">
        <w:t>2 “Additional standard wording (ASW) for the TG Template”</w:t>
      </w:r>
      <w:r w:rsidR="00F91E7A">
        <w:t>, ASW 3</w:t>
      </w:r>
      <w:r w:rsidR="00884F2A">
        <w:t xml:space="preserve"> “Explanation of the growing cycle”</w:t>
      </w:r>
      <w:r w:rsidR="00F91E7A">
        <w:t xml:space="preserve">, </w:t>
      </w:r>
      <w:r>
        <w:t>to read as follows</w:t>
      </w:r>
      <w:r w:rsidR="0096678D">
        <w:t xml:space="preserve"> (see document TC/50/36 “Report on the Conclusions”, paragraph 30)</w:t>
      </w:r>
      <w:r>
        <w:t>:</w:t>
      </w:r>
    </w:p>
    <w:p w:rsidR="002242D8" w:rsidRDefault="002242D8" w:rsidP="002242D8">
      <w:pPr>
        <w:tabs>
          <w:tab w:val="left" w:pos="1565"/>
        </w:tabs>
      </w:pPr>
    </w:p>
    <w:p w:rsidR="002242D8" w:rsidRPr="002F1915" w:rsidRDefault="002242D8" w:rsidP="002242D8">
      <w:pPr>
        <w:keepNext/>
        <w:spacing w:before="120"/>
        <w:ind w:left="567" w:right="567"/>
        <w:rPr>
          <w:rFonts w:cs="Arial"/>
          <w:sz w:val="18"/>
          <w:szCs w:val="18"/>
        </w:rPr>
      </w:pPr>
      <w:r w:rsidRPr="002F1915">
        <w:rPr>
          <w:iCs/>
          <w:sz w:val="18"/>
          <w:szCs w:val="18"/>
        </w:rPr>
        <w:t>“New (after (</w:t>
      </w:r>
      <w:r w:rsidR="00F91E7A">
        <w:rPr>
          <w:iCs/>
          <w:sz w:val="18"/>
          <w:szCs w:val="18"/>
        </w:rPr>
        <w:t>ASW 3(</w:t>
      </w:r>
      <w:r w:rsidRPr="002F1915">
        <w:rPr>
          <w:iCs/>
          <w:sz w:val="18"/>
          <w:szCs w:val="18"/>
        </w:rPr>
        <w:t xml:space="preserve">b)): </w:t>
      </w:r>
      <w:r w:rsidRPr="002F1915">
        <w:rPr>
          <w:rFonts w:cs="Arial"/>
          <w:sz w:val="18"/>
          <w:szCs w:val="18"/>
        </w:rPr>
        <w:t>Evergreen species with indeterminate growth</w:t>
      </w:r>
    </w:p>
    <w:p w:rsidR="002242D8" w:rsidRPr="002F1915" w:rsidRDefault="002242D8" w:rsidP="002242D8">
      <w:pPr>
        <w:keepNext/>
        <w:spacing w:before="120"/>
        <w:ind w:left="567" w:right="567"/>
        <w:rPr>
          <w:rFonts w:cs="Arial"/>
          <w:sz w:val="18"/>
          <w:szCs w:val="18"/>
        </w:rPr>
      </w:pPr>
      <w:r>
        <w:rPr>
          <w:rFonts w:cs="Arial"/>
          <w:sz w:val="18"/>
          <w:szCs w:val="18"/>
        </w:rPr>
        <w:t>“</w:t>
      </w:r>
      <w:r w:rsidRPr="002F1915">
        <w:rPr>
          <w:rFonts w:cs="Arial"/>
          <w:sz w:val="18"/>
          <w:szCs w:val="18"/>
        </w:rPr>
        <w:t xml:space="preserve">The growing cycle is considered to be the period ranging from the beginning of </w:t>
      </w:r>
      <w:r>
        <w:rPr>
          <w:rFonts w:cs="Arial"/>
          <w:sz w:val="18"/>
          <w:szCs w:val="18"/>
        </w:rPr>
        <w:t>development</w:t>
      </w:r>
      <w:r w:rsidRPr="002F1915">
        <w:rPr>
          <w:rFonts w:cs="Arial"/>
          <w:sz w:val="18"/>
          <w:szCs w:val="18"/>
        </w:rPr>
        <w:t xml:space="preserve"> of an individual flower or inflorescence, through fruit development and concluding with the harvesting of fruit from the corresponding individual flower or inflorescence.</w:t>
      </w:r>
      <w:r>
        <w:rPr>
          <w:rFonts w:cs="Arial"/>
          <w:sz w:val="18"/>
          <w:szCs w:val="18"/>
        </w:rPr>
        <w:t xml:space="preserve">” </w:t>
      </w:r>
    </w:p>
    <w:p w:rsidR="00A05CF8" w:rsidRDefault="00A05CF8">
      <w:pPr>
        <w:jc w:val="left"/>
        <w:rPr>
          <w:sz w:val="18"/>
          <w:szCs w:val="18"/>
        </w:rPr>
      </w:pPr>
      <w:r>
        <w:rPr>
          <w:sz w:val="18"/>
          <w:szCs w:val="18"/>
        </w:rPr>
        <w:br w:type="page"/>
      </w:r>
    </w:p>
    <w:p w:rsidR="002242D8" w:rsidRPr="00BC1C3E" w:rsidRDefault="002242D8" w:rsidP="008A6923">
      <w:pPr>
        <w:pStyle w:val="Heading4"/>
        <w:rPr>
          <w:lang w:val="en-US"/>
        </w:rPr>
      </w:pPr>
      <w:bookmarkStart w:id="50" w:name="_Toc374385112"/>
      <w:bookmarkStart w:id="51" w:name="_Toc374631049"/>
      <w:bookmarkStart w:id="52" w:name="_Toc374632521"/>
      <w:bookmarkStart w:id="53" w:name="_Toc374635721"/>
      <w:bookmarkStart w:id="54" w:name="_Toc378251510"/>
      <w:bookmarkStart w:id="55" w:name="_Toc381279971"/>
      <w:r w:rsidRPr="00BC1C3E">
        <w:rPr>
          <w:lang w:val="en-US"/>
        </w:rPr>
        <w:lastRenderedPageBreak/>
        <w:t>(ii)</w:t>
      </w:r>
      <w:r w:rsidRPr="00BC1C3E">
        <w:rPr>
          <w:lang w:val="en-US"/>
        </w:rPr>
        <w:tab/>
        <w:t>Indication of Growth Stage in Test Guidelines</w:t>
      </w:r>
      <w:bookmarkEnd w:id="50"/>
      <w:bookmarkEnd w:id="51"/>
      <w:bookmarkEnd w:id="52"/>
      <w:bookmarkEnd w:id="53"/>
      <w:bookmarkEnd w:id="54"/>
      <w:bookmarkEnd w:id="55"/>
    </w:p>
    <w:p w:rsidR="002242D8" w:rsidRPr="00290F6F" w:rsidRDefault="002242D8" w:rsidP="002242D8"/>
    <w:p w:rsidR="008E53E9" w:rsidRDefault="002242D8" w:rsidP="00B917C3">
      <w:r w:rsidRPr="00EF6F6F">
        <w:fldChar w:fldCharType="begin"/>
      </w:r>
      <w:r w:rsidRPr="00EF6F6F">
        <w:instrText xml:space="preserve"> AUTONUM  </w:instrText>
      </w:r>
      <w:r w:rsidRPr="00EF6F6F">
        <w:fldChar w:fldCharType="end"/>
      </w:r>
      <w:r w:rsidRPr="00EF6F6F">
        <w:tab/>
      </w:r>
      <w:r w:rsidRPr="00330930">
        <w:t xml:space="preserve">The TC </w:t>
      </w:r>
      <w:r>
        <w:t>agreed that document TGP/7</w:t>
      </w:r>
      <w:r w:rsidR="00B917C3">
        <w:t xml:space="preserve"> </w:t>
      </w:r>
      <w:r>
        <w:t>should be amended to read as follows</w:t>
      </w:r>
      <w:r w:rsidR="0096678D">
        <w:t xml:space="preserve"> (see document TC/50/36 “Report on the Conclusions”, paragraph 32)</w:t>
      </w:r>
      <w:r>
        <w:t>:</w:t>
      </w:r>
    </w:p>
    <w:p w:rsidR="00B917C3" w:rsidRDefault="00B917C3" w:rsidP="00B917C3"/>
    <w:p w:rsidR="002242D8" w:rsidRPr="000F0B65" w:rsidRDefault="002242D8" w:rsidP="002242D8">
      <w:pPr>
        <w:spacing w:after="240"/>
        <w:ind w:left="540"/>
        <w:rPr>
          <w:rFonts w:cs="Arial"/>
          <w:sz w:val="18"/>
          <w:szCs w:val="18"/>
          <w:u w:val="single"/>
        </w:rPr>
      </w:pPr>
      <w:r>
        <w:rPr>
          <w:rFonts w:cs="Arial"/>
          <w:sz w:val="18"/>
          <w:szCs w:val="18"/>
          <w:u w:val="single"/>
        </w:rPr>
        <w:t>“</w:t>
      </w:r>
      <w:r w:rsidRPr="000F0B65">
        <w:rPr>
          <w:rFonts w:cs="Arial"/>
          <w:sz w:val="18"/>
          <w:szCs w:val="18"/>
          <w:u w:val="single"/>
        </w:rPr>
        <w:t>ASW 4 (TG Template: Chapter 3.3) – Conditions for conducting the examination</w:t>
      </w:r>
    </w:p>
    <w:p w:rsidR="002242D8" w:rsidRDefault="002242D8" w:rsidP="002242D8">
      <w:pPr>
        <w:autoSpaceDE w:val="0"/>
        <w:autoSpaceDN w:val="0"/>
        <w:adjustRightInd w:val="0"/>
        <w:ind w:left="540"/>
        <w:jc w:val="left"/>
        <w:rPr>
          <w:rFonts w:cs="Arial"/>
          <w:i/>
          <w:iCs/>
          <w:sz w:val="18"/>
          <w:szCs w:val="18"/>
        </w:rPr>
      </w:pPr>
      <w:r>
        <w:rPr>
          <w:rFonts w:cs="Arial"/>
          <w:i/>
          <w:iCs/>
          <w:sz w:val="18"/>
          <w:szCs w:val="18"/>
        </w:rPr>
        <w:t>“</w:t>
      </w:r>
      <w:r w:rsidRPr="000F0B65">
        <w:rPr>
          <w:rFonts w:cs="Arial"/>
          <w:i/>
          <w:iCs/>
          <w:sz w:val="18"/>
          <w:szCs w:val="18"/>
        </w:rPr>
        <w:t>Information for conducting the examination of particular characteristics</w:t>
      </w:r>
    </w:p>
    <w:p w:rsidR="002242D8" w:rsidRPr="000F0B65" w:rsidRDefault="002242D8" w:rsidP="002242D8">
      <w:pPr>
        <w:autoSpaceDE w:val="0"/>
        <w:autoSpaceDN w:val="0"/>
        <w:adjustRightInd w:val="0"/>
        <w:ind w:left="540"/>
        <w:jc w:val="left"/>
        <w:rPr>
          <w:rFonts w:cs="Arial"/>
          <w:i/>
          <w:iCs/>
          <w:sz w:val="18"/>
          <w:szCs w:val="18"/>
        </w:rPr>
      </w:pPr>
    </w:p>
    <w:p w:rsidR="002242D8" w:rsidRPr="00B937E4" w:rsidRDefault="002242D8" w:rsidP="002242D8">
      <w:pPr>
        <w:ind w:left="540"/>
        <w:rPr>
          <w:rFonts w:cs="Arial"/>
          <w:sz w:val="18"/>
          <w:szCs w:val="18"/>
        </w:rPr>
      </w:pPr>
      <w:r w:rsidRPr="00E6292E">
        <w:rPr>
          <w:rFonts w:cs="Arial"/>
          <w:i/>
          <w:iCs/>
          <w:sz w:val="18"/>
          <w:szCs w:val="18"/>
        </w:rPr>
        <w:t>“(</w:t>
      </w:r>
      <w:r w:rsidRPr="00B937E4">
        <w:rPr>
          <w:rFonts w:cs="Arial"/>
          <w:i/>
          <w:iCs/>
          <w:sz w:val="18"/>
          <w:szCs w:val="18"/>
        </w:rPr>
        <w:t>a) Stage of development for the assessment</w:t>
      </w:r>
    </w:p>
    <w:p w:rsidR="002242D8" w:rsidRPr="00B937E4" w:rsidRDefault="002242D8" w:rsidP="002242D8">
      <w:pPr>
        <w:keepNext/>
        <w:ind w:left="567" w:right="567"/>
        <w:rPr>
          <w:sz w:val="18"/>
          <w:szCs w:val="18"/>
        </w:rPr>
      </w:pPr>
      <w:r w:rsidRPr="00B937E4">
        <w:rPr>
          <w:sz w:val="18"/>
          <w:szCs w:val="18"/>
        </w:rPr>
        <w:t>‘The optimum stage of development for the assessment of each characteristic is indicated by a reference in the second column of the Table of Characteristics. The stages of development denoted by each  reference are described in Chapter 8 […].’”</w:t>
      </w:r>
    </w:p>
    <w:p w:rsidR="002242D8" w:rsidRPr="00E6292E" w:rsidRDefault="002242D8" w:rsidP="002242D8">
      <w:pPr>
        <w:jc w:val="left"/>
        <w:rPr>
          <w:caps/>
        </w:rPr>
      </w:pPr>
    </w:p>
    <w:p w:rsidR="002242D8" w:rsidRPr="00E6292E" w:rsidRDefault="002242D8" w:rsidP="002242D8">
      <w:pPr>
        <w:autoSpaceDE w:val="0"/>
        <w:autoSpaceDN w:val="0"/>
        <w:adjustRightInd w:val="0"/>
        <w:spacing w:after="240"/>
        <w:ind w:left="540"/>
        <w:jc w:val="left"/>
        <w:rPr>
          <w:rFonts w:cs="Arial"/>
          <w:sz w:val="18"/>
          <w:szCs w:val="18"/>
          <w:u w:val="single"/>
        </w:rPr>
      </w:pPr>
      <w:r w:rsidRPr="00E6292E">
        <w:rPr>
          <w:rFonts w:cs="Arial"/>
          <w:sz w:val="18"/>
          <w:szCs w:val="18"/>
          <w:u w:val="single"/>
        </w:rPr>
        <w:t>“GN 9 (TG Template: Chapter 3.3) – Growth stage key</w:t>
      </w:r>
    </w:p>
    <w:p w:rsidR="002242D8" w:rsidRPr="00E6292E" w:rsidRDefault="002242D8" w:rsidP="002242D8">
      <w:pPr>
        <w:autoSpaceDE w:val="0"/>
        <w:autoSpaceDN w:val="0"/>
        <w:adjustRightInd w:val="0"/>
        <w:ind w:left="540"/>
        <w:jc w:val="left"/>
        <w:rPr>
          <w:rFonts w:cs="Arial"/>
          <w:sz w:val="18"/>
          <w:szCs w:val="18"/>
        </w:rPr>
      </w:pPr>
      <w:r w:rsidRPr="00E6292E">
        <w:rPr>
          <w:sz w:val="18"/>
          <w:szCs w:val="18"/>
        </w:rPr>
        <w:t>“</w:t>
      </w:r>
      <w:r w:rsidRPr="00E752CA">
        <w:rPr>
          <w:rFonts w:cs="Arial"/>
          <w:sz w:val="18"/>
          <w:szCs w:val="18"/>
        </w:rPr>
        <w:t>In some cases</w:t>
      </w:r>
      <w:r w:rsidRPr="00E6292E">
        <w:rPr>
          <w:rFonts w:cs="Arial"/>
          <w:sz w:val="18"/>
          <w:szCs w:val="18"/>
        </w:rPr>
        <w:t>, where it is appropriate to provide a growth stage key for the observation of</w:t>
      </w:r>
      <w:r w:rsidR="00D004A8">
        <w:rPr>
          <w:rFonts w:cs="Arial"/>
          <w:sz w:val="18"/>
          <w:szCs w:val="18"/>
        </w:rPr>
        <w:t xml:space="preserve"> </w:t>
      </w:r>
      <w:r w:rsidRPr="00E6292E">
        <w:rPr>
          <w:rFonts w:cs="Arial"/>
          <w:sz w:val="18"/>
          <w:szCs w:val="18"/>
        </w:rPr>
        <w:t>characteristics, the following is a useful guide:</w:t>
      </w:r>
    </w:p>
    <w:p w:rsidR="002242D8" w:rsidRPr="00E6292E" w:rsidRDefault="002242D8" w:rsidP="002242D8">
      <w:pPr>
        <w:autoSpaceDE w:val="0"/>
        <w:autoSpaceDN w:val="0"/>
        <w:adjustRightInd w:val="0"/>
        <w:ind w:left="540"/>
        <w:jc w:val="left"/>
        <w:rPr>
          <w:rFonts w:cs="Arial"/>
          <w:sz w:val="18"/>
          <w:szCs w:val="18"/>
        </w:rPr>
      </w:pPr>
    </w:p>
    <w:p w:rsidR="002242D8" w:rsidRPr="00E6292E" w:rsidRDefault="002242D8" w:rsidP="002242D8">
      <w:pPr>
        <w:autoSpaceDE w:val="0"/>
        <w:autoSpaceDN w:val="0"/>
        <w:adjustRightInd w:val="0"/>
        <w:ind w:left="540"/>
        <w:jc w:val="left"/>
        <w:rPr>
          <w:rFonts w:cs="Arial"/>
          <w:sz w:val="18"/>
          <w:szCs w:val="18"/>
        </w:rPr>
      </w:pPr>
      <w:r w:rsidRPr="00E6292E">
        <w:rPr>
          <w:rFonts w:cs="Arial"/>
          <w:sz w:val="18"/>
          <w:szCs w:val="18"/>
        </w:rPr>
        <w:t>‘Growth stages of mono-and dicotyledonous plants - BBCH Monograph’</w:t>
      </w:r>
    </w:p>
    <w:p w:rsidR="002242D8" w:rsidRPr="00E6292E" w:rsidRDefault="002242D8" w:rsidP="002242D8">
      <w:pPr>
        <w:autoSpaceDE w:val="0"/>
        <w:autoSpaceDN w:val="0"/>
        <w:adjustRightInd w:val="0"/>
        <w:ind w:left="540"/>
        <w:jc w:val="left"/>
        <w:rPr>
          <w:rFonts w:cs="Arial"/>
          <w:sz w:val="18"/>
          <w:szCs w:val="18"/>
        </w:rPr>
      </w:pPr>
      <w:r w:rsidRPr="00E6292E">
        <w:rPr>
          <w:rFonts w:cs="Arial"/>
          <w:sz w:val="18"/>
          <w:szCs w:val="18"/>
        </w:rPr>
        <w:t>(Federal Biological Research Centre for Agriculture and Forestry)</w:t>
      </w:r>
    </w:p>
    <w:p w:rsidR="002242D8" w:rsidRPr="00E6292E" w:rsidRDefault="002242D8" w:rsidP="002242D8">
      <w:pPr>
        <w:autoSpaceDE w:val="0"/>
        <w:autoSpaceDN w:val="0"/>
        <w:adjustRightInd w:val="0"/>
        <w:ind w:left="540"/>
        <w:jc w:val="left"/>
        <w:rPr>
          <w:rFonts w:cs="Arial"/>
          <w:sz w:val="18"/>
          <w:szCs w:val="18"/>
        </w:rPr>
      </w:pPr>
      <w:r w:rsidRPr="00E6292E">
        <w:rPr>
          <w:rFonts w:cs="Arial"/>
          <w:sz w:val="18"/>
          <w:szCs w:val="18"/>
        </w:rPr>
        <w:t>ISBN Number: 3-8263-3152-4</w:t>
      </w:r>
    </w:p>
    <w:p w:rsidR="002242D8" w:rsidRPr="00E6292E" w:rsidRDefault="002242D8" w:rsidP="002242D8">
      <w:pPr>
        <w:tabs>
          <w:tab w:val="left" w:pos="720"/>
        </w:tabs>
        <w:rPr>
          <w:rStyle w:val="Hyperlink"/>
          <w:rFonts w:cs="Arial"/>
          <w:i/>
          <w:iCs/>
          <w:sz w:val="18"/>
          <w:szCs w:val="18"/>
        </w:rPr>
      </w:pPr>
      <w:r w:rsidRPr="00E6292E">
        <w:rPr>
          <w:rFonts w:cs="Arial"/>
          <w:i/>
          <w:sz w:val="18"/>
          <w:szCs w:val="18"/>
        </w:rPr>
        <w:tab/>
      </w:r>
      <w:r w:rsidRPr="00E6292E">
        <w:rPr>
          <w:rFonts w:cs="Arial"/>
          <w:i/>
          <w:iCs/>
          <w:sz w:val="18"/>
          <w:szCs w:val="18"/>
        </w:rPr>
        <w:t>http://www.jki.bund.de/fileadmin/dam_uploads/_veroeff/bbch/BBCH-Skala_englisch.pdf</w:t>
      </w:r>
    </w:p>
    <w:p w:rsidR="002242D8" w:rsidRPr="00E6292E" w:rsidRDefault="002242D8" w:rsidP="002242D8">
      <w:pPr>
        <w:ind w:left="567"/>
        <w:rPr>
          <w:rFonts w:cs="Arial"/>
          <w:sz w:val="18"/>
          <w:szCs w:val="18"/>
          <w:u w:val="single"/>
        </w:rPr>
      </w:pPr>
    </w:p>
    <w:p w:rsidR="002242D8" w:rsidRPr="00BC35C7" w:rsidRDefault="002242D8" w:rsidP="002242D8">
      <w:pPr>
        <w:ind w:left="567"/>
        <w:rPr>
          <w:rFonts w:cs="Arial"/>
          <w:sz w:val="18"/>
          <w:szCs w:val="18"/>
        </w:rPr>
      </w:pPr>
      <w:r w:rsidRPr="00BC35C7">
        <w:rPr>
          <w:rFonts w:cs="Arial"/>
          <w:sz w:val="18"/>
          <w:szCs w:val="18"/>
        </w:rPr>
        <w:t>“In some other cases, a simplified growth stages key might be more appropriate, such as the example in the Test Guidelines for Potato (document TG/23/6):</w:t>
      </w:r>
    </w:p>
    <w:p w:rsidR="002242D8" w:rsidRPr="00BC35C7" w:rsidRDefault="002242D8" w:rsidP="002242D8">
      <w:pPr>
        <w:rPr>
          <w:rFonts w:cs="Arial"/>
          <w:sz w:val="18"/>
          <w:szCs w:val="18"/>
        </w:rPr>
      </w:pPr>
    </w:p>
    <w:p w:rsidR="002242D8" w:rsidRPr="00BC35C7" w:rsidRDefault="002242D8" w:rsidP="002242D8">
      <w:pPr>
        <w:autoSpaceDE w:val="0"/>
        <w:autoSpaceDN w:val="0"/>
        <w:adjustRightInd w:val="0"/>
        <w:ind w:left="709" w:right="567"/>
        <w:jc w:val="left"/>
        <w:rPr>
          <w:rFonts w:cs="Arial"/>
          <w:sz w:val="18"/>
          <w:szCs w:val="18"/>
        </w:rPr>
      </w:pPr>
      <w:r w:rsidRPr="00BC35C7">
        <w:rPr>
          <w:rFonts w:cs="Arial"/>
          <w:sz w:val="18"/>
          <w:szCs w:val="18"/>
        </w:rPr>
        <w:t>“8.3 Optimal Stage of Development for the Assessment of Characteristics</w:t>
      </w:r>
    </w:p>
    <w:p w:rsidR="002242D8" w:rsidRPr="00BC35C7" w:rsidRDefault="002242D8" w:rsidP="002242D8">
      <w:pPr>
        <w:autoSpaceDE w:val="0"/>
        <w:autoSpaceDN w:val="0"/>
        <w:adjustRightInd w:val="0"/>
        <w:ind w:left="709" w:right="567"/>
        <w:jc w:val="left"/>
        <w:rPr>
          <w:rFonts w:cs="Arial"/>
          <w:sz w:val="16"/>
          <w:szCs w:val="18"/>
        </w:rPr>
      </w:pPr>
    </w:p>
    <w:p w:rsidR="002242D8" w:rsidRPr="00BC35C7" w:rsidRDefault="002242D8" w:rsidP="002242D8">
      <w:pPr>
        <w:autoSpaceDE w:val="0"/>
        <w:autoSpaceDN w:val="0"/>
        <w:adjustRightInd w:val="0"/>
        <w:ind w:left="709" w:right="567"/>
        <w:jc w:val="left"/>
        <w:rPr>
          <w:rFonts w:cs="Arial"/>
          <w:sz w:val="18"/>
          <w:szCs w:val="18"/>
        </w:rPr>
      </w:pPr>
      <w:r w:rsidRPr="00BC35C7">
        <w:rPr>
          <w:rFonts w:cs="Arial"/>
          <w:sz w:val="18"/>
          <w:szCs w:val="18"/>
        </w:rPr>
        <w:t>1 = bud stage</w:t>
      </w:r>
    </w:p>
    <w:p w:rsidR="002242D8" w:rsidRPr="00BC35C7" w:rsidRDefault="002242D8" w:rsidP="002242D8">
      <w:pPr>
        <w:autoSpaceDE w:val="0"/>
        <w:autoSpaceDN w:val="0"/>
        <w:adjustRightInd w:val="0"/>
        <w:ind w:left="709" w:right="567"/>
        <w:jc w:val="left"/>
        <w:rPr>
          <w:rFonts w:cs="Arial"/>
          <w:sz w:val="18"/>
          <w:szCs w:val="18"/>
        </w:rPr>
      </w:pPr>
      <w:r w:rsidRPr="00BC35C7">
        <w:rPr>
          <w:rFonts w:cs="Arial"/>
          <w:sz w:val="18"/>
          <w:szCs w:val="18"/>
        </w:rPr>
        <w:t>2 = flowering stage</w:t>
      </w:r>
    </w:p>
    <w:p w:rsidR="002242D8" w:rsidRPr="00BC35C7" w:rsidRDefault="002242D8" w:rsidP="002242D8">
      <w:pPr>
        <w:autoSpaceDE w:val="0"/>
        <w:autoSpaceDN w:val="0"/>
        <w:adjustRightInd w:val="0"/>
        <w:ind w:left="709" w:right="567"/>
        <w:jc w:val="left"/>
        <w:rPr>
          <w:rFonts w:cs="Arial"/>
          <w:sz w:val="18"/>
          <w:szCs w:val="18"/>
        </w:rPr>
      </w:pPr>
      <w:r w:rsidRPr="00BC35C7">
        <w:rPr>
          <w:rFonts w:cs="Arial"/>
          <w:sz w:val="18"/>
          <w:szCs w:val="18"/>
        </w:rPr>
        <w:t>3 = ripening stage of tubers</w:t>
      </w:r>
    </w:p>
    <w:p w:rsidR="002242D8" w:rsidRPr="00BC35C7" w:rsidRDefault="002242D8" w:rsidP="002242D8">
      <w:pPr>
        <w:ind w:left="709" w:right="567"/>
        <w:jc w:val="left"/>
        <w:rPr>
          <w:rFonts w:cs="Arial"/>
          <w:sz w:val="18"/>
          <w:szCs w:val="18"/>
        </w:rPr>
      </w:pPr>
      <w:r w:rsidRPr="00BC35C7">
        <w:rPr>
          <w:rFonts w:cs="Arial"/>
          <w:sz w:val="18"/>
          <w:szCs w:val="18"/>
        </w:rPr>
        <w:t>4 = after harvest”</w:t>
      </w:r>
    </w:p>
    <w:p w:rsidR="002242D8" w:rsidRDefault="002242D8" w:rsidP="002242D8">
      <w:pPr>
        <w:jc w:val="left"/>
        <w:rPr>
          <w:caps/>
        </w:rPr>
      </w:pPr>
    </w:p>
    <w:p w:rsidR="002242D8" w:rsidRPr="000F0B65" w:rsidRDefault="002242D8" w:rsidP="002242D8">
      <w:pPr>
        <w:autoSpaceDE w:val="0"/>
        <w:autoSpaceDN w:val="0"/>
        <w:adjustRightInd w:val="0"/>
        <w:spacing w:after="240"/>
        <w:ind w:left="540"/>
        <w:jc w:val="left"/>
        <w:rPr>
          <w:rFonts w:cs="Arial"/>
          <w:sz w:val="18"/>
          <w:szCs w:val="18"/>
          <w:u w:val="single"/>
        </w:rPr>
      </w:pPr>
      <w:r>
        <w:rPr>
          <w:rFonts w:cs="Arial"/>
          <w:sz w:val="18"/>
          <w:szCs w:val="18"/>
          <w:u w:val="single"/>
        </w:rPr>
        <w:t>“</w:t>
      </w:r>
      <w:r w:rsidRPr="000F0B65">
        <w:rPr>
          <w:rFonts w:cs="Arial"/>
          <w:sz w:val="18"/>
          <w:szCs w:val="18"/>
          <w:u w:val="single"/>
        </w:rPr>
        <w:t>GN 24 (TG Template: Chapter 7: column 2, header row 1) – Growth stage</w:t>
      </w:r>
    </w:p>
    <w:p w:rsidR="002242D8" w:rsidRPr="00BC35C7" w:rsidRDefault="002242D8" w:rsidP="002242D8">
      <w:pPr>
        <w:autoSpaceDE w:val="0"/>
        <w:autoSpaceDN w:val="0"/>
        <w:adjustRightInd w:val="0"/>
        <w:ind w:left="540" w:right="567"/>
        <w:rPr>
          <w:rFonts w:cs="Arial"/>
          <w:sz w:val="18"/>
          <w:szCs w:val="18"/>
        </w:rPr>
      </w:pPr>
      <w:r w:rsidRPr="00BC35C7">
        <w:rPr>
          <w:rFonts w:cs="Arial"/>
          <w:sz w:val="18"/>
          <w:szCs w:val="18"/>
        </w:rPr>
        <w:t>“In some Test Guidelines, the growth stage at which the examination of the characteristic should be done is provided here. In such cases, the stages of development denoted by each reference are described in a section within Chapter 8, according to ASW 4(a).”</w:t>
      </w:r>
    </w:p>
    <w:p w:rsidR="002242D8" w:rsidRPr="00290F6F" w:rsidRDefault="002242D8" w:rsidP="002242D8">
      <w:pPr>
        <w:spacing w:line="360" w:lineRule="auto"/>
      </w:pPr>
    </w:p>
    <w:p w:rsidR="002242D8" w:rsidRPr="00BC1C3E" w:rsidRDefault="002242D8" w:rsidP="008A6923">
      <w:pPr>
        <w:pStyle w:val="Heading4"/>
        <w:rPr>
          <w:snapToGrid w:val="0"/>
          <w:lang w:val="en-US"/>
        </w:rPr>
      </w:pPr>
      <w:bookmarkStart w:id="56" w:name="_Toc374385113"/>
      <w:bookmarkStart w:id="57" w:name="_Toc374631050"/>
      <w:bookmarkStart w:id="58" w:name="_Toc374632522"/>
      <w:bookmarkStart w:id="59" w:name="_Toc374635722"/>
      <w:bookmarkStart w:id="60" w:name="_Toc378251511"/>
      <w:bookmarkStart w:id="61" w:name="_Toc381279972"/>
      <w:r w:rsidRPr="00BC1C3E">
        <w:rPr>
          <w:lang w:val="en-US"/>
        </w:rPr>
        <w:t>(iii)</w:t>
      </w:r>
      <w:r w:rsidRPr="00BC1C3E">
        <w:rPr>
          <w:lang w:val="en-US"/>
        </w:rPr>
        <w:tab/>
      </w:r>
      <w:r w:rsidRPr="00BC1C3E">
        <w:rPr>
          <w:snapToGrid w:val="0"/>
          <w:lang w:val="en-US"/>
        </w:rPr>
        <w:t>Providing Illustrations of Color in Test Guidelines</w:t>
      </w:r>
      <w:bookmarkEnd w:id="56"/>
      <w:bookmarkEnd w:id="57"/>
      <w:bookmarkEnd w:id="58"/>
      <w:bookmarkEnd w:id="59"/>
      <w:bookmarkEnd w:id="60"/>
      <w:bookmarkEnd w:id="61"/>
    </w:p>
    <w:p w:rsidR="002242D8" w:rsidRPr="00290F6F" w:rsidRDefault="002242D8" w:rsidP="002242D8"/>
    <w:p w:rsidR="002242D8" w:rsidRDefault="002242D8" w:rsidP="002242D8">
      <w:r>
        <w:fldChar w:fldCharType="begin"/>
      </w:r>
      <w:r>
        <w:instrText xml:space="preserve"> AUTONUM  </w:instrText>
      </w:r>
      <w:r>
        <w:fldChar w:fldCharType="end"/>
      </w:r>
      <w:r>
        <w:tab/>
      </w:r>
      <w:r w:rsidRPr="00330930">
        <w:t xml:space="preserve">The TC </w:t>
      </w:r>
      <w:r>
        <w:t>agreed to include the following guidance on the risks of providing illustrations of color in Test Guidelines in document TGP/7</w:t>
      </w:r>
      <w:r w:rsidR="00B069BB">
        <w:t>, GN 22</w:t>
      </w:r>
      <w:r w:rsidR="00B917C3">
        <w:t xml:space="preserve"> “Explanations for individual characteristics” </w:t>
      </w:r>
      <w:r w:rsidR="0096678D">
        <w:t>(see document</w:t>
      </w:r>
      <w:r w:rsidR="00B917C3">
        <w:t> </w:t>
      </w:r>
      <w:r w:rsidR="0096678D">
        <w:t>TC/50/36 “Report on the Conclusions”, paragraph 34)</w:t>
      </w:r>
      <w:r>
        <w:t>:</w:t>
      </w:r>
    </w:p>
    <w:p w:rsidR="002242D8" w:rsidRDefault="002242D8" w:rsidP="002242D8">
      <w:pPr>
        <w:spacing w:line="360" w:lineRule="auto"/>
        <w:rPr>
          <w:rFonts w:cs="Arial"/>
        </w:rPr>
      </w:pPr>
    </w:p>
    <w:p w:rsidR="002242D8" w:rsidRPr="00872BC0" w:rsidRDefault="002242D8" w:rsidP="002242D8">
      <w:pPr>
        <w:ind w:left="567" w:right="567"/>
        <w:rPr>
          <w:snapToGrid w:val="0"/>
        </w:rPr>
      </w:pPr>
      <w:r w:rsidRPr="00872BC0">
        <w:rPr>
          <w:sz w:val="18"/>
          <w:szCs w:val="18"/>
        </w:rPr>
        <w:t>“It is generally not appropriate to use illustrations of color, as such, in the Test Guidelines because the color in photographs can be affected by the technology of the camera, the facilities used to display the photograph (including printer, computer and screen) and lighting conditions under which the photograph is/was taken.  Furthermore, the expression of color may vary according to the environment in which the variety is grown. For example, a photograph of a ‘weak intensity’ of anthocyanin coloration (or ‘light intensity’ of a color) observed in one environment may not represent a ‘weak intensity’ of anthocyanin coloration (or ‘light intensity’ of a color) observed in another environment.”</w:t>
      </w:r>
    </w:p>
    <w:p w:rsidR="002242D8" w:rsidRPr="00290F6F" w:rsidRDefault="002242D8" w:rsidP="002242D8">
      <w:pPr>
        <w:spacing w:line="360" w:lineRule="auto"/>
        <w:rPr>
          <w:rFonts w:cs="Arial"/>
        </w:rPr>
      </w:pPr>
    </w:p>
    <w:p w:rsidR="002242D8" w:rsidRPr="00BC1C3E" w:rsidRDefault="002242D8" w:rsidP="008A6923">
      <w:pPr>
        <w:pStyle w:val="Heading4"/>
        <w:rPr>
          <w:lang w:val="en-US"/>
        </w:rPr>
      </w:pPr>
      <w:bookmarkStart w:id="62" w:name="_Toc374385114"/>
      <w:bookmarkStart w:id="63" w:name="_Toc374631051"/>
      <w:bookmarkStart w:id="64" w:name="_Toc374632523"/>
      <w:bookmarkStart w:id="65" w:name="_Toc374635723"/>
      <w:bookmarkStart w:id="66" w:name="_Toc378251512"/>
      <w:bookmarkStart w:id="67" w:name="_Toc381279973"/>
      <w:r w:rsidRPr="00BC1C3E">
        <w:rPr>
          <w:lang w:val="en-US"/>
        </w:rPr>
        <w:t>(iv)</w:t>
      </w:r>
      <w:r w:rsidRPr="00BC1C3E">
        <w:rPr>
          <w:lang w:val="en-US"/>
        </w:rPr>
        <w:tab/>
        <w:t>Revision of document TGP/7: Presence of Leading Expert at Technical Working Party Sessions</w:t>
      </w:r>
      <w:bookmarkEnd w:id="62"/>
      <w:bookmarkEnd w:id="63"/>
      <w:bookmarkEnd w:id="64"/>
      <w:bookmarkEnd w:id="65"/>
      <w:bookmarkEnd w:id="66"/>
      <w:bookmarkEnd w:id="67"/>
    </w:p>
    <w:p w:rsidR="002242D8" w:rsidRPr="00290F6F" w:rsidRDefault="002242D8" w:rsidP="002242D8">
      <w:pPr>
        <w:keepNext/>
      </w:pPr>
    </w:p>
    <w:p w:rsidR="002242D8" w:rsidRDefault="002242D8" w:rsidP="002242D8">
      <w:r>
        <w:fldChar w:fldCharType="begin"/>
      </w:r>
      <w:r>
        <w:instrText xml:space="preserve"> AUTONUM  </w:instrText>
      </w:r>
      <w:r>
        <w:fldChar w:fldCharType="end"/>
      </w:r>
      <w:r>
        <w:tab/>
      </w:r>
      <w:r w:rsidRPr="00330930">
        <w:t xml:space="preserve">The TC </w:t>
      </w:r>
      <w:r>
        <w:t>agreed to include the following guidance on the presence of Leading Experts in Technical Working Party sessions in document TGP/7, Section 2.2.5.3</w:t>
      </w:r>
      <w:r w:rsidR="0096678D">
        <w:t xml:space="preserve"> (see document TC/50/36 “Report on the Conclusions”, paragraph 36)</w:t>
      </w:r>
      <w:r>
        <w:t>:</w:t>
      </w:r>
    </w:p>
    <w:p w:rsidR="002242D8" w:rsidRDefault="002242D8" w:rsidP="002242D8"/>
    <w:p w:rsidR="002242D8" w:rsidRPr="00BC35C7" w:rsidRDefault="002242D8" w:rsidP="002242D8">
      <w:pPr>
        <w:ind w:left="567" w:right="567"/>
        <w:rPr>
          <w:sz w:val="18"/>
          <w:szCs w:val="18"/>
        </w:rPr>
      </w:pPr>
      <w:r w:rsidRPr="00BC35C7">
        <w:rPr>
          <w:sz w:val="18"/>
          <w:szCs w:val="18"/>
        </w:rPr>
        <w:t>“In order to be considered by a Technical Working Party, the Leading Expert of the draft Test Guidelines should be present at the session.  Subject to approval by the Technical Working Party Chairperson, and where arranged sufficiently in advance of the session, a suitable alternative expert may act as the Leading Expert at the session, or the Leading Expert may participate by electronic means, where that enables the Test Guidelines to be considered in an effective way.”</w:t>
      </w:r>
    </w:p>
    <w:p w:rsidR="008E53E9" w:rsidRDefault="008E53E9">
      <w:pPr>
        <w:jc w:val="left"/>
      </w:pPr>
    </w:p>
    <w:p w:rsidR="00262828" w:rsidRPr="00F671DA" w:rsidRDefault="00262828" w:rsidP="00F671DA">
      <w:pPr>
        <w:pStyle w:val="Heading2"/>
      </w:pPr>
      <w:bookmarkStart w:id="68" w:name="_Toc386188644"/>
      <w:r w:rsidRPr="00F671DA">
        <w:t>TGP/8: Trial Design and Techniques Used in the Examination of Distinctness, Uniformity and Stability</w:t>
      </w:r>
      <w:bookmarkEnd w:id="41"/>
      <w:bookmarkEnd w:id="42"/>
      <w:bookmarkEnd w:id="68"/>
    </w:p>
    <w:p w:rsidR="008A6923" w:rsidRDefault="008A6923" w:rsidP="008A6923">
      <w:bookmarkStart w:id="69" w:name="_Toc353797735"/>
    </w:p>
    <w:p w:rsidR="008A6923" w:rsidRDefault="008A6923" w:rsidP="00460CA6">
      <w:pPr>
        <w:pStyle w:val="Heading3"/>
      </w:pPr>
      <w:bookmarkStart w:id="70" w:name="_Toc386188645"/>
      <w:r>
        <w:t>Revisions previously agreed by the TC</w:t>
      </w:r>
      <w:bookmarkEnd w:id="70"/>
    </w:p>
    <w:p w:rsidR="008A6923" w:rsidRDefault="008A6923" w:rsidP="008A6923"/>
    <w:p w:rsidR="008A6923" w:rsidRDefault="008A6923" w:rsidP="008A6923">
      <w:r>
        <w:fldChar w:fldCharType="begin"/>
      </w:r>
      <w:r>
        <w:instrText xml:space="preserve"> AUTONUM  </w:instrText>
      </w:r>
      <w:r>
        <w:fldChar w:fldCharType="end"/>
      </w:r>
      <w:r>
        <w:tab/>
        <w:t xml:space="preserve">The TC </w:t>
      </w:r>
      <w:r w:rsidRPr="00290F6F">
        <w:t>note</w:t>
      </w:r>
      <w:r>
        <w:t>d</w:t>
      </w:r>
      <w:r w:rsidRPr="00290F6F">
        <w:t xml:space="preserve"> that the </w:t>
      </w:r>
      <w:r w:rsidR="00B917C3">
        <w:t xml:space="preserve">following </w:t>
      </w:r>
      <w:r w:rsidRPr="00290F6F">
        <w:t>revisions to document TGP/8 previously agreed</w:t>
      </w:r>
      <w:r w:rsidR="00B917C3">
        <w:t xml:space="preserve"> by the TC </w:t>
      </w:r>
      <w:r>
        <w:t xml:space="preserve">would </w:t>
      </w:r>
      <w:r w:rsidRPr="00290F6F">
        <w:t>be a basis for the adoption of document TGP/8/2 by the Council, at its forty-eighth ordinary session</w:t>
      </w:r>
      <w:r w:rsidRPr="00BC36FC">
        <w:t xml:space="preserve"> </w:t>
      </w:r>
      <w:r>
        <w:t>(see document TC/50/36 “Report on the Conclusions”, paragraph 37):</w:t>
      </w:r>
    </w:p>
    <w:p w:rsidR="008A6923" w:rsidRDefault="008A6923" w:rsidP="008A6923"/>
    <w:p w:rsidR="008A6923" w:rsidRPr="00BC1C3E" w:rsidRDefault="008A6923" w:rsidP="00B874D2">
      <w:pPr>
        <w:pStyle w:val="Heading4"/>
        <w:rPr>
          <w:lang w:val="en-US"/>
        </w:rPr>
      </w:pPr>
      <w:r w:rsidRPr="00BC1C3E">
        <w:rPr>
          <w:lang w:val="en-US"/>
        </w:rPr>
        <w:t>Part I: DUS Trial Design and Data Analysis</w:t>
      </w:r>
    </w:p>
    <w:p w:rsidR="008A6923" w:rsidRPr="00B874D2" w:rsidRDefault="008A6923" w:rsidP="00B874D2">
      <w:pPr>
        <w:numPr>
          <w:ilvl w:val="0"/>
          <w:numId w:val="13"/>
        </w:numPr>
        <w:ind w:left="1134" w:hanging="708"/>
        <w:rPr>
          <w:rFonts w:cs="Arial"/>
        </w:rPr>
      </w:pPr>
      <w:r w:rsidRPr="00B874D2">
        <w:rPr>
          <w:rFonts w:cs="Arial"/>
        </w:rPr>
        <w:t xml:space="preserve">New Section 2: “Data to be recorded” </w:t>
      </w:r>
    </w:p>
    <w:p w:rsidR="008A6923" w:rsidRDefault="008A6923" w:rsidP="008A6923">
      <w:pPr>
        <w:tabs>
          <w:tab w:val="left" w:pos="709"/>
        </w:tabs>
        <w:ind w:left="709" w:hanging="283"/>
        <w:rPr>
          <w:rFonts w:cs="Arial"/>
        </w:rPr>
      </w:pPr>
    </w:p>
    <w:p w:rsidR="008A6923" w:rsidRDefault="008A6923" w:rsidP="00B874D2">
      <w:pPr>
        <w:pStyle w:val="Heading4"/>
      </w:pPr>
      <w:r>
        <w:t xml:space="preserve">Part II: Techniques </w:t>
      </w:r>
      <w:proofErr w:type="spellStart"/>
      <w:r>
        <w:t>Used</w:t>
      </w:r>
      <w:proofErr w:type="spellEnd"/>
      <w:r>
        <w:t xml:space="preserve"> in DUS </w:t>
      </w:r>
      <w:proofErr w:type="spellStart"/>
      <w:r>
        <w:t>Examination</w:t>
      </w:r>
      <w:proofErr w:type="spellEnd"/>
    </w:p>
    <w:p w:rsidR="008A6923" w:rsidRDefault="008A6923" w:rsidP="00B874D2">
      <w:pPr>
        <w:numPr>
          <w:ilvl w:val="0"/>
          <w:numId w:val="14"/>
        </w:numPr>
        <w:ind w:hanging="654"/>
        <w:rPr>
          <w:rFonts w:cs="Arial"/>
        </w:rPr>
      </w:pPr>
      <w:r>
        <w:rPr>
          <w:rFonts w:cs="Arial"/>
        </w:rPr>
        <w:t xml:space="preserve">Section 3: “The Combined-Over-Years Criteria for Distinctness (COYD)” </w:t>
      </w:r>
    </w:p>
    <w:p w:rsidR="008A6923" w:rsidRDefault="008A6923" w:rsidP="00B874D2">
      <w:pPr>
        <w:keepNext/>
        <w:numPr>
          <w:ilvl w:val="0"/>
          <w:numId w:val="14"/>
        </w:numPr>
        <w:ind w:hanging="654"/>
        <w:rPr>
          <w:rFonts w:cs="Arial"/>
        </w:rPr>
      </w:pPr>
      <w:r>
        <w:rPr>
          <w:rFonts w:cs="Arial"/>
        </w:rPr>
        <w:t>Section 3</w:t>
      </w:r>
      <w:r w:rsidR="009041B2">
        <w:rPr>
          <w:rFonts w:cs="Arial"/>
        </w:rPr>
        <w:t>:</w:t>
      </w:r>
      <w:r>
        <w:rPr>
          <w:rFonts w:cs="Arial"/>
        </w:rPr>
        <w:t xml:space="preserve"> Subsection 3.6: “Adapting COYD to special circumstances” </w:t>
      </w:r>
    </w:p>
    <w:p w:rsidR="008A6923" w:rsidRDefault="008A6923" w:rsidP="00B874D2">
      <w:pPr>
        <w:numPr>
          <w:ilvl w:val="0"/>
          <w:numId w:val="14"/>
        </w:numPr>
        <w:ind w:hanging="654"/>
        <w:rPr>
          <w:rFonts w:cs="Arial"/>
        </w:rPr>
      </w:pPr>
      <w:r>
        <w:rPr>
          <w:rFonts w:cs="Arial"/>
        </w:rPr>
        <w:t>Section 4: “2x1% Method-Minimum Number of Degrees of Freedom for the 2x1% Method”</w:t>
      </w:r>
    </w:p>
    <w:p w:rsidR="008A6923" w:rsidRPr="008A6923" w:rsidRDefault="008A6923" w:rsidP="008A6923"/>
    <w:p w:rsidR="003751BF" w:rsidRDefault="003751BF" w:rsidP="00460CA6">
      <w:pPr>
        <w:pStyle w:val="Heading3"/>
      </w:pPr>
      <w:bookmarkStart w:id="71" w:name="_Toc386188646"/>
      <w:r>
        <w:t>Amendments to revisions previously agreed by the TC</w:t>
      </w:r>
      <w:bookmarkEnd w:id="71"/>
      <w:r>
        <w:t xml:space="preserve"> </w:t>
      </w:r>
    </w:p>
    <w:p w:rsidR="00B874D2" w:rsidRDefault="00B874D2" w:rsidP="00B874D2"/>
    <w:p w:rsidR="00B874D2" w:rsidRDefault="00B874D2" w:rsidP="00B874D2">
      <w:r w:rsidRPr="00290F6F">
        <w:fldChar w:fldCharType="begin"/>
      </w:r>
      <w:r w:rsidRPr="00290F6F">
        <w:instrText xml:space="preserve"> AUTONUM  </w:instrText>
      </w:r>
      <w:r w:rsidRPr="00290F6F">
        <w:fldChar w:fldCharType="end"/>
      </w:r>
      <w:r>
        <w:tab/>
        <w:t>The TC agreed</w:t>
      </w:r>
      <w:r w:rsidRPr="00290F6F">
        <w:t xml:space="preserve"> that the revision to document TGP/8</w:t>
      </w:r>
      <w:r w:rsidR="0075696B">
        <w:t>, N</w:t>
      </w:r>
      <w:r>
        <w:t>ew Section 5</w:t>
      </w:r>
      <w:r w:rsidR="0075696B">
        <w:t>:</w:t>
      </w:r>
      <w:r>
        <w:t xml:space="preserve"> “Reduction of the Size of Trials”, </w:t>
      </w:r>
      <w:r w:rsidRPr="00290F6F">
        <w:t>previously agreed</w:t>
      </w:r>
      <w:r>
        <w:t xml:space="preserve"> by the TC, as set out in </w:t>
      </w:r>
      <w:r w:rsidRPr="00290F6F">
        <w:t>document</w:t>
      </w:r>
      <w:r>
        <w:t xml:space="preserve"> TC/50/5</w:t>
      </w:r>
      <w:r w:rsidRPr="00290F6F">
        <w:t>,</w:t>
      </w:r>
      <w:r w:rsidRPr="00BC36FC">
        <w:t xml:space="preserve"> </w:t>
      </w:r>
      <w:r>
        <w:t>Annex </w:t>
      </w:r>
      <w:r w:rsidRPr="00290F6F">
        <w:t>II</w:t>
      </w:r>
      <w:r>
        <w:t>,</w:t>
      </w:r>
      <w:r w:rsidRPr="00290F6F">
        <w:t xml:space="preserve"> </w:t>
      </w:r>
      <w:r>
        <w:t>would be put forward for adoption by the Council</w:t>
      </w:r>
      <w:r w:rsidRPr="00290F6F">
        <w:t>, at its forty-eighth ordinary session</w:t>
      </w:r>
      <w:r>
        <w:t>,</w:t>
      </w:r>
      <w:r w:rsidRPr="00BC36FC">
        <w:t xml:space="preserve"> </w:t>
      </w:r>
      <w:r>
        <w:t>subject to the following amendments:</w:t>
      </w:r>
    </w:p>
    <w:p w:rsidR="00B874D2" w:rsidRDefault="00B874D2" w:rsidP="00B874D2"/>
    <w:p w:rsidR="00B874D2" w:rsidRPr="00BD71B1" w:rsidRDefault="00B874D2" w:rsidP="00C16772">
      <w:pPr>
        <w:pStyle w:val="ListParagraph"/>
        <w:numPr>
          <w:ilvl w:val="0"/>
          <w:numId w:val="15"/>
        </w:numPr>
        <w:ind w:left="851" w:hanging="284"/>
        <w:rPr>
          <w:rFonts w:cs="Arial"/>
          <w:color w:val="000000" w:themeColor="text1"/>
        </w:rPr>
      </w:pPr>
      <w:r w:rsidRPr="00BD71B1">
        <w:rPr>
          <w:rFonts w:cs="Arial"/>
          <w:color w:val="000000" w:themeColor="text1"/>
        </w:rPr>
        <w:t>title to read as follows: “Cyclic planting of varieties from the variety collection to reduce trial size”</w:t>
      </w:r>
    </w:p>
    <w:p w:rsidR="00B874D2" w:rsidRDefault="00B874D2" w:rsidP="00C16772">
      <w:pPr>
        <w:pStyle w:val="ListParagraph"/>
        <w:numPr>
          <w:ilvl w:val="0"/>
          <w:numId w:val="15"/>
        </w:numPr>
        <w:tabs>
          <w:tab w:val="left" w:pos="992"/>
        </w:tabs>
        <w:ind w:left="851" w:right="567" w:hanging="284"/>
      </w:pPr>
      <w:r w:rsidRPr="00BD71B1">
        <w:rPr>
          <w:rFonts w:cs="Arial"/>
          <w:color w:val="000000" w:themeColor="text1"/>
        </w:rPr>
        <w:t>paragraph 1.1 to read as follows: “</w:t>
      </w:r>
      <w:r>
        <w:t xml:space="preserve">Cyclic planting of varieties from the variety collection (established varieties) to reduce trial size is appropriate for use in trials where:” </w:t>
      </w:r>
    </w:p>
    <w:p w:rsidR="00B874D2" w:rsidRDefault="00B874D2" w:rsidP="00C16772">
      <w:pPr>
        <w:pStyle w:val="ListParagraph"/>
        <w:numPr>
          <w:ilvl w:val="0"/>
          <w:numId w:val="15"/>
        </w:numPr>
        <w:ind w:left="851" w:hanging="284"/>
        <w:rPr>
          <w:rFonts w:cs="Arial"/>
          <w:color w:val="000000" w:themeColor="text1"/>
        </w:rPr>
      </w:pPr>
      <w:r w:rsidRPr="00BD71B1">
        <w:rPr>
          <w:rFonts w:cs="Arial"/>
          <w:color w:val="000000" w:themeColor="text1"/>
        </w:rPr>
        <w:t xml:space="preserve">paragraph 1.1 to introduce a last bullet point: “three independent growing cycles are normally grown. The guidance below is for this case. However, it may also be adapted for crops where </w:t>
      </w:r>
      <w:r w:rsidR="00A910A3">
        <w:rPr>
          <w:rFonts w:cs="Arial"/>
          <w:color w:val="000000" w:themeColor="text1"/>
        </w:rPr>
        <w:t>TWC</w:t>
      </w:r>
      <w:r w:rsidRPr="00BD71B1">
        <w:rPr>
          <w:rFonts w:cs="Arial"/>
          <w:color w:val="000000" w:themeColor="text1"/>
        </w:rPr>
        <w:t xml:space="preserve"> independent growing cycles are normally grown.”</w:t>
      </w:r>
    </w:p>
    <w:p w:rsidR="00B874D2" w:rsidRDefault="00B874D2" w:rsidP="00C16772">
      <w:pPr>
        <w:pStyle w:val="ListParagraph"/>
        <w:numPr>
          <w:ilvl w:val="0"/>
          <w:numId w:val="15"/>
        </w:numPr>
        <w:ind w:left="851" w:hanging="284"/>
        <w:rPr>
          <w:rFonts w:cs="Arial"/>
          <w:color w:val="000000" w:themeColor="text1"/>
        </w:rPr>
      </w:pPr>
      <w:r>
        <w:rPr>
          <w:rFonts w:cs="Arial"/>
          <w:color w:val="000000" w:themeColor="text1"/>
        </w:rPr>
        <w:t>last sentence of second paragraph in 1.2 to read as follows: “</w:t>
      </w:r>
      <w:r w:rsidRPr="004600E3">
        <w:t>If, after DUS testing</w:t>
      </w:r>
      <w:r>
        <w:t>,</w:t>
      </w:r>
      <w:r w:rsidRPr="004600E3">
        <w:t xml:space="preserve"> </w:t>
      </w:r>
      <w:r>
        <w:t>a variety is added to</w:t>
      </w:r>
      <w:r w:rsidRPr="004600E3">
        <w:t xml:space="preserve"> the </w:t>
      </w:r>
      <w:r>
        <w:t>variety collection</w:t>
      </w:r>
      <w:r w:rsidRPr="004600E3">
        <w:t xml:space="preserve"> </w:t>
      </w:r>
      <w:r>
        <w:t>it is</w:t>
      </w:r>
      <w:r w:rsidRPr="004600E3">
        <w:t xml:space="preserve"> allocated to a series and </w:t>
      </w:r>
      <w:r>
        <w:t xml:space="preserve">is </w:t>
      </w:r>
      <w:r w:rsidRPr="004600E3">
        <w:t>cyclically</w:t>
      </w:r>
      <w:r>
        <w:t xml:space="preserve"> omitted from the trial every third year.”</w:t>
      </w:r>
      <w:r>
        <w:rPr>
          <w:rFonts w:cs="Arial"/>
          <w:color w:val="000000" w:themeColor="text1"/>
        </w:rPr>
        <w:t xml:space="preserve"> </w:t>
      </w:r>
    </w:p>
    <w:p w:rsidR="00B874D2" w:rsidRPr="000D4F60" w:rsidRDefault="00B874D2" w:rsidP="00C16772">
      <w:pPr>
        <w:pStyle w:val="ListParagraph"/>
        <w:numPr>
          <w:ilvl w:val="0"/>
          <w:numId w:val="15"/>
        </w:numPr>
        <w:ind w:left="851" w:hanging="284"/>
        <w:rPr>
          <w:rFonts w:cs="Arial"/>
          <w:color w:val="000000" w:themeColor="text1"/>
        </w:rPr>
      </w:pPr>
      <w:r>
        <w:rPr>
          <w:rFonts w:cs="Arial"/>
          <w:color w:val="000000" w:themeColor="text1"/>
        </w:rPr>
        <w:t>paragraph 1.3, sentences 5 and 6 to read as follows: “</w:t>
      </w:r>
      <w:r w:rsidRPr="004600E3">
        <w:t xml:space="preserve">Because of a possible lag between final DUS testing and </w:t>
      </w:r>
      <w:r>
        <w:t>the decision on the application</w:t>
      </w:r>
      <w:r w:rsidRPr="004600E3">
        <w:t>, candidate varieties are kept in trial fo</w:t>
      </w:r>
      <w:r>
        <w:t xml:space="preserve">r a fourth year after the </w:t>
      </w:r>
      <w:r w:rsidR="0076441B">
        <w:t>three-</w:t>
      </w:r>
      <w:r w:rsidR="0076441B" w:rsidRPr="004600E3">
        <w:t>year</w:t>
      </w:r>
      <w:r w:rsidRPr="004600E3">
        <w:t xml:space="preserve"> test period.  If </w:t>
      </w:r>
      <w:r>
        <w:t>a positive decision is taken</w:t>
      </w:r>
      <w:r w:rsidRPr="004600E3">
        <w:t>, they will become an established variety and will ent</w:t>
      </w:r>
      <w:r>
        <w:t>er the cyclic planting system.”</w:t>
      </w:r>
    </w:p>
    <w:p w:rsidR="00B874D2" w:rsidRDefault="00B874D2" w:rsidP="00C16772">
      <w:pPr>
        <w:ind w:left="851" w:hanging="284"/>
      </w:pPr>
    </w:p>
    <w:p w:rsidR="008A6923" w:rsidRDefault="008A6923" w:rsidP="00460CA6">
      <w:pPr>
        <w:pStyle w:val="Heading3"/>
      </w:pPr>
      <w:bookmarkStart w:id="72" w:name="_Toc386188647"/>
      <w:r>
        <w:t>Revision agreed by the TC at its fiftieth session</w:t>
      </w:r>
      <w:bookmarkEnd w:id="72"/>
    </w:p>
    <w:p w:rsidR="0076441B" w:rsidRDefault="0076441B" w:rsidP="0076441B">
      <w:bookmarkStart w:id="73" w:name="_Toc374385116"/>
      <w:bookmarkStart w:id="74" w:name="_Toc374631053"/>
      <w:bookmarkStart w:id="75" w:name="_Toc374632525"/>
      <w:bookmarkStart w:id="76" w:name="_Toc374635725"/>
      <w:bookmarkStart w:id="77" w:name="_Toc378251514"/>
      <w:bookmarkStart w:id="78" w:name="_Toc381279975"/>
      <w:bookmarkEnd w:id="69"/>
    </w:p>
    <w:p w:rsidR="0076441B" w:rsidRDefault="0076441B" w:rsidP="0076441B">
      <w:r>
        <w:fldChar w:fldCharType="begin"/>
      </w:r>
      <w:r>
        <w:instrText xml:space="preserve"> AUTONUM  </w:instrText>
      </w:r>
      <w:r>
        <w:fldChar w:fldCharType="end"/>
      </w:r>
      <w:r>
        <w:tab/>
      </w:r>
      <w:r w:rsidRPr="00290F6F">
        <w:t>The TC agreed</w:t>
      </w:r>
      <w:r>
        <w:t xml:space="preserve"> that the revision to document TGP/8 </w:t>
      </w:r>
      <w:r w:rsidRPr="0076441B">
        <w:t xml:space="preserve">Part II: Section 10: </w:t>
      </w:r>
      <w:r>
        <w:t>“</w:t>
      </w:r>
      <w:r w:rsidRPr="0076441B">
        <w:t>Uniformity Assessment on the Basis of the Relative Variance Method</w:t>
      </w:r>
      <w:r>
        <w:t>”</w:t>
      </w:r>
      <w:r w:rsidRPr="0076441B">
        <w:t xml:space="preserve"> </w:t>
      </w:r>
      <w:r>
        <w:t>should be put forward for adoption</w:t>
      </w:r>
      <w:r w:rsidRPr="00290F6F">
        <w:t xml:space="preserve"> by the Council at its forty</w:t>
      </w:r>
      <w:r>
        <w:noBreakHyphen/>
      </w:r>
      <w:r w:rsidRPr="00290F6F">
        <w:t>eighth ordinary session</w:t>
      </w:r>
      <w:r w:rsidR="00826261">
        <w:t>, as presented in Annex I to this document</w:t>
      </w:r>
      <w:r>
        <w:t xml:space="preserve"> (see document TC/50/36 “Report on the Conclusions”, paragraph 39)</w:t>
      </w:r>
      <w:r w:rsidR="00826261">
        <w:t>.</w:t>
      </w:r>
    </w:p>
    <w:p w:rsidR="0076441B" w:rsidRDefault="0076441B" w:rsidP="0076441B"/>
    <w:p w:rsidR="001B33E1" w:rsidRPr="001B33E1" w:rsidRDefault="001B33E1" w:rsidP="001B33E1">
      <w:pPr>
        <w:tabs>
          <w:tab w:val="left" w:pos="5387"/>
          <w:tab w:val="left" w:pos="5954"/>
        </w:tabs>
        <w:ind w:left="4820"/>
        <w:rPr>
          <w:i/>
        </w:rPr>
      </w:pPr>
      <w:r w:rsidRPr="001B33E1">
        <w:rPr>
          <w:i/>
        </w:rPr>
        <w:fldChar w:fldCharType="begin"/>
      </w:r>
      <w:r w:rsidRPr="001B33E1">
        <w:rPr>
          <w:i/>
        </w:rPr>
        <w:instrText xml:space="preserve"> AUTONUM  </w:instrText>
      </w:r>
      <w:r w:rsidRPr="001B33E1">
        <w:rPr>
          <w:i/>
        </w:rPr>
        <w:fldChar w:fldCharType="end"/>
      </w:r>
      <w:r w:rsidRPr="001B33E1">
        <w:rPr>
          <w:i/>
        </w:rPr>
        <w:tab/>
        <w:t xml:space="preserve">The </w:t>
      </w:r>
      <w:r w:rsidR="00A910A3">
        <w:rPr>
          <w:i/>
        </w:rPr>
        <w:t>TWC</w:t>
      </w:r>
      <w:r w:rsidRPr="001B33E1">
        <w:rPr>
          <w:i/>
        </w:rPr>
        <w:t xml:space="preserve"> is invited to note the revisions to documents TGP/0, TGP/2, TGP/5, TGP/7 and TGP/8 </w:t>
      </w:r>
      <w:r w:rsidR="00C24FD3">
        <w:rPr>
          <w:i/>
        </w:rPr>
        <w:t xml:space="preserve">to be </w:t>
      </w:r>
      <w:r w:rsidRPr="001B33E1">
        <w:rPr>
          <w:i/>
        </w:rPr>
        <w:t>put forward for adoption by the Council at its forty</w:t>
      </w:r>
      <w:r w:rsidRPr="001B33E1">
        <w:rPr>
          <w:i/>
        </w:rPr>
        <w:noBreakHyphen/>
        <w:t xml:space="preserve">eighth ordinary session, as set out in </w:t>
      </w:r>
      <w:r w:rsidRPr="00460CA6">
        <w:rPr>
          <w:i/>
        </w:rPr>
        <w:t>paragraphs </w:t>
      </w:r>
      <w:r w:rsidR="00460CA6">
        <w:rPr>
          <w:i/>
        </w:rPr>
        <w:t>5</w:t>
      </w:r>
      <w:r w:rsidRPr="00460CA6">
        <w:rPr>
          <w:i/>
        </w:rPr>
        <w:t xml:space="preserve"> to 2</w:t>
      </w:r>
      <w:r w:rsidR="00B17D12" w:rsidRPr="00460CA6">
        <w:rPr>
          <w:i/>
        </w:rPr>
        <w:t>1</w:t>
      </w:r>
      <w:r w:rsidRPr="00460CA6">
        <w:rPr>
          <w:i/>
        </w:rPr>
        <w:t>.</w:t>
      </w:r>
      <w:r w:rsidRPr="001B33E1">
        <w:rPr>
          <w:i/>
        </w:rPr>
        <w:t xml:space="preserve"> </w:t>
      </w:r>
    </w:p>
    <w:p w:rsidR="001B33E1" w:rsidRDefault="001B33E1" w:rsidP="0076441B"/>
    <w:bookmarkEnd w:id="73"/>
    <w:bookmarkEnd w:id="74"/>
    <w:bookmarkEnd w:id="75"/>
    <w:bookmarkEnd w:id="76"/>
    <w:bookmarkEnd w:id="77"/>
    <w:bookmarkEnd w:id="78"/>
    <w:p w:rsidR="00262828" w:rsidRDefault="00262828" w:rsidP="00262828">
      <w:pPr>
        <w:tabs>
          <w:tab w:val="left" w:pos="709"/>
        </w:tabs>
        <w:ind w:left="709"/>
        <w:rPr>
          <w:rFonts w:cs="Arial"/>
        </w:rPr>
      </w:pPr>
    </w:p>
    <w:p w:rsidR="00EF6EF2" w:rsidRDefault="00A53916" w:rsidP="00EF6EF2">
      <w:pPr>
        <w:pStyle w:val="Heading1"/>
      </w:pPr>
      <w:bookmarkStart w:id="79" w:name="_Toc386188648"/>
      <w:bookmarkStart w:id="80" w:name="_Toc378251517"/>
      <w:bookmarkStart w:id="81" w:name="_Toc381279978"/>
      <w:r>
        <w:t>III.</w:t>
      </w:r>
      <w:r>
        <w:tab/>
      </w:r>
      <w:r w:rsidR="00EF6EF2">
        <w:t>Future Revision of TGP Documents</w:t>
      </w:r>
      <w:bookmarkEnd w:id="79"/>
      <w:r w:rsidR="00EF6EF2">
        <w:t xml:space="preserve"> </w:t>
      </w:r>
      <w:bookmarkEnd w:id="80"/>
      <w:bookmarkEnd w:id="81"/>
    </w:p>
    <w:p w:rsidR="00282E2B" w:rsidRDefault="00282E2B" w:rsidP="00EF6EF2"/>
    <w:p w:rsidR="00153DE6" w:rsidRDefault="00153DE6" w:rsidP="00153DE6">
      <w:r>
        <w:fldChar w:fldCharType="begin"/>
      </w:r>
      <w:r>
        <w:instrText xml:space="preserve"> AUTONUM  </w:instrText>
      </w:r>
      <w:r>
        <w:fldChar w:fldCharType="end"/>
      </w:r>
      <w:r>
        <w:tab/>
        <w:t xml:space="preserve">The TC, at its fiftieth </w:t>
      </w:r>
      <w:r w:rsidR="00282E2B">
        <w:t>session</w:t>
      </w:r>
      <w:r>
        <w:t xml:space="preserve"> held in Geneva from April 7 to 9, 2014, agreed that the following </w:t>
      </w:r>
      <w:r w:rsidR="00E7765C">
        <w:t>matters</w:t>
      </w:r>
      <w:r>
        <w:t xml:space="preserve"> for future revisions of TGP documents should be </w:t>
      </w:r>
      <w:r w:rsidR="00B917C3">
        <w:t>considered</w:t>
      </w:r>
      <w:r>
        <w:t xml:space="preserve"> by the TWPs at their sessions in 2014</w:t>
      </w:r>
      <w:r w:rsidR="00E7765C">
        <w:t xml:space="preserve"> (see document TC/50/36 “Report on the Conclusions”, paragraphs 43 to </w:t>
      </w:r>
      <w:r w:rsidR="00282E2B">
        <w:t>75</w:t>
      </w:r>
      <w:r w:rsidR="00E7765C">
        <w:t>)</w:t>
      </w:r>
      <w:r>
        <w:t>:</w:t>
      </w:r>
    </w:p>
    <w:p w:rsidR="00A05CF8" w:rsidRDefault="00A05CF8">
      <w:pPr>
        <w:jc w:val="left"/>
      </w:pPr>
      <w:bookmarkStart w:id="82" w:name="_Toc352678059"/>
      <w:bookmarkStart w:id="83" w:name="_Toc353797740"/>
      <w:bookmarkStart w:id="84" w:name="_Toc374385120"/>
      <w:bookmarkStart w:id="85" w:name="_Toc374631058"/>
      <w:bookmarkStart w:id="86" w:name="_Toc374632530"/>
      <w:bookmarkStart w:id="87" w:name="_Toc374635730"/>
      <w:bookmarkStart w:id="88" w:name="_Toc378251520"/>
      <w:bookmarkStart w:id="89" w:name="_Toc381279981"/>
      <w:r>
        <w:br w:type="page"/>
      </w:r>
    </w:p>
    <w:p w:rsidR="00EF6EF2" w:rsidRPr="00D10589" w:rsidRDefault="00EF6EF2" w:rsidP="00F671DA">
      <w:pPr>
        <w:pStyle w:val="Heading2"/>
      </w:pPr>
      <w:bookmarkStart w:id="90" w:name="_Toc386188649"/>
      <w:r w:rsidRPr="00D10589">
        <w:lastRenderedPageBreak/>
        <w:t>TGP/7:  Development of Test Guidelines</w:t>
      </w:r>
      <w:bookmarkEnd w:id="82"/>
      <w:bookmarkEnd w:id="83"/>
      <w:bookmarkEnd w:id="84"/>
      <w:bookmarkEnd w:id="85"/>
      <w:bookmarkEnd w:id="86"/>
      <w:bookmarkEnd w:id="87"/>
      <w:bookmarkEnd w:id="88"/>
      <w:bookmarkEnd w:id="89"/>
      <w:bookmarkEnd w:id="90"/>
    </w:p>
    <w:p w:rsidR="00EF6EF2" w:rsidRPr="00290F6F" w:rsidRDefault="00EF6EF2" w:rsidP="00A22EC1"/>
    <w:p w:rsidR="00EF6EF2" w:rsidRPr="00460CA6" w:rsidRDefault="00460CA6" w:rsidP="00460CA6">
      <w:pPr>
        <w:ind w:left="567"/>
        <w:rPr>
          <w:i/>
        </w:rPr>
      </w:pPr>
      <w:r w:rsidRPr="00460CA6">
        <w:rPr>
          <w:i/>
        </w:rPr>
        <w:t>(</w:t>
      </w:r>
      <w:proofErr w:type="spellStart"/>
      <w:r w:rsidRPr="00460CA6">
        <w:rPr>
          <w:i/>
        </w:rPr>
        <w:t>i</w:t>
      </w:r>
      <w:proofErr w:type="spellEnd"/>
      <w:r w:rsidRPr="00460CA6">
        <w:rPr>
          <w:i/>
        </w:rPr>
        <w:t>)</w:t>
      </w:r>
      <w:r w:rsidRPr="00460CA6">
        <w:rPr>
          <w:i/>
        </w:rPr>
        <w:tab/>
      </w:r>
      <w:r w:rsidR="0000250F" w:rsidRPr="00460CA6">
        <w:rPr>
          <w:i/>
        </w:rPr>
        <w:t>Plant Material Submitted for Examination</w:t>
      </w:r>
    </w:p>
    <w:p w:rsidR="00EF6EF2" w:rsidRDefault="00A22EC1" w:rsidP="00460CA6">
      <w:pPr>
        <w:tabs>
          <w:tab w:val="left" w:pos="1560"/>
        </w:tabs>
        <w:ind w:left="1418" w:hanging="851"/>
      </w:pPr>
      <w:r>
        <w:tab/>
      </w:r>
      <w:r w:rsidR="00752A45">
        <w:t>See</w:t>
      </w:r>
      <w:r>
        <w:t xml:space="preserve"> document </w:t>
      </w:r>
      <w:r w:rsidR="00A910A3">
        <w:t>TWC/32</w:t>
      </w:r>
      <w:r>
        <w:t>/12</w:t>
      </w:r>
    </w:p>
    <w:p w:rsidR="00BC1C3E" w:rsidRPr="00460CA6" w:rsidRDefault="00BC1C3E" w:rsidP="00460CA6">
      <w:pPr>
        <w:ind w:left="567"/>
        <w:rPr>
          <w:i/>
        </w:rPr>
      </w:pPr>
      <w:r w:rsidRPr="00460CA6">
        <w:rPr>
          <w:i/>
        </w:rPr>
        <w:t>(</w:t>
      </w:r>
      <w:r w:rsidR="006B09C4" w:rsidRPr="00460CA6">
        <w:rPr>
          <w:i/>
        </w:rPr>
        <w:t>i</w:t>
      </w:r>
      <w:r w:rsidRPr="00460CA6">
        <w:rPr>
          <w:i/>
        </w:rPr>
        <w:t>i)</w:t>
      </w:r>
      <w:r w:rsidRPr="00460CA6">
        <w:rPr>
          <w:i/>
        </w:rPr>
        <w:tab/>
        <w:t>Coverage of the Test Guidelines</w:t>
      </w:r>
    </w:p>
    <w:p w:rsidR="00BC1C3E" w:rsidRPr="00DC0CB5" w:rsidRDefault="00BC1C3E" w:rsidP="00460CA6">
      <w:pPr>
        <w:tabs>
          <w:tab w:val="left" w:pos="1560"/>
        </w:tabs>
        <w:ind w:left="1418" w:hanging="851"/>
        <w:rPr>
          <w:rFonts w:cs="Arial"/>
        </w:rPr>
      </w:pPr>
      <w:r>
        <w:tab/>
      </w:r>
      <w:r w:rsidR="00752A45">
        <w:t xml:space="preserve">See </w:t>
      </w:r>
      <w:r>
        <w:t xml:space="preserve">document </w:t>
      </w:r>
      <w:r w:rsidR="00A910A3">
        <w:t>TWC/32</w:t>
      </w:r>
      <w:r>
        <w:t>/13</w:t>
      </w:r>
    </w:p>
    <w:p w:rsidR="00BC1C3E" w:rsidRPr="00460CA6" w:rsidRDefault="00BC1C3E" w:rsidP="00460CA6">
      <w:pPr>
        <w:ind w:left="567"/>
        <w:rPr>
          <w:i/>
        </w:rPr>
      </w:pPr>
      <w:r w:rsidRPr="00460CA6">
        <w:rPr>
          <w:i/>
        </w:rPr>
        <w:t>(i</w:t>
      </w:r>
      <w:r w:rsidR="006B09C4" w:rsidRPr="00460CA6">
        <w:rPr>
          <w:i/>
        </w:rPr>
        <w:t>i</w:t>
      </w:r>
      <w:r w:rsidRPr="00460CA6">
        <w:rPr>
          <w:i/>
        </w:rPr>
        <w:t>i)</w:t>
      </w:r>
      <w:r w:rsidRPr="00460CA6">
        <w:rPr>
          <w:i/>
        </w:rPr>
        <w:tab/>
        <w:t>Drafter’s Kit for Test Guidelines</w:t>
      </w:r>
    </w:p>
    <w:p w:rsidR="00BC1C3E" w:rsidRPr="00DC0CB5" w:rsidRDefault="00BC1C3E" w:rsidP="00460CA6">
      <w:pPr>
        <w:tabs>
          <w:tab w:val="left" w:pos="1560"/>
        </w:tabs>
        <w:ind w:left="1418" w:hanging="851"/>
        <w:rPr>
          <w:rFonts w:cs="Arial"/>
        </w:rPr>
      </w:pPr>
      <w:r>
        <w:tab/>
      </w:r>
      <w:r w:rsidR="00752A45">
        <w:t xml:space="preserve">See </w:t>
      </w:r>
      <w:r>
        <w:t xml:space="preserve">document </w:t>
      </w:r>
      <w:r w:rsidR="00A910A3">
        <w:t>TWC/32</w:t>
      </w:r>
      <w:r>
        <w:t>/14</w:t>
      </w:r>
    </w:p>
    <w:p w:rsidR="00BC1C3E" w:rsidRDefault="00BC1C3E" w:rsidP="00EF6EF2"/>
    <w:p w:rsidR="00EF6EF2" w:rsidRPr="00A22EC1" w:rsidRDefault="00EF6EF2" w:rsidP="00A22EC1">
      <w:pPr>
        <w:pStyle w:val="Heading2"/>
      </w:pPr>
      <w:bookmarkStart w:id="91" w:name="_Toc374385123"/>
      <w:bookmarkStart w:id="92" w:name="_Toc374631061"/>
      <w:bookmarkStart w:id="93" w:name="_Toc374632533"/>
      <w:bookmarkStart w:id="94" w:name="_Toc374635733"/>
      <w:bookmarkStart w:id="95" w:name="_Toc378251522"/>
      <w:bookmarkStart w:id="96" w:name="_Toc381279983"/>
      <w:bookmarkStart w:id="97" w:name="_Toc386188650"/>
      <w:r w:rsidRPr="00A22EC1">
        <w:t>TGP/8:  Trial Design and Techniques Used in the Examination of Distinctness, Uniformity and Stability</w:t>
      </w:r>
      <w:bookmarkEnd w:id="91"/>
      <w:bookmarkEnd w:id="92"/>
      <w:bookmarkEnd w:id="93"/>
      <w:bookmarkEnd w:id="94"/>
      <w:bookmarkEnd w:id="95"/>
      <w:bookmarkEnd w:id="96"/>
      <w:bookmarkEnd w:id="97"/>
    </w:p>
    <w:p w:rsidR="00EF6EF2" w:rsidRPr="00290F6F" w:rsidRDefault="00EF6EF2" w:rsidP="00A22EC1"/>
    <w:p w:rsidR="00EF6EF2" w:rsidRPr="00460CA6" w:rsidRDefault="00EF6EF2" w:rsidP="00460CA6">
      <w:pPr>
        <w:ind w:left="567"/>
        <w:rPr>
          <w:i/>
        </w:rPr>
      </w:pPr>
      <w:bookmarkStart w:id="98" w:name="_Toc374385124"/>
      <w:bookmarkStart w:id="99" w:name="_Toc374631062"/>
      <w:bookmarkStart w:id="100" w:name="_Toc374632534"/>
      <w:bookmarkStart w:id="101" w:name="_Toc374635734"/>
      <w:bookmarkStart w:id="102" w:name="_Toc378251523"/>
      <w:bookmarkStart w:id="103" w:name="_Toc381279984"/>
      <w:r w:rsidRPr="00460CA6">
        <w:rPr>
          <w:i/>
        </w:rPr>
        <w:t>(</w:t>
      </w:r>
      <w:proofErr w:type="spellStart"/>
      <w:r w:rsidRPr="00460CA6">
        <w:rPr>
          <w:i/>
        </w:rPr>
        <w:t>i</w:t>
      </w:r>
      <w:proofErr w:type="spellEnd"/>
      <w:r w:rsidRPr="00460CA6">
        <w:rPr>
          <w:i/>
        </w:rPr>
        <w:t>)</w:t>
      </w:r>
      <w:r w:rsidRPr="00460CA6">
        <w:rPr>
          <w:i/>
        </w:rPr>
        <w:tab/>
        <w:t>Minimizing the Variation due to Different Observers</w:t>
      </w:r>
      <w:bookmarkEnd w:id="98"/>
      <w:bookmarkEnd w:id="99"/>
      <w:bookmarkEnd w:id="100"/>
      <w:bookmarkEnd w:id="101"/>
      <w:bookmarkEnd w:id="102"/>
      <w:bookmarkEnd w:id="103"/>
    </w:p>
    <w:p w:rsidR="00EF6EF2" w:rsidRPr="00BC1C3E" w:rsidRDefault="00A22EC1" w:rsidP="00460CA6">
      <w:pPr>
        <w:ind w:left="1418" w:hanging="851"/>
      </w:pPr>
      <w:r>
        <w:tab/>
      </w:r>
      <w:r w:rsidR="00752A45">
        <w:t xml:space="preserve">See </w:t>
      </w:r>
      <w:r>
        <w:t xml:space="preserve">document </w:t>
      </w:r>
      <w:r w:rsidR="00A910A3">
        <w:t>TWC/32</w:t>
      </w:r>
      <w:r>
        <w:t>/15</w:t>
      </w:r>
    </w:p>
    <w:p w:rsidR="00EF6EF2" w:rsidRPr="00460CA6" w:rsidRDefault="00EF6EF2" w:rsidP="00460CA6">
      <w:pPr>
        <w:ind w:left="567"/>
        <w:rPr>
          <w:i/>
        </w:rPr>
      </w:pPr>
      <w:bookmarkStart w:id="104" w:name="_Toc374385125"/>
      <w:bookmarkStart w:id="105" w:name="_Toc374631063"/>
      <w:bookmarkStart w:id="106" w:name="_Toc374632535"/>
      <w:bookmarkStart w:id="107" w:name="_Toc374635735"/>
      <w:bookmarkStart w:id="108" w:name="_Toc378251524"/>
      <w:bookmarkStart w:id="109" w:name="_Toc381279985"/>
      <w:r w:rsidRPr="00460CA6">
        <w:rPr>
          <w:i/>
        </w:rPr>
        <w:t>(ii)</w:t>
      </w:r>
      <w:r w:rsidRPr="00460CA6">
        <w:rPr>
          <w:i/>
        </w:rPr>
        <w:tab/>
        <w:t>Method of Calculation of COYU</w:t>
      </w:r>
      <w:bookmarkEnd w:id="104"/>
      <w:bookmarkEnd w:id="105"/>
      <w:bookmarkEnd w:id="106"/>
      <w:bookmarkEnd w:id="107"/>
      <w:bookmarkEnd w:id="108"/>
      <w:bookmarkEnd w:id="109"/>
    </w:p>
    <w:p w:rsidR="00EF6EF2" w:rsidRPr="00BC1C3E" w:rsidRDefault="00A22EC1" w:rsidP="00460CA6">
      <w:pPr>
        <w:ind w:left="1418" w:hanging="851"/>
      </w:pPr>
      <w:r>
        <w:tab/>
      </w:r>
      <w:r w:rsidR="00752A45">
        <w:t xml:space="preserve">See </w:t>
      </w:r>
      <w:r>
        <w:t xml:space="preserve">document </w:t>
      </w:r>
      <w:r w:rsidR="00A910A3">
        <w:t>TWC/32</w:t>
      </w:r>
      <w:r>
        <w:t>/1</w:t>
      </w:r>
      <w:r w:rsidR="00DC0CB5">
        <w:t>6</w:t>
      </w:r>
    </w:p>
    <w:p w:rsidR="00EF6EF2" w:rsidRPr="00460CA6" w:rsidRDefault="00EF6EF2" w:rsidP="00460CA6">
      <w:pPr>
        <w:ind w:left="567"/>
        <w:rPr>
          <w:i/>
        </w:rPr>
      </w:pPr>
      <w:bookmarkStart w:id="110" w:name="_Toc374385117"/>
      <w:bookmarkStart w:id="111" w:name="_Toc374631054"/>
      <w:bookmarkStart w:id="112" w:name="_Toc374632526"/>
      <w:bookmarkStart w:id="113" w:name="_Toc374635726"/>
      <w:bookmarkStart w:id="114" w:name="_Toc378251525"/>
      <w:bookmarkStart w:id="115" w:name="_Toc381279986"/>
      <w:r w:rsidRPr="00460CA6">
        <w:rPr>
          <w:i/>
        </w:rPr>
        <w:t>(iii)</w:t>
      </w:r>
      <w:r w:rsidRPr="00460CA6">
        <w:rPr>
          <w:i/>
        </w:rPr>
        <w:tab/>
        <w:t>Examining DUS in Bulk Samples</w:t>
      </w:r>
      <w:bookmarkEnd w:id="110"/>
      <w:bookmarkEnd w:id="111"/>
      <w:bookmarkEnd w:id="112"/>
      <w:bookmarkEnd w:id="113"/>
      <w:bookmarkEnd w:id="114"/>
      <w:bookmarkEnd w:id="115"/>
    </w:p>
    <w:p w:rsidR="00DC0CB5" w:rsidRPr="00BC1C3E" w:rsidRDefault="00DC0CB5" w:rsidP="00460CA6">
      <w:pPr>
        <w:ind w:left="1418" w:hanging="851"/>
      </w:pPr>
      <w:r>
        <w:tab/>
      </w:r>
      <w:r w:rsidR="00752A45">
        <w:t xml:space="preserve">See </w:t>
      </w:r>
      <w:r>
        <w:t xml:space="preserve">document </w:t>
      </w:r>
      <w:r w:rsidR="00A910A3">
        <w:t>TWC/32</w:t>
      </w:r>
      <w:r>
        <w:t>/17</w:t>
      </w:r>
    </w:p>
    <w:p w:rsidR="00EF6EF2" w:rsidRPr="00460CA6" w:rsidRDefault="00EF6EF2" w:rsidP="00460CA6">
      <w:pPr>
        <w:ind w:left="567"/>
        <w:rPr>
          <w:i/>
        </w:rPr>
      </w:pPr>
      <w:bookmarkStart w:id="116" w:name="_Toc374385126"/>
      <w:bookmarkStart w:id="117" w:name="_Toc374631064"/>
      <w:bookmarkStart w:id="118" w:name="_Toc374632536"/>
      <w:bookmarkStart w:id="119" w:name="_Toc374635736"/>
      <w:bookmarkStart w:id="120" w:name="_Toc378251526"/>
      <w:bookmarkStart w:id="121" w:name="_Toc381279987"/>
      <w:r w:rsidRPr="00460CA6">
        <w:rPr>
          <w:i/>
        </w:rPr>
        <w:t>(iv)</w:t>
      </w:r>
      <w:r w:rsidRPr="00460CA6">
        <w:rPr>
          <w:i/>
        </w:rPr>
        <w:tab/>
        <w:t>Data Processing for the Assessment of Distinctness and for Producing Variety Descriptions</w:t>
      </w:r>
      <w:bookmarkEnd w:id="116"/>
      <w:bookmarkEnd w:id="117"/>
      <w:bookmarkEnd w:id="118"/>
      <w:bookmarkEnd w:id="119"/>
      <w:bookmarkEnd w:id="120"/>
      <w:bookmarkEnd w:id="121"/>
    </w:p>
    <w:p w:rsidR="00DC0CB5" w:rsidRPr="00BC1C3E" w:rsidRDefault="00DC0CB5" w:rsidP="00460CA6">
      <w:pPr>
        <w:ind w:left="1418" w:hanging="851"/>
      </w:pPr>
      <w:r>
        <w:tab/>
      </w:r>
      <w:r w:rsidR="00752A45">
        <w:t xml:space="preserve">See </w:t>
      </w:r>
      <w:r>
        <w:t xml:space="preserve">document </w:t>
      </w:r>
      <w:r w:rsidR="00A910A3">
        <w:t>TWC/32</w:t>
      </w:r>
      <w:r>
        <w:t>/18</w:t>
      </w:r>
    </w:p>
    <w:p w:rsidR="00EF6EF2" w:rsidRPr="00460CA6" w:rsidRDefault="00EF6EF2" w:rsidP="00460CA6">
      <w:pPr>
        <w:ind w:left="567"/>
        <w:rPr>
          <w:i/>
        </w:rPr>
      </w:pPr>
      <w:bookmarkStart w:id="122" w:name="_Toc374385127"/>
      <w:bookmarkStart w:id="123" w:name="_Toc374631065"/>
      <w:bookmarkStart w:id="124" w:name="_Toc374632537"/>
      <w:bookmarkStart w:id="125" w:name="_Toc374635737"/>
      <w:bookmarkStart w:id="126" w:name="_Toc378251527"/>
      <w:bookmarkStart w:id="127" w:name="_Toc381279988"/>
      <w:r w:rsidRPr="00460CA6">
        <w:rPr>
          <w:i/>
        </w:rPr>
        <w:t>(v)</w:t>
      </w:r>
      <w:r w:rsidRPr="00460CA6">
        <w:rPr>
          <w:i/>
        </w:rPr>
        <w:tab/>
        <w:t>Guidance of Data Analysis for Blind Randomized Trials</w:t>
      </w:r>
      <w:bookmarkEnd w:id="122"/>
      <w:bookmarkEnd w:id="123"/>
      <w:bookmarkEnd w:id="124"/>
      <w:bookmarkEnd w:id="125"/>
      <w:bookmarkEnd w:id="126"/>
      <w:bookmarkEnd w:id="127"/>
    </w:p>
    <w:p w:rsidR="00DC0CB5" w:rsidRPr="00BC1C3E" w:rsidRDefault="00DC0CB5" w:rsidP="00460CA6">
      <w:pPr>
        <w:ind w:left="1418" w:hanging="851"/>
      </w:pPr>
      <w:r>
        <w:tab/>
      </w:r>
      <w:r w:rsidR="00752A45">
        <w:t xml:space="preserve">See </w:t>
      </w:r>
      <w:r>
        <w:t xml:space="preserve">document </w:t>
      </w:r>
      <w:r w:rsidR="00A910A3">
        <w:t>TWC/32</w:t>
      </w:r>
      <w:r>
        <w:t>/19</w:t>
      </w:r>
    </w:p>
    <w:p w:rsidR="00EF6EF2" w:rsidRPr="00460CA6" w:rsidRDefault="00EF6EF2" w:rsidP="00460CA6">
      <w:pPr>
        <w:ind w:left="567"/>
        <w:rPr>
          <w:i/>
        </w:rPr>
      </w:pPr>
      <w:bookmarkStart w:id="128" w:name="_Toc374385128"/>
      <w:bookmarkStart w:id="129" w:name="_Toc374631066"/>
      <w:bookmarkStart w:id="130" w:name="_Toc374632538"/>
      <w:bookmarkStart w:id="131" w:name="_Toc374635738"/>
      <w:bookmarkStart w:id="132" w:name="_Toc378251528"/>
      <w:bookmarkStart w:id="133" w:name="_Toc381279989"/>
      <w:r w:rsidRPr="00460CA6">
        <w:rPr>
          <w:i/>
        </w:rPr>
        <w:t>(vi)</w:t>
      </w:r>
      <w:r w:rsidRPr="00460CA6">
        <w:rPr>
          <w:i/>
        </w:rPr>
        <w:tab/>
        <w:t>Examining Characteristics Using Image Analysis</w:t>
      </w:r>
      <w:bookmarkEnd w:id="128"/>
      <w:bookmarkEnd w:id="129"/>
      <w:bookmarkEnd w:id="130"/>
      <w:bookmarkEnd w:id="131"/>
      <w:bookmarkEnd w:id="132"/>
      <w:bookmarkEnd w:id="133"/>
    </w:p>
    <w:p w:rsidR="00324D1C" w:rsidRPr="00BC1C3E" w:rsidRDefault="00324D1C" w:rsidP="00460CA6">
      <w:pPr>
        <w:ind w:left="1418" w:hanging="851"/>
      </w:pPr>
      <w:r>
        <w:tab/>
      </w:r>
      <w:r w:rsidR="00752A45">
        <w:t xml:space="preserve">See </w:t>
      </w:r>
      <w:r>
        <w:t xml:space="preserve">document </w:t>
      </w:r>
      <w:r w:rsidR="00A910A3">
        <w:t>TWC/32</w:t>
      </w:r>
      <w:r>
        <w:t>/20</w:t>
      </w:r>
    </w:p>
    <w:p w:rsidR="00EF6EF2" w:rsidRPr="00460CA6" w:rsidRDefault="00EF6EF2" w:rsidP="00460CA6">
      <w:pPr>
        <w:ind w:left="567"/>
        <w:rPr>
          <w:i/>
        </w:rPr>
      </w:pPr>
      <w:bookmarkStart w:id="134" w:name="_Toc374385129"/>
      <w:bookmarkStart w:id="135" w:name="_Toc374631067"/>
      <w:bookmarkStart w:id="136" w:name="_Toc374632539"/>
      <w:bookmarkStart w:id="137" w:name="_Toc374635739"/>
      <w:bookmarkStart w:id="138" w:name="_Toc378251529"/>
      <w:bookmarkStart w:id="139" w:name="_Toc381279990"/>
      <w:r w:rsidRPr="00460CA6">
        <w:rPr>
          <w:i/>
        </w:rPr>
        <w:t>(vii)</w:t>
      </w:r>
      <w:r w:rsidRPr="00460CA6">
        <w:rPr>
          <w:i/>
        </w:rPr>
        <w:tab/>
        <w:t>Statistical Methods for Visually Observed Characteristics</w:t>
      </w:r>
      <w:bookmarkEnd w:id="134"/>
      <w:bookmarkEnd w:id="135"/>
      <w:bookmarkEnd w:id="136"/>
      <w:bookmarkEnd w:id="137"/>
      <w:bookmarkEnd w:id="138"/>
      <w:bookmarkEnd w:id="139"/>
    </w:p>
    <w:p w:rsidR="00324D1C" w:rsidRDefault="00324D1C" w:rsidP="00460CA6">
      <w:pPr>
        <w:ind w:left="1418" w:hanging="851"/>
      </w:pPr>
      <w:bookmarkStart w:id="140" w:name="_Toc374385130"/>
      <w:bookmarkStart w:id="141" w:name="_Toc374631068"/>
      <w:bookmarkStart w:id="142" w:name="_Toc374632540"/>
      <w:bookmarkStart w:id="143" w:name="_Toc374635740"/>
      <w:r>
        <w:tab/>
      </w:r>
      <w:r w:rsidR="00752A45">
        <w:t xml:space="preserve">See </w:t>
      </w:r>
      <w:r>
        <w:t xml:space="preserve">document </w:t>
      </w:r>
      <w:r w:rsidR="00A910A3">
        <w:t>TWC/32</w:t>
      </w:r>
      <w:r>
        <w:t>/21</w:t>
      </w:r>
    </w:p>
    <w:p w:rsidR="00282E2B" w:rsidRDefault="00282E2B" w:rsidP="00282E2B">
      <w:pPr>
        <w:pStyle w:val="Heading2"/>
      </w:pPr>
    </w:p>
    <w:p w:rsidR="00282E2B" w:rsidRDefault="00282E2B" w:rsidP="00282E2B">
      <w:pPr>
        <w:pStyle w:val="Heading2"/>
      </w:pPr>
      <w:bookmarkStart w:id="144" w:name="_Toc386188651"/>
      <w:r>
        <w:t>TGP/9:  Examining Distinctness</w:t>
      </w:r>
      <w:bookmarkEnd w:id="144"/>
    </w:p>
    <w:p w:rsidR="00282E2B" w:rsidRDefault="00282E2B" w:rsidP="00B917C3"/>
    <w:p w:rsidR="00B917C3" w:rsidRDefault="00B917C3" w:rsidP="00B917C3">
      <w:r>
        <w:fldChar w:fldCharType="begin"/>
      </w:r>
      <w:r>
        <w:instrText xml:space="preserve"> AUTONUM  </w:instrText>
      </w:r>
      <w:r>
        <w:fldChar w:fldCharType="end"/>
      </w:r>
      <w:r>
        <w:tab/>
        <w:t>The TC noted that it had previously agreed the new Section 5.5 “Guidance on Number of Plants to be Examined (for Distinctness)” for inclusion in a future revision of document TGP/9 “Examining Distinctness” (see document TC/49/41 “Report on</w:t>
      </w:r>
      <w:r w:rsidR="007E18C8">
        <w:t xml:space="preserve"> the Conclusions”, paragraph 40</w:t>
      </w:r>
      <w:r>
        <w:t>).</w:t>
      </w:r>
    </w:p>
    <w:p w:rsidR="00B917C3" w:rsidRDefault="00B917C3" w:rsidP="00B917C3"/>
    <w:p w:rsidR="00B917C3" w:rsidRDefault="00B917C3" w:rsidP="00B917C3">
      <w:r>
        <w:fldChar w:fldCharType="begin"/>
      </w:r>
      <w:r>
        <w:instrText xml:space="preserve"> AUTONUM  </w:instrText>
      </w:r>
      <w:r>
        <w:fldChar w:fldCharType="end"/>
      </w:r>
      <w:r>
        <w:tab/>
        <w:t>The program for the development of TGP doc</w:t>
      </w:r>
      <w:r w:rsidRPr="00715F5D">
        <w:t xml:space="preserve">uments </w:t>
      </w:r>
      <w:r>
        <w:t xml:space="preserve">previously </w:t>
      </w:r>
      <w:r w:rsidRPr="00715F5D">
        <w:t>agreed by the TC at its forty-ninth session indicated that a revision of document TGP/9 would be proposed for adoption by the Council at its forty-eighth ordinary session</w:t>
      </w:r>
      <w:r>
        <w:t xml:space="preserve"> in 2014</w:t>
      </w:r>
      <w:r w:rsidRPr="00715F5D">
        <w:t xml:space="preserve">. However, on the basis of </w:t>
      </w:r>
      <w:r>
        <w:t>the following new</w:t>
      </w:r>
      <w:r w:rsidRPr="00715F5D">
        <w:t xml:space="preserve"> proposals </w:t>
      </w:r>
      <w:r>
        <w:t>for revision of document TGP/9</w:t>
      </w:r>
      <w:r w:rsidR="00744D66">
        <w:t>,</w:t>
      </w:r>
      <w:r>
        <w:t xml:space="preserve"> the </w:t>
      </w:r>
      <w:r w:rsidRPr="003A75ED">
        <w:t xml:space="preserve">TC </w:t>
      </w:r>
      <w:r>
        <w:t>agreed</w:t>
      </w:r>
      <w:r w:rsidRPr="003A75ED">
        <w:t xml:space="preserve"> </w:t>
      </w:r>
      <w:r>
        <w:t>to delay the revision of document TGP/9 until 2015 (see document</w:t>
      </w:r>
      <w:r w:rsidR="00744D66">
        <w:t> </w:t>
      </w:r>
      <w:r>
        <w:t>TC/50/36 “Report on the Conclusions”, paragraph 74):</w:t>
      </w:r>
    </w:p>
    <w:p w:rsidR="00B917C3" w:rsidRPr="00290F6F" w:rsidRDefault="00B917C3" w:rsidP="00B917C3"/>
    <w:p w:rsidR="00282E2B" w:rsidRPr="00460CA6" w:rsidRDefault="00282E2B" w:rsidP="00460CA6">
      <w:pPr>
        <w:ind w:left="567"/>
        <w:rPr>
          <w:i/>
        </w:rPr>
      </w:pPr>
      <w:r w:rsidRPr="00460CA6">
        <w:rPr>
          <w:i/>
        </w:rPr>
        <w:t>(</w:t>
      </w:r>
      <w:proofErr w:type="spellStart"/>
      <w:r w:rsidRPr="00460CA6">
        <w:rPr>
          <w:i/>
        </w:rPr>
        <w:t>i</w:t>
      </w:r>
      <w:proofErr w:type="spellEnd"/>
      <w:r w:rsidRPr="00460CA6">
        <w:rPr>
          <w:i/>
        </w:rPr>
        <w:t>)</w:t>
      </w:r>
      <w:r w:rsidRPr="00460CA6">
        <w:rPr>
          <w:i/>
        </w:rPr>
        <w:tab/>
        <w:t xml:space="preserve">Section 2.5: Photographs </w:t>
      </w:r>
    </w:p>
    <w:p w:rsidR="00282E2B" w:rsidRPr="00DB6352" w:rsidRDefault="00282E2B" w:rsidP="00460CA6">
      <w:pPr>
        <w:ind w:left="1418" w:hanging="851"/>
      </w:pPr>
      <w:r>
        <w:tab/>
      </w:r>
      <w:r w:rsidR="00752A45">
        <w:t xml:space="preserve">See </w:t>
      </w:r>
      <w:r>
        <w:t xml:space="preserve">document </w:t>
      </w:r>
      <w:r w:rsidR="00A910A3">
        <w:t>TWC/32</w:t>
      </w:r>
      <w:r>
        <w:t>/22</w:t>
      </w:r>
    </w:p>
    <w:p w:rsidR="00282E2B" w:rsidRPr="00460CA6" w:rsidRDefault="00282E2B" w:rsidP="00460CA6">
      <w:pPr>
        <w:ind w:left="567"/>
        <w:rPr>
          <w:i/>
        </w:rPr>
      </w:pPr>
      <w:r w:rsidRPr="00460CA6">
        <w:rPr>
          <w:i/>
        </w:rPr>
        <w:t>(ii)</w:t>
      </w:r>
      <w:r w:rsidRPr="00460CA6">
        <w:rPr>
          <w:i/>
        </w:rPr>
        <w:tab/>
        <w:t xml:space="preserve">Method of Observation </w:t>
      </w:r>
    </w:p>
    <w:p w:rsidR="00282E2B" w:rsidRDefault="00282E2B" w:rsidP="00460CA6">
      <w:pPr>
        <w:ind w:left="1418" w:hanging="851"/>
      </w:pPr>
      <w:r>
        <w:tab/>
      </w:r>
      <w:r w:rsidR="00752A45">
        <w:t xml:space="preserve">See </w:t>
      </w:r>
      <w:r>
        <w:t xml:space="preserve">document </w:t>
      </w:r>
      <w:r w:rsidR="00A910A3">
        <w:t>TWC/32</w:t>
      </w:r>
      <w:r>
        <w:t>/22</w:t>
      </w:r>
    </w:p>
    <w:p w:rsidR="00282E2B" w:rsidRPr="00460CA6" w:rsidRDefault="00282E2B" w:rsidP="00460CA6">
      <w:pPr>
        <w:ind w:left="567"/>
        <w:rPr>
          <w:i/>
        </w:rPr>
      </w:pPr>
      <w:r w:rsidRPr="00460CA6">
        <w:rPr>
          <w:i/>
        </w:rPr>
        <w:t>(iii)</w:t>
      </w:r>
      <w:r w:rsidRPr="00460CA6">
        <w:rPr>
          <w:i/>
        </w:rPr>
        <w:tab/>
        <w:t>Schematic Overview of TGP Documents Concerning Distinctness</w:t>
      </w:r>
    </w:p>
    <w:p w:rsidR="00282E2B" w:rsidRPr="00DB6352" w:rsidRDefault="00282E2B" w:rsidP="00460CA6">
      <w:pPr>
        <w:ind w:left="1418" w:hanging="851"/>
      </w:pPr>
      <w:r>
        <w:tab/>
      </w:r>
      <w:r w:rsidR="00752A45">
        <w:t xml:space="preserve">See </w:t>
      </w:r>
      <w:r>
        <w:t xml:space="preserve">document </w:t>
      </w:r>
      <w:r w:rsidR="00A910A3">
        <w:t>TWC/32</w:t>
      </w:r>
      <w:r>
        <w:t>/22</w:t>
      </w:r>
    </w:p>
    <w:p w:rsidR="00282E2B" w:rsidRPr="00DC0CB5" w:rsidRDefault="00282E2B" w:rsidP="00282E2B">
      <w:pPr>
        <w:rPr>
          <w:rFonts w:cs="Arial"/>
        </w:rPr>
      </w:pPr>
    </w:p>
    <w:p w:rsidR="00282E2B" w:rsidRDefault="00282E2B" w:rsidP="00282E2B">
      <w:pPr>
        <w:pStyle w:val="Heading2"/>
      </w:pPr>
      <w:bookmarkStart w:id="145" w:name="_Toc386188652"/>
      <w:r w:rsidRPr="00290F6F">
        <w:t xml:space="preserve">TGP/14: </w:t>
      </w:r>
      <w:r>
        <w:t xml:space="preserve"> </w:t>
      </w:r>
      <w:r w:rsidRPr="00290F6F">
        <w:t>Glossary of Terms Used in UPOV Documents</w:t>
      </w:r>
      <w:bookmarkEnd w:id="145"/>
    </w:p>
    <w:p w:rsidR="00282E2B" w:rsidRPr="00290F6F" w:rsidRDefault="00282E2B" w:rsidP="00282E2B">
      <w:pPr>
        <w:keepNext/>
      </w:pPr>
    </w:p>
    <w:p w:rsidR="00282E2B" w:rsidRPr="00460CA6" w:rsidRDefault="00282E2B" w:rsidP="00460CA6">
      <w:pPr>
        <w:ind w:left="567"/>
        <w:rPr>
          <w:i/>
        </w:rPr>
      </w:pPr>
      <w:r w:rsidRPr="00460CA6">
        <w:rPr>
          <w:i/>
        </w:rPr>
        <w:t>Section 2.4:  Apex/Tip Shape Characteristics</w:t>
      </w:r>
    </w:p>
    <w:p w:rsidR="00282E2B" w:rsidRPr="00DB6352" w:rsidRDefault="00282E2B" w:rsidP="00460CA6">
      <w:pPr>
        <w:ind w:left="1418" w:hanging="851"/>
      </w:pPr>
      <w:r>
        <w:tab/>
      </w:r>
      <w:r w:rsidR="00752A45">
        <w:t xml:space="preserve">See </w:t>
      </w:r>
      <w:r>
        <w:t xml:space="preserve">document </w:t>
      </w:r>
      <w:r w:rsidR="00A910A3">
        <w:t>TWC/32</w:t>
      </w:r>
      <w:r>
        <w:t>/23</w:t>
      </w:r>
    </w:p>
    <w:p w:rsidR="00282E2B" w:rsidRDefault="00282E2B" w:rsidP="00282E2B">
      <w:pPr>
        <w:rPr>
          <w:rFonts w:cstheme="minorBidi"/>
          <w:szCs w:val="22"/>
        </w:rPr>
      </w:pPr>
    </w:p>
    <w:p w:rsidR="00282E2B" w:rsidRDefault="00282E2B" w:rsidP="00282E2B">
      <w:pPr>
        <w:tabs>
          <w:tab w:val="left" w:pos="5387"/>
        </w:tabs>
        <w:ind w:left="4820"/>
        <w:rPr>
          <w:i/>
        </w:rPr>
      </w:pPr>
      <w:r w:rsidRPr="005C715A">
        <w:rPr>
          <w:i/>
        </w:rPr>
        <w:fldChar w:fldCharType="begin"/>
      </w:r>
      <w:r w:rsidRPr="005C715A">
        <w:rPr>
          <w:i/>
        </w:rPr>
        <w:instrText xml:space="preserve"> AUTONUM  </w:instrText>
      </w:r>
      <w:r w:rsidRPr="005C715A">
        <w:rPr>
          <w:i/>
        </w:rPr>
        <w:fldChar w:fldCharType="end"/>
      </w:r>
      <w:r w:rsidRPr="005C715A">
        <w:rPr>
          <w:i/>
        </w:rPr>
        <w:tab/>
        <w:t xml:space="preserve">The </w:t>
      </w:r>
      <w:r w:rsidR="00A910A3">
        <w:rPr>
          <w:i/>
        </w:rPr>
        <w:t>TWC</w:t>
      </w:r>
      <w:r w:rsidRPr="005C715A">
        <w:rPr>
          <w:i/>
        </w:rPr>
        <w:t xml:space="preserve"> is invited to</w:t>
      </w:r>
      <w:r>
        <w:rPr>
          <w:i/>
        </w:rPr>
        <w:t xml:space="preserve"> </w:t>
      </w:r>
      <w:r w:rsidRPr="005C715A">
        <w:rPr>
          <w:i/>
        </w:rPr>
        <w:t xml:space="preserve">note </w:t>
      </w:r>
      <w:r w:rsidR="00C96C23">
        <w:rPr>
          <w:i/>
        </w:rPr>
        <w:t xml:space="preserve">that </w:t>
      </w:r>
      <w:r w:rsidRPr="005C715A">
        <w:rPr>
          <w:i/>
        </w:rPr>
        <w:t xml:space="preserve">the </w:t>
      </w:r>
      <w:r>
        <w:rPr>
          <w:i/>
        </w:rPr>
        <w:t xml:space="preserve">proposals for future revisions of TGP documents to be discussed by the TWPs at their sessions in 2014 </w:t>
      </w:r>
      <w:r>
        <w:rPr>
          <w:i/>
          <w:iCs/>
          <w:snapToGrid w:val="0"/>
        </w:rPr>
        <w:t xml:space="preserve">will be dealt with under separate documents. </w:t>
      </w:r>
    </w:p>
    <w:p w:rsidR="00153DE6" w:rsidRDefault="00153DE6" w:rsidP="00324D1C">
      <w:pPr>
        <w:rPr>
          <w:rFonts w:cs="Arial"/>
        </w:rPr>
      </w:pPr>
    </w:p>
    <w:p w:rsidR="00B04AA8" w:rsidRPr="00DC0CB5" w:rsidRDefault="00B04AA8" w:rsidP="00324D1C">
      <w:pPr>
        <w:rPr>
          <w:rFonts w:cs="Arial"/>
        </w:rPr>
      </w:pPr>
    </w:p>
    <w:p w:rsidR="00153DE6" w:rsidRDefault="00285101" w:rsidP="00153DE6">
      <w:pPr>
        <w:pStyle w:val="Heading1"/>
      </w:pPr>
      <w:bookmarkStart w:id="146" w:name="_Toc352678076"/>
      <w:bookmarkStart w:id="147" w:name="_Toc353797757"/>
      <w:bookmarkStart w:id="148" w:name="_Toc386188653"/>
      <w:bookmarkEnd w:id="140"/>
      <w:bookmarkEnd w:id="141"/>
      <w:bookmarkEnd w:id="142"/>
      <w:bookmarkEnd w:id="143"/>
      <w:r>
        <w:lastRenderedPageBreak/>
        <w:t>I</w:t>
      </w:r>
      <w:r w:rsidR="00153DE6">
        <w:t>v.</w:t>
      </w:r>
      <w:r w:rsidR="00153DE6">
        <w:tab/>
        <w:t>PROGRAM FOR THE DEVELOPMENT OF TGP DOCUMENTS</w:t>
      </w:r>
      <w:bookmarkEnd w:id="146"/>
      <w:bookmarkEnd w:id="147"/>
      <w:bookmarkEnd w:id="148"/>
    </w:p>
    <w:p w:rsidR="00153DE6" w:rsidRDefault="00153DE6" w:rsidP="00153DE6">
      <w:pPr>
        <w:keepNext/>
        <w:rPr>
          <w:rFonts w:cs="Arial"/>
          <w:color w:val="000000"/>
          <w:lang w:eastAsia="ja-JP"/>
        </w:rPr>
      </w:pPr>
    </w:p>
    <w:p w:rsidR="00153DE6" w:rsidRDefault="00153DE6" w:rsidP="00153DE6">
      <w:pPr>
        <w:keepNext/>
        <w:keepLines/>
        <w:rPr>
          <w:rFonts w:cs="Arial"/>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bookmarkStart w:id="149" w:name="OLE_LINK10"/>
      <w:r>
        <w:rPr>
          <w:rFonts w:cs="Arial"/>
          <w:color w:val="000000"/>
          <w:lang w:eastAsia="ja-JP"/>
        </w:rPr>
        <w:t xml:space="preserve">The Annex </w:t>
      </w:r>
      <w:r w:rsidR="00B8537A">
        <w:rPr>
          <w:rFonts w:cs="Arial"/>
          <w:color w:val="000000"/>
          <w:lang w:eastAsia="ja-JP"/>
        </w:rPr>
        <w:t xml:space="preserve">II </w:t>
      </w:r>
      <w:r>
        <w:rPr>
          <w:rFonts w:cs="Arial"/>
          <w:color w:val="000000"/>
          <w:lang w:eastAsia="ja-JP"/>
        </w:rPr>
        <w:t xml:space="preserve">to this document presents </w:t>
      </w:r>
      <w:r>
        <w:rPr>
          <w:rFonts w:cs="Arial"/>
        </w:rPr>
        <w:t>the program for the development of TGP documents on the basis of the conclusions by the TC, as its fiftieth session, and the CAJ, at its sixty-ninth session (see document TC/50/36 “Report on the Conclusions”, paragraph 75, and document CAJ/69/12 “Report on the Conclusions”, paragraph 64, respectively).</w:t>
      </w:r>
      <w:bookmarkEnd w:id="149"/>
    </w:p>
    <w:p w:rsidR="00153DE6" w:rsidRDefault="00153DE6" w:rsidP="00153DE6">
      <w:pPr>
        <w:keepNext/>
        <w:rPr>
          <w:rFonts w:cs="Arial"/>
          <w:i/>
          <w:snapToGrid w:val="0"/>
        </w:rPr>
      </w:pPr>
    </w:p>
    <w:p w:rsidR="00153DE6" w:rsidRDefault="00153DE6" w:rsidP="00153DE6">
      <w:pPr>
        <w:tabs>
          <w:tab w:val="left" w:pos="5387"/>
          <w:tab w:val="left" w:pos="5954"/>
        </w:tabs>
        <w:ind w:left="4820"/>
        <w:rPr>
          <w:i/>
        </w:rPr>
      </w:pPr>
      <w:r w:rsidRPr="005C715A">
        <w:rPr>
          <w:i/>
        </w:rPr>
        <w:fldChar w:fldCharType="begin"/>
      </w:r>
      <w:r w:rsidRPr="005C715A">
        <w:rPr>
          <w:i/>
        </w:rPr>
        <w:instrText xml:space="preserve"> AUTONUM  </w:instrText>
      </w:r>
      <w:r w:rsidRPr="005C715A">
        <w:rPr>
          <w:i/>
        </w:rPr>
        <w:fldChar w:fldCharType="end"/>
      </w:r>
      <w:r w:rsidRPr="005C715A">
        <w:rPr>
          <w:i/>
        </w:rPr>
        <w:tab/>
        <w:t xml:space="preserve">The </w:t>
      </w:r>
      <w:r w:rsidR="00A910A3">
        <w:rPr>
          <w:i/>
        </w:rPr>
        <w:t>TWC</w:t>
      </w:r>
      <w:r w:rsidRPr="005C715A">
        <w:rPr>
          <w:i/>
        </w:rPr>
        <w:t xml:space="preserve"> is invited to note the program for the development of TGP documents, as set out in the Annex </w:t>
      </w:r>
      <w:r w:rsidR="00B8537A">
        <w:rPr>
          <w:i/>
        </w:rPr>
        <w:t xml:space="preserve">II </w:t>
      </w:r>
      <w:r w:rsidRPr="005C715A">
        <w:rPr>
          <w:i/>
        </w:rPr>
        <w:t>to this document.</w:t>
      </w:r>
    </w:p>
    <w:p w:rsidR="00610C85" w:rsidRDefault="00512FCE" w:rsidP="00A35FA3">
      <w:pPr>
        <w:pStyle w:val="endofdoc"/>
        <w:rPr>
          <w:snapToGrid w:val="0"/>
        </w:rPr>
      </w:pPr>
      <w:r>
        <w:rPr>
          <w:snapToGrid w:val="0"/>
        </w:rPr>
        <w:t>[Annex</w:t>
      </w:r>
      <w:r w:rsidR="00826261">
        <w:rPr>
          <w:snapToGrid w:val="0"/>
        </w:rPr>
        <w:t>es follow</w:t>
      </w:r>
      <w:r>
        <w:rPr>
          <w:snapToGrid w:val="0"/>
        </w:rPr>
        <w:t>]</w:t>
      </w:r>
    </w:p>
    <w:p w:rsidR="00610C85" w:rsidRPr="00610C85" w:rsidRDefault="00610C85" w:rsidP="00610C85"/>
    <w:p w:rsidR="00826261" w:rsidRDefault="00826261" w:rsidP="00BD3075">
      <w:pPr>
        <w:pStyle w:val="endofdoc"/>
        <w:rPr>
          <w:snapToGrid w:val="0"/>
        </w:rPr>
        <w:sectPr w:rsidR="00826261" w:rsidSect="00610C85">
          <w:headerReference w:type="default" r:id="rId11"/>
          <w:headerReference w:type="first" r:id="rId12"/>
          <w:footerReference w:type="first" r:id="rId13"/>
          <w:pgSz w:w="11907" w:h="16840" w:code="9"/>
          <w:pgMar w:top="510" w:right="1134" w:bottom="1134" w:left="1134" w:header="510" w:footer="680" w:gutter="0"/>
          <w:cols w:space="720"/>
          <w:docGrid w:linePitch="272"/>
        </w:sectPr>
      </w:pPr>
    </w:p>
    <w:p w:rsidR="00826261" w:rsidRPr="003C4B34" w:rsidRDefault="00826261" w:rsidP="00610C85">
      <w:pPr>
        <w:jc w:val="center"/>
        <w:rPr>
          <w:caps/>
        </w:rPr>
      </w:pPr>
      <w:r w:rsidRPr="003C4B34">
        <w:rPr>
          <w:caps/>
        </w:rPr>
        <w:lastRenderedPageBreak/>
        <w:t xml:space="preserve">REVISION OF DOCUMENT TGP/8 SECTION 10: </w:t>
      </w:r>
      <w:r w:rsidRPr="003C4B34">
        <w:rPr>
          <w:rFonts w:cs="Arial"/>
          <w:caps/>
        </w:rPr>
        <w:t>UNIFORMITY ASSESSMENT ON THE BASIS OF THE Relative Variance Method</w:t>
      </w:r>
    </w:p>
    <w:p w:rsidR="00826261" w:rsidRDefault="00826261" w:rsidP="00826261">
      <w:pPr>
        <w:widowControl w:val="0"/>
        <w:autoSpaceDE w:val="0"/>
        <w:autoSpaceDN w:val="0"/>
        <w:adjustRightInd w:val="0"/>
        <w:jc w:val="center"/>
        <w:rPr>
          <w:bCs/>
          <w:cap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826261" w:rsidRPr="00100526" w:rsidTr="00B17D12">
        <w:trPr>
          <w:cantSplit/>
          <w:jc w:val="center"/>
        </w:trPr>
        <w:tc>
          <w:tcPr>
            <w:tcW w:w="6664" w:type="dxa"/>
            <w:shd w:val="clear" w:color="auto" w:fill="E6E6E6"/>
          </w:tcPr>
          <w:p w:rsidR="00826261" w:rsidRPr="00100526" w:rsidRDefault="00826261" w:rsidP="00B17D12">
            <w:pPr>
              <w:jc w:val="center"/>
              <w:rPr>
                <w:rFonts w:cs="Arial"/>
                <w:sz w:val="18"/>
                <w:szCs w:val="22"/>
                <w:u w:val="single"/>
              </w:rPr>
            </w:pPr>
            <w:r w:rsidRPr="00100526">
              <w:rPr>
                <w:rFonts w:cs="Arial"/>
                <w:sz w:val="18"/>
                <w:szCs w:val="22"/>
                <w:u w:val="single"/>
              </w:rPr>
              <w:t>Note for Draft version</w:t>
            </w:r>
          </w:p>
          <w:p w:rsidR="00826261" w:rsidRPr="00100526" w:rsidRDefault="00826261" w:rsidP="00B17D12">
            <w:pPr>
              <w:rPr>
                <w:rFonts w:cs="Arial"/>
                <w:sz w:val="18"/>
                <w:szCs w:val="22"/>
                <w:u w:val="single"/>
              </w:rPr>
            </w:pPr>
          </w:p>
          <w:p w:rsidR="00826261" w:rsidRPr="00100526" w:rsidRDefault="00826261" w:rsidP="00455F00">
            <w:pPr>
              <w:jc w:val="center"/>
              <w:rPr>
                <w:rFonts w:cs="Arial"/>
                <w:bCs/>
                <w:sz w:val="18"/>
                <w:szCs w:val="22"/>
              </w:rPr>
            </w:pPr>
            <w:r w:rsidRPr="00100526">
              <w:rPr>
                <w:rFonts w:cs="Arial"/>
                <w:b/>
                <w:bCs/>
                <w:sz w:val="18"/>
                <w:szCs w:val="22"/>
                <w:u w:val="single"/>
              </w:rPr>
              <w:t>Underlining</w:t>
            </w:r>
            <w:r w:rsidRPr="00100526">
              <w:rPr>
                <w:rFonts w:cs="Arial"/>
                <w:b/>
                <w:bCs/>
                <w:sz w:val="18"/>
                <w:szCs w:val="22"/>
              </w:rPr>
              <w:t xml:space="preserve"> </w:t>
            </w:r>
            <w:r w:rsidRPr="00100526">
              <w:rPr>
                <w:rFonts w:cs="Arial"/>
                <w:b/>
                <w:sz w:val="18"/>
                <w:szCs w:val="22"/>
              </w:rPr>
              <w:t>(highlighted)</w:t>
            </w:r>
            <w:r w:rsidRPr="00100526">
              <w:rPr>
                <w:rFonts w:cs="Arial"/>
                <w:sz w:val="18"/>
                <w:szCs w:val="22"/>
              </w:rPr>
              <w:t xml:space="preserve"> </w:t>
            </w:r>
            <w:r w:rsidRPr="00100526">
              <w:rPr>
                <w:rFonts w:cs="Arial"/>
                <w:bCs/>
                <w:sz w:val="18"/>
                <w:szCs w:val="22"/>
              </w:rPr>
              <w:t>indicates changes to document TGP/8/1</w:t>
            </w:r>
          </w:p>
          <w:p w:rsidR="00826261" w:rsidRPr="00100526" w:rsidRDefault="00826261" w:rsidP="00B17D12">
            <w:pPr>
              <w:rPr>
                <w:rFonts w:cs="Arial"/>
                <w:szCs w:val="22"/>
              </w:rPr>
            </w:pPr>
          </w:p>
        </w:tc>
      </w:tr>
    </w:tbl>
    <w:p w:rsidR="00826261" w:rsidRDefault="00826261" w:rsidP="00826261"/>
    <w:p w:rsidR="00826261" w:rsidRDefault="00826261" w:rsidP="00826261">
      <w:bookmarkStart w:id="150" w:name="_Toc270063979"/>
      <w:r w:rsidRPr="00E315FE">
        <w:t>10.</w:t>
      </w:r>
      <w:r w:rsidRPr="00E315FE">
        <w:tab/>
        <w:t>UNIFORMITY ASSESSMENT ON THE BASIS OF THE RELATIVE VARIANCE METHOD</w:t>
      </w:r>
      <w:bookmarkEnd w:id="150"/>
    </w:p>
    <w:p w:rsidR="00826261" w:rsidRPr="00E315FE" w:rsidRDefault="00826261" w:rsidP="00826261"/>
    <w:p w:rsidR="00826261" w:rsidRPr="00A8424E" w:rsidRDefault="00826261" w:rsidP="00826261">
      <w:pPr>
        <w:rPr>
          <w:u w:val="single"/>
        </w:rPr>
      </w:pPr>
      <w:bookmarkStart w:id="151" w:name="_Toc219640859"/>
      <w:bookmarkStart w:id="152" w:name="_Toc270063980"/>
      <w:r w:rsidRPr="00A8424E">
        <w:rPr>
          <w:u w:val="single"/>
        </w:rPr>
        <w:t>10.1</w:t>
      </w:r>
      <w:r w:rsidRPr="00A8424E">
        <w:rPr>
          <w:u w:val="single"/>
        </w:rPr>
        <w:tab/>
        <w:t>Use of the relative variance method</w:t>
      </w:r>
      <w:bookmarkEnd w:id="151"/>
      <w:bookmarkEnd w:id="152"/>
    </w:p>
    <w:p w:rsidR="00826261" w:rsidRPr="00E315FE" w:rsidRDefault="00826261" w:rsidP="00826261"/>
    <w:p w:rsidR="00826261" w:rsidRPr="00E315FE" w:rsidRDefault="00826261" w:rsidP="00826261">
      <w:pPr>
        <w:rPr>
          <w:rFonts w:eastAsia="SimSun"/>
          <w:lang w:eastAsia="zh-CN"/>
        </w:rPr>
      </w:pPr>
      <w:bookmarkStart w:id="153" w:name="_Toc219640860"/>
      <w:r w:rsidRPr="00E315FE">
        <w:rPr>
          <w:snapToGrid w:val="0"/>
          <w:color w:val="000000"/>
        </w:rPr>
        <w:tab/>
      </w:r>
      <w:r w:rsidRPr="00E315FE">
        <w:t>The relative variance for a particular characteristic refers to the variance of the candidate divided by the average of the variance of the comparable varieties (i.e. Relative variance = variance of the candidate/average variance of the comparable varieties).  The data should be normally distributed.  The relative variance method may be applied to any measured characteristic that is a continuous variable, irrespective of the method of propagation of the variety.  Comparable varieties are varieties of the same type within the same or a closely related species that have been previously examined and considered to be sufficiently uniform (see document TGP/10, Section 5.2 “Determining acceptable level of variation”).</w:t>
      </w:r>
    </w:p>
    <w:p w:rsidR="00826261" w:rsidRPr="00E315FE" w:rsidRDefault="00826261" w:rsidP="00826261">
      <w:pPr>
        <w:rPr>
          <w:rFonts w:eastAsia="SimSun"/>
          <w:lang w:eastAsia="zh-CN"/>
        </w:rPr>
      </w:pPr>
    </w:p>
    <w:bookmarkEnd w:id="153"/>
    <w:p w:rsidR="00826261" w:rsidRPr="00E315FE" w:rsidRDefault="00826261" w:rsidP="00826261">
      <w:r w:rsidRPr="00E315FE">
        <w:tab/>
        <w:t>In cross-pollinated varieties, a common recommendation in the UPOV Test Guidelines is to take 60 measurements per characteristic per variety.  In essence, the variance ratio equates to the F statistic, and the tabulated value of F at P = 0.01 under df</w:t>
      </w:r>
      <w:r w:rsidRPr="00E315FE">
        <w:rPr>
          <w:vertAlign w:val="subscript"/>
        </w:rPr>
        <w:t>1</w:t>
      </w:r>
      <w:r w:rsidRPr="00E315FE">
        <w:t xml:space="preserve"> =60 (degrees of freedom of candidate) and df</w:t>
      </w:r>
      <w:r w:rsidRPr="00E315FE">
        <w:rPr>
          <w:vertAlign w:val="subscript"/>
        </w:rPr>
        <w:t>2</w:t>
      </w:r>
      <w:r w:rsidRPr="00E315FE">
        <w:t xml:space="preserve"> = </w:t>
      </w:r>
      <w:r w:rsidRPr="00E315FE">
        <w:sym w:font="Symbol" w:char="F0A5"/>
      </w:r>
      <w:r w:rsidRPr="00E315FE">
        <w:t xml:space="preserve"> (degrees of freedom of comparable variety(</w:t>
      </w:r>
      <w:proofErr w:type="spellStart"/>
      <w:r w:rsidRPr="00E315FE">
        <w:t>ies</w:t>
      </w:r>
      <w:proofErr w:type="spellEnd"/>
      <w:r w:rsidRPr="00E315FE">
        <w:t xml:space="preserve">)) is </w:t>
      </w:r>
      <w:r w:rsidRPr="00B41D76">
        <w:rPr>
          <w:highlight w:val="lightGray"/>
          <w:u w:val="single"/>
        </w:rPr>
        <w:t>1.47</w:t>
      </w:r>
      <w:r w:rsidRPr="00B41D76">
        <w:t>.</w:t>
      </w:r>
      <w:r w:rsidRPr="00E315FE">
        <w:rPr>
          <w:b/>
        </w:rPr>
        <w:t xml:space="preserve">  </w:t>
      </w:r>
      <w:r w:rsidRPr="00E315FE">
        <w:t>df</w:t>
      </w:r>
      <w:r w:rsidRPr="00E315FE">
        <w:rPr>
          <w:vertAlign w:val="subscript"/>
        </w:rPr>
        <w:t>2</w:t>
      </w:r>
      <w:r w:rsidRPr="00E315FE">
        <w:t xml:space="preserve"> = </w:t>
      </w:r>
      <w:r w:rsidRPr="00E315FE">
        <w:sym w:font="Symbol" w:char="F0A5"/>
      </w:r>
      <w:r w:rsidRPr="00E315FE">
        <w:t xml:space="preserve"> is chosen as a conservative estimate, as it is assumed that comparable varieties accurately represent the infinite number of possible comparable varieties for the species as a whole.  Therefore, </w:t>
      </w:r>
      <w:r w:rsidRPr="00B41D76">
        <w:rPr>
          <w:highlight w:val="lightGray"/>
          <w:u w:val="single"/>
        </w:rPr>
        <w:t>1.47</w:t>
      </w:r>
      <w:r>
        <w:rPr>
          <w:u w:val="single"/>
        </w:rPr>
        <w:t xml:space="preserve"> </w:t>
      </w:r>
      <w:r w:rsidRPr="00E315FE">
        <w:t xml:space="preserve">is the threshold </w:t>
      </w:r>
      <w:r w:rsidRPr="003D700A">
        <w:rPr>
          <w:strike/>
          <w:highlight w:val="lightGray"/>
        </w:rPr>
        <w:t>limit</w:t>
      </w:r>
      <w:r w:rsidRPr="00E315FE">
        <w:t xml:space="preserve"> for cross-pollinated species with 60 measurements per characteristics per variety.  For different sample sizes, a different F statistic should be used for the df</w:t>
      </w:r>
      <w:r w:rsidRPr="00E315FE">
        <w:rPr>
          <w:vertAlign w:val="subscript"/>
        </w:rPr>
        <w:t>1,</w:t>
      </w:r>
      <w:r w:rsidRPr="00E315FE">
        <w:t xml:space="preserve"> although the df</w:t>
      </w:r>
      <w:r w:rsidRPr="00E315FE">
        <w:rPr>
          <w:vertAlign w:val="subscript"/>
        </w:rPr>
        <w:t>2</w:t>
      </w:r>
      <w:r w:rsidRPr="00E315FE">
        <w:t xml:space="preserve"> should remain at </w:t>
      </w:r>
      <w:r w:rsidRPr="00E315FE">
        <w:sym w:font="Symbol" w:char="F0A5"/>
      </w:r>
      <w:r w:rsidRPr="00E315FE">
        <w:t>.</w:t>
      </w:r>
    </w:p>
    <w:p w:rsidR="00826261" w:rsidRPr="00E315FE" w:rsidRDefault="00826261" w:rsidP="00826261"/>
    <w:p w:rsidR="00826261" w:rsidRPr="00A8424E" w:rsidRDefault="00826261" w:rsidP="00826261">
      <w:pPr>
        <w:rPr>
          <w:u w:val="single"/>
        </w:rPr>
      </w:pPr>
      <w:bookmarkStart w:id="154" w:name="_Toc219640862"/>
      <w:bookmarkStart w:id="155" w:name="_Toc270063981"/>
      <w:r w:rsidRPr="00A8424E">
        <w:rPr>
          <w:u w:val="single"/>
        </w:rPr>
        <w:t>10.2</w:t>
      </w:r>
      <w:r w:rsidRPr="00A8424E">
        <w:rPr>
          <w:u w:val="single"/>
        </w:rPr>
        <w:tab/>
        <w:t>Threshold</w:t>
      </w:r>
      <w:r w:rsidRPr="002E3544">
        <w:rPr>
          <w:highlight w:val="lightGray"/>
          <w:u w:val="single"/>
        </w:rPr>
        <w:t>s</w:t>
      </w:r>
      <w:r w:rsidRPr="00A8424E">
        <w:rPr>
          <w:u w:val="single"/>
        </w:rPr>
        <w:t xml:space="preserve"> </w:t>
      </w:r>
      <w:r w:rsidRPr="00A8424E">
        <w:rPr>
          <w:strike/>
          <w:highlight w:val="lightGray"/>
          <w:u w:val="single"/>
        </w:rPr>
        <w:t>limit</w:t>
      </w:r>
      <w:r w:rsidRPr="00A8424E">
        <w:rPr>
          <w:u w:val="single"/>
        </w:rPr>
        <w:t xml:space="preserve"> for different sample sizes</w:t>
      </w:r>
      <w:bookmarkEnd w:id="154"/>
      <w:bookmarkEnd w:id="155"/>
    </w:p>
    <w:p w:rsidR="00826261" w:rsidRPr="00E315FE" w:rsidRDefault="00826261" w:rsidP="00826261">
      <w:pPr>
        <w:rPr>
          <w:b/>
        </w:rPr>
      </w:pPr>
    </w:p>
    <w:p w:rsidR="00826261" w:rsidRPr="00E315FE" w:rsidRDefault="00826261" w:rsidP="00826261">
      <w:r w:rsidRPr="00E315FE">
        <w:t>10.2.1</w:t>
      </w:r>
      <w:r>
        <w:t xml:space="preserve"> </w:t>
      </w:r>
      <w:r w:rsidRPr="00E315FE">
        <w:tab/>
        <w:t>Different threshold</w:t>
      </w:r>
      <w:r w:rsidRPr="002E3544">
        <w:rPr>
          <w:highlight w:val="lightGray"/>
          <w:u w:val="single"/>
        </w:rPr>
        <w:t>s</w:t>
      </w:r>
      <w:r w:rsidRPr="00E315FE">
        <w:t xml:space="preserve"> </w:t>
      </w:r>
      <w:r w:rsidRPr="003D700A">
        <w:rPr>
          <w:strike/>
          <w:highlight w:val="lightGray"/>
        </w:rPr>
        <w:t>limits</w:t>
      </w:r>
      <w:r w:rsidRPr="00E315FE">
        <w:t xml:space="preserve"> of F (at P = 0.01) should be applied for different sample sizes of the candidate variety.  The df</w:t>
      </w:r>
      <w:r w:rsidRPr="00E315FE">
        <w:rPr>
          <w:vertAlign w:val="subscript"/>
        </w:rPr>
        <w:t>1</w:t>
      </w:r>
      <w:r w:rsidRPr="00E315FE">
        <w:t xml:space="preserve"> will vary according to different sample sizes of the candidate variety.  However, in all cases the df</w:t>
      </w:r>
      <w:r w:rsidRPr="00E315FE">
        <w:rPr>
          <w:vertAlign w:val="subscript"/>
        </w:rPr>
        <w:t>2</w:t>
      </w:r>
      <w:r w:rsidRPr="00E315FE">
        <w:t xml:space="preserve"> will be considered to be </w:t>
      </w:r>
      <w:r w:rsidRPr="00E315FE">
        <w:sym w:font="Symbol" w:char="F0A5"/>
      </w:r>
      <w:r w:rsidRPr="00E315FE">
        <w:t>, to cover the whole range of possible comparable varieties within a species - thus providing a conservative estimate of the threshold.  Under these conditions and taking the relevant values from the F table, Table 1 shows the threshold</w:t>
      </w:r>
      <w:r w:rsidRPr="002E3544">
        <w:rPr>
          <w:highlight w:val="lightGray"/>
          <w:u w:val="single"/>
        </w:rPr>
        <w:t>s</w:t>
      </w:r>
      <w:r w:rsidRPr="00E315FE">
        <w:t xml:space="preserve"> </w:t>
      </w:r>
      <w:r w:rsidRPr="003D700A">
        <w:rPr>
          <w:strike/>
          <w:highlight w:val="lightGray"/>
        </w:rPr>
        <w:t>limits</w:t>
      </w:r>
      <w:r w:rsidRPr="00E315FE">
        <w:t xml:space="preserve"> that would apply for different sample sizes of the candidate varieties. In the case of different sample sizes than those included in Table 1, the correct threshold </w:t>
      </w:r>
      <w:r w:rsidRPr="003D700A">
        <w:rPr>
          <w:strike/>
          <w:highlight w:val="lightGray"/>
        </w:rPr>
        <w:t>limit</w:t>
      </w:r>
      <w:r w:rsidRPr="00E315FE">
        <w:t xml:space="preserve"> should be used for the exact sample size. </w:t>
      </w:r>
    </w:p>
    <w:p w:rsidR="00826261" w:rsidRPr="00E315FE" w:rsidRDefault="00826261" w:rsidP="00826261"/>
    <w:p w:rsidR="00826261" w:rsidRPr="00E315FE" w:rsidRDefault="00826261" w:rsidP="00826261">
      <w:pPr>
        <w:rPr>
          <w:i/>
          <w:iCs/>
        </w:rPr>
      </w:pPr>
      <w:r w:rsidRPr="00E315FE">
        <w:rPr>
          <w:i/>
          <w:iCs/>
        </w:rPr>
        <w:t>Table 1: Threshold</w:t>
      </w:r>
      <w:r w:rsidRPr="002E3544">
        <w:rPr>
          <w:i/>
          <w:highlight w:val="lightGray"/>
          <w:u w:val="single"/>
        </w:rPr>
        <w:t>s</w:t>
      </w:r>
      <w:r w:rsidRPr="00E315FE">
        <w:rPr>
          <w:i/>
          <w:iCs/>
        </w:rPr>
        <w:t xml:space="preserve"> </w:t>
      </w:r>
      <w:r w:rsidRPr="003D700A">
        <w:rPr>
          <w:i/>
          <w:iCs/>
          <w:strike/>
          <w:highlight w:val="lightGray"/>
        </w:rPr>
        <w:t>limit</w:t>
      </w:r>
      <w:r w:rsidRPr="00E315FE">
        <w:rPr>
          <w:i/>
          <w:iCs/>
        </w:rPr>
        <w:t xml:space="preserve"> for relative variance for some different sample sizes</w:t>
      </w:r>
    </w:p>
    <w:tbl>
      <w:tblPr>
        <w:tblW w:w="0" w:type="auto"/>
        <w:jc w:val="center"/>
        <w:tblInd w:w="2088" w:type="dxa"/>
        <w:tblLook w:val="01E0" w:firstRow="1" w:lastRow="1" w:firstColumn="1" w:lastColumn="1" w:noHBand="0" w:noVBand="0"/>
      </w:tblPr>
      <w:tblGrid>
        <w:gridCol w:w="2173"/>
        <w:gridCol w:w="1967"/>
      </w:tblGrid>
      <w:tr w:rsidR="00826261" w:rsidRPr="00E315FE" w:rsidTr="00B17D12">
        <w:trPr>
          <w:jc w:val="center"/>
        </w:trPr>
        <w:tc>
          <w:tcPr>
            <w:tcW w:w="2173" w:type="dxa"/>
            <w:shd w:val="clear" w:color="auto" w:fill="auto"/>
          </w:tcPr>
          <w:p w:rsidR="00826261" w:rsidRPr="00E315FE" w:rsidRDefault="00826261" w:rsidP="00B17D12">
            <w:pPr>
              <w:jc w:val="center"/>
              <w:rPr>
                <w:b/>
              </w:rPr>
            </w:pPr>
            <w:r w:rsidRPr="00E315FE">
              <w:rPr>
                <w:b/>
              </w:rPr>
              <w:t>Sample size of candidate</w:t>
            </w:r>
          </w:p>
        </w:tc>
        <w:tc>
          <w:tcPr>
            <w:tcW w:w="1967" w:type="dxa"/>
            <w:shd w:val="clear" w:color="auto" w:fill="auto"/>
          </w:tcPr>
          <w:p w:rsidR="00826261" w:rsidRPr="00E315FE" w:rsidRDefault="00826261" w:rsidP="00B17D12">
            <w:pPr>
              <w:jc w:val="center"/>
              <w:rPr>
                <w:b/>
              </w:rPr>
            </w:pPr>
            <w:r w:rsidRPr="00E315FE">
              <w:rPr>
                <w:b/>
              </w:rPr>
              <w:t>Threshold</w:t>
            </w:r>
            <w:r w:rsidRPr="002E3544">
              <w:rPr>
                <w:b/>
                <w:highlight w:val="lightGray"/>
                <w:u w:val="single"/>
              </w:rPr>
              <w:t>s</w:t>
            </w:r>
            <w:r w:rsidRPr="00E315FE">
              <w:rPr>
                <w:b/>
              </w:rPr>
              <w:t xml:space="preserve"> </w:t>
            </w:r>
            <w:r w:rsidRPr="003D700A">
              <w:rPr>
                <w:b/>
                <w:strike/>
                <w:highlight w:val="lightGray"/>
              </w:rPr>
              <w:t>limit</w:t>
            </w:r>
            <w:r w:rsidRPr="00E315FE">
              <w:rPr>
                <w:b/>
              </w:rPr>
              <w:t xml:space="preserve"> for relative variance</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30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1.70</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40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1.59</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50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1.53</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60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1.47</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80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1.41</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100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1.36</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150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1.29</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200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1.25</w:t>
            </w:r>
          </w:p>
        </w:tc>
      </w:tr>
    </w:tbl>
    <w:p w:rsidR="00826261" w:rsidRDefault="00826261" w:rsidP="00826261">
      <w:pPr>
        <w:rPr>
          <w:sz w:val="16"/>
          <w:szCs w:val="16"/>
        </w:rPr>
      </w:pPr>
      <w:r w:rsidRPr="00BA5473">
        <w:tab/>
      </w:r>
      <w:r w:rsidRPr="00BA5473">
        <w:tab/>
      </w:r>
      <w:r w:rsidRPr="00BA5473">
        <w:rPr>
          <w:sz w:val="16"/>
          <w:szCs w:val="16"/>
        </w:rPr>
        <w:t>Source: Table of F published in ‘Tables for Statisticians’ Barnes &amp;</w:t>
      </w:r>
      <w:r>
        <w:rPr>
          <w:sz w:val="16"/>
          <w:szCs w:val="16"/>
        </w:rPr>
        <w:t xml:space="preserve"> </w:t>
      </w:r>
      <w:r w:rsidRPr="00BA5473">
        <w:rPr>
          <w:sz w:val="16"/>
          <w:szCs w:val="16"/>
        </w:rPr>
        <w:t xml:space="preserve">Noble, Inc. New York </w:t>
      </w:r>
    </w:p>
    <w:p w:rsidR="00826261" w:rsidRPr="00BA5473" w:rsidRDefault="00826261" w:rsidP="00826261">
      <w:pPr>
        <w:rPr>
          <w:sz w:val="16"/>
          <w:szCs w:val="16"/>
        </w:rPr>
      </w:pPr>
    </w:p>
    <w:p w:rsidR="00826261" w:rsidRPr="00E315FE" w:rsidRDefault="00826261" w:rsidP="00826261">
      <w:r w:rsidRPr="00E315FE">
        <w:t>10.2.2</w:t>
      </w:r>
      <w:r>
        <w:t xml:space="preserve"> </w:t>
      </w:r>
      <w:r w:rsidRPr="00E315FE">
        <w:tab/>
        <w:t xml:space="preserve">For a given sample size, if the relative variance exceeds the threshold </w:t>
      </w:r>
      <w:r w:rsidRPr="003D700A">
        <w:rPr>
          <w:strike/>
          <w:highlight w:val="lightGray"/>
        </w:rPr>
        <w:t>limit</w:t>
      </w:r>
      <w:r w:rsidRPr="00E315FE">
        <w:t>, the candidate variety will be deemed to be non-uniform for that characteristic.</w:t>
      </w:r>
    </w:p>
    <w:p w:rsidR="00826261" w:rsidRDefault="00826261" w:rsidP="00826261">
      <w:pPr>
        <w:rPr>
          <w:u w:val="single"/>
        </w:rPr>
      </w:pPr>
      <w:bookmarkStart w:id="156" w:name="_Toc219640863"/>
      <w:bookmarkStart w:id="157" w:name="_Toc270063982"/>
    </w:p>
    <w:p w:rsidR="00826261" w:rsidRPr="00A8424E" w:rsidRDefault="00826261" w:rsidP="00826261">
      <w:pPr>
        <w:rPr>
          <w:u w:val="single"/>
        </w:rPr>
      </w:pPr>
      <w:r w:rsidRPr="00A8424E">
        <w:rPr>
          <w:u w:val="single"/>
        </w:rPr>
        <w:t>10.3</w:t>
      </w:r>
      <w:r w:rsidRPr="00A8424E">
        <w:rPr>
          <w:u w:val="single"/>
        </w:rPr>
        <w:tab/>
        <w:t>The relative variance test in practice</w:t>
      </w:r>
      <w:bookmarkEnd w:id="156"/>
      <w:bookmarkEnd w:id="157"/>
    </w:p>
    <w:p w:rsidR="00826261" w:rsidRPr="00E315FE" w:rsidRDefault="00826261" w:rsidP="00826261"/>
    <w:p w:rsidR="00826261" w:rsidRPr="00E315FE" w:rsidRDefault="00826261" w:rsidP="00826261">
      <w:r w:rsidRPr="00E315FE">
        <w:t>10.3.1</w:t>
      </w:r>
      <w:r w:rsidRPr="00E315FE">
        <w:tab/>
      </w:r>
      <w:r>
        <w:tab/>
      </w:r>
      <w:r w:rsidRPr="00E315FE">
        <w:t xml:space="preserve">When the calculated relative variance is lower than the tabulated value of F statistic presented in Table 1,  for the relevant sample size, then it is reasonable to assume that the variances are equal and the candidate variety is uniform in that particular characteristic.  If the calculated relative variance is higher than </w:t>
      </w:r>
      <w:r w:rsidRPr="00E315FE">
        <w:lastRenderedPageBreak/>
        <w:t xml:space="preserve">the tabulated value of F, then the null hypothesis, that the varieties have equal variances, is rejected.  The candidate variety would then be deemed to have a higher variance than the comparable varieties for that particular characteristic and, therefore, would not meet the uniformity criteria. </w:t>
      </w:r>
    </w:p>
    <w:p w:rsidR="00826261" w:rsidRPr="00E315FE" w:rsidRDefault="00826261" w:rsidP="00826261"/>
    <w:p w:rsidR="00826261" w:rsidRPr="00A8424E" w:rsidRDefault="00826261" w:rsidP="00826261">
      <w:pPr>
        <w:rPr>
          <w:u w:val="single"/>
        </w:rPr>
      </w:pPr>
      <w:bookmarkStart w:id="158" w:name="_Toc219640864"/>
      <w:bookmarkStart w:id="159" w:name="_Toc270063983"/>
      <w:r w:rsidRPr="00A8424E">
        <w:rPr>
          <w:u w:val="single"/>
        </w:rPr>
        <w:t>10.4</w:t>
      </w:r>
      <w:r w:rsidRPr="00A8424E">
        <w:rPr>
          <w:u w:val="single"/>
        </w:rPr>
        <w:tab/>
        <w:t>Example of relative variance method</w:t>
      </w:r>
      <w:bookmarkEnd w:id="158"/>
      <w:bookmarkEnd w:id="159"/>
    </w:p>
    <w:p w:rsidR="00826261" w:rsidRPr="00E315FE" w:rsidRDefault="00826261" w:rsidP="00826261">
      <w:pPr>
        <w:rPr>
          <w:b/>
          <w:u w:val="single"/>
          <w:lang w:val="en-GB"/>
        </w:rPr>
      </w:pPr>
    </w:p>
    <w:p w:rsidR="00826261" w:rsidRPr="00E315FE" w:rsidRDefault="00826261" w:rsidP="00826261">
      <w:pPr>
        <w:rPr>
          <w:i/>
        </w:rPr>
      </w:pPr>
      <w:r w:rsidRPr="00E315FE">
        <w:rPr>
          <w:i/>
        </w:rPr>
        <w:t xml:space="preserve">Example </w:t>
      </w:r>
    </w:p>
    <w:p w:rsidR="00826261" w:rsidRPr="00E315FE" w:rsidRDefault="00826261" w:rsidP="00826261"/>
    <w:p w:rsidR="00826261" w:rsidRPr="00E315FE" w:rsidRDefault="00826261" w:rsidP="00826261">
      <w:r w:rsidRPr="00E315FE">
        <w:t>10.4.1</w:t>
      </w:r>
      <w:r>
        <w:tab/>
      </w:r>
      <w:r w:rsidRPr="00E315FE">
        <w:tab/>
        <w:t>In a DUS trial, a cross-pollinated candidate variety is grown together with a number of varieties representing the required level of uniformity for all relevant characteristics.  In order to illustrate the calculation of the relative variance, an example with 4 comparable varieties is given.  The variance data on plant height measurements for the five varieties are presented in Table 2.  For each variety, 60 plants were measured for plant height:</w:t>
      </w:r>
    </w:p>
    <w:p w:rsidR="00826261" w:rsidRPr="00E315FE" w:rsidRDefault="00826261" w:rsidP="00826261"/>
    <w:p w:rsidR="00826261" w:rsidRPr="00E315FE" w:rsidRDefault="00826261" w:rsidP="00826261">
      <w:pPr>
        <w:rPr>
          <w:i/>
          <w:iCs/>
        </w:rPr>
      </w:pPr>
      <w:r w:rsidRPr="00E315FE">
        <w:rPr>
          <w:i/>
          <w:iCs/>
        </w:rPr>
        <w:tab/>
        <w:t>Table 2: variances of candidate and comparable varieties for plant height data</w:t>
      </w:r>
    </w:p>
    <w:tbl>
      <w:tblPr>
        <w:tblW w:w="0" w:type="auto"/>
        <w:tblInd w:w="250" w:type="dxa"/>
        <w:tblLook w:val="01E0" w:firstRow="1" w:lastRow="1" w:firstColumn="1" w:lastColumn="1" w:noHBand="0" w:noVBand="0"/>
      </w:tblPr>
      <w:tblGrid>
        <w:gridCol w:w="1418"/>
        <w:gridCol w:w="1842"/>
        <w:gridCol w:w="1843"/>
        <w:gridCol w:w="1843"/>
        <w:gridCol w:w="1843"/>
      </w:tblGrid>
      <w:tr w:rsidR="00826261" w:rsidRPr="00E315FE" w:rsidTr="00B17D12">
        <w:tc>
          <w:tcPr>
            <w:tcW w:w="1418" w:type="dxa"/>
            <w:shd w:val="clear" w:color="auto" w:fill="auto"/>
          </w:tcPr>
          <w:p w:rsidR="00826261" w:rsidRPr="00E315FE" w:rsidRDefault="00826261" w:rsidP="00B17D12">
            <w:pPr>
              <w:jc w:val="center"/>
            </w:pPr>
            <w:r w:rsidRPr="00E315FE">
              <w:t>Candidate</w:t>
            </w:r>
          </w:p>
        </w:tc>
        <w:tc>
          <w:tcPr>
            <w:tcW w:w="1842" w:type="dxa"/>
            <w:shd w:val="clear" w:color="auto" w:fill="auto"/>
          </w:tcPr>
          <w:p w:rsidR="00826261" w:rsidRPr="00E315FE" w:rsidRDefault="00826261" w:rsidP="00B17D12">
            <w:pPr>
              <w:jc w:val="center"/>
            </w:pPr>
            <w:r w:rsidRPr="00E315FE">
              <w:t>Comparable variety 1</w:t>
            </w:r>
          </w:p>
        </w:tc>
        <w:tc>
          <w:tcPr>
            <w:tcW w:w="1843" w:type="dxa"/>
            <w:shd w:val="clear" w:color="auto" w:fill="auto"/>
          </w:tcPr>
          <w:p w:rsidR="00826261" w:rsidRPr="00E315FE" w:rsidRDefault="00826261" w:rsidP="00B17D12">
            <w:pPr>
              <w:jc w:val="center"/>
            </w:pPr>
            <w:r w:rsidRPr="00E315FE">
              <w:t>Comparable variety 2</w:t>
            </w:r>
          </w:p>
        </w:tc>
        <w:tc>
          <w:tcPr>
            <w:tcW w:w="1843" w:type="dxa"/>
            <w:shd w:val="clear" w:color="auto" w:fill="auto"/>
          </w:tcPr>
          <w:p w:rsidR="00826261" w:rsidRPr="00E315FE" w:rsidRDefault="00826261" w:rsidP="00B17D12">
            <w:pPr>
              <w:jc w:val="center"/>
            </w:pPr>
            <w:r w:rsidRPr="00E315FE">
              <w:t>Comparable variety 3</w:t>
            </w:r>
          </w:p>
        </w:tc>
        <w:tc>
          <w:tcPr>
            <w:tcW w:w="1843" w:type="dxa"/>
            <w:shd w:val="clear" w:color="auto" w:fill="auto"/>
          </w:tcPr>
          <w:p w:rsidR="00826261" w:rsidRPr="00E315FE" w:rsidRDefault="00826261" w:rsidP="00B17D12">
            <w:pPr>
              <w:jc w:val="center"/>
            </w:pPr>
            <w:r w:rsidRPr="00E315FE">
              <w:t>Comparable variety 4</w:t>
            </w:r>
          </w:p>
        </w:tc>
      </w:tr>
      <w:tr w:rsidR="00826261" w:rsidRPr="00E315FE" w:rsidTr="00B17D12">
        <w:tc>
          <w:tcPr>
            <w:tcW w:w="1418" w:type="dxa"/>
            <w:shd w:val="clear" w:color="auto" w:fill="auto"/>
          </w:tcPr>
          <w:p w:rsidR="00826261" w:rsidRPr="00E315FE" w:rsidRDefault="00826261" w:rsidP="00B17D12">
            <w:pPr>
              <w:jc w:val="center"/>
            </w:pPr>
            <w:r w:rsidRPr="00E315FE">
              <w:t>5.6</w:t>
            </w:r>
          </w:p>
        </w:tc>
        <w:tc>
          <w:tcPr>
            <w:tcW w:w="1842" w:type="dxa"/>
            <w:shd w:val="clear" w:color="auto" w:fill="auto"/>
          </w:tcPr>
          <w:p w:rsidR="00826261" w:rsidRPr="00E315FE" w:rsidRDefault="00826261" w:rsidP="00B17D12">
            <w:pPr>
              <w:jc w:val="center"/>
            </w:pPr>
            <w:r w:rsidRPr="00E315FE">
              <w:t>7.8</w:t>
            </w:r>
          </w:p>
        </w:tc>
        <w:tc>
          <w:tcPr>
            <w:tcW w:w="1843" w:type="dxa"/>
            <w:shd w:val="clear" w:color="auto" w:fill="auto"/>
          </w:tcPr>
          <w:p w:rsidR="00826261" w:rsidRPr="00E315FE" w:rsidRDefault="00826261" w:rsidP="00B17D12">
            <w:pPr>
              <w:jc w:val="center"/>
            </w:pPr>
            <w:r w:rsidRPr="00E315FE">
              <w:t>4.5</w:t>
            </w:r>
          </w:p>
        </w:tc>
        <w:tc>
          <w:tcPr>
            <w:tcW w:w="1843" w:type="dxa"/>
            <w:shd w:val="clear" w:color="auto" w:fill="auto"/>
          </w:tcPr>
          <w:p w:rsidR="00826261" w:rsidRPr="00E315FE" w:rsidRDefault="00826261" w:rsidP="00B17D12">
            <w:pPr>
              <w:jc w:val="center"/>
            </w:pPr>
            <w:r w:rsidRPr="00E315FE">
              <w:t>3.2</w:t>
            </w:r>
          </w:p>
        </w:tc>
        <w:tc>
          <w:tcPr>
            <w:tcW w:w="1843" w:type="dxa"/>
            <w:shd w:val="clear" w:color="auto" w:fill="auto"/>
          </w:tcPr>
          <w:p w:rsidR="00826261" w:rsidRPr="00E315FE" w:rsidRDefault="00826261" w:rsidP="00B17D12">
            <w:pPr>
              <w:jc w:val="center"/>
            </w:pPr>
            <w:r w:rsidRPr="00E315FE">
              <w:t>5.8</w:t>
            </w:r>
          </w:p>
        </w:tc>
      </w:tr>
    </w:tbl>
    <w:p w:rsidR="00826261" w:rsidRPr="00E315FE" w:rsidRDefault="00826261" w:rsidP="00826261"/>
    <w:p w:rsidR="00826261" w:rsidRPr="00E315FE" w:rsidRDefault="00826261" w:rsidP="00826261">
      <w:r w:rsidRPr="00E315FE">
        <w:t>10.4.2</w:t>
      </w:r>
      <w:r>
        <w:tab/>
      </w:r>
      <w:r>
        <w:tab/>
      </w:r>
      <w:r w:rsidRPr="00E315FE">
        <w:t xml:space="preserve">The number of observations per variety is the same (n=60);  therefore, we can take the average variance of the comparable varieties as their pooled variance. </w:t>
      </w:r>
    </w:p>
    <w:p w:rsidR="00826261" w:rsidRPr="00E315FE" w:rsidRDefault="00826261" w:rsidP="00826261"/>
    <w:p w:rsidR="00826261" w:rsidRPr="00E315FE" w:rsidRDefault="00826261" w:rsidP="00826261">
      <w:r w:rsidRPr="00E315FE">
        <w:t>10.4.3</w:t>
      </w:r>
      <w:r w:rsidRPr="00E315FE">
        <w:tab/>
      </w:r>
      <w:r>
        <w:tab/>
      </w:r>
      <w:r w:rsidRPr="00E315FE">
        <w:t>The average variance for comparable varieties is   (7.8 + 4.5 + 3.2 + 5.8)/4 = 5.32</w:t>
      </w:r>
    </w:p>
    <w:p w:rsidR="00826261" w:rsidRPr="00E315FE" w:rsidRDefault="00826261" w:rsidP="00826261"/>
    <w:p w:rsidR="00826261" w:rsidRPr="00E315FE" w:rsidRDefault="00826261" w:rsidP="00826261">
      <w:r w:rsidRPr="00E315FE">
        <w:t>10.4.4</w:t>
      </w:r>
      <w:r w:rsidRPr="00E315FE">
        <w:tab/>
      </w:r>
      <w:r>
        <w:tab/>
      </w:r>
      <w:r w:rsidRPr="00E315FE">
        <w:t xml:space="preserve">The relative variance for a particular characteristic refers to the variance of the candidate divided by the average of the variance of the comparable varieties. </w:t>
      </w:r>
    </w:p>
    <w:p w:rsidR="00826261" w:rsidRPr="00E315FE" w:rsidRDefault="00826261" w:rsidP="00826261"/>
    <w:p w:rsidR="00826261" w:rsidRPr="00E315FE" w:rsidRDefault="00826261" w:rsidP="00826261">
      <w:r w:rsidRPr="00E315FE">
        <w:t>Relative variance = variance of the candidate/average variance of the comparable varieties</w:t>
      </w:r>
    </w:p>
    <w:p w:rsidR="00826261" w:rsidRPr="00E315FE" w:rsidRDefault="00826261" w:rsidP="00826261"/>
    <w:p w:rsidR="00826261" w:rsidRPr="00E315FE" w:rsidRDefault="00826261" w:rsidP="00826261">
      <w:r w:rsidRPr="00E315FE">
        <w:tab/>
      </w:r>
      <w:r w:rsidRPr="00E315FE">
        <w:tab/>
        <w:t xml:space="preserve">       = 5.6/5.32 = 1.05</w:t>
      </w:r>
    </w:p>
    <w:p w:rsidR="00826261" w:rsidRPr="00E315FE" w:rsidRDefault="00826261" w:rsidP="00826261"/>
    <w:p w:rsidR="00826261" w:rsidRPr="00E315FE" w:rsidRDefault="00826261" w:rsidP="00826261">
      <w:r w:rsidRPr="00E315FE">
        <w:t>10.4.5</w:t>
      </w:r>
      <w:r w:rsidRPr="00E315FE">
        <w:tab/>
      </w:r>
      <w:r>
        <w:tab/>
      </w:r>
      <w:r w:rsidRPr="00E315FE">
        <w:t xml:space="preserve">Now, in Table 1, for a sample size of 60, the threshold </w:t>
      </w:r>
      <w:r w:rsidRPr="003D700A">
        <w:rPr>
          <w:strike/>
          <w:highlight w:val="lightGray"/>
        </w:rPr>
        <w:t>limit</w:t>
      </w:r>
      <w:r w:rsidRPr="00E315FE">
        <w:t xml:space="preserve"> is </w:t>
      </w:r>
      <w:r w:rsidRPr="00B41D76">
        <w:rPr>
          <w:highlight w:val="lightGray"/>
          <w:u w:val="single"/>
        </w:rPr>
        <w:t>1.47</w:t>
      </w:r>
      <w:r w:rsidRPr="00E315FE">
        <w:t>; therefore, we can conclude that the candidate variety is sufficiently uniform for that characteristic.</w:t>
      </w:r>
    </w:p>
    <w:p w:rsidR="00826261" w:rsidRPr="00E315FE" w:rsidRDefault="00826261" w:rsidP="00826261"/>
    <w:p w:rsidR="00826261" w:rsidRPr="00E315FE" w:rsidRDefault="00826261" w:rsidP="00826261">
      <w:pPr>
        <w:rPr>
          <w:strike/>
          <w:highlight w:val="yellow"/>
        </w:rPr>
      </w:pPr>
    </w:p>
    <w:p w:rsidR="00826261" w:rsidRPr="00A8424E" w:rsidRDefault="00826261" w:rsidP="00826261">
      <w:pPr>
        <w:rPr>
          <w:u w:val="single"/>
        </w:rPr>
      </w:pPr>
      <w:bookmarkStart w:id="160" w:name="_Toc219640865"/>
      <w:bookmarkStart w:id="161" w:name="_Toc270063984"/>
      <w:r w:rsidRPr="00A8424E">
        <w:rPr>
          <w:u w:val="single"/>
        </w:rPr>
        <w:t>10.5</w:t>
      </w:r>
      <w:r w:rsidRPr="00A8424E">
        <w:rPr>
          <w:u w:val="single"/>
        </w:rPr>
        <w:tab/>
        <w:t>Relationship between relative variance and relative standard deviation</w:t>
      </w:r>
      <w:bookmarkEnd w:id="160"/>
      <w:bookmarkEnd w:id="161"/>
      <w:r w:rsidRPr="00A8424E">
        <w:rPr>
          <w:u w:val="single"/>
        </w:rPr>
        <w:t xml:space="preserve"> </w:t>
      </w:r>
    </w:p>
    <w:p w:rsidR="00826261" w:rsidRPr="00E315FE" w:rsidRDefault="00826261" w:rsidP="00826261"/>
    <w:p w:rsidR="00826261" w:rsidRPr="00E315FE" w:rsidRDefault="00826261" w:rsidP="00826261">
      <w:r w:rsidRPr="00E315FE">
        <w:t>10.5.1</w:t>
      </w:r>
      <w:r w:rsidRPr="00E315FE">
        <w:tab/>
      </w:r>
      <w:r>
        <w:tab/>
      </w:r>
      <w:r w:rsidRPr="00E315FE">
        <w:t>Sometimes in DUS trials, the uniformity data is presented in terms of standard deviations, not as variances.  Mathematically there is a simple relationship between variance and standard deviation, as follows:</w:t>
      </w:r>
    </w:p>
    <w:p w:rsidR="00826261" w:rsidRPr="00E315FE" w:rsidRDefault="00826261" w:rsidP="00826261"/>
    <w:p w:rsidR="00826261" w:rsidRPr="00E315FE" w:rsidRDefault="00826261" w:rsidP="00826261">
      <w:r w:rsidRPr="00E315FE">
        <w:tab/>
        <w:t>Standard deviation = square root of Variance</w:t>
      </w:r>
    </w:p>
    <w:p w:rsidR="00826261" w:rsidRPr="00E315FE" w:rsidRDefault="00826261" w:rsidP="00826261"/>
    <w:p w:rsidR="00826261" w:rsidRPr="00E315FE" w:rsidRDefault="00826261" w:rsidP="00826261">
      <w:r w:rsidRPr="00E315FE">
        <w:t>10.5.2</w:t>
      </w:r>
      <w:r w:rsidRPr="00E315FE">
        <w:tab/>
      </w:r>
      <w:r>
        <w:tab/>
      </w:r>
      <w:r w:rsidRPr="00E315FE">
        <w:t xml:space="preserve">Therefore, when dealing with relative standard deviations, Table 1 needs to be modified to include the square roots of the threshold </w:t>
      </w:r>
      <w:r w:rsidRPr="003D700A">
        <w:rPr>
          <w:strike/>
          <w:highlight w:val="lightGray"/>
        </w:rPr>
        <w:t>limits</w:t>
      </w:r>
      <w:r w:rsidRPr="00E315FE">
        <w:t xml:space="preserve">, which is presented in Table </w:t>
      </w:r>
      <w:r>
        <w:t>3</w:t>
      </w:r>
      <w:r w:rsidRPr="00E315FE">
        <w:t>.</w:t>
      </w:r>
    </w:p>
    <w:p w:rsidR="00826261" w:rsidRDefault="00826261" w:rsidP="00826261">
      <w:pPr>
        <w:rPr>
          <w:i/>
          <w:iCs/>
        </w:rPr>
      </w:pPr>
    </w:p>
    <w:p w:rsidR="00826261" w:rsidRPr="00E315FE" w:rsidRDefault="00826261" w:rsidP="00826261">
      <w:pPr>
        <w:rPr>
          <w:i/>
          <w:iCs/>
        </w:rPr>
      </w:pPr>
      <w:r w:rsidRPr="00E315FE">
        <w:rPr>
          <w:i/>
          <w:iCs/>
        </w:rPr>
        <w:t xml:space="preserve">Table </w:t>
      </w:r>
      <w:r>
        <w:rPr>
          <w:i/>
          <w:iCs/>
        </w:rPr>
        <w:t>3</w:t>
      </w:r>
      <w:r w:rsidRPr="00E315FE">
        <w:rPr>
          <w:i/>
          <w:iCs/>
        </w:rPr>
        <w:t>: Threshold</w:t>
      </w:r>
      <w:r w:rsidRPr="002E3544">
        <w:rPr>
          <w:i/>
          <w:highlight w:val="lightGray"/>
          <w:u w:val="single"/>
        </w:rPr>
        <w:t>s</w:t>
      </w:r>
      <w:r w:rsidRPr="00E315FE">
        <w:rPr>
          <w:i/>
          <w:iCs/>
        </w:rPr>
        <w:t xml:space="preserve"> </w:t>
      </w:r>
      <w:r w:rsidRPr="003D700A">
        <w:rPr>
          <w:i/>
          <w:iCs/>
          <w:strike/>
          <w:highlight w:val="lightGray"/>
        </w:rPr>
        <w:t>limit</w:t>
      </w:r>
      <w:r w:rsidRPr="00E315FE">
        <w:rPr>
          <w:i/>
          <w:iCs/>
        </w:rPr>
        <w:t xml:space="preserve"> for relative standard deviations for some different sample sizes </w:t>
      </w:r>
    </w:p>
    <w:tbl>
      <w:tblPr>
        <w:tblW w:w="0" w:type="auto"/>
        <w:tblInd w:w="2088" w:type="dxa"/>
        <w:tblLook w:val="01E0" w:firstRow="1" w:lastRow="1" w:firstColumn="1" w:lastColumn="1" w:noHBand="0" w:noVBand="0"/>
      </w:tblPr>
      <w:tblGrid>
        <w:gridCol w:w="2173"/>
        <w:gridCol w:w="2226"/>
      </w:tblGrid>
      <w:tr w:rsidR="00826261" w:rsidRPr="00E315FE" w:rsidTr="00B17D12">
        <w:tc>
          <w:tcPr>
            <w:tcW w:w="2173" w:type="dxa"/>
            <w:shd w:val="clear" w:color="auto" w:fill="auto"/>
          </w:tcPr>
          <w:p w:rsidR="00826261" w:rsidRPr="00E315FE" w:rsidRDefault="00826261" w:rsidP="00B17D12">
            <w:pPr>
              <w:jc w:val="center"/>
              <w:rPr>
                <w:b/>
              </w:rPr>
            </w:pPr>
            <w:r w:rsidRPr="00E315FE">
              <w:rPr>
                <w:b/>
              </w:rPr>
              <w:t>Sample size of candidate</w:t>
            </w:r>
          </w:p>
        </w:tc>
        <w:tc>
          <w:tcPr>
            <w:tcW w:w="2226" w:type="dxa"/>
            <w:shd w:val="clear" w:color="auto" w:fill="auto"/>
          </w:tcPr>
          <w:p w:rsidR="00826261" w:rsidRPr="00E315FE" w:rsidRDefault="00826261" w:rsidP="00B17D12">
            <w:pPr>
              <w:jc w:val="center"/>
              <w:rPr>
                <w:b/>
              </w:rPr>
            </w:pPr>
            <w:r w:rsidRPr="00E315FE">
              <w:rPr>
                <w:b/>
              </w:rPr>
              <w:t>Threshold</w:t>
            </w:r>
            <w:r w:rsidRPr="002E3544">
              <w:rPr>
                <w:b/>
                <w:highlight w:val="lightGray"/>
                <w:u w:val="single"/>
              </w:rPr>
              <w:t>s</w:t>
            </w:r>
            <w:r w:rsidRPr="00E315FE">
              <w:rPr>
                <w:b/>
              </w:rPr>
              <w:t xml:space="preserve"> </w:t>
            </w:r>
            <w:r w:rsidRPr="003D700A">
              <w:rPr>
                <w:b/>
                <w:strike/>
                <w:highlight w:val="lightGray"/>
              </w:rPr>
              <w:t>limit</w:t>
            </w:r>
            <w:r w:rsidRPr="00E315FE">
              <w:rPr>
                <w:b/>
              </w:rPr>
              <w:t xml:space="preserve"> for relative standard deviations</w:t>
            </w:r>
          </w:p>
        </w:tc>
      </w:tr>
      <w:tr w:rsidR="00826261" w:rsidRPr="00E315FE" w:rsidTr="00B17D12">
        <w:tc>
          <w:tcPr>
            <w:tcW w:w="2173" w:type="dxa"/>
            <w:shd w:val="clear" w:color="auto" w:fill="auto"/>
          </w:tcPr>
          <w:p w:rsidR="00826261" w:rsidRPr="00E315FE" w:rsidRDefault="00826261" w:rsidP="00B17D12">
            <w:pPr>
              <w:jc w:val="center"/>
            </w:pPr>
            <w:r w:rsidRPr="00E315FE">
              <w:t>30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1.30</w:t>
            </w:r>
          </w:p>
        </w:tc>
      </w:tr>
      <w:tr w:rsidR="00826261" w:rsidRPr="00E315FE" w:rsidTr="00B17D12">
        <w:tc>
          <w:tcPr>
            <w:tcW w:w="2173" w:type="dxa"/>
            <w:shd w:val="clear" w:color="auto" w:fill="auto"/>
          </w:tcPr>
          <w:p w:rsidR="00826261" w:rsidRPr="00E315FE" w:rsidRDefault="00826261" w:rsidP="00B17D12">
            <w:pPr>
              <w:jc w:val="center"/>
            </w:pPr>
            <w:r w:rsidRPr="00E315FE">
              <w:t>40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1.26</w:t>
            </w:r>
          </w:p>
        </w:tc>
      </w:tr>
      <w:tr w:rsidR="00826261" w:rsidRPr="00E315FE" w:rsidTr="00B17D12">
        <w:tc>
          <w:tcPr>
            <w:tcW w:w="2173" w:type="dxa"/>
            <w:shd w:val="clear" w:color="auto" w:fill="auto"/>
          </w:tcPr>
          <w:p w:rsidR="00826261" w:rsidRPr="00E315FE" w:rsidRDefault="00826261" w:rsidP="00B17D12">
            <w:pPr>
              <w:jc w:val="center"/>
            </w:pPr>
            <w:r w:rsidRPr="00E315FE">
              <w:t>50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1.24</w:t>
            </w:r>
          </w:p>
        </w:tc>
      </w:tr>
      <w:tr w:rsidR="00826261" w:rsidRPr="00E315FE" w:rsidTr="00B17D12">
        <w:tc>
          <w:tcPr>
            <w:tcW w:w="2173" w:type="dxa"/>
            <w:shd w:val="clear" w:color="auto" w:fill="auto"/>
          </w:tcPr>
          <w:p w:rsidR="00826261" w:rsidRPr="00E315FE" w:rsidRDefault="00826261" w:rsidP="00B17D12">
            <w:pPr>
              <w:jc w:val="center"/>
            </w:pPr>
            <w:r w:rsidRPr="00E315FE">
              <w:t>60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1.21</w:t>
            </w:r>
          </w:p>
        </w:tc>
      </w:tr>
      <w:tr w:rsidR="00826261" w:rsidRPr="00E315FE" w:rsidTr="00B17D12">
        <w:tc>
          <w:tcPr>
            <w:tcW w:w="2173" w:type="dxa"/>
            <w:shd w:val="clear" w:color="auto" w:fill="auto"/>
          </w:tcPr>
          <w:p w:rsidR="00826261" w:rsidRPr="00E315FE" w:rsidRDefault="00826261" w:rsidP="00B17D12">
            <w:pPr>
              <w:jc w:val="center"/>
            </w:pPr>
            <w:r w:rsidRPr="00E315FE">
              <w:t>80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1.19</w:t>
            </w:r>
          </w:p>
        </w:tc>
      </w:tr>
      <w:tr w:rsidR="00826261" w:rsidRPr="00E315FE" w:rsidTr="00B17D12">
        <w:tc>
          <w:tcPr>
            <w:tcW w:w="2173" w:type="dxa"/>
            <w:shd w:val="clear" w:color="auto" w:fill="auto"/>
          </w:tcPr>
          <w:p w:rsidR="00826261" w:rsidRPr="00E315FE" w:rsidRDefault="00826261" w:rsidP="00B17D12">
            <w:pPr>
              <w:jc w:val="center"/>
            </w:pPr>
            <w:r w:rsidRPr="00E315FE">
              <w:t>100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1.17</w:t>
            </w:r>
          </w:p>
        </w:tc>
      </w:tr>
      <w:tr w:rsidR="00826261" w:rsidRPr="00E315FE" w:rsidTr="00B17D12">
        <w:tc>
          <w:tcPr>
            <w:tcW w:w="2173" w:type="dxa"/>
            <w:shd w:val="clear" w:color="auto" w:fill="auto"/>
          </w:tcPr>
          <w:p w:rsidR="00826261" w:rsidRPr="00E315FE" w:rsidRDefault="00826261" w:rsidP="00B17D12">
            <w:pPr>
              <w:jc w:val="center"/>
            </w:pPr>
            <w:r w:rsidRPr="00E315FE">
              <w:t>150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1.14</w:t>
            </w:r>
          </w:p>
        </w:tc>
      </w:tr>
      <w:tr w:rsidR="00826261" w:rsidRPr="00E315FE" w:rsidTr="00B17D12">
        <w:tc>
          <w:tcPr>
            <w:tcW w:w="2173" w:type="dxa"/>
            <w:shd w:val="clear" w:color="auto" w:fill="auto"/>
          </w:tcPr>
          <w:p w:rsidR="00826261" w:rsidRPr="00E315FE" w:rsidRDefault="00826261" w:rsidP="00B17D12">
            <w:pPr>
              <w:jc w:val="center"/>
            </w:pPr>
            <w:r w:rsidRPr="00E315FE">
              <w:t>200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1.12</w:t>
            </w:r>
          </w:p>
        </w:tc>
      </w:tr>
    </w:tbl>
    <w:p w:rsidR="00826261" w:rsidRPr="00E315FE" w:rsidRDefault="00826261" w:rsidP="00826261">
      <w:pPr>
        <w:rPr>
          <w:b/>
        </w:rPr>
      </w:pPr>
    </w:p>
    <w:p w:rsidR="00826261" w:rsidRPr="00E315FE" w:rsidRDefault="00826261" w:rsidP="00826261">
      <w:r w:rsidRPr="00E315FE">
        <w:t>10.5.3</w:t>
      </w:r>
      <w:r>
        <w:t xml:space="preserve"> </w:t>
      </w:r>
      <w:r w:rsidRPr="00E315FE">
        <w:tab/>
        <w:t xml:space="preserve">When making a decision on uniformity based on relative standard deviations, the examiner needs to use Table </w:t>
      </w:r>
      <w:r>
        <w:t>3</w:t>
      </w:r>
      <w:r w:rsidRPr="00E315FE">
        <w:t xml:space="preserve">, instead of Table 1, to get the appropriate threshold </w:t>
      </w:r>
      <w:r w:rsidRPr="003D700A">
        <w:rPr>
          <w:strike/>
          <w:highlight w:val="lightGray"/>
        </w:rPr>
        <w:t>limits</w:t>
      </w:r>
      <w:r w:rsidRPr="00E315FE">
        <w:t>.  The same principle for acceptance or rejection applies for relative standard deviation; only the threshold</w:t>
      </w:r>
      <w:r w:rsidRPr="002E3544">
        <w:rPr>
          <w:highlight w:val="lightGray"/>
          <w:u w:val="single"/>
        </w:rPr>
        <w:t>s</w:t>
      </w:r>
      <w:r w:rsidRPr="00E315FE">
        <w:t xml:space="preserve"> </w:t>
      </w:r>
      <w:r w:rsidRPr="003D700A">
        <w:rPr>
          <w:strike/>
          <w:highlight w:val="lightGray"/>
        </w:rPr>
        <w:t>limits</w:t>
      </w:r>
      <w:r w:rsidRPr="00E315FE">
        <w:t xml:space="preserve"> are lower due to the </w:t>
      </w:r>
      <w:r w:rsidRPr="00E315FE">
        <w:lastRenderedPageBreak/>
        <w:t xml:space="preserve">square root of appropriate values.  For example, for 60 samples the relative variance threshold is </w:t>
      </w:r>
      <w:r w:rsidRPr="00B41D76">
        <w:rPr>
          <w:highlight w:val="lightGray"/>
          <w:u w:val="single"/>
        </w:rPr>
        <w:t>1.47</w:t>
      </w:r>
      <w:r w:rsidRPr="00E315FE">
        <w:t xml:space="preserve">; however, for relative standard deviation the threshold is </w:t>
      </w:r>
      <w:r w:rsidRPr="00B41D76">
        <w:rPr>
          <w:highlight w:val="lightGray"/>
          <w:u w:val="single"/>
        </w:rPr>
        <w:t>1.21</w:t>
      </w:r>
      <w:r w:rsidRPr="00E315FE">
        <w:t xml:space="preserve">, which is the square root of </w:t>
      </w:r>
      <w:r w:rsidRPr="00B41D76">
        <w:rPr>
          <w:highlight w:val="lightGray"/>
          <w:u w:val="single"/>
        </w:rPr>
        <w:t>1.47</w:t>
      </w:r>
      <w:r w:rsidRPr="00E315FE">
        <w:t xml:space="preserve">. </w:t>
      </w:r>
    </w:p>
    <w:p w:rsidR="00826261" w:rsidRDefault="00826261" w:rsidP="00826261"/>
    <w:p w:rsidR="00826261" w:rsidRDefault="00826261" w:rsidP="00594980">
      <w:pPr>
        <w:pStyle w:val="endofdoc"/>
      </w:pPr>
      <w:r w:rsidRPr="00100526">
        <w:t>[</w:t>
      </w:r>
      <w:r>
        <w:t>Annex II follows</w:t>
      </w:r>
      <w:r w:rsidRPr="00100526">
        <w:t>]</w:t>
      </w:r>
    </w:p>
    <w:p w:rsidR="00610C85" w:rsidRPr="00610C85" w:rsidRDefault="00610C85" w:rsidP="00610C85">
      <w:pPr>
        <w:pStyle w:val="Header"/>
        <w:jc w:val="both"/>
      </w:pPr>
    </w:p>
    <w:p w:rsidR="00512FCE" w:rsidRDefault="00512FCE" w:rsidP="00BD3075">
      <w:pPr>
        <w:pStyle w:val="endofdoc"/>
        <w:rPr>
          <w:snapToGrid w:val="0"/>
        </w:rPr>
        <w:sectPr w:rsidR="00512FCE" w:rsidSect="00610C85">
          <w:headerReference w:type="default" r:id="rId14"/>
          <w:headerReference w:type="first" r:id="rId15"/>
          <w:pgSz w:w="11907" w:h="16840" w:code="9"/>
          <w:pgMar w:top="510" w:right="1134" w:bottom="1134" w:left="1134" w:header="510" w:footer="680" w:gutter="0"/>
          <w:pgNumType w:start="1"/>
          <w:cols w:space="720"/>
          <w:titlePg/>
        </w:sectPr>
      </w:pPr>
    </w:p>
    <w:p w:rsidR="00512FCE" w:rsidRDefault="00A910A3" w:rsidP="00CD0F5D">
      <w:pPr>
        <w:jc w:val="center"/>
        <w:rPr>
          <w:snapToGrid w:val="0"/>
        </w:rPr>
      </w:pPr>
      <w:r w:rsidRPr="00A910A3">
        <w:rPr>
          <w:noProof/>
        </w:rPr>
        <w:lastRenderedPageBreak/>
        <w:drawing>
          <wp:inline distT="0" distB="0" distL="0" distR="0" wp14:anchorId="25C7462C" wp14:editId="68DBCE23">
            <wp:extent cx="8925331" cy="66579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27100" cy="6659295"/>
                    </a:xfrm>
                    <a:prstGeom prst="rect">
                      <a:avLst/>
                    </a:prstGeom>
                    <a:noFill/>
                    <a:ln>
                      <a:noFill/>
                    </a:ln>
                  </pic:spPr>
                </pic:pic>
              </a:graphicData>
            </a:graphic>
          </wp:inline>
        </w:drawing>
      </w:r>
    </w:p>
    <w:p w:rsidR="00512FCE" w:rsidRDefault="00512FCE" w:rsidP="00BD3075">
      <w:pPr>
        <w:pStyle w:val="endofdoc"/>
        <w:rPr>
          <w:snapToGrid w:val="0"/>
        </w:rPr>
        <w:sectPr w:rsidR="00512FCE" w:rsidSect="00401B96">
          <w:headerReference w:type="first" r:id="rId17"/>
          <w:pgSz w:w="16840" w:h="11907" w:orient="landscape" w:code="9"/>
          <w:pgMar w:top="425" w:right="851" w:bottom="425" w:left="851" w:header="369" w:footer="680" w:gutter="0"/>
          <w:cols w:space="720"/>
          <w:titlePg/>
          <w:docGrid w:linePitch="272"/>
        </w:sectPr>
      </w:pPr>
    </w:p>
    <w:p w:rsidR="00512FCE" w:rsidRDefault="00A910A3" w:rsidP="00BD3075">
      <w:pPr>
        <w:pStyle w:val="endofdoc"/>
        <w:rPr>
          <w:snapToGrid w:val="0"/>
        </w:rPr>
      </w:pPr>
      <w:r w:rsidRPr="00A910A3">
        <w:rPr>
          <w:noProof/>
        </w:rPr>
        <w:lastRenderedPageBreak/>
        <w:drawing>
          <wp:inline distT="0" distB="0" distL="0" distR="0" wp14:anchorId="74DCEFA4" wp14:editId="5AE24C68">
            <wp:extent cx="9612630" cy="5193834"/>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12630" cy="5193834"/>
                    </a:xfrm>
                    <a:prstGeom prst="rect">
                      <a:avLst/>
                    </a:prstGeom>
                    <a:noFill/>
                    <a:ln>
                      <a:noFill/>
                    </a:ln>
                  </pic:spPr>
                </pic:pic>
              </a:graphicData>
            </a:graphic>
          </wp:inline>
        </w:drawing>
      </w:r>
    </w:p>
    <w:p w:rsidR="0063259F" w:rsidRPr="0063259F" w:rsidRDefault="0063259F" w:rsidP="0063259F">
      <w:pPr>
        <w:pStyle w:val="Header"/>
      </w:pPr>
    </w:p>
    <w:sectPr w:rsidR="0063259F" w:rsidRPr="0063259F" w:rsidSect="00401B96">
      <w:headerReference w:type="first" r:id="rId19"/>
      <w:pgSz w:w="16840" w:h="11907" w:orient="landscape" w:code="9"/>
      <w:pgMar w:top="425" w:right="851" w:bottom="425" w:left="851" w:header="369"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85" w:rsidRDefault="00610C85" w:rsidP="006655D3">
      <w:r>
        <w:separator/>
      </w:r>
    </w:p>
    <w:p w:rsidR="00610C85" w:rsidRDefault="00610C85" w:rsidP="006655D3"/>
    <w:p w:rsidR="00610C85" w:rsidRDefault="00610C85" w:rsidP="006655D3"/>
  </w:endnote>
  <w:endnote w:type="continuationSeparator" w:id="0">
    <w:p w:rsidR="00610C85" w:rsidRDefault="00610C85" w:rsidP="006655D3">
      <w:r>
        <w:separator/>
      </w:r>
    </w:p>
    <w:p w:rsidR="00610C85" w:rsidRPr="00713717" w:rsidRDefault="00610C85">
      <w:pPr>
        <w:pStyle w:val="Footer"/>
        <w:spacing w:after="60"/>
        <w:rPr>
          <w:sz w:val="18"/>
          <w:lang w:val="fr-FR"/>
        </w:rPr>
      </w:pPr>
      <w:r w:rsidRPr="00713717">
        <w:rPr>
          <w:sz w:val="18"/>
          <w:lang w:val="fr-FR"/>
        </w:rPr>
        <w:t>[Suite de la note de la page précédente]</w:t>
      </w:r>
    </w:p>
    <w:p w:rsidR="00610C85" w:rsidRPr="00713717" w:rsidRDefault="00610C85" w:rsidP="006655D3">
      <w:pPr>
        <w:rPr>
          <w:lang w:val="fr-FR"/>
        </w:rPr>
      </w:pPr>
    </w:p>
    <w:p w:rsidR="00610C85" w:rsidRPr="00713717" w:rsidRDefault="00610C85" w:rsidP="006655D3">
      <w:pPr>
        <w:rPr>
          <w:lang w:val="fr-FR"/>
        </w:rPr>
      </w:pPr>
    </w:p>
  </w:endnote>
  <w:endnote w:type="continuationNotice" w:id="1">
    <w:p w:rsidR="00610C85" w:rsidRPr="00713717" w:rsidRDefault="00610C85" w:rsidP="006655D3">
      <w:pPr>
        <w:rPr>
          <w:lang w:val="fr-FR"/>
        </w:rPr>
      </w:pPr>
      <w:r w:rsidRPr="00713717">
        <w:rPr>
          <w:lang w:val="fr-FR"/>
        </w:rPr>
        <w:t>[Suite de la note page suivante]</w:t>
      </w:r>
    </w:p>
    <w:p w:rsidR="00610C85" w:rsidRPr="00713717" w:rsidRDefault="00610C85" w:rsidP="006655D3">
      <w:pPr>
        <w:rPr>
          <w:lang w:val="fr-FR"/>
        </w:rPr>
      </w:pPr>
    </w:p>
    <w:p w:rsidR="00610C85" w:rsidRPr="00713717" w:rsidRDefault="00610C8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85" w:rsidRPr="00924658" w:rsidRDefault="00610C85" w:rsidP="00924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85" w:rsidRDefault="00610C85" w:rsidP="006655D3">
      <w:r>
        <w:separator/>
      </w:r>
    </w:p>
  </w:footnote>
  <w:footnote w:type="continuationSeparator" w:id="0">
    <w:p w:rsidR="00610C85" w:rsidRDefault="00610C85" w:rsidP="006655D3">
      <w:r>
        <w:separator/>
      </w:r>
    </w:p>
  </w:footnote>
  <w:footnote w:type="continuationNotice" w:id="1">
    <w:p w:rsidR="00610C85" w:rsidRPr="00AB530F" w:rsidRDefault="00610C8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85" w:rsidRPr="00832298" w:rsidRDefault="00A910A3" w:rsidP="00832298">
    <w:pPr>
      <w:pStyle w:val="Header"/>
    </w:pPr>
    <w:r>
      <w:t>TWC/32</w:t>
    </w:r>
    <w:r w:rsidR="00610C85" w:rsidRPr="00832298">
      <w:t>/</w:t>
    </w:r>
    <w:r w:rsidR="00610C85">
      <w:t>3</w:t>
    </w:r>
  </w:p>
  <w:p w:rsidR="00610C85" w:rsidRPr="00C5280D" w:rsidRDefault="00610C85"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E4921">
      <w:rPr>
        <w:noProof/>
      </w:rPr>
      <w:t>2</w:t>
    </w:r>
    <w:r w:rsidRPr="00832298">
      <w:fldChar w:fldCharType="end"/>
    </w:r>
  </w:p>
  <w:p w:rsidR="00610C85" w:rsidRPr="00C5280D" w:rsidRDefault="00610C85"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85" w:rsidRPr="00832298" w:rsidRDefault="00A910A3" w:rsidP="00BC6435">
    <w:pPr>
      <w:pStyle w:val="Header"/>
    </w:pPr>
    <w:r>
      <w:t>TWC/32</w:t>
    </w:r>
    <w:r w:rsidR="00610C85" w:rsidRPr="00832298">
      <w:t>/</w:t>
    </w:r>
    <w:r w:rsidR="00610C85">
      <w:t>3</w:t>
    </w:r>
  </w:p>
  <w:p w:rsidR="00610C85" w:rsidRPr="00C5280D" w:rsidRDefault="00610C85" w:rsidP="00BC6435">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2</w:t>
    </w:r>
    <w:r w:rsidRPr="00832298">
      <w:fldChar w:fldCharType="end"/>
    </w:r>
  </w:p>
  <w:p w:rsidR="00610C85" w:rsidRPr="00C5280D" w:rsidRDefault="00610C85" w:rsidP="00BC6435">
    <w:pPr>
      <w:pStyle w:val="Header"/>
    </w:pPr>
  </w:p>
  <w:p w:rsidR="00610C85" w:rsidRDefault="00610C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85" w:rsidRPr="00832298" w:rsidRDefault="00A910A3" w:rsidP="00832298">
    <w:pPr>
      <w:pStyle w:val="Header"/>
    </w:pPr>
    <w:r>
      <w:t>TWC/32</w:t>
    </w:r>
    <w:r w:rsidR="00610C85" w:rsidRPr="00832298">
      <w:t>/</w:t>
    </w:r>
    <w:r w:rsidR="00610C85">
      <w:t>3</w:t>
    </w:r>
  </w:p>
  <w:p w:rsidR="00610C85" w:rsidRPr="00C5280D" w:rsidRDefault="00610C85" w:rsidP="00EB048E">
    <w:pPr>
      <w:pStyle w:val="Header"/>
    </w:pPr>
    <w:r>
      <w:t xml:space="preserve">Annex I, page </w:t>
    </w:r>
    <w:r>
      <w:fldChar w:fldCharType="begin"/>
    </w:r>
    <w:r>
      <w:instrText xml:space="preserve"> PAGE   \* MERGEFORMAT </w:instrText>
    </w:r>
    <w:r>
      <w:fldChar w:fldCharType="separate"/>
    </w:r>
    <w:r w:rsidR="00CE4921">
      <w:rPr>
        <w:noProof/>
      </w:rPr>
      <w:t>3</w:t>
    </w:r>
    <w:r>
      <w:rPr>
        <w:noProof/>
      </w:rPr>
      <w:fldChar w:fldCharType="end"/>
    </w:r>
  </w:p>
  <w:p w:rsidR="00610C85" w:rsidRPr="00C5280D" w:rsidRDefault="00610C85" w:rsidP="008322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85" w:rsidRPr="00832298" w:rsidRDefault="00A910A3" w:rsidP="00BC6435">
    <w:pPr>
      <w:pStyle w:val="Header"/>
    </w:pPr>
    <w:r>
      <w:t>TWC/32</w:t>
    </w:r>
    <w:r w:rsidR="00610C85" w:rsidRPr="00832298">
      <w:t>/</w:t>
    </w:r>
    <w:r w:rsidR="00610C85">
      <w:t>3</w:t>
    </w:r>
  </w:p>
  <w:p w:rsidR="00610C85" w:rsidRDefault="00610C85" w:rsidP="00BC6435">
    <w:pPr>
      <w:pStyle w:val="Header"/>
    </w:pPr>
  </w:p>
  <w:p w:rsidR="00610C85" w:rsidRDefault="00610C85" w:rsidP="00BC6435">
    <w:pPr>
      <w:pStyle w:val="Header"/>
    </w:pPr>
    <w:r>
      <w:t>ANNEX I</w:t>
    </w:r>
  </w:p>
  <w:p w:rsidR="00610C85" w:rsidRPr="00C5280D" w:rsidRDefault="00610C85" w:rsidP="00BC64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658" w:rsidRPr="00BD3075" w:rsidRDefault="00924658" w:rsidP="00BD30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85" w:rsidRPr="00401B96" w:rsidRDefault="00610C85" w:rsidP="00401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680FC2"/>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nsid w:val="273315F4"/>
    <w:multiLevelType w:val="hybridMultilevel"/>
    <w:tmpl w:val="626E9E94"/>
    <w:lvl w:ilvl="0" w:tplc="17160B7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2ACC11CD"/>
    <w:multiLevelType w:val="hybridMultilevel"/>
    <w:tmpl w:val="2E5E4A22"/>
    <w:lvl w:ilvl="0" w:tplc="25F45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908F0"/>
    <w:multiLevelType w:val="hybridMultilevel"/>
    <w:tmpl w:val="8D7A06F0"/>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2D52AC9"/>
    <w:multiLevelType w:val="hybridMultilevel"/>
    <w:tmpl w:val="2AAA35AE"/>
    <w:lvl w:ilvl="0" w:tplc="FAF41D54">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BE09C5"/>
    <w:multiLevelType w:val="hybridMultilevel"/>
    <w:tmpl w:val="414A3F8E"/>
    <w:lvl w:ilvl="0" w:tplc="CCAED9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64A98"/>
    <w:multiLevelType w:val="hybridMultilevel"/>
    <w:tmpl w:val="B18CB842"/>
    <w:lvl w:ilvl="0" w:tplc="9538ED7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B3A1009"/>
    <w:multiLevelType w:val="hybridMultilevel"/>
    <w:tmpl w:val="B7549C62"/>
    <w:lvl w:ilvl="0" w:tplc="9968AC14">
      <w:start w:val="1"/>
      <w:numFmt w:val="lowerRoman"/>
      <w:lvlText w:val="(%1)"/>
      <w:lvlJc w:val="left"/>
      <w:pPr>
        <w:tabs>
          <w:tab w:val="num" w:pos="1080"/>
        </w:tabs>
        <w:ind w:left="1080" w:hanging="720"/>
      </w:pPr>
      <w:rPr>
        <w:i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9">
    <w:nsid w:val="75447A69"/>
    <w:multiLevelType w:val="hybridMultilevel"/>
    <w:tmpl w:val="22BC0A38"/>
    <w:lvl w:ilvl="0" w:tplc="04090001">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BC16DC2"/>
    <w:multiLevelType w:val="hybridMultilevel"/>
    <w:tmpl w:val="A468C9D6"/>
    <w:lvl w:ilvl="0" w:tplc="EE608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707580"/>
    <w:multiLevelType w:val="hybridMultilevel"/>
    <w:tmpl w:val="C49E9940"/>
    <w:lvl w:ilvl="0" w:tplc="584822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1"/>
  </w:num>
  <w:num w:numId="17">
    <w:abstractNumId w:val="12"/>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C6"/>
    <w:rsid w:val="0000250F"/>
    <w:rsid w:val="00010CF3"/>
    <w:rsid w:val="00011E27"/>
    <w:rsid w:val="000148BC"/>
    <w:rsid w:val="00024AB8"/>
    <w:rsid w:val="000268E1"/>
    <w:rsid w:val="00030854"/>
    <w:rsid w:val="00036028"/>
    <w:rsid w:val="000374FC"/>
    <w:rsid w:val="00044642"/>
    <w:rsid w:val="000446B9"/>
    <w:rsid w:val="00047E21"/>
    <w:rsid w:val="00085505"/>
    <w:rsid w:val="000C3471"/>
    <w:rsid w:val="000C7021"/>
    <w:rsid w:val="000D6BBC"/>
    <w:rsid w:val="000D7780"/>
    <w:rsid w:val="00105929"/>
    <w:rsid w:val="001131D5"/>
    <w:rsid w:val="00125409"/>
    <w:rsid w:val="001322D2"/>
    <w:rsid w:val="00141DB8"/>
    <w:rsid w:val="00144DA8"/>
    <w:rsid w:val="00153DE6"/>
    <w:rsid w:val="00171220"/>
    <w:rsid w:val="0017474A"/>
    <w:rsid w:val="001758C6"/>
    <w:rsid w:val="00182B99"/>
    <w:rsid w:val="0018780B"/>
    <w:rsid w:val="001B33E1"/>
    <w:rsid w:val="0021332C"/>
    <w:rsid w:val="00213982"/>
    <w:rsid w:val="00214586"/>
    <w:rsid w:val="002242D8"/>
    <w:rsid w:val="0024416D"/>
    <w:rsid w:val="00262828"/>
    <w:rsid w:val="002800A0"/>
    <w:rsid w:val="002801B3"/>
    <w:rsid w:val="00281060"/>
    <w:rsid w:val="00282E2B"/>
    <w:rsid w:val="00285101"/>
    <w:rsid w:val="002940E8"/>
    <w:rsid w:val="002A6E50"/>
    <w:rsid w:val="002B74BB"/>
    <w:rsid w:val="002C256A"/>
    <w:rsid w:val="002C295D"/>
    <w:rsid w:val="002E3299"/>
    <w:rsid w:val="00305A7F"/>
    <w:rsid w:val="003152FE"/>
    <w:rsid w:val="00324D1C"/>
    <w:rsid w:val="00327436"/>
    <w:rsid w:val="00332739"/>
    <w:rsid w:val="00344BD6"/>
    <w:rsid w:val="0035528D"/>
    <w:rsid w:val="00361821"/>
    <w:rsid w:val="00362CAB"/>
    <w:rsid w:val="00371951"/>
    <w:rsid w:val="003751BF"/>
    <w:rsid w:val="003B3894"/>
    <w:rsid w:val="003D227C"/>
    <w:rsid w:val="003D2B4D"/>
    <w:rsid w:val="00401B96"/>
    <w:rsid w:val="00444A88"/>
    <w:rsid w:val="0045502D"/>
    <w:rsid w:val="00455F00"/>
    <w:rsid w:val="00460CA6"/>
    <w:rsid w:val="00471A66"/>
    <w:rsid w:val="00474DA4"/>
    <w:rsid w:val="00476B4D"/>
    <w:rsid w:val="004805FA"/>
    <w:rsid w:val="004B1163"/>
    <w:rsid w:val="004D047D"/>
    <w:rsid w:val="004E2EF4"/>
    <w:rsid w:val="004F305A"/>
    <w:rsid w:val="00512164"/>
    <w:rsid w:val="00512FCE"/>
    <w:rsid w:val="00520297"/>
    <w:rsid w:val="00524FA2"/>
    <w:rsid w:val="005338F9"/>
    <w:rsid w:val="00533918"/>
    <w:rsid w:val="0054281C"/>
    <w:rsid w:val="0055268D"/>
    <w:rsid w:val="00573796"/>
    <w:rsid w:val="00576BE4"/>
    <w:rsid w:val="0057736E"/>
    <w:rsid w:val="00592D23"/>
    <w:rsid w:val="00594980"/>
    <w:rsid w:val="005A05B0"/>
    <w:rsid w:val="005A400A"/>
    <w:rsid w:val="005F656C"/>
    <w:rsid w:val="00610C85"/>
    <w:rsid w:val="00612379"/>
    <w:rsid w:val="0061555F"/>
    <w:rsid w:val="00624BC6"/>
    <w:rsid w:val="00631020"/>
    <w:rsid w:val="0063259F"/>
    <w:rsid w:val="00637620"/>
    <w:rsid w:val="00641200"/>
    <w:rsid w:val="006655D3"/>
    <w:rsid w:val="00667404"/>
    <w:rsid w:val="00673908"/>
    <w:rsid w:val="00685222"/>
    <w:rsid w:val="00687EB4"/>
    <w:rsid w:val="006B09C4"/>
    <w:rsid w:val="006B17D2"/>
    <w:rsid w:val="006C224E"/>
    <w:rsid w:val="006D780A"/>
    <w:rsid w:val="006E1436"/>
    <w:rsid w:val="006F3D5E"/>
    <w:rsid w:val="00713717"/>
    <w:rsid w:val="00732DEC"/>
    <w:rsid w:val="00735BD5"/>
    <w:rsid w:val="00744D66"/>
    <w:rsid w:val="00752A45"/>
    <w:rsid w:val="007556F6"/>
    <w:rsid w:val="0075696B"/>
    <w:rsid w:val="00760EEF"/>
    <w:rsid w:val="007622F8"/>
    <w:rsid w:val="0076441B"/>
    <w:rsid w:val="00777EE5"/>
    <w:rsid w:val="00784836"/>
    <w:rsid w:val="0079023E"/>
    <w:rsid w:val="007A2854"/>
    <w:rsid w:val="007D0B9D"/>
    <w:rsid w:val="007D19B0"/>
    <w:rsid w:val="007E18C8"/>
    <w:rsid w:val="007E2882"/>
    <w:rsid w:val="007E47F0"/>
    <w:rsid w:val="007F498F"/>
    <w:rsid w:val="0080679D"/>
    <w:rsid w:val="008108B0"/>
    <w:rsid w:val="00811B20"/>
    <w:rsid w:val="0082296E"/>
    <w:rsid w:val="00824099"/>
    <w:rsid w:val="00826261"/>
    <w:rsid w:val="00832298"/>
    <w:rsid w:val="00867AC1"/>
    <w:rsid w:val="00876C58"/>
    <w:rsid w:val="00884F2A"/>
    <w:rsid w:val="008952D4"/>
    <w:rsid w:val="008A6923"/>
    <w:rsid w:val="008A743F"/>
    <w:rsid w:val="008C0970"/>
    <w:rsid w:val="008C39BF"/>
    <w:rsid w:val="008D13DA"/>
    <w:rsid w:val="008D2CF7"/>
    <w:rsid w:val="008E53E9"/>
    <w:rsid w:val="008F46DC"/>
    <w:rsid w:val="00900C26"/>
    <w:rsid w:val="0090197F"/>
    <w:rsid w:val="00903656"/>
    <w:rsid w:val="009041B2"/>
    <w:rsid w:val="00906DDC"/>
    <w:rsid w:val="00907379"/>
    <w:rsid w:val="00924658"/>
    <w:rsid w:val="009269A8"/>
    <w:rsid w:val="00934E09"/>
    <w:rsid w:val="009354A0"/>
    <w:rsid w:val="00936253"/>
    <w:rsid w:val="00942403"/>
    <w:rsid w:val="00952DD4"/>
    <w:rsid w:val="0096104E"/>
    <w:rsid w:val="0096678D"/>
    <w:rsid w:val="00970FED"/>
    <w:rsid w:val="00997029"/>
    <w:rsid w:val="009C0A7F"/>
    <w:rsid w:val="009C2C5C"/>
    <w:rsid w:val="009D690D"/>
    <w:rsid w:val="009E65B6"/>
    <w:rsid w:val="00A02308"/>
    <w:rsid w:val="00A05CF8"/>
    <w:rsid w:val="00A22EC1"/>
    <w:rsid w:val="00A24C10"/>
    <w:rsid w:val="00A35FA3"/>
    <w:rsid w:val="00A42AC3"/>
    <w:rsid w:val="00A430CF"/>
    <w:rsid w:val="00A53916"/>
    <w:rsid w:val="00A54309"/>
    <w:rsid w:val="00A64C6A"/>
    <w:rsid w:val="00A76DB5"/>
    <w:rsid w:val="00A81C98"/>
    <w:rsid w:val="00A910A3"/>
    <w:rsid w:val="00A9235D"/>
    <w:rsid w:val="00AB2B93"/>
    <w:rsid w:val="00AB530F"/>
    <w:rsid w:val="00AB7E5B"/>
    <w:rsid w:val="00AD7E1D"/>
    <w:rsid w:val="00AE0EF1"/>
    <w:rsid w:val="00AE2937"/>
    <w:rsid w:val="00AF2329"/>
    <w:rsid w:val="00B04AA8"/>
    <w:rsid w:val="00B069BB"/>
    <w:rsid w:val="00B07301"/>
    <w:rsid w:val="00B17D12"/>
    <w:rsid w:val="00B224DE"/>
    <w:rsid w:val="00B30781"/>
    <w:rsid w:val="00B46575"/>
    <w:rsid w:val="00B54D53"/>
    <w:rsid w:val="00B62EF0"/>
    <w:rsid w:val="00B67968"/>
    <w:rsid w:val="00B71144"/>
    <w:rsid w:val="00B84BBD"/>
    <w:rsid w:val="00B8537A"/>
    <w:rsid w:val="00B874D2"/>
    <w:rsid w:val="00B917C3"/>
    <w:rsid w:val="00B948DF"/>
    <w:rsid w:val="00BA43FB"/>
    <w:rsid w:val="00BB0967"/>
    <w:rsid w:val="00BC127D"/>
    <w:rsid w:val="00BC1C3E"/>
    <w:rsid w:val="00BC1FE6"/>
    <w:rsid w:val="00BC40A0"/>
    <w:rsid w:val="00BC6435"/>
    <w:rsid w:val="00BD3075"/>
    <w:rsid w:val="00BE4C72"/>
    <w:rsid w:val="00BF1AA1"/>
    <w:rsid w:val="00C061B6"/>
    <w:rsid w:val="00C16772"/>
    <w:rsid w:val="00C2446C"/>
    <w:rsid w:val="00C24FD3"/>
    <w:rsid w:val="00C267C4"/>
    <w:rsid w:val="00C27913"/>
    <w:rsid w:val="00C36AE5"/>
    <w:rsid w:val="00C41F17"/>
    <w:rsid w:val="00C5280D"/>
    <w:rsid w:val="00C5791C"/>
    <w:rsid w:val="00C6543A"/>
    <w:rsid w:val="00C66290"/>
    <w:rsid w:val="00C72B7A"/>
    <w:rsid w:val="00C87462"/>
    <w:rsid w:val="00C96C23"/>
    <w:rsid w:val="00C973F2"/>
    <w:rsid w:val="00CA1D00"/>
    <w:rsid w:val="00CA304C"/>
    <w:rsid w:val="00CA774A"/>
    <w:rsid w:val="00CC11B0"/>
    <w:rsid w:val="00CD0F5D"/>
    <w:rsid w:val="00CE4921"/>
    <w:rsid w:val="00CF7E36"/>
    <w:rsid w:val="00D004A8"/>
    <w:rsid w:val="00D3708D"/>
    <w:rsid w:val="00D40426"/>
    <w:rsid w:val="00D513EB"/>
    <w:rsid w:val="00D57C96"/>
    <w:rsid w:val="00D91203"/>
    <w:rsid w:val="00D93554"/>
    <w:rsid w:val="00D95174"/>
    <w:rsid w:val="00D95650"/>
    <w:rsid w:val="00DA6F36"/>
    <w:rsid w:val="00DB596E"/>
    <w:rsid w:val="00DB6352"/>
    <w:rsid w:val="00DB7773"/>
    <w:rsid w:val="00DC00EA"/>
    <w:rsid w:val="00DC0CB5"/>
    <w:rsid w:val="00DF108F"/>
    <w:rsid w:val="00DF474C"/>
    <w:rsid w:val="00E32F7E"/>
    <w:rsid w:val="00E72D49"/>
    <w:rsid w:val="00E752CA"/>
    <w:rsid w:val="00E7593C"/>
    <w:rsid w:val="00E7678A"/>
    <w:rsid w:val="00E7765C"/>
    <w:rsid w:val="00E935F1"/>
    <w:rsid w:val="00E94A81"/>
    <w:rsid w:val="00E9736A"/>
    <w:rsid w:val="00EA1FFB"/>
    <w:rsid w:val="00EB048E"/>
    <w:rsid w:val="00ED6637"/>
    <w:rsid w:val="00EE34DF"/>
    <w:rsid w:val="00EF2F89"/>
    <w:rsid w:val="00EF6EF2"/>
    <w:rsid w:val="00F1237A"/>
    <w:rsid w:val="00F22CBD"/>
    <w:rsid w:val="00F3017B"/>
    <w:rsid w:val="00F45372"/>
    <w:rsid w:val="00F560F7"/>
    <w:rsid w:val="00F6334D"/>
    <w:rsid w:val="00F671DA"/>
    <w:rsid w:val="00F91E7A"/>
    <w:rsid w:val="00FA49AB"/>
    <w:rsid w:val="00FC656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C8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F671DA"/>
    <w:pPr>
      <w:keepNext/>
      <w:jc w:val="both"/>
      <w:outlineLvl w:val="1"/>
    </w:pPr>
    <w:rPr>
      <w:rFonts w:ascii="Arial" w:hAnsi="Arial"/>
      <w:snapToGrid w:val="0"/>
      <w:u w:val="single"/>
    </w:rPr>
  </w:style>
  <w:style w:type="paragraph" w:styleId="Heading3">
    <w:name w:val="heading 3"/>
    <w:aliases w:val="Heading 3 Scientific Name"/>
    <w:next w:val="Normal"/>
    <w:link w:val="Heading3Char"/>
    <w:autoRedefine/>
    <w:qFormat/>
    <w:rsid w:val="00460CA6"/>
    <w:pPr>
      <w:keepNext/>
      <w:jc w:val="both"/>
      <w:outlineLvl w:val="2"/>
    </w:pPr>
    <w:rPr>
      <w:rFonts w:ascii="Arial" w:hAnsi="Arial"/>
      <w:i/>
    </w:rPr>
  </w:style>
  <w:style w:type="paragraph" w:styleId="Heading4">
    <w:name w:val="heading 4"/>
    <w:next w:val="Normal"/>
    <w:autoRedefine/>
    <w:qFormat/>
    <w:rsid w:val="008A6923"/>
    <w:pPr>
      <w:keepNext/>
      <w:tabs>
        <w:tab w:val="left" w:pos="1134"/>
      </w:tabs>
      <w:ind w:left="426"/>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rsid w:val="00594980"/>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24658"/>
    <w:pPr>
      <w:tabs>
        <w:tab w:val="right" w:leader="dot" w:pos="9639"/>
      </w:tabs>
      <w:spacing w:before="120"/>
      <w:ind w:left="1050" w:right="284" w:hanging="766"/>
      <w:contextualSpacing/>
    </w:pPr>
    <w:rPr>
      <w:rFonts w:ascii="Arial" w:hAnsi="Arial"/>
      <w:noProof/>
    </w:rPr>
  </w:style>
  <w:style w:type="paragraph" w:styleId="TOC3">
    <w:name w:val="toc 3"/>
    <w:next w:val="Normal"/>
    <w:autoRedefine/>
    <w:uiPriority w:val="39"/>
    <w:rsid w:val="009269A8"/>
    <w:pPr>
      <w:tabs>
        <w:tab w:val="right" w:leader="dot" w:pos="9639"/>
      </w:tabs>
      <w:spacing w:before="120"/>
      <w:ind w:left="1134"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924658"/>
    <w:pPr>
      <w:tabs>
        <w:tab w:val="right" w:leader="dot" w:pos="9639"/>
      </w:tabs>
      <w:spacing w:before="120"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7E2882"/>
    <w:rPr>
      <w:rFonts w:ascii="Arial" w:hAnsi="Arial"/>
      <w:caps/>
    </w:rPr>
  </w:style>
  <w:style w:type="character" w:customStyle="1" w:styleId="FootnoteTextChar">
    <w:name w:val="Footnote Text Char"/>
    <w:basedOn w:val="DefaultParagraphFont"/>
    <w:link w:val="FootnoteText"/>
    <w:rsid w:val="007E2882"/>
    <w:rPr>
      <w:rFonts w:ascii="Arial" w:hAnsi="Arial"/>
      <w:sz w:val="16"/>
    </w:rPr>
  </w:style>
  <w:style w:type="paragraph" w:styleId="CommentText">
    <w:name w:val="annotation text"/>
    <w:basedOn w:val="Normal"/>
    <w:link w:val="CommentTextChar"/>
    <w:unhideWhenUsed/>
    <w:rsid w:val="007E2882"/>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7E2882"/>
    <w:rPr>
      <w:sz w:val="22"/>
      <w:szCs w:val="22"/>
      <w:lang w:eastAsia="ja-JP"/>
    </w:rPr>
  </w:style>
  <w:style w:type="character" w:customStyle="1" w:styleId="Heading2Char">
    <w:name w:val="Heading 2 Char"/>
    <w:aliases w:val="VARIETY Char,variety Char"/>
    <w:basedOn w:val="DefaultParagraphFont"/>
    <w:link w:val="Heading2"/>
    <w:rsid w:val="00F671DA"/>
    <w:rPr>
      <w:rFonts w:ascii="Arial" w:hAnsi="Arial"/>
      <w:snapToGrid w:val="0"/>
      <w:u w:val="single"/>
    </w:rPr>
  </w:style>
  <w:style w:type="character" w:customStyle="1" w:styleId="Heading3Char">
    <w:name w:val="Heading 3 Char"/>
    <w:aliases w:val="Heading 3 Scientific Name Char"/>
    <w:basedOn w:val="DefaultParagraphFont"/>
    <w:link w:val="Heading3"/>
    <w:rsid w:val="00460CA6"/>
    <w:rPr>
      <w:rFonts w:ascii="Arial" w:hAnsi="Arial"/>
      <w:i/>
    </w:rPr>
  </w:style>
  <w:style w:type="paragraph" w:styleId="ListParagraph">
    <w:name w:val="List Paragraph"/>
    <w:basedOn w:val="Normal"/>
    <w:uiPriority w:val="34"/>
    <w:qFormat/>
    <w:rsid w:val="00B874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C8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F671DA"/>
    <w:pPr>
      <w:keepNext/>
      <w:jc w:val="both"/>
      <w:outlineLvl w:val="1"/>
    </w:pPr>
    <w:rPr>
      <w:rFonts w:ascii="Arial" w:hAnsi="Arial"/>
      <w:snapToGrid w:val="0"/>
      <w:u w:val="single"/>
    </w:rPr>
  </w:style>
  <w:style w:type="paragraph" w:styleId="Heading3">
    <w:name w:val="heading 3"/>
    <w:aliases w:val="Heading 3 Scientific Name"/>
    <w:next w:val="Normal"/>
    <w:link w:val="Heading3Char"/>
    <w:autoRedefine/>
    <w:qFormat/>
    <w:rsid w:val="00460CA6"/>
    <w:pPr>
      <w:keepNext/>
      <w:jc w:val="both"/>
      <w:outlineLvl w:val="2"/>
    </w:pPr>
    <w:rPr>
      <w:rFonts w:ascii="Arial" w:hAnsi="Arial"/>
      <w:i/>
    </w:rPr>
  </w:style>
  <w:style w:type="paragraph" w:styleId="Heading4">
    <w:name w:val="heading 4"/>
    <w:next w:val="Normal"/>
    <w:autoRedefine/>
    <w:qFormat/>
    <w:rsid w:val="008A6923"/>
    <w:pPr>
      <w:keepNext/>
      <w:tabs>
        <w:tab w:val="left" w:pos="1134"/>
      </w:tabs>
      <w:ind w:left="426"/>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rsid w:val="00594980"/>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24658"/>
    <w:pPr>
      <w:tabs>
        <w:tab w:val="right" w:leader="dot" w:pos="9639"/>
      </w:tabs>
      <w:spacing w:before="120"/>
      <w:ind w:left="1050" w:right="284" w:hanging="766"/>
      <w:contextualSpacing/>
    </w:pPr>
    <w:rPr>
      <w:rFonts w:ascii="Arial" w:hAnsi="Arial"/>
      <w:noProof/>
    </w:rPr>
  </w:style>
  <w:style w:type="paragraph" w:styleId="TOC3">
    <w:name w:val="toc 3"/>
    <w:next w:val="Normal"/>
    <w:autoRedefine/>
    <w:uiPriority w:val="39"/>
    <w:rsid w:val="009269A8"/>
    <w:pPr>
      <w:tabs>
        <w:tab w:val="right" w:leader="dot" w:pos="9639"/>
      </w:tabs>
      <w:spacing w:before="120"/>
      <w:ind w:left="1134"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924658"/>
    <w:pPr>
      <w:tabs>
        <w:tab w:val="right" w:leader="dot" w:pos="9639"/>
      </w:tabs>
      <w:spacing w:before="120"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7E2882"/>
    <w:rPr>
      <w:rFonts w:ascii="Arial" w:hAnsi="Arial"/>
      <w:caps/>
    </w:rPr>
  </w:style>
  <w:style w:type="character" w:customStyle="1" w:styleId="FootnoteTextChar">
    <w:name w:val="Footnote Text Char"/>
    <w:basedOn w:val="DefaultParagraphFont"/>
    <w:link w:val="FootnoteText"/>
    <w:rsid w:val="007E2882"/>
    <w:rPr>
      <w:rFonts w:ascii="Arial" w:hAnsi="Arial"/>
      <w:sz w:val="16"/>
    </w:rPr>
  </w:style>
  <w:style w:type="paragraph" w:styleId="CommentText">
    <w:name w:val="annotation text"/>
    <w:basedOn w:val="Normal"/>
    <w:link w:val="CommentTextChar"/>
    <w:unhideWhenUsed/>
    <w:rsid w:val="007E2882"/>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7E2882"/>
    <w:rPr>
      <w:sz w:val="22"/>
      <w:szCs w:val="22"/>
      <w:lang w:eastAsia="ja-JP"/>
    </w:rPr>
  </w:style>
  <w:style w:type="character" w:customStyle="1" w:styleId="Heading2Char">
    <w:name w:val="Heading 2 Char"/>
    <w:aliases w:val="VARIETY Char,variety Char"/>
    <w:basedOn w:val="DefaultParagraphFont"/>
    <w:link w:val="Heading2"/>
    <w:rsid w:val="00F671DA"/>
    <w:rPr>
      <w:rFonts w:ascii="Arial" w:hAnsi="Arial"/>
      <w:snapToGrid w:val="0"/>
      <w:u w:val="single"/>
    </w:rPr>
  </w:style>
  <w:style w:type="character" w:customStyle="1" w:styleId="Heading3Char">
    <w:name w:val="Heading 3 Char"/>
    <w:aliases w:val="Heading 3 Scientific Name Char"/>
    <w:basedOn w:val="DefaultParagraphFont"/>
    <w:link w:val="Heading3"/>
    <w:rsid w:val="00460CA6"/>
    <w:rPr>
      <w:rFonts w:ascii="Arial" w:hAnsi="Arial"/>
      <w:i/>
    </w:rPr>
  </w:style>
  <w:style w:type="paragraph" w:styleId="ListParagraph">
    <w:name w:val="List Paragraph"/>
    <w:basedOn w:val="Normal"/>
    <w:uiPriority w:val="34"/>
    <w:qFormat/>
    <w:rsid w:val="00B87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69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upov_collection/en/"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D36E9-12F9-4DAF-A56B-2920F702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16</TotalTime>
  <Pages>13</Pages>
  <Words>3797</Words>
  <Characters>21698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25445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9</cp:revision>
  <cp:lastPrinted>2014-05-08T09:19:00Z</cp:lastPrinted>
  <dcterms:created xsi:type="dcterms:W3CDTF">2014-04-25T09:18:00Z</dcterms:created>
  <dcterms:modified xsi:type="dcterms:W3CDTF">2014-05-08T09:20:00Z</dcterms:modified>
</cp:coreProperties>
</file>