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75B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F6BFD">
              <w:t>C/31</w:t>
            </w:r>
            <w:r>
              <w:t>/</w:t>
            </w:r>
            <w:bookmarkStart w:id="0" w:name="Code"/>
            <w:bookmarkEnd w:id="0"/>
            <w:r w:rsidR="00AE66CE">
              <w:t>18</w:t>
            </w:r>
            <w:r w:rsidR="005706DF">
              <w:t xml:space="preserve"> Add.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D752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0C048A" w:rsidRPr="000C048A">
              <w:rPr>
                <w:rStyle w:val="StyleDocoriginalNotBold1"/>
                <w:spacing w:val="0"/>
              </w:rPr>
              <w:t xml:space="preserve">August </w:t>
            </w:r>
            <w:r w:rsidR="001D752C">
              <w:rPr>
                <w:rStyle w:val="StyleDocoriginalNotBold1"/>
                <w:spacing w:val="0"/>
              </w:rPr>
              <w:t>8</w:t>
            </w:r>
            <w:r w:rsidR="00AE66CE" w:rsidRPr="000C048A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082DB8">
        <w:trPr>
          <w:trHeight w:val="318"/>
        </w:trPr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  <w:bookmarkStart w:id="3" w:name="_GoBack"/>
            <w:bookmarkEnd w:id="3"/>
          </w:p>
        </w:tc>
      </w:tr>
    </w:tbl>
    <w:p w:rsidR="006F6BFD" w:rsidRPr="00C5280D" w:rsidRDefault="006F6BFD" w:rsidP="006F6BFD">
      <w:pPr>
        <w:pStyle w:val="Sessiontc"/>
      </w:pPr>
      <w:bookmarkStart w:id="4" w:name="TitleOfDoc"/>
      <w:bookmarkEnd w:id="4"/>
      <w:r w:rsidRPr="00C5280D">
        <w:t xml:space="preserve">Technical </w:t>
      </w:r>
      <w:r>
        <w:t>working party on automation and computer programs</w:t>
      </w:r>
    </w:p>
    <w:p w:rsidR="006F6BFD" w:rsidRPr="00C5280D" w:rsidRDefault="006F6BFD" w:rsidP="006F6BFD">
      <w:pPr>
        <w:pStyle w:val="Sessiontcplacedate"/>
      </w:pPr>
      <w:r>
        <w:t>Thirty-First</w:t>
      </w:r>
      <w:r w:rsidRPr="00C5280D">
        <w:t xml:space="preserve"> Session</w:t>
      </w:r>
      <w:r w:rsidRPr="00C5280D">
        <w:br/>
      </w:r>
      <w:r>
        <w:rPr>
          <w:rFonts w:cs="Arial"/>
        </w:rPr>
        <w:t>Seoul</w:t>
      </w:r>
      <w:r w:rsidRPr="00CC587F">
        <w:rPr>
          <w:rFonts w:cs="Arial"/>
        </w:rPr>
        <w:t xml:space="preserve">, </w:t>
      </w:r>
      <w:r>
        <w:t>June 4 to 7, 2013</w:t>
      </w:r>
    </w:p>
    <w:p w:rsidR="006277BC" w:rsidRDefault="006277BC" w:rsidP="005B62F0">
      <w:pPr>
        <w:pStyle w:val="Titleofdoc0"/>
        <w:rPr>
          <w:rFonts w:cs="Arial"/>
        </w:rPr>
      </w:pPr>
      <w:r>
        <w:rPr>
          <w:rFonts w:cs="Arial"/>
        </w:rPr>
        <w:t>Addendum</w:t>
      </w:r>
    </w:p>
    <w:p w:rsidR="005B62F0" w:rsidRPr="00FD311B" w:rsidRDefault="005B62F0" w:rsidP="005B62F0">
      <w:pPr>
        <w:pStyle w:val="Titleofdoc0"/>
      </w:pPr>
      <w:r w:rsidRPr="00FD311B">
        <w:rPr>
          <w:rFonts w:cs="Arial"/>
        </w:rPr>
        <w:t xml:space="preserve">Revision of document TGP/8: Part II: </w:t>
      </w:r>
      <w:r w:rsidRPr="00FD311B">
        <w:rPr>
          <w:rFonts w:cs="Arial"/>
        </w:rPr>
        <w:br/>
        <w:t>New Section: Data Processing for the Assessment of Distinctness and for Producing Variety Descriptions</w:t>
      </w:r>
    </w:p>
    <w:p w:rsidR="005B62F0" w:rsidRPr="00C5280D" w:rsidRDefault="005B62F0" w:rsidP="005B62F0">
      <w:pPr>
        <w:pStyle w:val="preparedby1"/>
      </w:pPr>
      <w:bookmarkStart w:id="5" w:name="Prepared"/>
      <w:bookmarkEnd w:id="5"/>
      <w:r w:rsidRPr="004845DB">
        <w:t>Document</w:t>
      </w:r>
      <w:r w:rsidR="006277BC">
        <w:t xml:space="preserve"> prepared by an expert from the United Kingdom</w:t>
      </w:r>
    </w:p>
    <w:p w:rsidR="005B62F0" w:rsidRDefault="00510300" w:rsidP="00510300">
      <w:pPr>
        <w:keepNext/>
      </w:pPr>
      <w:r w:rsidRPr="000C048A">
        <w:t>The Annex to this document illustrate</w:t>
      </w:r>
      <w:r w:rsidR="000C048A" w:rsidRPr="000C048A">
        <w:t>s</w:t>
      </w:r>
      <w:r w:rsidRPr="000C048A">
        <w:t xml:space="preserve"> two different m</w:t>
      </w:r>
      <w:r w:rsidR="000C048A" w:rsidRPr="000C048A">
        <w:t>ethods from the United Kingdom for producing variety descriptions, using a data set for Flax.</w:t>
      </w:r>
    </w:p>
    <w:p w:rsidR="00AE66CE" w:rsidRDefault="00AE66CE" w:rsidP="00AE66CE">
      <w:pPr>
        <w:pStyle w:val="DecisionParagraphs"/>
        <w:tabs>
          <w:tab w:val="clear" w:pos="5387"/>
        </w:tabs>
        <w:ind w:left="0"/>
        <w:jc w:val="right"/>
        <w:rPr>
          <w:iCs/>
          <w:snapToGrid w:val="0"/>
        </w:rPr>
      </w:pPr>
    </w:p>
    <w:p w:rsidR="005B62F0" w:rsidRPr="00281F60" w:rsidRDefault="005B62F0" w:rsidP="00AE66CE">
      <w:pPr>
        <w:pStyle w:val="DecisionParagraphs"/>
        <w:jc w:val="right"/>
        <w:rPr>
          <w:iCs/>
          <w:snapToGrid w:val="0"/>
        </w:rPr>
      </w:pPr>
    </w:p>
    <w:p w:rsidR="005B62F0" w:rsidRDefault="005B62F0" w:rsidP="00AE66CE">
      <w:pPr>
        <w:ind w:left="7938"/>
        <w:jc w:val="right"/>
        <w:sectPr w:rsidR="005B62F0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t>[Annex follows]</w:t>
      </w:r>
    </w:p>
    <w:p w:rsidR="005B62F0" w:rsidRDefault="005B62F0" w:rsidP="005B62F0">
      <w:pPr>
        <w:spacing w:line="360" w:lineRule="auto"/>
        <w:jc w:val="center"/>
      </w:pPr>
      <w:r>
        <w:lastRenderedPageBreak/>
        <w:t>TW</w:t>
      </w:r>
      <w:r w:rsidR="009A14EA">
        <w:t>C</w:t>
      </w:r>
      <w:r>
        <w:t>/</w:t>
      </w:r>
      <w:r w:rsidR="009A14EA">
        <w:t>31</w:t>
      </w:r>
      <w:r>
        <w:t>/18</w:t>
      </w:r>
      <w:r w:rsidR="006277BC">
        <w:t xml:space="preserve"> Add.</w:t>
      </w:r>
    </w:p>
    <w:p w:rsidR="005B62F0" w:rsidRDefault="005B62F0" w:rsidP="005B62F0">
      <w:pPr>
        <w:spacing w:line="360" w:lineRule="auto"/>
        <w:jc w:val="center"/>
      </w:pPr>
      <w:r>
        <w:t>ANNEX</w:t>
      </w:r>
    </w:p>
    <w:p w:rsidR="006277BC" w:rsidRDefault="006277BC" w:rsidP="006277BC">
      <w:pPr>
        <w:pStyle w:val="Heading2"/>
      </w:pPr>
    </w:p>
    <w:p w:rsidR="009C188C" w:rsidRPr="009C188C" w:rsidRDefault="009C188C" w:rsidP="00AF2CD6">
      <w:pPr>
        <w:autoSpaceDE w:val="0"/>
        <w:autoSpaceDN w:val="0"/>
        <w:adjustRightInd w:val="0"/>
        <w:spacing w:before="240"/>
        <w:rPr>
          <w:rFonts w:ascii="ArialMT" w:hAnsi="ArialMT" w:cs="ArialMT"/>
          <w:u w:val="single"/>
          <w:lang w:val="en-GB" w:eastAsia="en-GB"/>
        </w:rPr>
      </w:pPr>
      <w:r>
        <w:rPr>
          <w:rFonts w:ascii="ArialMT" w:hAnsi="ArialMT" w:cs="ArialMT"/>
          <w:u w:val="single"/>
          <w:lang w:val="en-GB" w:eastAsia="en-GB"/>
        </w:rPr>
        <w:t xml:space="preserve">Practical Exercise </w:t>
      </w:r>
    </w:p>
    <w:p w:rsidR="00B1765F" w:rsidRDefault="00B1765F" w:rsidP="00B1765F">
      <w:pPr>
        <w:pStyle w:val="BodyText"/>
        <w:spacing w:before="240"/>
      </w:pPr>
      <w:r>
        <w:rPr>
          <w:lang w:val="en-GB" w:eastAsia="en-GB"/>
        </w:rPr>
        <w:t xml:space="preserve">The practical exercise was to illustrate on a common data set the methods used by different </w:t>
      </w:r>
      <w:r w:rsidR="000C048A">
        <w:rPr>
          <w:lang w:val="en-GB" w:eastAsia="en-GB"/>
        </w:rPr>
        <w:t xml:space="preserve">UPOV </w:t>
      </w:r>
      <w:r>
        <w:rPr>
          <w:lang w:val="en-GB" w:eastAsia="en-GB"/>
        </w:rPr>
        <w:t>member</w:t>
      </w:r>
      <w:r w:rsidR="000C048A">
        <w:rPr>
          <w:lang w:val="en-GB" w:eastAsia="en-GB"/>
        </w:rPr>
        <w:t>s</w:t>
      </w:r>
      <w:r>
        <w:rPr>
          <w:lang w:val="en-GB" w:eastAsia="en-GB"/>
        </w:rPr>
        <w:t xml:space="preserve"> to produce variety descriptions from </w:t>
      </w:r>
      <w:r w:rsidRPr="00571AAF">
        <w:t>measured, quantitative characteristics</w:t>
      </w:r>
      <w:r>
        <w:rPr>
          <w:lang w:val="en-GB" w:eastAsia="en-GB"/>
        </w:rPr>
        <w:t xml:space="preserve">.  The purpose of the practical </w:t>
      </w:r>
      <w:r w:rsidRPr="00BF0B43">
        <w:t>exercise</w:t>
      </w:r>
      <w:r>
        <w:rPr>
          <w:lang w:val="en-GB" w:eastAsia="en-GB"/>
        </w:rPr>
        <w:t xml:space="preserve"> was to clarify the methods and so aid the </w:t>
      </w:r>
      <w:r>
        <w:t>development of</w:t>
      </w:r>
      <w:r w:rsidRPr="00E06578">
        <w:t xml:space="preserve"> common guidance on data processing for </w:t>
      </w:r>
      <w:r>
        <w:t>the production of</w:t>
      </w:r>
      <w:r w:rsidRPr="00E06578">
        <w:t xml:space="preserve"> variety descriptions</w:t>
      </w:r>
      <w:r>
        <w:t xml:space="preserve">.  </w:t>
      </w:r>
    </w:p>
    <w:p w:rsidR="00B1765F" w:rsidRDefault="00B1765F" w:rsidP="00B1765F">
      <w:pPr>
        <w:pStyle w:val="BodyText"/>
        <w:spacing w:before="240"/>
      </w:pPr>
      <w:r>
        <w:rPr>
          <w:rFonts w:ascii="ArialMT" w:hAnsi="ArialMT" w:cs="ArialMT"/>
          <w:lang w:val="en-GB" w:eastAsia="en-GB"/>
        </w:rPr>
        <w:t xml:space="preserve">A common data set on </w:t>
      </w:r>
      <w:r w:rsidRPr="00F3726C">
        <w:t xml:space="preserve">Flax </w:t>
      </w:r>
      <w:r>
        <w:t xml:space="preserve">varieties </w:t>
      </w:r>
      <w:r>
        <w:rPr>
          <w:rFonts w:ascii="ArialMT" w:hAnsi="ArialMT" w:cs="ArialMT"/>
          <w:lang w:val="en-GB" w:eastAsia="en-GB"/>
        </w:rPr>
        <w:t xml:space="preserve">was produced by </w:t>
      </w:r>
      <w:r>
        <w:t>e</w:t>
      </w:r>
      <w:r w:rsidRPr="00F3726C">
        <w:t xml:space="preserve">xperts from France </w:t>
      </w:r>
      <w:r>
        <w:rPr>
          <w:rFonts w:ascii="ArialMT" w:hAnsi="ArialMT" w:cs="ArialMT"/>
          <w:lang w:val="en-GB" w:eastAsia="en-GB"/>
        </w:rPr>
        <w:t xml:space="preserve">for the practical exercise. The </w:t>
      </w:r>
      <w:r w:rsidRPr="00F3726C">
        <w:t xml:space="preserve">data </w:t>
      </w:r>
      <w:r>
        <w:t xml:space="preserve">comprised </w:t>
      </w:r>
      <w:r w:rsidRPr="003B4280">
        <w:t>4866</w:t>
      </w:r>
      <w:r>
        <w:t>8</w:t>
      </w:r>
      <w:r w:rsidRPr="00F3726C">
        <w:t xml:space="preserve"> plant observations on 303 varieties in 10 years </w:t>
      </w:r>
      <w:r>
        <w:t xml:space="preserve">on </w:t>
      </w:r>
      <w:r w:rsidRPr="00F3726C">
        <w:t xml:space="preserve">UPOV characteristic 21 (Stem: length from cotyledon scar to top boll).  </w:t>
      </w:r>
      <w:r>
        <w:t xml:space="preserve">There were 1367 variety-by-year combinations, with not all varieties present every year.  When present, there were between 20 and 120 observations on a variety in a year, depending on the variety and year.  </w:t>
      </w:r>
    </w:p>
    <w:p w:rsidR="00B1765F" w:rsidRDefault="00B1765F" w:rsidP="00B1765F">
      <w:pPr>
        <w:pStyle w:val="BodyText"/>
        <w:spacing w:before="240"/>
      </w:pPr>
      <w:r w:rsidRPr="0063700F">
        <w:rPr>
          <w:lang w:val="en-GB" w:eastAsia="en-GB"/>
        </w:rPr>
        <w:t>The methods used in the United Kingdom (the UK methods)</w:t>
      </w:r>
      <w:r>
        <w:rPr>
          <w:lang w:val="en-GB" w:eastAsia="en-GB"/>
        </w:rPr>
        <w:t xml:space="preserve"> to produce variety descriptions </w:t>
      </w:r>
      <w:r>
        <w:t xml:space="preserve">require variety-by-year means comprised of equal numbers of observations. Consequently, the common </w:t>
      </w:r>
      <w:r w:rsidRPr="00F3726C">
        <w:t xml:space="preserve">data </w:t>
      </w:r>
      <w:r>
        <w:t xml:space="preserve">set </w:t>
      </w:r>
      <w:r w:rsidRPr="00F3726C">
        <w:t xml:space="preserve">was restricted to </w:t>
      </w:r>
      <w:r>
        <w:t xml:space="preserve">observations on the first 20 plants of </w:t>
      </w:r>
      <w:r w:rsidRPr="00F3726C">
        <w:t xml:space="preserve">those varieties and years where </w:t>
      </w:r>
      <w:r>
        <w:t>20 or more plants</w:t>
      </w:r>
      <w:r w:rsidRPr="00F3726C">
        <w:t xml:space="preserve"> of the variety were observed in the year, and </w:t>
      </w:r>
      <w:r>
        <w:t>such</w:t>
      </w:r>
      <w:r w:rsidRPr="00F3726C">
        <w:t xml:space="preserve"> years included 2012.  </w:t>
      </w:r>
      <w:r>
        <w:t xml:space="preserve">This reduced </w:t>
      </w:r>
      <w:r>
        <w:rPr>
          <w:rFonts w:ascii="ArialMT" w:hAnsi="ArialMT" w:cs="ArialMT"/>
          <w:lang w:val="en-GB" w:eastAsia="en-GB"/>
        </w:rPr>
        <w:t xml:space="preserve">common data set </w:t>
      </w:r>
      <w:r>
        <w:t xml:space="preserve">comprised 936 variety-by-year combinations for 153 reference varieties and 30 candidates in 10 years, for which the variety-by-year means were calculated on the </w:t>
      </w:r>
      <w:r w:rsidRPr="00E875FD">
        <w:t>original scale</w:t>
      </w:r>
      <w:r>
        <w:t xml:space="preserve"> of the </w:t>
      </w:r>
      <w:r w:rsidRPr="00571AAF">
        <w:rPr>
          <w:szCs w:val="24"/>
          <w:lang w:val="en-GB"/>
        </w:rPr>
        <w:t>characteristics</w:t>
      </w:r>
      <w:r>
        <w:t xml:space="preserve">.  </w:t>
      </w:r>
    </w:p>
    <w:p w:rsidR="006277BC" w:rsidRDefault="006277BC" w:rsidP="00AF2CD6">
      <w:pPr>
        <w:pStyle w:val="BodyText"/>
        <w:spacing w:before="240"/>
      </w:pPr>
    </w:p>
    <w:p w:rsidR="006277BC" w:rsidRPr="009C188C" w:rsidRDefault="009C188C" w:rsidP="009C188C">
      <w:pPr>
        <w:pStyle w:val="Heading3"/>
      </w:pPr>
      <w:r w:rsidRPr="00901433">
        <w:t xml:space="preserve">The </w:t>
      </w:r>
      <w:r w:rsidR="006277BC" w:rsidRPr="00901433">
        <w:t>UK methods</w:t>
      </w:r>
    </w:p>
    <w:p w:rsidR="00B1765F" w:rsidRDefault="00B1765F" w:rsidP="00B1765F">
      <w:pPr>
        <w:pStyle w:val="BodyText"/>
        <w:spacing w:before="240"/>
        <w:rPr>
          <w:szCs w:val="24"/>
          <w:lang w:val="en-GB"/>
        </w:rPr>
      </w:pPr>
      <w:r>
        <w:rPr>
          <w:lang w:val="en-GB" w:eastAsia="en-GB"/>
        </w:rPr>
        <w:t xml:space="preserve">The UK methods to produce variety descriptions </w:t>
      </w:r>
      <w:r>
        <w:t xml:space="preserve">divide </w:t>
      </w:r>
      <w:r w:rsidRPr="00EE0C87">
        <w:t xml:space="preserve">the range of expression into states and notes </w:t>
      </w:r>
      <w:r>
        <w:t>either</w:t>
      </w:r>
      <w:r>
        <w:rPr>
          <w:lang w:val="en-GB" w:eastAsia="en-GB"/>
        </w:rPr>
        <w:t xml:space="preserve"> by 1) d</w:t>
      </w:r>
      <w:proofErr w:type="spellStart"/>
      <w:r>
        <w:t>ivision</w:t>
      </w:r>
      <w:proofErr w:type="spellEnd"/>
      <w:r>
        <w:t xml:space="preserve"> of the range of </w:t>
      </w:r>
      <w:r w:rsidRPr="007D6D6F">
        <w:rPr>
          <w:color w:val="000000"/>
          <w:lang w:val="en-GB"/>
        </w:rPr>
        <w:t xml:space="preserve">expression </w:t>
      </w:r>
      <w:r>
        <w:rPr>
          <w:color w:val="000000"/>
          <w:lang w:val="en-GB"/>
        </w:rPr>
        <w:t xml:space="preserve">of </w:t>
      </w:r>
      <w:r>
        <w:rPr>
          <w:lang w:val="en-NZ"/>
        </w:rPr>
        <w:t xml:space="preserve">the characteristic </w:t>
      </w:r>
      <w:r>
        <w:t xml:space="preserve">into equal-spaced states: a method used with </w:t>
      </w:r>
      <w:r>
        <w:rPr>
          <w:szCs w:val="24"/>
          <w:lang w:val="en-GB"/>
        </w:rPr>
        <w:t>vegetable crops excluding potato</w:t>
      </w:r>
      <w:r>
        <w:t>, or 2) comparison with means of delineating varieties: a method used with h</w:t>
      </w:r>
      <w:r w:rsidRPr="00AD681F">
        <w:t>erbage crops</w:t>
      </w:r>
      <w:r>
        <w:t>.  T</w:t>
      </w:r>
      <w:r w:rsidRPr="00EE0C87">
        <w:t>he number of states is as given in the UPOV Test Guideline</w:t>
      </w:r>
      <w:r w:rsidR="000C048A">
        <w:t>s</w:t>
      </w:r>
      <w:r>
        <w:t xml:space="preserve">.  Both methods calculate over-year means from the variety-by-year means then convert the over-year means to notes. In the division of range method, variety-by-year means from </w:t>
      </w:r>
      <w:r>
        <w:rPr>
          <w:szCs w:val="24"/>
          <w:lang w:val="en-GB"/>
        </w:rPr>
        <w:t>the past 10 years are used</w:t>
      </w:r>
      <w:r>
        <w:t xml:space="preserve"> to calculate the over-year means, whereas in the delineating varieties method, </w:t>
      </w:r>
      <w:r>
        <w:rPr>
          <w:szCs w:val="24"/>
          <w:lang w:val="en-GB"/>
        </w:rPr>
        <w:t xml:space="preserve">all years are included in which the reference collection varieties have been tested.  </w:t>
      </w:r>
    </w:p>
    <w:p w:rsidR="00B1765F" w:rsidRDefault="00B1765F" w:rsidP="00B1765F">
      <w:pPr>
        <w:pStyle w:val="BodyText"/>
        <w:spacing w:before="240"/>
        <w:rPr>
          <w:szCs w:val="24"/>
          <w:lang w:val="en-GB"/>
        </w:rPr>
      </w:pPr>
      <w:r>
        <w:rPr>
          <w:lang w:val="en-GB" w:eastAsia="en-GB"/>
        </w:rPr>
        <w:t xml:space="preserve">Both the methods were applied to the </w:t>
      </w:r>
      <w:r>
        <w:t xml:space="preserve">reduced </w:t>
      </w:r>
      <w:r>
        <w:rPr>
          <w:rFonts w:ascii="ArialMT" w:hAnsi="ArialMT" w:cs="ArialMT"/>
          <w:lang w:val="en-GB" w:eastAsia="en-GB"/>
        </w:rPr>
        <w:t xml:space="preserve">common data set, and </w:t>
      </w:r>
      <w:r>
        <w:t xml:space="preserve">the over-year means were calculated over 10 years.  </w:t>
      </w:r>
      <w:r>
        <w:rPr>
          <w:szCs w:val="24"/>
          <w:lang w:val="en-GB"/>
        </w:rPr>
        <w:t xml:space="preserve">As not all varieties were present in all years, a fitted constants analysis was used to adjust the over-year means for the different years varieties were present in.  The </w:t>
      </w:r>
      <w:r>
        <w:t xml:space="preserve">variety-by-year means </w:t>
      </w:r>
      <w:r>
        <w:rPr>
          <w:szCs w:val="24"/>
          <w:lang w:val="en-GB"/>
        </w:rPr>
        <w:t xml:space="preserve">and the </w:t>
      </w:r>
      <w:r>
        <w:t xml:space="preserve">over-year variety </w:t>
      </w:r>
      <w:r>
        <w:rPr>
          <w:szCs w:val="24"/>
          <w:lang w:val="en-GB"/>
        </w:rPr>
        <w:t xml:space="preserve">means, sorted by the latter for the candidate and reference varieties, are shown in the table below.  The two methods were used to </w:t>
      </w:r>
      <w:r>
        <w:t xml:space="preserve">divide </w:t>
      </w:r>
      <w:r w:rsidRPr="00EE0C87">
        <w:t xml:space="preserve">the range of expression </w:t>
      </w:r>
      <w:r>
        <w:t xml:space="preserve">for Flax UPOV characteristic 21 </w:t>
      </w:r>
      <w:r w:rsidRPr="00EE0C87">
        <w:t xml:space="preserve">into </w:t>
      </w:r>
      <w:r>
        <w:t xml:space="preserve">9 </w:t>
      </w:r>
      <w:r w:rsidRPr="00EE0C87">
        <w:t>states</w:t>
      </w:r>
      <w:r>
        <w:t xml:space="preserve"> (see TG/57/7) and allocate notes to the candidate varieties as described below.  </w:t>
      </w:r>
    </w:p>
    <w:p w:rsidR="00A17FDB" w:rsidRDefault="00A17FDB" w:rsidP="009C188C">
      <w:pPr>
        <w:pStyle w:val="Heading3"/>
      </w:pPr>
    </w:p>
    <w:p w:rsidR="009C188C" w:rsidRPr="009C188C" w:rsidRDefault="009C188C" w:rsidP="009C188C"/>
    <w:p w:rsidR="006277BC" w:rsidRPr="009C188C" w:rsidRDefault="006277BC" w:rsidP="009C188C">
      <w:pPr>
        <w:pStyle w:val="Heading3"/>
      </w:pPr>
      <w:r w:rsidRPr="009C188C">
        <w:t xml:space="preserve">Method by division of the range of </w:t>
      </w:r>
      <w:r w:rsidRPr="009C188C">
        <w:rPr>
          <w:color w:val="000000"/>
        </w:rPr>
        <w:t xml:space="preserve">expression of </w:t>
      </w:r>
      <w:r w:rsidRPr="009C188C">
        <w:rPr>
          <w:lang w:val="en-NZ"/>
        </w:rPr>
        <w:t xml:space="preserve">the characteristic </w:t>
      </w:r>
      <w:r w:rsidRPr="009C188C">
        <w:t>into equal-spaced states</w:t>
      </w:r>
    </w:p>
    <w:p w:rsidR="00B1765F" w:rsidRDefault="00B1765F" w:rsidP="00B1765F">
      <w:pPr>
        <w:pStyle w:val="BodyText"/>
        <w:spacing w:before="240"/>
      </w:pPr>
      <w:r w:rsidRPr="007D0020">
        <w:t xml:space="preserve">The range of expression of the over-year means for the reference collection varieties is </w:t>
      </w:r>
      <w:r>
        <w:t>498.0</w:t>
      </w:r>
      <w:r w:rsidRPr="007D0020">
        <w:t xml:space="preserve"> (=</w:t>
      </w:r>
      <w:r>
        <w:t>853.06</w:t>
      </w:r>
      <w:r w:rsidRPr="007D0020">
        <w:t xml:space="preserve"> -3</w:t>
      </w:r>
      <w:r>
        <w:t>55</w:t>
      </w:r>
      <w:r w:rsidRPr="007D0020">
        <w:t>.</w:t>
      </w:r>
      <w:r>
        <w:t>04</w:t>
      </w:r>
      <w:r w:rsidRPr="007D0020">
        <w:t xml:space="preserve">).  So each state is of width </w:t>
      </w:r>
      <w:r>
        <w:t>498.02</w:t>
      </w:r>
      <w:r w:rsidRPr="007D0020">
        <w:t>/9 =5</w:t>
      </w:r>
      <w:r>
        <w:t>5</w:t>
      </w:r>
      <w:r w:rsidRPr="007D0020">
        <w:t>.</w:t>
      </w:r>
      <w:r>
        <w:t>34</w:t>
      </w:r>
      <w:r w:rsidRPr="007D0020">
        <w:t xml:space="preserve">, and the upper limits of states 1 to 8 are </w:t>
      </w:r>
      <w:r w:rsidRPr="007F4C4C">
        <w:t>410.37, 465.71, 521.04, 576.38, 631.71, 687.05, 742.38 and 797.72</w:t>
      </w:r>
      <w:r w:rsidRPr="007D0020">
        <w:t xml:space="preserve"> respectively.</w:t>
      </w:r>
    </w:p>
    <w:p w:rsidR="00B1765F" w:rsidRDefault="00B1765F" w:rsidP="00B1765F">
      <w:pPr>
        <w:autoSpaceDE w:val="0"/>
        <w:autoSpaceDN w:val="0"/>
        <w:adjustRightInd w:val="0"/>
        <w:spacing w:before="240"/>
        <w:ind w:right="-23"/>
        <w:jc w:val="left"/>
      </w:pPr>
      <w:r w:rsidRPr="00496162"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 w:rsidRPr="007F4C4C">
        <w:rPr>
          <w:rFonts w:ascii="Calibri" w:hAnsi="Calibri" w:cs="Calibri"/>
          <w:color w:val="000000"/>
          <w:sz w:val="22"/>
          <w:szCs w:val="22"/>
          <w:lang w:val="en-GB" w:eastAsia="en-GB"/>
        </w:rPr>
        <w:t>262, 263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and</w:t>
      </w:r>
      <w:r w:rsidRPr="007F4C4C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287</w:t>
      </w:r>
      <w:r w:rsidRPr="00496162">
        <w:t xml:space="preserve"> </w:t>
      </w:r>
      <w:r>
        <w:t xml:space="preserve">are </w:t>
      </w:r>
      <w:r w:rsidRPr="00496162">
        <w:t xml:space="preserve">less than </w:t>
      </w:r>
      <w:r w:rsidRPr="007F4C4C">
        <w:t>410.37</w:t>
      </w:r>
      <w:r w:rsidRPr="00496162">
        <w:t xml:space="preserve">, </w:t>
      </w:r>
      <w:r>
        <w:t xml:space="preserve">they have </w:t>
      </w:r>
      <w:r w:rsidRPr="00496162">
        <w:t>note 1.</w:t>
      </w:r>
      <w:r w:rsidRPr="00496162">
        <w:br/>
        <w:t xml:space="preserve">As the over-year means for candidates </w:t>
      </w:r>
      <w:r w:rsidRPr="007F4C4C">
        <w:rPr>
          <w:rFonts w:ascii="Calibri" w:hAnsi="Calibri" w:cs="Calibri"/>
          <w:color w:val="000000"/>
          <w:sz w:val="22"/>
          <w:szCs w:val="22"/>
          <w:lang w:val="en-GB" w:eastAsia="en-GB"/>
        </w:rPr>
        <w:t>284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96162">
        <w:t xml:space="preserve">and </w:t>
      </w:r>
      <w:r w:rsidRPr="007F4C4C">
        <w:rPr>
          <w:rFonts w:ascii="Calibri" w:hAnsi="Calibri" w:cs="Calibri"/>
          <w:color w:val="000000"/>
          <w:sz w:val="22"/>
          <w:szCs w:val="22"/>
          <w:lang w:val="en-GB" w:eastAsia="en-GB"/>
        </w:rPr>
        <w:t>283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96162">
        <w:t xml:space="preserve">are between </w:t>
      </w:r>
      <w:r w:rsidRPr="007F4C4C">
        <w:t>410.37</w:t>
      </w:r>
      <w:r>
        <w:t xml:space="preserve"> </w:t>
      </w:r>
      <w:r w:rsidRPr="00496162">
        <w:t xml:space="preserve">and </w:t>
      </w:r>
      <w:r w:rsidRPr="007F4C4C">
        <w:t>465.71</w:t>
      </w:r>
      <w:r w:rsidRPr="00496162">
        <w:t xml:space="preserve">, they have note </w:t>
      </w:r>
      <w:r>
        <w:t>2</w:t>
      </w:r>
      <w:r w:rsidRPr="00496162">
        <w:t>.</w:t>
      </w:r>
      <w:r w:rsidRPr="00496162">
        <w:br/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>288, 290, 289, 303, 275, 269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and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297</w:t>
      </w:r>
      <w:r w:rsidRPr="00496162">
        <w:t xml:space="preserve"> </w:t>
      </w:r>
      <w:r>
        <w:t xml:space="preserve">are </w:t>
      </w:r>
      <w:r w:rsidRPr="00496162">
        <w:t xml:space="preserve">between </w:t>
      </w:r>
      <w:r w:rsidRPr="007F4C4C">
        <w:t>465.71</w:t>
      </w:r>
      <w:r>
        <w:t xml:space="preserve"> </w:t>
      </w:r>
      <w:r w:rsidRPr="00496162">
        <w:t xml:space="preserve">and </w:t>
      </w:r>
      <w:r w:rsidRPr="007F4C4C">
        <w:t>521.04</w:t>
      </w:r>
      <w:r w:rsidRPr="00496162">
        <w:t xml:space="preserve">, </w:t>
      </w:r>
      <w:r>
        <w:t>they have note 3</w:t>
      </w:r>
      <w:r w:rsidRPr="00496162">
        <w:t>.</w:t>
      </w:r>
      <w:r w:rsidRPr="00496162">
        <w:br/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>302, 277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and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274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>
        <w:t xml:space="preserve">are </w:t>
      </w:r>
      <w:r w:rsidRPr="00496162">
        <w:t xml:space="preserve">between </w:t>
      </w:r>
      <w:r w:rsidRPr="007F4C4C">
        <w:t>521.04</w:t>
      </w:r>
      <w:r>
        <w:t xml:space="preserve"> </w:t>
      </w:r>
      <w:r w:rsidRPr="00496162">
        <w:t>and</w:t>
      </w:r>
      <w:r>
        <w:t xml:space="preserve"> </w:t>
      </w:r>
      <w:r w:rsidRPr="007F4C4C">
        <w:t>576.38</w:t>
      </w:r>
      <w:r w:rsidRPr="00496162">
        <w:t xml:space="preserve">, </w:t>
      </w:r>
      <w:r>
        <w:t>they have note 4</w:t>
      </w:r>
      <w:r w:rsidRPr="00496162">
        <w:t>.</w:t>
      </w:r>
      <w:r w:rsidRPr="00496162">
        <w:br/>
        <w:t>As the over-year mean for candidate</w:t>
      </w:r>
      <w:r>
        <w:t xml:space="preserve"> 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>228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is </w:t>
      </w:r>
      <w:r w:rsidRPr="00496162">
        <w:t xml:space="preserve">between </w:t>
      </w:r>
      <w:r w:rsidRPr="007F4C4C">
        <w:t>631.71</w:t>
      </w:r>
      <w:r>
        <w:t xml:space="preserve"> </w:t>
      </w:r>
      <w:r w:rsidRPr="00496162">
        <w:t>and</w:t>
      </w:r>
      <w:r>
        <w:t xml:space="preserve"> </w:t>
      </w:r>
      <w:r w:rsidRPr="007F4C4C">
        <w:t>687.05</w:t>
      </w:r>
      <w:r w:rsidRPr="00496162">
        <w:t xml:space="preserve">, </w:t>
      </w:r>
      <w:r>
        <w:t>it has note 6</w:t>
      </w:r>
      <w:r w:rsidRPr="00496162">
        <w:t>.</w:t>
      </w:r>
      <w:r w:rsidRPr="00496162">
        <w:br/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>270, 293, 267, 295, 273 and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292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>
        <w:t xml:space="preserve">are </w:t>
      </w:r>
      <w:r w:rsidRPr="00496162">
        <w:t xml:space="preserve">between </w:t>
      </w:r>
      <w:r w:rsidRPr="007F4C4C">
        <w:t>687.05</w:t>
      </w:r>
      <w:r>
        <w:t xml:space="preserve"> </w:t>
      </w:r>
      <w:r w:rsidRPr="00496162">
        <w:t>and</w:t>
      </w:r>
      <w:r>
        <w:t xml:space="preserve"> </w:t>
      </w:r>
      <w:r w:rsidRPr="007F4C4C">
        <w:t>742.38</w:t>
      </w:r>
      <w:r w:rsidRPr="00496162">
        <w:t xml:space="preserve">, </w:t>
      </w:r>
      <w:r>
        <w:t>they have note 7</w:t>
      </w:r>
      <w:r w:rsidRPr="00496162">
        <w:t>.</w:t>
      </w:r>
      <w:r w:rsidRPr="00496162">
        <w:br/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>300, 291, 272, 294 and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299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>
        <w:t xml:space="preserve">are </w:t>
      </w:r>
      <w:r w:rsidRPr="00496162">
        <w:t xml:space="preserve">between </w:t>
      </w:r>
      <w:r w:rsidRPr="007F4C4C">
        <w:t xml:space="preserve">742.38 </w:t>
      </w:r>
      <w:r w:rsidRPr="00496162">
        <w:t>and</w:t>
      </w:r>
      <w:r>
        <w:t xml:space="preserve"> </w:t>
      </w:r>
      <w:r w:rsidRPr="007F4C4C">
        <w:t>797.72</w:t>
      </w:r>
      <w:r w:rsidRPr="00496162">
        <w:t xml:space="preserve">, </w:t>
      </w:r>
      <w:r>
        <w:t>they have note 8</w:t>
      </w:r>
      <w:r w:rsidRPr="00496162">
        <w:t>.</w:t>
      </w:r>
      <w:r w:rsidRPr="00496162">
        <w:br/>
        <w:t>As the over-year mean</w:t>
      </w:r>
      <w:r>
        <w:t>s</w:t>
      </w:r>
      <w:r w:rsidRPr="00496162">
        <w:t xml:space="preserve"> for candidate</w:t>
      </w:r>
      <w:r>
        <w:t xml:space="preserve">s 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>298, 296 and</w:t>
      </w:r>
      <w:r w:rsidRPr="00C264B2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301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>
        <w:t xml:space="preserve">are greater than </w:t>
      </w:r>
      <w:r w:rsidRPr="007F4C4C">
        <w:t>797.72</w:t>
      </w:r>
      <w:r w:rsidRPr="00496162">
        <w:t xml:space="preserve">, </w:t>
      </w:r>
      <w:r>
        <w:t>they have note 9</w:t>
      </w:r>
      <w:r w:rsidRPr="00496162">
        <w:t>.</w:t>
      </w:r>
    </w:p>
    <w:p w:rsidR="009C188C" w:rsidRPr="009C188C" w:rsidRDefault="009C188C" w:rsidP="009C188C"/>
    <w:p w:rsidR="006277BC" w:rsidRDefault="006277BC" w:rsidP="009C188C">
      <w:pPr>
        <w:pStyle w:val="Heading3"/>
      </w:pPr>
      <w:r>
        <w:lastRenderedPageBreak/>
        <w:t>Method by comparison with means of delineating varieties</w:t>
      </w:r>
    </w:p>
    <w:p w:rsidR="00B1765F" w:rsidRDefault="00B1765F" w:rsidP="00B1765F">
      <w:pPr>
        <w:pStyle w:val="BodyText"/>
        <w:spacing w:before="240"/>
      </w:pPr>
      <w:r>
        <w:t xml:space="preserve">For this method, the crop experts use experience of the crop to select delineating </w:t>
      </w:r>
      <w:r>
        <w:rPr>
          <w:szCs w:val="24"/>
          <w:lang w:val="en-GB"/>
        </w:rPr>
        <w:t xml:space="preserve">reference varieties which define the limits of each of the states.  For the purposes of this exercise </w:t>
      </w:r>
      <w:r>
        <w:t xml:space="preserve">the following delineating </w:t>
      </w:r>
      <w:r>
        <w:rPr>
          <w:szCs w:val="24"/>
          <w:lang w:val="en-GB"/>
        </w:rPr>
        <w:t xml:space="preserve">reference varieties (shown in bold in the table below) were chosen however </w:t>
      </w:r>
      <w:r w:rsidRPr="00AD3420">
        <w:rPr>
          <w:szCs w:val="24"/>
          <w:u w:val="single"/>
          <w:lang w:val="en-GB"/>
        </w:rPr>
        <w:t>without experience</w:t>
      </w:r>
      <w:r>
        <w:rPr>
          <w:szCs w:val="24"/>
          <w:lang w:val="en-GB"/>
        </w:rPr>
        <w:t xml:space="preserve"> to </w:t>
      </w:r>
      <w:r>
        <w:t>define the 9 states for this characteristic</w:t>
      </w:r>
      <w:r>
        <w:rPr>
          <w:szCs w:val="24"/>
          <w:lang w:val="en-GB"/>
        </w:rPr>
        <w:t>.</w:t>
      </w:r>
      <w:r>
        <w:t xml:space="preserve">  </w:t>
      </w:r>
    </w:p>
    <w:tbl>
      <w:tblPr>
        <w:tblW w:w="4225" w:type="dxa"/>
        <w:jc w:val="center"/>
        <w:tblInd w:w="-1813" w:type="dxa"/>
        <w:tblLook w:val="0000" w:firstRow="0" w:lastRow="0" w:firstColumn="0" w:lastColumn="0" w:noHBand="0" w:noVBand="0"/>
      </w:tblPr>
      <w:tblGrid>
        <w:gridCol w:w="1957"/>
        <w:gridCol w:w="2268"/>
      </w:tblGrid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spacing w:before="60"/>
              <w:ind w:right="-23"/>
              <w:jc w:val="left"/>
              <w:rPr>
                <w:b/>
                <w:szCs w:val="24"/>
                <w:lang w:val="en-GB"/>
              </w:rPr>
            </w:pPr>
            <w:r w:rsidRPr="00E142DF">
              <w:rPr>
                <w:b/>
                <w:szCs w:val="24"/>
                <w:lang w:val="en-GB"/>
              </w:rPr>
              <w:t>Reference variety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spacing w:before="60"/>
              <w:ind w:right="-23"/>
              <w:jc w:val="left"/>
              <w:rPr>
                <w:b/>
                <w:szCs w:val="24"/>
                <w:lang w:val="en-GB"/>
              </w:rPr>
            </w:pPr>
            <w:r w:rsidRPr="00E142DF">
              <w:rPr>
                <w:b/>
                <w:szCs w:val="24"/>
                <w:lang w:val="en-GB"/>
              </w:rPr>
              <w:t>Delineates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>Upper limit of state 1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Lower limit of state </w:t>
            </w:r>
            <w:r>
              <w:rPr>
                <w:szCs w:val="24"/>
                <w:lang w:val="en-GB"/>
              </w:rPr>
              <w:t>3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Upper limit of state </w:t>
            </w:r>
            <w:r>
              <w:rPr>
                <w:szCs w:val="24"/>
                <w:lang w:val="en-GB"/>
              </w:rPr>
              <w:t>3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Lower limit of state </w:t>
            </w:r>
            <w:r>
              <w:rPr>
                <w:szCs w:val="24"/>
                <w:lang w:val="en-GB"/>
              </w:rPr>
              <w:t>5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Upper limit of state </w:t>
            </w:r>
            <w:r>
              <w:rPr>
                <w:szCs w:val="24"/>
                <w:lang w:val="en-GB"/>
              </w:rPr>
              <w:t>5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Lower limit of state </w:t>
            </w:r>
            <w:r>
              <w:rPr>
                <w:szCs w:val="24"/>
                <w:lang w:val="en-GB"/>
              </w:rPr>
              <w:t>7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Upper limit of state </w:t>
            </w:r>
            <w:r>
              <w:rPr>
                <w:szCs w:val="24"/>
                <w:lang w:val="en-GB"/>
              </w:rPr>
              <w:t>7</w:t>
            </w:r>
          </w:p>
        </w:tc>
      </w:tr>
      <w:tr w:rsidR="00B1765F" w:rsidRPr="00E142DF" w:rsidTr="00B45202">
        <w:trPr>
          <w:trHeight w:val="255"/>
          <w:jc w:val="center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AD3420" w:rsidRDefault="00B1765F" w:rsidP="00B45202">
            <w:pPr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  <w:r w:rsidRPr="00AD3420"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142DF" w:rsidRDefault="00B1765F" w:rsidP="00B45202">
            <w:pPr>
              <w:ind w:right="-23"/>
              <w:jc w:val="left"/>
              <w:rPr>
                <w:szCs w:val="24"/>
                <w:lang w:val="en-GB"/>
              </w:rPr>
            </w:pPr>
            <w:r w:rsidRPr="00E142DF">
              <w:rPr>
                <w:szCs w:val="24"/>
                <w:lang w:val="en-GB"/>
              </w:rPr>
              <w:t xml:space="preserve">Lower limit of state </w:t>
            </w:r>
            <w:r>
              <w:rPr>
                <w:szCs w:val="24"/>
                <w:lang w:val="en-GB"/>
              </w:rPr>
              <w:t>9</w:t>
            </w:r>
          </w:p>
        </w:tc>
      </w:tr>
    </w:tbl>
    <w:p w:rsidR="00B1765F" w:rsidRDefault="00B1765F" w:rsidP="00B1765F">
      <w:pPr>
        <w:spacing w:before="240"/>
        <w:jc w:val="left"/>
      </w:pP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262, 263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287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</w:t>
      </w:r>
      <w:r>
        <w:t xml:space="preserve">below that </w:t>
      </w:r>
      <w:r w:rsidRPr="00423438">
        <w:t>for</w:t>
      </w:r>
      <w:r>
        <w:t xml:space="preserve"> variety 79</w:t>
      </w:r>
      <w:r w:rsidRPr="00423438">
        <w:t xml:space="preserve">, they have note </w:t>
      </w:r>
      <w:r>
        <w:t>1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284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283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between those for </w:t>
      </w:r>
      <w:r>
        <w:t xml:space="preserve">varieties 79 </w:t>
      </w:r>
      <w:r w:rsidRPr="00423438">
        <w:t>and</w:t>
      </w:r>
      <w:r>
        <w:t xml:space="preserve"> 76</w:t>
      </w:r>
      <w:r w:rsidRPr="00423438">
        <w:t xml:space="preserve">, they have note </w:t>
      </w:r>
      <w:r>
        <w:t>2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288, 290, 289, 303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275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between those for </w:t>
      </w:r>
      <w:r>
        <w:t xml:space="preserve">varieties 76 </w:t>
      </w:r>
      <w:r w:rsidRPr="00423438">
        <w:t>and</w:t>
      </w:r>
      <w:r>
        <w:t xml:space="preserve"> 146</w:t>
      </w:r>
      <w:r w:rsidRPr="00423438">
        <w:t xml:space="preserve">, they have note </w:t>
      </w:r>
      <w:r>
        <w:t>3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269, 297, 302, 277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274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between those for </w:t>
      </w:r>
      <w:r>
        <w:t xml:space="preserve">varieties 146 </w:t>
      </w:r>
      <w:r w:rsidRPr="00423438">
        <w:t>and</w:t>
      </w:r>
      <w:r>
        <w:t xml:space="preserve"> 164</w:t>
      </w:r>
      <w:r w:rsidRPr="00423438">
        <w:t xml:space="preserve">, they have note </w:t>
      </w:r>
      <w:r>
        <w:t>4</w:t>
      </w:r>
      <w:r w:rsidRPr="00423438">
        <w:t>.</w:t>
      </w:r>
      <w:r>
        <w:br/>
        <w:t>As the over-year mean for candidate</w:t>
      </w:r>
      <w:r w:rsidRPr="00423438">
        <w:t xml:space="preserve">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228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>
        <w:t xml:space="preserve">is </w:t>
      </w:r>
      <w:r w:rsidRPr="00423438">
        <w:t xml:space="preserve">between those for </w:t>
      </w:r>
      <w:r>
        <w:t xml:space="preserve">varieties 164 </w:t>
      </w:r>
      <w:r w:rsidRPr="00423438">
        <w:t>and</w:t>
      </w:r>
      <w:r>
        <w:t xml:space="preserve"> 77</w:t>
      </w:r>
      <w:r w:rsidRPr="00423438">
        <w:t xml:space="preserve">, </w:t>
      </w:r>
      <w:r>
        <w:t xml:space="preserve">it has </w:t>
      </w:r>
      <w:r w:rsidRPr="00423438">
        <w:t xml:space="preserve">note </w:t>
      </w:r>
      <w:r>
        <w:t>5</w:t>
      </w:r>
      <w:r w:rsidRPr="00423438">
        <w:t>.</w:t>
      </w:r>
      <w:r>
        <w:br/>
      </w:r>
      <w:r w:rsidRPr="00423438">
        <w:t>As th</w:t>
      </w:r>
      <w:r>
        <w:t>e over-year mean for candidate</w:t>
      </w:r>
      <w:r w:rsidRPr="00423438">
        <w:t xml:space="preserve"> </w:t>
      </w:r>
      <w:r>
        <w:t xml:space="preserve">270 is </w:t>
      </w:r>
      <w:r w:rsidRPr="00423438">
        <w:t xml:space="preserve">between those for </w:t>
      </w:r>
      <w:r>
        <w:t xml:space="preserve">varieties 77 </w:t>
      </w:r>
      <w:r w:rsidRPr="00423438">
        <w:t>and</w:t>
      </w:r>
      <w:r>
        <w:t xml:space="preserve"> 36</w:t>
      </w:r>
      <w:r w:rsidRPr="00423438">
        <w:t xml:space="preserve">, </w:t>
      </w:r>
      <w:r>
        <w:t xml:space="preserve">it has </w:t>
      </w:r>
      <w:r w:rsidRPr="00423438">
        <w:t xml:space="preserve">note </w:t>
      </w:r>
      <w:r>
        <w:t>6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293, 267, 295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273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between those for </w:t>
      </w:r>
      <w:r>
        <w:t xml:space="preserve">varieties 36 </w:t>
      </w:r>
      <w:r w:rsidRPr="00423438">
        <w:t>and</w:t>
      </w:r>
      <w:r>
        <w:t xml:space="preserve"> 140</w:t>
      </w:r>
      <w:r w:rsidRPr="00423438">
        <w:t xml:space="preserve">, they have note </w:t>
      </w:r>
      <w:r>
        <w:t>7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292, 300, 291, 272, 294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299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 xml:space="preserve">are between those for </w:t>
      </w:r>
      <w:r>
        <w:t xml:space="preserve">varieties 140 </w:t>
      </w:r>
      <w:r w:rsidRPr="00423438">
        <w:t>and</w:t>
      </w:r>
      <w:r>
        <w:t xml:space="preserve"> 96</w:t>
      </w:r>
      <w:r w:rsidRPr="00423438">
        <w:t xml:space="preserve">, they have note </w:t>
      </w:r>
      <w:r>
        <w:t>8</w:t>
      </w:r>
      <w:r w:rsidRPr="00423438">
        <w:t>.</w:t>
      </w:r>
      <w:r>
        <w:br/>
      </w:r>
      <w:r w:rsidRPr="00423438">
        <w:t xml:space="preserve">As the over-year means for candidates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298, 296 </w:t>
      </w:r>
      <w:r w:rsidRPr="00423438">
        <w:t xml:space="preserve">and </w:t>
      </w:r>
      <w:r w:rsidRPr="00AD3420">
        <w:rPr>
          <w:rFonts w:ascii="Calibri" w:hAnsi="Calibri" w:cs="Calibri"/>
          <w:color w:val="000000"/>
          <w:sz w:val="22"/>
          <w:szCs w:val="22"/>
          <w:lang w:val="en-GB" w:eastAsia="en-GB"/>
        </w:rPr>
        <w:t>301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423438">
        <w:t>are greater than that for</w:t>
      </w:r>
      <w:r>
        <w:t xml:space="preserve"> variety 96</w:t>
      </w:r>
      <w:r w:rsidRPr="00423438">
        <w:t xml:space="preserve">, they have note </w:t>
      </w:r>
      <w:r>
        <w:t>9</w:t>
      </w:r>
      <w:r w:rsidRPr="00423438">
        <w:t>.</w:t>
      </w:r>
    </w:p>
    <w:p w:rsidR="00B1765F" w:rsidRDefault="00B1765F" w:rsidP="000C048A">
      <w:pPr>
        <w:spacing w:before="240"/>
      </w:pPr>
      <w:r>
        <w:t>On r</w:t>
      </w:r>
      <w:r w:rsidR="004E0484">
        <w:t xml:space="preserve">equest, this data set </w:t>
      </w:r>
      <w:r w:rsidR="000C048A">
        <w:t xml:space="preserve">can be made available </w:t>
      </w:r>
      <w:r>
        <w:t xml:space="preserve">to any </w:t>
      </w:r>
      <w:r w:rsidR="000C048A">
        <w:t xml:space="preserve">UPOV </w:t>
      </w:r>
      <w:r>
        <w:t>m</w:t>
      </w:r>
      <w:r>
        <w:rPr>
          <w:lang w:val="en-GB" w:eastAsia="en-GB"/>
        </w:rPr>
        <w:t>ember</w:t>
      </w:r>
      <w:r w:rsidR="000C048A">
        <w:rPr>
          <w:lang w:val="en-GB" w:eastAsia="en-GB"/>
        </w:rPr>
        <w:t xml:space="preserve"> </w:t>
      </w:r>
      <w:r>
        <w:rPr>
          <w:lang w:val="en-GB" w:eastAsia="en-GB"/>
        </w:rPr>
        <w:t xml:space="preserve">that wishes to illustrate their method to produce variety descriptions from </w:t>
      </w:r>
      <w:r w:rsidRPr="00571AAF">
        <w:t>measured, quantitative characteristics</w:t>
      </w:r>
      <w:r>
        <w:rPr>
          <w:lang w:val="en-GB" w:eastAsia="en-GB"/>
        </w:rPr>
        <w:t xml:space="preserve">.  </w:t>
      </w:r>
    </w:p>
    <w:p w:rsidR="00B1765F" w:rsidRDefault="00B1765F">
      <w:pPr>
        <w:jc w:val="left"/>
      </w:pPr>
    </w:p>
    <w:p w:rsidR="005D3653" w:rsidRDefault="005D3653" w:rsidP="00AF2CD6">
      <w:pPr>
        <w:jc w:val="left"/>
      </w:pPr>
    </w:p>
    <w:p w:rsidR="00B1765F" w:rsidRPr="005D3653" w:rsidRDefault="00B1765F" w:rsidP="00AF2CD6">
      <w:pPr>
        <w:jc w:val="left"/>
        <w:rPr>
          <w:i/>
        </w:rPr>
      </w:pPr>
      <w:r w:rsidRPr="005D3653">
        <w:rPr>
          <w:i/>
        </w:rPr>
        <w:t xml:space="preserve">Table: </w:t>
      </w:r>
      <w:r w:rsidRPr="00B1765F">
        <w:rPr>
          <w:i/>
        </w:rPr>
        <w:t xml:space="preserve">Variety-by-year means, over-year </w:t>
      </w:r>
      <w:r w:rsidRPr="00B1765F">
        <w:rPr>
          <w:i/>
          <w:szCs w:val="24"/>
        </w:rPr>
        <w:t>means and notes by the two methods</w:t>
      </w:r>
    </w:p>
    <w:tbl>
      <w:tblPr>
        <w:tblW w:w="99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1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  <w:gridCol w:w="680"/>
        <w:gridCol w:w="737"/>
        <w:gridCol w:w="737"/>
      </w:tblGrid>
      <w:tr w:rsidR="00B1765F" w:rsidRPr="00EB0279" w:rsidTr="00B1765F">
        <w:trPr>
          <w:trHeight w:val="9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  <w:right w:w="57" w:type="dxa"/>
            </w:tcMar>
            <w:vAlign w:val="bottom"/>
            <w:hideMark/>
          </w:tcPr>
          <w:p w:rsidR="00B1765F" w:rsidRPr="00A075A6" w:rsidRDefault="00B1765F" w:rsidP="00B45202">
            <w:pPr>
              <w:jc w:val="left"/>
              <w:rPr>
                <w:rFonts w:ascii="Calibri" w:hAnsi="Calibri" w:cs="Calibri"/>
                <w:color w:val="000000"/>
                <w:szCs w:val="22"/>
                <w:lang w:val="en-GB" w:eastAsia="en-GB"/>
              </w:rPr>
            </w:pPr>
            <w:r w:rsidRPr="00A075A6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Variety</w:t>
            </w:r>
            <w:r>
              <w:rPr>
                <w:rStyle w:val="FootnoteReference"/>
                <w:rFonts w:ascii="Calibri" w:hAnsi="Calibri" w:cs="Calibri"/>
                <w:color w:val="000000"/>
                <w:szCs w:val="22"/>
                <w:lang w:val="en-GB" w:eastAsia="en-GB"/>
              </w:rPr>
              <w:footnoteReference w:id="2"/>
            </w: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br/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Year</w:t>
            </w: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br/>
            </w: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br/>
            </w: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Over-year mean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Stat</w:t>
            </w: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-</w:t>
            </w: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us</w:t>
            </w:r>
            <w:r>
              <w:rPr>
                <w:rStyle w:val="FootnoteReference"/>
                <w:rFonts w:asciiTheme="minorHAnsi" w:hAnsiTheme="minorHAnsi" w:cstheme="minorHAnsi"/>
                <w:color w:val="000000"/>
                <w:lang w:val="en-GB" w:eastAsia="en-GB"/>
              </w:rPr>
              <w:footnoteReference w:id="3"/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Note by division of range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 xml:space="preserve">Note by </w:t>
            </w:r>
            <w:proofErr w:type="spellStart"/>
            <w:r w:rsidRPr="00A075A6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deli</w:t>
            </w:r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a</w:t>
            </w:r>
            <w:r w:rsidRPr="00A075A6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>ting</w:t>
            </w:r>
            <w:proofErr w:type="spellEnd"/>
            <w:r w:rsidRPr="00A075A6">
              <w:rPr>
                <w:rFonts w:ascii="Calibri" w:hAnsi="Calibri" w:cs="Calibri"/>
                <w:color w:val="000000"/>
                <w:szCs w:val="22"/>
                <w:lang w:val="en-GB" w:eastAsia="en-GB"/>
              </w:rPr>
              <w:t xml:space="preserve"> </w:t>
            </w: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variety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355.0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lastRenderedPageBreak/>
              <w:t>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412.1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412.4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427.8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444.6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450.8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466.3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469.3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476.0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485.4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495.5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495.9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497.2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498.8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498.9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508.4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510.0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lastRenderedPageBreak/>
              <w:t>109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510.1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512.9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146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514.0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524.2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524.7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524.8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527.4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549.7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164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554.5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557.3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668.7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681.6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926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702.8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711.2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716.1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721.8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727.9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728.3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730.9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731.9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735.1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735.3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736.7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739.4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740.7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lastRenderedPageBreak/>
              <w:t>175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741.1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742.4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746.5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746.9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946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854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762.6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856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763.0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764.0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843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772.0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1006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772.3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b/>
                <w:bCs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774.4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782.5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1044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848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798.2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812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801.9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1024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1104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959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907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886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853.1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Ref’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381.7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405.7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1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413.4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437.1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478.1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490.4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505.6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512.2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516.2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518.8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524.6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544.1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550.2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228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467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663.5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557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693.8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723.8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733.3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549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739.9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741.3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756.6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760.5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760.6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763.7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769.2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807.5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296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839.0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  <w:tr w:rsidR="00B1765F" w:rsidRPr="00EB0279" w:rsidTr="00B1765F">
        <w:trPr>
          <w:trHeight w:val="227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08" w:type="dxa"/>
            </w:tcMar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784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righ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840.3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left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Cand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val="en-GB" w:eastAsia="en-GB"/>
              </w:rPr>
              <w:t>’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765F" w:rsidRPr="00EB0279" w:rsidRDefault="00B1765F" w:rsidP="00B45202">
            <w:pPr>
              <w:jc w:val="center"/>
              <w:rPr>
                <w:rFonts w:asciiTheme="minorHAnsi" w:hAnsiTheme="minorHAnsi" w:cstheme="minorHAnsi"/>
                <w:color w:val="000000"/>
                <w:lang w:val="en-GB" w:eastAsia="en-GB"/>
              </w:rPr>
            </w:pPr>
            <w:r w:rsidRPr="00EB0279">
              <w:rPr>
                <w:rFonts w:asciiTheme="minorHAnsi" w:hAnsiTheme="minorHAnsi" w:cstheme="minorHAnsi"/>
                <w:color w:val="000000"/>
                <w:lang w:val="en-GB" w:eastAsia="en-GB"/>
              </w:rPr>
              <w:t>9</w:t>
            </w:r>
          </w:p>
        </w:tc>
      </w:tr>
    </w:tbl>
    <w:p w:rsidR="00082DB8" w:rsidRDefault="00082DB8" w:rsidP="005B62F0">
      <w:pPr>
        <w:pStyle w:val="endofdoc"/>
      </w:pPr>
    </w:p>
    <w:p w:rsidR="00DF474C" w:rsidRDefault="005B62F0" w:rsidP="005B62F0">
      <w:pPr>
        <w:pStyle w:val="endofdoc"/>
        <w:rPr>
          <w:snapToGrid w:val="0"/>
        </w:rPr>
      </w:pPr>
      <w:r>
        <w:t>[End of Annex and of document]</w:t>
      </w:r>
    </w:p>
    <w:sectPr w:rsidR="00DF474C" w:rsidSect="00AE66CE">
      <w:headerReference w:type="default" r:id="rId11"/>
      <w:foot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8C" w:rsidRDefault="009C188C" w:rsidP="006655D3">
      <w:r>
        <w:separator/>
      </w:r>
    </w:p>
    <w:p w:rsidR="009C188C" w:rsidRDefault="009C188C" w:rsidP="006655D3"/>
    <w:p w:rsidR="009C188C" w:rsidRDefault="009C188C" w:rsidP="006655D3"/>
  </w:endnote>
  <w:endnote w:type="continuationSeparator" w:id="0">
    <w:p w:rsidR="009C188C" w:rsidRDefault="009C188C" w:rsidP="006655D3">
      <w:r>
        <w:separator/>
      </w:r>
    </w:p>
    <w:p w:rsidR="009C188C" w:rsidRPr="005B62F0" w:rsidRDefault="009C188C">
      <w:pPr>
        <w:pStyle w:val="Footer"/>
        <w:spacing w:after="60"/>
        <w:rPr>
          <w:sz w:val="18"/>
          <w:lang w:val="fr-CH"/>
        </w:rPr>
      </w:pPr>
      <w:r w:rsidRPr="005B62F0">
        <w:rPr>
          <w:sz w:val="18"/>
          <w:lang w:val="fr-CH"/>
        </w:rPr>
        <w:t>[Suite de la note de la page précédente]</w:t>
      </w:r>
    </w:p>
    <w:p w:rsidR="009C188C" w:rsidRPr="005B62F0" w:rsidRDefault="009C188C" w:rsidP="006655D3">
      <w:pPr>
        <w:rPr>
          <w:lang w:val="fr-CH"/>
        </w:rPr>
      </w:pPr>
    </w:p>
    <w:p w:rsidR="009C188C" w:rsidRPr="005B62F0" w:rsidRDefault="009C188C" w:rsidP="006655D3">
      <w:pPr>
        <w:rPr>
          <w:lang w:val="fr-CH"/>
        </w:rPr>
      </w:pPr>
    </w:p>
  </w:endnote>
  <w:endnote w:type="continuationNotice" w:id="1">
    <w:p w:rsidR="009C188C" w:rsidRPr="005B62F0" w:rsidRDefault="009C188C" w:rsidP="006655D3">
      <w:pPr>
        <w:rPr>
          <w:lang w:val="fr-CH"/>
        </w:rPr>
      </w:pPr>
      <w:r w:rsidRPr="005B62F0">
        <w:rPr>
          <w:lang w:val="fr-CH"/>
        </w:rPr>
        <w:t>[Suite de la note page suivante]</w:t>
      </w:r>
    </w:p>
    <w:p w:rsidR="009C188C" w:rsidRPr="005B62F0" w:rsidRDefault="009C188C" w:rsidP="006655D3">
      <w:pPr>
        <w:rPr>
          <w:lang w:val="fr-CH"/>
        </w:rPr>
      </w:pPr>
    </w:p>
    <w:p w:rsidR="009C188C" w:rsidRPr="005B62F0" w:rsidRDefault="009C188C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8C" w:rsidRPr="00AE66CE" w:rsidRDefault="009C188C" w:rsidP="00AE6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8C" w:rsidRDefault="009C188C" w:rsidP="006655D3">
      <w:r>
        <w:separator/>
      </w:r>
    </w:p>
  </w:footnote>
  <w:footnote w:type="continuationSeparator" w:id="0">
    <w:p w:rsidR="009C188C" w:rsidRDefault="009C188C" w:rsidP="006655D3">
      <w:r>
        <w:separator/>
      </w:r>
    </w:p>
  </w:footnote>
  <w:footnote w:type="continuationNotice" w:id="1">
    <w:p w:rsidR="009C188C" w:rsidRPr="00AB530F" w:rsidRDefault="009C188C" w:rsidP="00AB530F">
      <w:pPr>
        <w:pStyle w:val="Footer"/>
      </w:pPr>
    </w:p>
  </w:footnote>
  <w:footnote w:id="2">
    <w:p w:rsidR="00B1765F" w:rsidRPr="00901433" w:rsidRDefault="00B1765F" w:rsidP="00B1765F">
      <w:pPr>
        <w:pStyle w:val="FootnoteText"/>
        <w:rPr>
          <w:rFonts w:cs="Arial"/>
          <w:szCs w:val="16"/>
          <w:lang w:val="en-GB"/>
        </w:rPr>
      </w:pPr>
      <w:r w:rsidRPr="00901433">
        <w:rPr>
          <w:rStyle w:val="FootnoteReference"/>
          <w:rFonts w:cs="Arial"/>
          <w:szCs w:val="16"/>
        </w:rPr>
        <w:footnoteRef/>
      </w:r>
      <w:r w:rsidRPr="00901433">
        <w:rPr>
          <w:rFonts w:cs="Arial"/>
          <w:szCs w:val="16"/>
        </w:rPr>
        <w:t xml:space="preserve"> </w:t>
      </w:r>
      <w:r w:rsidRPr="00901433">
        <w:rPr>
          <w:rFonts w:cs="Arial"/>
          <w:color w:val="000000"/>
          <w:szCs w:val="16"/>
          <w:lang w:val="en-GB" w:eastAsia="en-GB"/>
        </w:rPr>
        <w:t xml:space="preserve">bold </w:t>
      </w:r>
      <w:r w:rsidR="00901433">
        <w:rPr>
          <w:rFonts w:cs="Arial"/>
          <w:color w:val="000000"/>
          <w:szCs w:val="16"/>
          <w:lang w:val="en-GB" w:eastAsia="en-GB"/>
        </w:rPr>
        <w:t xml:space="preserve">font: </w:t>
      </w:r>
      <w:r w:rsidRPr="00901433">
        <w:rPr>
          <w:rFonts w:cs="Arial"/>
          <w:color w:val="000000"/>
          <w:szCs w:val="16"/>
          <w:lang w:val="en-GB" w:eastAsia="en-GB"/>
        </w:rPr>
        <w:t>delineating variety</w:t>
      </w:r>
    </w:p>
  </w:footnote>
  <w:footnote w:id="3">
    <w:p w:rsidR="00B1765F" w:rsidRPr="0063700F" w:rsidRDefault="00B1765F" w:rsidP="00B1765F">
      <w:pPr>
        <w:pStyle w:val="FootnoteText"/>
        <w:rPr>
          <w:lang w:val="en-GB"/>
        </w:rPr>
      </w:pPr>
      <w:r w:rsidRPr="00901433">
        <w:rPr>
          <w:rStyle w:val="FootnoteReference"/>
          <w:rFonts w:cs="Arial"/>
          <w:szCs w:val="16"/>
        </w:rPr>
        <w:footnoteRef/>
      </w:r>
      <w:r w:rsidR="00901433">
        <w:rPr>
          <w:rFonts w:cs="Arial"/>
          <w:szCs w:val="16"/>
        </w:rPr>
        <w:t xml:space="preserve"> Ref’: reference varieties / </w:t>
      </w:r>
      <w:proofErr w:type="spellStart"/>
      <w:r w:rsidR="00901433">
        <w:rPr>
          <w:rFonts w:cs="Arial"/>
          <w:szCs w:val="16"/>
        </w:rPr>
        <w:t>Cand</w:t>
      </w:r>
      <w:proofErr w:type="spellEnd"/>
      <w:r w:rsidR="00901433">
        <w:rPr>
          <w:rFonts w:cs="Arial"/>
          <w:szCs w:val="16"/>
        </w:rPr>
        <w:t xml:space="preserve">’: </w:t>
      </w:r>
      <w:r w:rsidRPr="00901433">
        <w:rPr>
          <w:rFonts w:cs="Arial"/>
          <w:szCs w:val="16"/>
        </w:rPr>
        <w:t>candidate varieties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8C" w:rsidRDefault="009C188C" w:rsidP="00510300">
    <w:pPr>
      <w:pStyle w:val="Header"/>
    </w:pPr>
    <w:r>
      <w:t>TWC/31/18 Add.</w:t>
    </w:r>
  </w:p>
  <w:p w:rsidR="009C188C" w:rsidRDefault="009C188C" w:rsidP="00510300">
    <w:pPr>
      <w:pStyle w:val="Header"/>
      <w:rPr>
        <w:rStyle w:val="PageNumber"/>
      </w:rPr>
    </w:pPr>
    <w:proofErr w:type="gramStart"/>
    <w:r>
      <w:t>page</w:t>
    </w:r>
    <w:proofErr w:type="gramEnd"/>
    <w:r>
      <w:t xml:space="preserve"> </w:t>
    </w:r>
    <w:r w:rsidR="00282EF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82EF4">
      <w:rPr>
        <w:rStyle w:val="PageNumber"/>
      </w:rPr>
      <w:fldChar w:fldCharType="separate"/>
    </w:r>
    <w:r>
      <w:rPr>
        <w:rStyle w:val="PageNumber"/>
        <w:noProof/>
      </w:rPr>
      <w:t>2</w:t>
    </w:r>
    <w:r w:rsidR="00282EF4">
      <w:rPr>
        <w:rStyle w:val="PageNumber"/>
      </w:rPr>
      <w:fldChar w:fldCharType="end"/>
    </w:r>
  </w:p>
  <w:p w:rsidR="009C188C" w:rsidRDefault="009C188C" w:rsidP="00510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8C" w:rsidRPr="00832298" w:rsidRDefault="009C188C" w:rsidP="00832298">
    <w:pPr>
      <w:pStyle w:val="Header"/>
    </w:pPr>
    <w:r w:rsidRPr="00832298">
      <w:t>TW</w:t>
    </w:r>
    <w:r>
      <w:t>C/31/18 Add.</w:t>
    </w:r>
  </w:p>
  <w:p w:rsidR="009C188C" w:rsidRPr="00C5280D" w:rsidRDefault="009C188C" w:rsidP="00EB048E">
    <w:pPr>
      <w:pStyle w:val="Header"/>
    </w:pPr>
    <w:r>
      <w:t xml:space="preserve">Annex, </w:t>
    </w:r>
    <w:r w:rsidRPr="00C5280D">
      <w:t xml:space="preserve">page </w:t>
    </w:r>
    <w:r w:rsidR="00282EF4" w:rsidRPr="00832298">
      <w:fldChar w:fldCharType="begin"/>
    </w:r>
    <w:r w:rsidRPr="00832298">
      <w:instrText xml:space="preserve"> PAGE </w:instrText>
    </w:r>
    <w:r w:rsidR="00282EF4" w:rsidRPr="00832298">
      <w:fldChar w:fldCharType="separate"/>
    </w:r>
    <w:r w:rsidR="001D752C">
      <w:rPr>
        <w:noProof/>
      </w:rPr>
      <w:t>5</w:t>
    </w:r>
    <w:r w:rsidR="00282EF4" w:rsidRPr="00832298">
      <w:fldChar w:fldCharType="end"/>
    </w:r>
  </w:p>
  <w:p w:rsidR="009C188C" w:rsidRPr="00C5280D" w:rsidRDefault="009C188C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2CF93C"/>
    <w:lvl w:ilvl="0">
      <w:numFmt w:val="bullet"/>
      <w:lvlText w:val="*"/>
      <w:lvlJc w:val="left"/>
    </w:lvl>
  </w:abstractNum>
  <w:abstractNum w:abstractNumId="11">
    <w:nsid w:val="13F250C7"/>
    <w:multiLevelType w:val="multilevel"/>
    <w:tmpl w:val="7E3E7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6555D6"/>
    <w:multiLevelType w:val="hybridMultilevel"/>
    <w:tmpl w:val="74765AE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2">
    <w:abstractNumId w:val="1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F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DB8"/>
    <w:rsid w:val="0008300C"/>
    <w:rsid w:val="00085505"/>
    <w:rsid w:val="000C048A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752C"/>
    <w:rsid w:val="0021332C"/>
    <w:rsid w:val="00213982"/>
    <w:rsid w:val="002249B2"/>
    <w:rsid w:val="0024416D"/>
    <w:rsid w:val="002800A0"/>
    <w:rsid w:val="002801B3"/>
    <w:rsid w:val="00281060"/>
    <w:rsid w:val="00282EF4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B3894"/>
    <w:rsid w:val="003B5EA1"/>
    <w:rsid w:val="003D227C"/>
    <w:rsid w:val="003D2B4D"/>
    <w:rsid w:val="00444A88"/>
    <w:rsid w:val="00474DA4"/>
    <w:rsid w:val="00476B4D"/>
    <w:rsid w:val="004805FA"/>
    <w:rsid w:val="004902B0"/>
    <w:rsid w:val="004967C7"/>
    <w:rsid w:val="004A6D94"/>
    <w:rsid w:val="004D047D"/>
    <w:rsid w:val="004E0484"/>
    <w:rsid w:val="004E3EF9"/>
    <w:rsid w:val="004F305A"/>
    <w:rsid w:val="005056E8"/>
    <w:rsid w:val="00510300"/>
    <w:rsid w:val="00512164"/>
    <w:rsid w:val="00520297"/>
    <w:rsid w:val="005338F9"/>
    <w:rsid w:val="0054281C"/>
    <w:rsid w:val="0055268D"/>
    <w:rsid w:val="005706DF"/>
    <w:rsid w:val="00576BE4"/>
    <w:rsid w:val="0057736E"/>
    <w:rsid w:val="005A400A"/>
    <w:rsid w:val="005B62F0"/>
    <w:rsid w:val="005D3653"/>
    <w:rsid w:val="00612379"/>
    <w:rsid w:val="0061555F"/>
    <w:rsid w:val="006277BC"/>
    <w:rsid w:val="00633FD4"/>
    <w:rsid w:val="00641200"/>
    <w:rsid w:val="006515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6F6BFD"/>
    <w:rsid w:val="00732DEC"/>
    <w:rsid w:val="00735BD5"/>
    <w:rsid w:val="007556F6"/>
    <w:rsid w:val="00760EEF"/>
    <w:rsid w:val="00777EE5"/>
    <w:rsid w:val="00784836"/>
    <w:rsid w:val="0079023E"/>
    <w:rsid w:val="007A2854"/>
    <w:rsid w:val="007B5366"/>
    <w:rsid w:val="007D0B9D"/>
    <w:rsid w:val="007D19B0"/>
    <w:rsid w:val="007F498F"/>
    <w:rsid w:val="007F7548"/>
    <w:rsid w:val="0080679D"/>
    <w:rsid w:val="008108B0"/>
    <w:rsid w:val="00811B20"/>
    <w:rsid w:val="0082296E"/>
    <w:rsid w:val="00824099"/>
    <w:rsid w:val="00832298"/>
    <w:rsid w:val="00835CE4"/>
    <w:rsid w:val="008529A8"/>
    <w:rsid w:val="00867AC1"/>
    <w:rsid w:val="00876C58"/>
    <w:rsid w:val="008A2873"/>
    <w:rsid w:val="008A743F"/>
    <w:rsid w:val="008C0970"/>
    <w:rsid w:val="008D2CF7"/>
    <w:rsid w:val="00900C26"/>
    <w:rsid w:val="00901433"/>
    <w:rsid w:val="0090197F"/>
    <w:rsid w:val="00903656"/>
    <w:rsid w:val="00906DDC"/>
    <w:rsid w:val="00934E09"/>
    <w:rsid w:val="00936253"/>
    <w:rsid w:val="00946D37"/>
    <w:rsid w:val="00952DD4"/>
    <w:rsid w:val="00970FED"/>
    <w:rsid w:val="00997029"/>
    <w:rsid w:val="009A14EA"/>
    <w:rsid w:val="009C188C"/>
    <w:rsid w:val="009C64B0"/>
    <w:rsid w:val="009D690D"/>
    <w:rsid w:val="009E65B6"/>
    <w:rsid w:val="00A010CE"/>
    <w:rsid w:val="00A17FDB"/>
    <w:rsid w:val="00A24C10"/>
    <w:rsid w:val="00A42AC3"/>
    <w:rsid w:val="00A430CF"/>
    <w:rsid w:val="00A54309"/>
    <w:rsid w:val="00AA7916"/>
    <w:rsid w:val="00AB2B93"/>
    <w:rsid w:val="00AB530F"/>
    <w:rsid w:val="00AB7E5B"/>
    <w:rsid w:val="00AE0EF1"/>
    <w:rsid w:val="00AE2937"/>
    <w:rsid w:val="00AE66CE"/>
    <w:rsid w:val="00AF2CD6"/>
    <w:rsid w:val="00B07301"/>
    <w:rsid w:val="00B13D6B"/>
    <w:rsid w:val="00B1765F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055C"/>
    <w:rsid w:val="00CC11B0"/>
    <w:rsid w:val="00CF7E36"/>
    <w:rsid w:val="00D3708D"/>
    <w:rsid w:val="00D40426"/>
    <w:rsid w:val="00D57C96"/>
    <w:rsid w:val="00D63FBE"/>
    <w:rsid w:val="00D91203"/>
    <w:rsid w:val="00D95174"/>
    <w:rsid w:val="00DA6F36"/>
    <w:rsid w:val="00DB2E22"/>
    <w:rsid w:val="00DB596E"/>
    <w:rsid w:val="00DB7773"/>
    <w:rsid w:val="00DC00EA"/>
    <w:rsid w:val="00DF474C"/>
    <w:rsid w:val="00E30ACD"/>
    <w:rsid w:val="00E32F7E"/>
    <w:rsid w:val="00E53D0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9C18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5B62F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edbodytext">
    <w:name w:val="Boxed body text"/>
    <w:basedOn w:val="BodyTextIndent"/>
    <w:rsid w:val="006277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360" w:lineRule="auto"/>
      <w:ind w:left="208"/>
    </w:pPr>
    <w:rPr>
      <w:rFonts w:ascii="Verdana" w:hAnsi="Verdana" w:cs="Arial"/>
    </w:rPr>
  </w:style>
  <w:style w:type="paragraph" w:styleId="BodyTextIndent">
    <w:name w:val="Body Text Indent"/>
    <w:basedOn w:val="Normal"/>
    <w:link w:val="BodyTextIndentChar"/>
    <w:rsid w:val="006277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77BC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6277BC"/>
    <w:pPr>
      <w:tabs>
        <w:tab w:val="left" w:pos="1985"/>
      </w:tabs>
      <w:spacing w:before="60" w:after="60"/>
      <w:ind w:left="567"/>
      <w:jc w:val="left"/>
    </w:pPr>
    <w:rPr>
      <w:snapToGrid w:val="0"/>
      <w:color w:val="00000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77BC"/>
    <w:rPr>
      <w:rFonts w:ascii="Arial" w:hAnsi="Arial"/>
      <w:snapToGrid w:val="0"/>
      <w:color w:val="000000"/>
      <w:szCs w:val="24"/>
    </w:rPr>
  </w:style>
  <w:style w:type="character" w:styleId="CommentReference">
    <w:name w:val="annotation reference"/>
    <w:basedOn w:val="DefaultParagraphFont"/>
    <w:rsid w:val="00627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7BC"/>
  </w:style>
  <w:style w:type="character" w:customStyle="1" w:styleId="CommentTextChar">
    <w:name w:val="Comment Text Char"/>
    <w:basedOn w:val="DefaultParagraphFont"/>
    <w:link w:val="CommentText"/>
    <w:rsid w:val="006277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2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7BC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6277B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B1765F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9C18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table" w:styleId="TableGrid">
    <w:name w:val="Table Grid"/>
    <w:basedOn w:val="TableNormal"/>
    <w:rsid w:val="005B62F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edbodytext">
    <w:name w:val="Boxed body text"/>
    <w:basedOn w:val="BodyTextIndent"/>
    <w:rsid w:val="006277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360" w:lineRule="auto"/>
      <w:ind w:left="208"/>
    </w:pPr>
    <w:rPr>
      <w:rFonts w:ascii="Verdana" w:hAnsi="Verdana" w:cs="Arial"/>
    </w:rPr>
  </w:style>
  <w:style w:type="paragraph" w:styleId="BodyTextIndent">
    <w:name w:val="Body Text Indent"/>
    <w:basedOn w:val="Normal"/>
    <w:link w:val="BodyTextIndentChar"/>
    <w:rsid w:val="006277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277BC"/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6277BC"/>
    <w:pPr>
      <w:tabs>
        <w:tab w:val="left" w:pos="1985"/>
      </w:tabs>
      <w:spacing w:before="60" w:after="60"/>
      <w:ind w:left="567"/>
      <w:jc w:val="left"/>
    </w:pPr>
    <w:rPr>
      <w:snapToGrid w:val="0"/>
      <w:color w:val="000000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277BC"/>
    <w:rPr>
      <w:rFonts w:ascii="Arial" w:hAnsi="Arial"/>
      <w:snapToGrid w:val="0"/>
      <w:color w:val="000000"/>
      <w:szCs w:val="24"/>
    </w:rPr>
  </w:style>
  <w:style w:type="character" w:styleId="CommentReference">
    <w:name w:val="annotation reference"/>
    <w:basedOn w:val="DefaultParagraphFont"/>
    <w:rsid w:val="006277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7BC"/>
  </w:style>
  <w:style w:type="character" w:customStyle="1" w:styleId="CommentTextChar">
    <w:name w:val="Comment Text Char"/>
    <w:basedOn w:val="DefaultParagraphFont"/>
    <w:link w:val="CommentText"/>
    <w:rsid w:val="006277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2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7BC"/>
    <w:rPr>
      <w:rFonts w:ascii="Arial" w:hAnsi="Arial"/>
      <w:b/>
      <w:bCs/>
    </w:rPr>
  </w:style>
  <w:style w:type="character" w:customStyle="1" w:styleId="BodyTextChar">
    <w:name w:val="Body Text Char"/>
    <w:basedOn w:val="DefaultParagraphFont"/>
    <w:link w:val="BodyText"/>
    <w:rsid w:val="006277B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B1765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5AF0-23C7-4551-BBF0-6323EE2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twv_47.dotm</Template>
  <TotalTime>9</TotalTime>
  <Pages>6</Pages>
  <Words>2989</Words>
  <Characters>12411</Characters>
  <Application>Microsoft Office Word</Application>
  <DocSecurity>0</DocSecurity>
  <Lines>103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FAVA Alexandra</cp:lastModifiedBy>
  <cp:revision>7</cp:revision>
  <cp:lastPrinted>2013-08-02T09:28:00Z</cp:lastPrinted>
  <dcterms:created xsi:type="dcterms:W3CDTF">2013-08-02T09:28:00Z</dcterms:created>
  <dcterms:modified xsi:type="dcterms:W3CDTF">2013-08-08T13:05:00Z</dcterms:modified>
</cp:coreProperties>
</file>