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C16A60" w:rsidP="006655D3">
            <w:pPr>
              <w:pStyle w:val="LogoUPOV"/>
            </w:pPr>
            <w:r>
              <w:rPr>
                <w:noProof/>
              </w:rPr>
              <w:drawing>
                <wp:inline distT="0" distB="0" distL="0" distR="0" wp14:anchorId="72EB137A" wp14:editId="3F572123">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FB0F25" w:rsidRDefault="00667404" w:rsidP="006655D3">
            <w:pPr>
              <w:pStyle w:val="Docoriginal"/>
            </w:pPr>
            <w:r w:rsidRPr="00FB0F25">
              <w:t>T</w:t>
            </w:r>
            <w:r w:rsidR="0018780B" w:rsidRPr="00FB0F25">
              <w:t>W</w:t>
            </w:r>
            <w:bookmarkStart w:id="0" w:name="Code"/>
            <w:bookmarkEnd w:id="0"/>
            <w:r w:rsidR="00332636" w:rsidRPr="00FB0F25">
              <w:t>C/31/</w:t>
            </w:r>
            <w:r w:rsidR="00C461E6" w:rsidRPr="00FB0F25">
              <w:t>17</w:t>
            </w:r>
          </w:p>
          <w:p w:rsidR="000D7780" w:rsidRPr="00FB0F25" w:rsidRDefault="0061555F" w:rsidP="006655D3">
            <w:pPr>
              <w:pStyle w:val="Docoriginal"/>
              <w:rPr>
                <w:b w:val="0"/>
                <w:spacing w:val="0"/>
              </w:rPr>
            </w:pPr>
            <w:r w:rsidRPr="00FB0F25">
              <w:rPr>
                <w:rStyle w:val="StyleDoclangBold"/>
                <w:b/>
                <w:bCs/>
                <w:spacing w:val="0"/>
              </w:rPr>
              <w:t>ORIGINAL</w:t>
            </w:r>
            <w:r w:rsidR="000D7780" w:rsidRPr="00FB0F25">
              <w:rPr>
                <w:rStyle w:val="StyleDoclangBold"/>
                <w:b/>
                <w:bCs/>
                <w:spacing w:val="0"/>
              </w:rPr>
              <w:t>:</w:t>
            </w:r>
            <w:r w:rsidRPr="00FB0F25">
              <w:rPr>
                <w:rStyle w:val="StyleDocoriginalNotBold1"/>
                <w:spacing w:val="0"/>
              </w:rPr>
              <w:t xml:space="preserve"> </w:t>
            </w:r>
            <w:bookmarkStart w:id="1" w:name="Original"/>
            <w:bookmarkEnd w:id="1"/>
            <w:r w:rsidR="00876C58" w:rsidRPr="00FB0F25">
              <w:rPr>
                <w:rStyle w:val="StyleDocoriginalNotBold1"/>
                <w:spacing w:val="0"/>
              </w:rPr>
              <w:t xml:space="preserve"> </w:t>
            </w:r>
            <w:r w:rsidR="0024416D" w:rsidRPr="00FB0F25">
              <w:rPr>
                <w:b w:val="0"/>
                <w:spacing w:val="0"/>
              </w:rPr>
              <w:t>English</w:t>
            </w:r>
          </w:p>
          <w:p w:rsidR="000D7780" w:rsidRPr="00C5280D" w:rsidRDefault="000D7780" w:rsidP="006655D3">
            <w:pPr>
              <w:pStyle w:val="Docoriginal"/>
            </w:pPr>
            <w:r w:rsidRPr="00FB0F25">
              <w:rPr>
                <w:spacing w:val="0"/>
              </w:rPr>
              <w:t>DATE:</w:t>
            </w:r>
            <w:r w:rsidRPr="00FB0F25">
              <w:rPr>
                <w:rStyle w:val="StyleDocoriginalNotBold1"/>
                <w:spacing w:val="0"/>
              </w:rPr>
              <w:t xml:space="preserve"> </w:t>
            </w:r>
            <w:bookmarkStart w:id="2" w:name="Date"/>
            <w:bookmarkEnd w:id="2"/>
            <w:r w:rsidR="00876C58" w:rsidRPr="00FB0F25">
              <w:rPr>
                <w:rStyle w:val="StyleDocoriginalNotBold1"/>
                <w:spacing w:val="0"/>
              </w:rPr>
              <w:t xml:space="preserve"> </w:t>
            </w:r>
            <w:r w:rsidR="006B775D" w:rsidRPr="00FB0F25">
              <w:rPr>
                <w:rStyle w:val="StyleDocoriginalNotBold1"/>
                <w:spacing w:val="0"/>
              </w:rPr>
              <w:t>May 13</w:t>
            </w:r>
            <w:r w:rsidR="00C461E6" w:rsidRPr="00FB0F25">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w:t>
      </w:r>
      <w:r w:rsidR="00332636">
        <w:t>on automation and computer programs</w:t>
      </w:r>
    </w:p>
    <w:p w:rsidR="0018780B" w:rsidRPr="00C5280D" w:rsidRDefault="00332636" w:rsidP="0018780B">
      <w:pPr>
        <w:pStyle w:val="Sessiontcplacedate"/>
      </w:pPr>
      <w:r>
        <w:t>Thirty-First</w:t>
      </w:r>
      <w:r w:rsidR="0061555F" w:rsidRPr="00C5280D">
        <w:t xml:space="preserve"> S</w:t>
      </w:r>
      <w:r w:rsidR="00867AC1" w:rsidRPr="00C5280D">
        <w:t>ession</w:t>
      </w:r>
      <w:r w:rsidR="00361821" w:rsidRPr="00C5280D">
        <w:br/>
      </w:r>
      <w:r>
        <w:rPr>
          <w:rFonts w:cs="Arial"/>
        </w:rPr>
        <w:t>Seoul</w:t>
      </w:r>
      <w:r w:rsidR="0018780B" w:rsidRPr="00CC587F">
        <w:rPr>
          <w:rFonts w:cs="Arial"/>
        </w:rPr>
        <w:t xml:space="preserve">, </w:t>
      </w:r>
      <w:r>
        <w:rPr>
          <w:rFonts w:cs="Arial"/>
        </w:rPr>
        <w:t>Republic of Korea</w:t>
      </w:r>
      <w:r w:rsidR="0018780B" w:rsidRPr="00C5280D">
        <w:t>,</w:t>
      </w:r>
      <w:r w:rsidR="0018780B">
        <w:t xml:space="preserve"> </w:t>
      </w:r>
      <w:r>
        <w:t>June 4 to 7</w:t>
      </w:r>
      <w:r w:rsidR="0018780B">
        <w:t>, 2013</w:t>
      </w:r>
    </w:p>
    <w:p w:rsidR="00C461E6" w:rsidRPr="00032E42" w:rsidRDefault="00C461E6" w:rsidP="00C461E6">
      <w:pPr>
        <w:pStyle w:val="Titleofdoc0"/>
      </w:pPr>
      <w:bookmarkStart w:id="3" w:name="TitleOfDoc"/>
      <w:bookmarkEnd w:id="3"/>
      <w:r w:rsidRPr="00032E42">
        <w:rPr>
          <w:rFonts w:cs="Arial"/>
        </w:rPr>
        <w:t xml:space="preserve">Revision of document TGP/8: Part II: Techniques used in DUS Examination, </w:t>
      </w:r>
      <w:r w:rsidRPr="00032E42">
        <w:rPr>
          <w:rFonts w:cs="Arial"/>
        </w:rPr>
        <w:br/>
        <w:t>New Section 11: Examining DUS in Bulk Samples</w:t>
      </w:r>
      <w:r w:rsidRPr="00032E42">
        <w:t xml:space="preserve"> </w:t>
      </w:r>
    </w:p>
    <w:p w:rsidR="00C461E6" w:rsidRDefault="00C461E6" w:rsidP="00C461E6">
      <w:pPr>
        <w:pStyle w:val="preparedby1"/>
        <w:spacing w:after="0"/>
      </w:pPr>
      <w:bookmarkStart w:id="4" w:name="Prepared"/>
      <w:bookmarkEnd w:id="4"/>
      <w:r w:rsidRPr="00C2475E">
        <w:t>Document prepared</w:t>
      </w:r>
      <w:r w:rsidRPr="00C5280D">
        <w:t xml:space="preserve"> by the Office of the Union</w:t>
      </w:r>
    </w:p>
    <w:p w:rsidR="00C461E6" w:rsidRPr="00C5280D" w:rsidRDefault="00C461E6" w:rsidP="00C461E6">
      <w:pPr>
        <w:pStyle w:val="preparedby1"/>
        <w:spacing w:after="0"/>
      </w:pPr>
    </w:p>
    <w:p w:rsidR="00C461E6" w:rsidRDefault="00C461E6" w:rsidP="00C461E6">
      <w:pPr>
        <w:rPr>
          <w:rFonts w:cs="Arial"/>
          <w:lang w:eastAsia="ja-JP"/>
        </w:rPr>
      </w:pPr>
      <w:r w:rsidRPr="00BD39F8">
        <w:rPr>
          <w:rFonts w:cs="Arial"/>
          <w:lang w:eastAsia="ja-JP"/>
        </w:rPr>
        <w:fldChar w:fldCharType="begin"/>
      </w:r>
      <w:r w:rsidRPr="00BD39F8">
        <w:rPr>
          <w:rFonts w:cs="Arial"/>
          <w:lang w:eastAsia="ja-JP"/>
        </w:rPr>
        <w:instrText xml:space="preserve"> AUTONUM  </w:instrText>
      </w:r>
      <w:r w:rsidRPr="00BD39F8">
        <w:rPr>
          <w:rFonts w:cs="Arial"/>
          <w:lang w:eastAsia="ja-JP"/>
        </w:rPr>
        <w:fldChar w:fldCharType="end"/>
      </w:r>
      <w:r w:rsidRPr="00BD39F8">
        <w:rPr>
          <w:rFonts w:cs="Arial"/>
          <w:lang w:eastAsia="ja-JP"/>
        </w:rPr>
        <w:tab/>
        <w:t xml:space="preserve">The purpose of this document is </w:t>
      </w:r>
      <w:r w:rsidRPr="001D53DE">
        <w:rPr>
          <w:rFonts w:cs="Arial"/>
          <w:lang w:eastAsia="ja-JP"/>
        </w:rPr>
        <w:t>to report on developments concerning guidance</w:t>
      </w:r>
      <w:r>
        <w:rPr>
          <w:rFonts w:cs="Arial"/>
          <w:lang w:eastAsia="ja-JP"/>
        </w:rPr>
        <w:t xml:space="preserve"> on examining DUS in bulk samples for inclusion in a future revision of document TGP/8.</w:t>
      </w:r>
    </w:p>
    <w:p w:rsidR="00C461E6" w:rsidRDefault="00C461E6" w:rsidP="00C461E6">
      <w:pPr>
        <w:rPr>
          <w:rFonts w:cs="Arial"/>
          <w:lang w:eastAsia="ja-JP"/>
        </w:rPr>
      </w:pPr>
    </w:p>
    <w:p w:rsidR="00C461E6" w:rsidRPr="006E3BB4" w:rsidRDefault="00C461E6" w:rsidP="00C461E6"/>
    <w:p w:rsidR="00C461E6" w:rsidRDefault="00C461E6" w:rsidP="00C461E6">
      <w:pPr>
        <w:pStyle w:val="Heading1"/>
      </w:pPr>
      <w:r>
        <w:t>background</w:t>
      </w:r>
    </w:p>
    <w:p w:rsidR="00C461E6" w:rsidRDefault="00C461E6" w:rsidP="00C461E6"/>
    <w:p w:rsidR="00C461E6" w:rsidRDefault="00C461E6" w:rsidP="00C461E6">
      <w:r w:rsidRPr="005623A7">
        <w:fldChar w:fldCharType="begin"/>
      </w:r>
      <w:r w:rsidRPr="005623A7">
        <w:instrText xml:space="preserve"> AUTONUM  </w:instrText>
      </w:r>
      <w:r w:rsidRPr="005623A7">
        <w:fldChar w:fldCharType="end"/>
      </w:r>
      <w:r>
        <w:tab/>
        <w:t xml:space="preserve">The Technical Committee (TC), at its forty-eighth session, held in </w:t>
      </w:r>
      <w:smartTag w:uri="urn:schemas-microsoft-com:office:smarttags" w:element="place">
        <w:smartTag w:uri="urn:schemas-microsoft-com:office:smarttags" w:element="City">
          <w:r>
            <w:t>Geneva</w:t>
          </w:r>
        </w:smartTag>
      </w:smartTag>
      <w:r>
        <w:t xml:space="preserve">, from March 26 to 28, 2012, </w:t>
      </w:r>
      <w:r w:rsidRPr="00402846">
        <w:t>considered document TC/48/19</w:t>
      </w:r>
      <w:r>
        <w:t xml:space="preserve"> Rev</w:t>
      </w:r>
      <w:r w:rsidRPr="00402846">
        <w:t>.</w:t>
      </w:r>
      <w:r>
        <w:t xml:space="preserve"> “Revision of Document TGP/8 “Trial Design and Techniques Used in the Examination of Distinctness, Uniformity and Stability””.</w:t>
      </w:r>
    </w:p>
    <w:p w:rsidR="00C461E6" w:rsidRDefault="00C461E6" w:rsidP="00C461E6"/>
    <w:p w:rsidR="00C461E6" w:rsidRDefault="00C461E6" w:rsidP="00C461E6">
      <w:r w:rsidRPr="005623A7">
        <w:fldChar w:fldCharType="begin"/>
      </w:r>
      <w:r w:rsidRPr="005623A7">
        <w:instrText xml:space="preserve"> AUTONUM  </w:instrText>
      </w:r>
      <w:r w:rsidRPr="005623A7">
        <w:fldChar w:fldCharType="end"/>
      </w:r>
      <w:r>
        <w:tab/>
      </w:r>
      <w:r w:rsidRPr="00402846">
        <w:t>The TC</w:t>
      </w:r>
      <w:r>
        <w:t>, at its forty-eighth session,</w:t>
      </w:r>
      <w:r w:rsidRPr="00402846">
        <w:t xml:space="preserve"> agreed that the</w:t>
      </w:r>
      <w:r>
        <w:t xml:space="preserve"> new section 11 on examination of DUS in bulk samples should be redrafted with assistance from</w:t>
      </w:r>
      <w:r w:rsidRPr="003671D4">
        <w:t xml:space="preserve"> DUS</w:t>
      </w:r>
      <w:r>
        <w:t xml:space="preserve"> </w:t>
      </w:r>
      <w:r w:rsidRPr="003671D4">
        <w:rPr>
          <w:lang w:val="en-GB"/>
        </w:rPr>
        <w:t xml:space="preserve">experts in </w:t>
      </w:r>
      <w:smartTag w:uri="urn:schemas-microsoft-com:office:smarttags" w:element="place">
        <w:smartTag w:uri="urn:schemas-microsoft-com:office:smarttags" w:element="country-region">
          <w:r w:rsidRPr="003671D4">
            <w:rPr>
              <w:lang w:val="en-GB"/>
            </w:rPr>
            <w:t>Denmark</w:t>
          </w:r>
        </w:smartTag>
      </w:smartTag>
      <w:r w:rsidRPr="003671D4">
        <w:rPr>
          <w:lang w:val="en-GB"/>
        </w:rPr>
        <w:t xml:space="preserve"> in order</w:t>
      </w:r>
      <w:r w:rsidRPr="003671D4">
        <w:t xml:space="preserve"> to focus on guidance for DUS examiners and should replace detailed statistical models with a gener</w:t>
      </w:r>
      <w:r>
        <w:t>al reference to suitable statistical methods.  It was also agreed that the</w:t>
      </w:r>
      <w:r w:rsidRPr="00402846">
        <w:t xml:space="preserve"> example of sugar beet should be replaced by a crop for which there we</w:t>
      </w:r>
      <w:r>
        <w:t>re UPOV Test Guidelines (see document TC/48/22 “Report on the Conclusions” paragraph 55).</w:t>
      </w:r>
    </w:p>
    <w:p w:rsidR="00C461E6" w:rsidRDefault="00C461E6" w:rsidP="00C461E6"/>
    <w:p w:rsidR="00C461E6" w:rsidRPr="00FB0F25" w:rsidRDefault="00C461E6" w:rsidP="00C461E6">
      <w:r w:rsidRPr="00FB0F25">
        <w:t>4.</w:t>
      </w:r>
      <w:r w:rsidRPr="00FB0F25">
        <w:tab/>
        <w:t>The TC, at its forty-ninth session, held in Geneva, from March 18 to 20, 2013, considered document TC/49/28 “Revision of document TGP/8: Part II: Techniques used in DUS Examination, New Section 11: Examining DUS in Bulk Samples”. The Annex to document TC/49/28 contained the proposed text for New Section 11 – Examining DUS in Bulk Samples, as prepared by Mr. Kristian Kristensen (</w:t>
      </w:r>
      <w:smartTag w:uri="urn:schemas-microsoft-com:office:smarttags" w:element="place">
        <w:smartTag w:uri="urn:schemas-microsoft-com:office:smarttags" w:element="country-region">
          <w:r w:rsidRPr="00FB0F25">
            <w:t>Denmark</w:t>
          </w:r>
        </w:smartTag>
      </w:smartTag>
      <w:r w:rsidRPr="00FB0F25">
        <w:t xml:space="preserve">). The amendments to the text considered by the TWPs at their sessions in 2012 were indicated by highlighting and strikethrough for deletions and highlighting and underlining for additions. A copy of document TC/49/28 is reproduced on the webpage of the </w:t>
      </w:r>
      <w:r w:rsidR="00944750" w:rsidRPr="00FB0F25">
        <w:t>forty-seventh session of the TWC</w:t>
      </w:r>
      <w:r w:rsidRPr="00FB0F25">
        <w:t xml:space="preserve"> (</w:t>
      </w:r>
      <w:hyperlink r:id="rId9" w:history="1">
        <w:r w:rsidR="00944750" w:rsidRPr="00FB0F25">
          <w:rPr>
            <w:rStyle w:val="Hyperlink"/>
          </w:rPr>
          <w:t>http://upov.int/meetings/en/details.jsp?meeting_id=25643</w:t>
        </w:r>
      </w:hyperlink>
      <w:r w:rsidRPr="00FB0F25">
        <w:t>).</w:t>
      </w:r>
    </w:p>
    <w:p w:rsidR="00C461E6" w:rsidRPr="00FB0F25" w:rsidRDefault="00C461E6" w:rsidP="00C461E6"/>
    <w:p w:rsidR="00C461E6" w:rsidRPr="00FB0F25" w:rsidRDefault="00C461E6" w:rsidP="00C461E6"/>
    <w:p w:rsidR="00C461E6" w:rsidRDefault="00C461E6" w:rsidP="00C461E6">
      <w:pPr>
        <w:pStyle w:val="Heading1"/>
      </w:pPr>
      <w:r w:rsidRPr="00FB0F25">
        <w:t>DEVELOPMENTS IN 2013</w:t>
      </w:r>
    </w:p>
    <w:p w:rsidR="00C461E6" w:rsidRDefault="00C461E6" w:rsidP="00C461E6"/>
    <w:p w:rsidR="00C461E6" w:rsidRDefault="00C461E6" w:rsidP="00C461E6">
      <w:r w:rsidRPr="00010DAA">
        <w:t>5.</w:t>
      </w:r>
      <w:r w:rsidRPr="00010DAA">
        <w:tab/>
        <w:t xml:space="preserve">The </w:t>
      </w:r>
      <w:r w:rsidRPr="00010DAA">
        <w:rPr>
          <w:rFonts w:eastAsia="PMingLiU" w:cs="Arial"/>
          <w:szCs w:val="24"/>
        </w:rPr>
        <w:t>Enlarged Editorial Committee</w:t>
      </w:r>
      <w:r w:rsidRPr="00010DAA">
        <w:t xml:space="preserve"> (TC­EDC), at its meeting on January 9 and 10, 2013, considered the proposed text for New Section 11 – Examining DUS in Bulk Samples, as presented in document TC</w:t>
      </w:r>
      <w:r w:rsidRPr="00010DAA">
        <w:noBreakHyphen/>
        <w:t>EDC/Jan13/15 Rev., and made the following proposals:</w:t>
      </w:r>
    </w:p>
    <w:p w:rsidR="00C461E6" w:rsidRDefault="00C461E6" w:rsidP="00C461E6"/>
    <w:tbl>
      <w:tblPr>
        <w:tblW w:w="9497"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289"/>
        <w:gridCol w:w="8208"/>
      </w:tblGrid>
      <w:tr w:rsidR="00C461E6" w:rsidRPr="005F2F8D" w:rsidTr="00B93083">
        <w:tc>
          <w:tcPr>
            <w:tcW w:w="1289" w:type="dxa"/>
          </w:tcPr>
          <w:p w:rsidR="00C461E6" w:rsidRPr="005F2F8D" w:rsidRDefault="00C461E6" w:rsidP="00B93083">
            <w:pPr>
              <w:rPr>
                <w:rFonts w:cs="Arial"/>
              </w:rPr>
            </w:pPr>
            <w:r>
              <w:rPr>
                <w:rFonts w:cs="Arial"/>
              </w:rPr>
              <w:t>General remarks</w:t>
            </w:r>
          </w:p>
        </w:tc>
        <w:tc>
          <w:tcPr>
            <w:tcW w:w="8208" w:type="dxa"/>
          </w:tcPr>
          <w:p w:rsidR="00C461E6" w:rsidRPr="005F2F8D" w:rsidRDefault="00C461E6" w:rsidP="00B93083">
            <w:pPr>
              <w:keepNext/>
              <w:rPr>
                <w:rFonts w:cs="Arial"/>
              </w:rPr>
            </w:pPr>
            <w:r w:rsidRPr="005D4715">
              <w:t>to consider replacing the current proposal with guidance on the use of characteristics examined on the basis of bulk samples, in order to ensure that the characteristics fulfill the basic requirements for a characteristic (see General Introduction, Chapter 4.2.1). In particular, the TC-EDC proposed that Leading Experts of Test Guidelines could be requested to provide data from different years to demonstrate that the expression of the characteristic is “sufficiently consistent and repeatable in a particular environment” (see General Introduction, Chapter 4.2.1 (b)).</w:t>
            </w:r>
          </w:p>
        </w:tc>
      </w:tr>
    </w:tbl>
    <w:p w:rsidR="00FB0F25" w:rsidRDefault="00FB0F25" w:rsidP="00AD6B7A">
      <w:pPr>
        <w:rPr>
          <w:rFonts w:cs="Arial"/>
        </w:rPr>
      </w:pPr>
    </w:p>
    <w:p w:rsidR="00C461E6" w:rsidRPr="00FB0F25" w:rsidRDefault="00C461E6" w:rsidP="00C461E6">
      <w:pPr>
        <w:spacing w:after="240"/>
        <w:rPr>
          <w:iCs/>
          <w:spacing w:val="-4"/>
        </w:rPr>
      </w:pPr>
      <w:r w:rsidRPr="00010DAA">
        <w:rPr>
          <w:rFonts w:cs="Arial"/>
        </w:rPr>
        <w:t>6.</w:t>
      </w:r>
      <w:bookmarkStart w:id="5" w:name="_GoBack"/>
      <w:bookmarkEnd w:id="5"/>
      <w:r w:rsidRPr="00010DAA">
        <w:rPr>
          <w:rFonts w:cs="Arial"/>
        </w:rPr>
        <w:tab/>
      </w:r>
      <w:r w:rsidRPr="00010DAA">
        <w:rPr>
          <w:iCs/>
          <w:spacing w:val="-4"/>
        </w:rPr>
        <w:t xml:space="preserve">The TC, at its forty-ninth session, held in Geneva, from March 18 to 20, 2013, agreed to replace the proposed text for new Section 11 “Examining DUS in Bulk Samples” in the Annex to document TC/49/28 with guidance on the use of characteristics examined on the basis of bulk samples, in order to ensure that the characteristics fulfill the basic requirements for a characteristic.  In particular, it agreed that Leading Experts of Test Guidelines could be requested to provide data from different years to demonstrate that the expression of the characteristic is “sufficiently consistent and repeatable in a particular environment”.  It was further agreed that, on the basis of information provided to the TWPs, consideration could be given to statistical analysis for such characteristics (see document TC/49/41 “Report on the </w:t>
      </w:r>
      <w:r w:rsidRPr="00FB0F25">
        <w:rPr>
          <w:iCs/>
          <w:spacing w:val="-4"/>
        </w:rPr>
        <w:t>conclusions”, paragraph 64).</w:t>
      </w:r>
    </w:p>
    <w:p w:rsidR="00C461E6" w:rsidRPr="00FB0F25" w:rsidRDefault="00C461E6" w:rsidP="00C461E6">
      <w:pPr>
        <w:pStyle w:val="DecisionParagraphs"/>
        <w:rPr>
          <w:snapToGrid w:val="0"/>
          <w:color w:val="000000"/>
        </w:rPr>
      </w:pPr>
      <w:r w:rsidRPr="00FB0F25">
        <w:rPr>
          <w:snapToGrid w:val="0"/>
          <w:color w:val="000000"/>
        </w:rPr>
        <w:t>7.</w:t>
      </w:r>
      <w:r w:rsidRPr="00FB0F25">
        <w:rPr>
          <w:snapToGrid w:val="0"/>
          <w:color w:val="000000"/>
        </w:rPr>
        <w:tab/>
        <w:t>The TWC is invited</w:t>
      </w:r>
      <w:r w:rsidR="0080487F" w:rsidRPr="00FB0F25">
        <w:rPr>
          <w:snapToGrid w:val="0"/>
          <w:color w:val="000000"/>
        </w:rPr>
        <w:t xml:space="preserve"> to</w:t>
      </w:r>
      <w:r w:rsidRPr="00FB0F25">
        <w:rPr>
          <w:snapToGrid w:val="0"/>
          <w:color w:val="000000"/>
        </w:rPr>
        <w:t>:</w:t>
      </w:r>
    </w:p>
    <w:p w:rsidR="00C461E6" w:rsidRPr="00FB0F25" w:rsidRDefault="00C461E6" w:rsidP="00C461E6">
      <w:pPr>
        <w:pStyle w:val="DecisionParagraphs"/>
        <w:rPr>
          <w:snapToGrid w:val="0"/>
          <w:color w:val="000000"/>
        </w:rPr>
      </w:pPr>
    </w:p>
    <w:p w:rsidR="00C461E6" w:rsidRPr="00FB0F25" w:rsidRDefault="00C461E6" w:rsidP="00C461E6">
      <w:pPr>
        <w:pStyle w:val="DecisionParagraphs"/>
        <w:tabs>
          <w:tab w:val="left" w:pos="6096"/>
        </w:tabs>
        <w:rPr>
          <w:snapToGrid w:val="0"/>
          <w:color w:val="000000"/>
        </w:rPr>
      </w:pPr>
      <w:r w:rsidRPr="00FB0F25">
        <w:rPr>
          <w:snapToGrid w:val="0"/>
          <w:color w:val="000000"/>
        </w:rPr>
        <w:tab/>
        <w:t>(a)</w:t>
      </w:r>
      <w:r w:rsidR="0080487F" w:rsidRPr="00FB0F25">
        <w:rPr>
          <w:snapToGrid w:val="0"/>
          <w:color w:val="000000"/>
        </w:rPr>
        <w:tab/>
      </w:r>
      <w:r w:rsidRPr="00FB0F25">
        <w:rPr>
          <w:snapToGrid w:val="0"/>
          <w:color w:val="000000"/>
        </w:rPr>
        <w:t>note that the TC a</w:t>
      </w:r>
      <w:r w:rsidRPr="00FB0F25">
        <w:rPr>
          <w:iCs/>
          <w:color w:val="000000"/>
          <w:spacing w:val="-4"/>
        </w:rPr>
        <w:t>greed to replace the proposed text for new Section 11 “Examining DUS in Bulk Samples” in the Annex to document TC/49/28 with guidance on the use of characteristics examined on the basis of bulk samples, in order to ensure that the characteristics fulfill the basic requirements for a characteristic</w:t>
      </w:r>
      <w:r w:rsidRPr="00FB0F25">
        <w:rPr>
          <w:snapToGrid w:val="0"/>
          <w:color w:val="000000"/>
        </w:rPr>
        <w:t>; and</w:t>
      </w:r>
    </w:p>
    <w:p w:rsidR="00C461E6" w:rsidRPr="00FB0F25" w:rsidRDefault="00C461E6" w:rsidP="00C461E6">
      <w:pPr>
        <w:pStyle w:val="DecisionParagraphs"/>
        <w:rPr>
          <w:snapToGrid w:val="0"/>
          <w:color w:val="000000"/>
        </w:rPr>
      </w:pPr>
    </w:p>
    <w:p w:rsidR="00C461E6" w:rsidRPr="001D53DE" w:rsidRDefault="00C461E6" w:rsidP="00C461E6">
      <w:pPr>
        <w:pStyle w:val="DecisionParagraphs"/>
        <w:tabs>
          <w:tab w:val="left" w:pos="6096"/>
        </w:tabs>
        <w:rPr>
          <w:snapToGrid w:val="0"/>
          <w:color w:val="000000"/>
        </w:rPr>
      </w:pPr>
      <w:r w:rsidRPr="00FB0F25">
        <w:rPr>
          <w:snapToGrid w:val="0"/>
          <w:color w:val="000000"/>
        </w:rPr>
        <w:tab/>
        <w:t>(b)</w:t>
      </w:r>
      <w:r w:rsidRPr="00FB0F25">
        <w:rPr>
          <w:snapToGrid w:val="0"/>
          <w:color w:val="000000"/>
        </w:rPr>
        <w:tab/>
      </w:r>
      <w:r w:rsidRPr="00FB0F25">
        <w:rPr>
          <w:iCs/>
          <w:color w:val="000000"/>
          <w:spacing w:val="-4"/>
        </w:rPr>
        <w:t>co</w:t>
      </w:r>
      <w:r>
        <w:rPr>
          <w:iCs/>
          <w:color w:val="000000"/>
          <w:spacing w:val="-4"/>
        </w:rPr>
        <w:t xml:space="preserve">nsider the proposal that </w:t>
      </w:r>
      <w:r w:rsidRPr="001D53DE">
        <w:rPr>
          <w:iCs/>
          <w:color w:val="000000"/>
          <w:spacing w:val="-4"/>
        </w:rPr>
        <w:t>Leading Experts of Test Guidelines could be requested to provide data from different years to demonstrate that the expression of the characteristic is “sufficiently consistent and repeatable in a particular environment”.</w:t>
      </w:r>
    </w:p>
    <w:p w:rsidR="00C461E6" w:rsidRDefault="00C461E6" w:rsidP="00C461E6">
      <w:pPr>
        <w:jc w:val="right"/>
        <w:rPr>
          <w:rFonts w:cs="Arial"/>
          <w:bCs/>
        </w:rPr>
      </w:pPr>
    </w:p>
    <w:p w:rsidR="00DF474C" w:rsidRDefault="00C461E6" w:rsidP="00C461E6">
      <w:pPr>
        <w:pStyle w:val="endofdoc"/>
        <w:rPr>
          <w:snapToGrid w:val="0"/>
        </w:rPr>
      </w:pPr>
      <w:r>
        <w:t>[End of document]</w:t>
      </w:r>
    </w:p>
    <w:sectPr w:rsidR="00DF474C"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1E6" w:rsidRDefault="00C461E6" w:rsidP="006655D3">
      <w:r>
        <w:separator/>
      </w:r>
    </w:p>
    <w:p w:rsidR="00C461E6" w:rsidRDefault="00C461E6" w:rsidP="006655D3"/>
    <w:p w:rsidR="00C461E6" w:rsidRDefault="00C461E6" w:rsidP="006655D3"/>
  </w:endnote>
  <w:endnote w:type="continuationSeparator" w:id="0">
    <w:p w:rsidR="00C461E6" w:rsidRDefault="00C461E6" w:rsidP="006655D3">
      <w:r>
        <w:separator/>
      </w:r>
    </w:p>
    <w:p w:rsidR="00C461E6" w:rsidRPr="009F098D" w:rsidRDefault="00C461E6">
      <w:pPr>
        <w:pStyle w:val="Footer"/>
        <w:spacing w:after="60"/>
        <w:rPr>
          <w:sz w:val="18"/>
          <w:lang w:val="fr-FR"/>
        </w:rPr>
      </w:pPr>
      <w:r w:rsidRPr="009F098D">
        <w:rPr>
          <w:sz w:val="18"/>
          <w:lang w:val="fr-FR"/>
        </w:rPr>
        <w:t>[Suite de la note de la page précédente]</w:t>
      </w:r>
    </w:p>
    <w:p w:rsidR="00C461E6" w:rsidRPr="009F098D" w:rsidRDefault="00C461E6" w:rsidP="006655D3">
      <w:pPr>
        <w:rPr>
          <w:lang w:val="fr-FR"/>
        </w:rPr>
      </w:pPr>
    </w:p>
    <w:p w:rsidR="00C461E6" w:rsidRPr="009F098D" w:rsidRDefault="00C461E6" w:rsidP="006655D3">
      <w:pPr>
        <w:rPr>
          <w:lang w:val="fr-FR"/>
        </w:rPr>
      </w:pPr>
    </w:p>
  </w:endnote>
  <w:endnote w:type="continuationNotice" w:id="1">
    <w:p w:rsidR="00C461E6" w:rsidRPr="009F098D" w:rsidRDefault="00C461E6" w:rsidP="006655D3">
      <w:pPr>
        <w:rPr>
          <w:lang w:val="fr-FR"/>
        </w:rPr>
      </w:pPr>
      <w:r w:rsidRPr="009F098D">
        <w:rPr>
          <w:lang w:val="fr-FR"/>
        </w:rPr>
        <w:t>[Suite de la note page suivante]</w:t>
      </w:r>
    </w:p>
    <w:p w:rsidR="00C461E6" w:rsidRPr="009F098D" w:rsidRDefault="00C461E6" w:rsidP="006655D3">
      <w:pPr>
        <w:rPr>
          <w:lang w:val="fr-FR"/>
        </w:rPr>
      </w:pPr>
    </w:p>
    <w:p w:rsidR="00C461E6" w:rsidRPr="009F098D" w:rsidRDefault="00C461E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1E6" w:rsidRDefault="00C461E6" w:rsidP="006655D3">
      <w:r>
        <w:separator/>
      </w:r>
    </w:p>
  </w:footnote>
  <w:footnote w:type="continuationSeparator" w:id="0">
    <w:p w:rsidR="00C461E6" w:rsidRDefault="00C461E6" w:rsidP="006655D3">
      <w:r>
        <w:separator/>
      </w:r>
    </w:p>
  </w:footnote>
  <w:footnote w:type="continuationNotice" w:id="1">
    <w:p w:rsidR="00C461E6" w:rsidRPr="00AB530F" w:rsidRDefault="00C461E6"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332636">
      <w:t>C/31</w:t>
    </w:r>
    <w:r w:rsidRPr="00832298">
      <w:t>/</w:t>
    </w:r>
    <w:r w:rsidR="00C461E6">
      <w:t>17</w:t>
    </w:r>
  </w:p>
  <w:p w:rsidR="00903656" w:rsidRPr="00C5280D" w:rsidRDefault="00903656" w:rsidP="00EB048E">
    <w:pPr>
      <w:pStyle w:val="Header"/>
    </w:pPr>
    <w:r w:rsidRPr="00C5280D">
      <w:t xml:space="preserve">page </w:t>
    </w:r>
    <w:r w:rsidRPr="00832298">
      <w:fldChar w:fldCharType="begin"/>
    </w:r>
    <w:r w:rsidRPr="00832298">
      <w:instrText xml:space="preserve"> PAGE </w:instrText>
    </w:r>
    <w:r w:rsidRPr="00832298">
      <w:fldChar w:fldCharType="separate"/>
    </w:r>
    <w:r w:rsidR="00AD6B7A">
      <w:rPr>
        <w:noProof/>
      </w:rPr>
      <w:t>2</w:t>
    </w:r>
    <w:r w:rsidRPr="00832298">
      <w:fldChar w:fldCharType="end"/>
    </w:r>
  </w:p>
  <w:p w:rsidR="00903656" w:rsidRPr="00C5280D" w:rsidRDefault="00903656"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1E6"/>
    <w:rsid w:val="00010CF3"/>
    <w:rsid w:val="00011E27"/>
    <w:rsid w:val="000148BC"/>
    <w:rsid w:val="00024AB8"/>
    <w:rsid w:val="00030854"/>
    <w:rsid w:val="00036028"/>
    <w:rsid w:val="00044642"/>
    <w:rsid w:val="000446B9"/>
    <w:rsid w:val="00047E21"/>
    <w:rsid w:val="00085505"/>
    <w:rsid w:val="000C7021"/>
    <w:rsid w:val="000D6BBC"/>
    <w:rsid w:val="000D7780"/>
    <w:rsid w:val="00105929"/>
    <w:rsid w:val="001131D5"/>
    <w:rsid w:val="001322D2"/>
    <w:rsid w:val="00141DB8"/>
    <w:rsid w:val="0017474A"/>
    <w:rsid w:val="001758C6"/>
    <w:rsid w:val="00182B99"/>
    <w:rsid w:val="0018780B"/>
    <w:rsid w:val="0021332C"/>
    <w:rsid w:val="00213982"/>
    <w:rsid w:val="0024416D"/>
    <w:rsid w:val="002800A0"/>
    <w:rsid w:val="002801B3"/>
    <w:rsid w:val="00281060"/>
    <w:rsid w:val="0028307E"/>
    <w:rsid w:val="00283EDD"/>
    <w:rsid w:val="002940E8"/>
    <w:rsid w:val="002A6E50"/>
    <w:rsid w:val="002C256A"/>
    <w:rsid w:val="00305A7F"/>
    <w:rsid w:val="003152FE"/>
    <w:rsid w:val="00327436"/>
    <w:rsid w:val="00332636"/>
    <w:rsid w:val="00344BD6"/>
    <w:rsid w:val="0035528D"/>
    <w:rsid w:val="00361821"/>
    <w:rsid w:val="003B3894"/>
    <w:rsid w:val="003D227C"/>
    <w:rsid w:val="003D2B4D"/>
    <w:rsid w:val="00444A88"/>
    <w:rsid w:val="00474DA4"/>
    <w:rsid w:val="00476B4D"/>
    <w:rsid w:val="004805FA"/>
    <w:rsid w:val="004D047D"/>
    <w:rsid w:val="004F1633"/>
    <w:rsid w:val="004F305A"/>
    <w:rsid w:val="00512164"/>
    <w:rsid w:val="00520297"/>
    <w:rsid w:val="005338F9"/>
    <w:rsid w:val="0054281C"/>
    <w:rsid w:val="0055268D"/>
    <w:rsid w:val="00576BE4"/>
    <w:rsid w:val="0057736E"/>
    <w:rsid w:val="005A400A"/>
    <w:rsid w:val="00612379"/>
    <w:rsid w:val="0061555F"/>
    <w:rsid w:val="00641200"/>
    <w:rsid w:val="006655D3"/>
    <w:rsid w:val="00667404"/>
    <w:rsid w:val="00685222"/>
    <w:rsid w:val="00687EB4"/>
    <w:rsid w:val="006B17D2"/>
    <w:rsid w:val="006B775D"/>
    <w:rsid w:val="006C224E"/>
    <w:rsid w:val="006D780A"/>
    <w:rsid w:val="006E1436"/>
    <w:rsid w:val="00732DEC"/>
    <w:rsid w:val="00735BD5"/>
    <w:rsid w:val="007556F6"/>
    <w:rsid w:val="00760EEF"/>
    <w:rsid w:val="00777EE5"/>
    <w:rsid w:val="00784836"/>
    <w:rsid w:val="0079023E"/>
    <w:rsid w:val="007A2854"/>
    <w:rsid w:val="007D0B9D"/>
    <w:rsid w:val="007D19B0"/>
    <w:rsid w:val="007F498F"/>
    <w:rsid w:val="0080487F"/>
    <w:rsid w:val="0080679D"/>
    <w:rsid w:val="008108B0"/>
    <w:rsid w:val="00811B20"/>
    <w:rsid w:val="0082296E"/>
    <w:rsid w:val="00824099"/>
    <w:rsid w:val="00832298"/>
    <w:rsid w:val="00867AC1"/>
    <w:rsid w:val="00876C58"/>
    <w:rsid w:val="008A743F"/>
    <w:rsid w:val="008C0970"/>
    <w:rsid w:val="008D2CF7"/>
    <w:rsid w:val="00900C26"/>
    <w:rsid w:val="0090197F"/>
    <w:rsid w:val="00903656"/>
    <w:rsid w:val="00906DDC"/>
    <w:rsid w:val="00934E09"/>
    <w:rsid w:val="00936253"/>
    <w:rsid w:val="00944750"/>
    <w:rsid w:val="00952DD4"/>
    <w:rsid w:val="00970FED"/>
    <w:rsid w:val="00997029"/>
    <w:rsid w:val="009D690D"/>
    <w:rsid w:val="009E65B6"/>
    <w:rsid w:val="009F098D"/>
    <w:rsid w:val="00A24C10"/>
    <w:rsid w:val="00A339DC"/>
    <w:rsid w:val="00A42AC3"/>
    <w:rsid w:val="00A430CF"/>
    <w:rsid w:val="00A54309"/>
    <w:rsid w:val="00AB2B93"/>
    <w:rsid w:val="00AB530F"/>
    <w:rsid w:val="00AB6124"/>
    <w:rsid w:val="00AB7E5B"/>
    <w:rsid w:val="00AD6B7A"/>
    <w:rsid w:val="00AE0EF1"/>
    <w:rsid w:val="00AE2937"/>
    <w:rsid w:val="00B07301"/>
    <w:rsid w:val="00B224DE"/>
    <w:rsid w:val="00B46575"/>
    <w:rsid w:val="00B71144"/>
    <w:rsid w:val="00B84BBD"/>
    <w:rsid w:val="00BA43FB"/>
    <w:rsid w:val="00BB0967"/>
    <w:rsid w:val="00BC127D"/>
    <w:rsid w:val="00BC1FE6"/>
    <w:rsid w:val="00C061B6"/>
    <w:rsid w:val="00C16A60"/>
    <w:rsid w:val="00C2446C"/>
    <w:rsid w:val="00C36AE5"/>
    <w:rsid w:val="00C41F17"/>
    <w:rsid w:val="00C461E6"/>
    <w:rsid w:val="00C5280D"/>
    <w:rsid w:val="00C5791C"/>
    <w:rsid w:val="00C66290"/>
    <w:rsid w:val="00C72B7A"/>
    <w:rsid w:val="00C973F2"/>
    <w:rsid w:val="00CA304C"/>
    <w:rsid w:val="00CA774A"/>
    <w:rsid w:val="00CC11B0"/>
    <w:rsid w:val="00CF7E36"/>
    <w:rsid w:val="00D3708D"/>
    <w:rsid w:val="00D40426"/>
    <w:rsid w:val="00D57C96"/>
    <w:rsid w:val="00D62AB1"/>
    <w:rsid w:val="00D91203"/>
    <w:rsid w:val="00D95174"/>
    <w:rsid w:val="00DA6F36"/>
    <w:rsid w:val="00DB596E"/>
    <w:rsid w:val="00DB7773"/>
    <w:rsid w:val="00DC00EA"/>
    <w:rsid w:val="00DF474C"/>
    <w:rsid w:val="00DF5749"/>
    <w:rsid w:val="00E32F7E"/>
    <w:rsid w:val="00E34E59"/>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B0F25"/>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C461E6"/>
    <w:rPr>
      <w:rFonts w:ascii="Arial" w:hAnsi="Arial"/>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C461E6"/>
    <w:rPr>
      <w:rFonts w:ascii="Arial" w:hAnsi="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pov.int/meetings/en/details.jsp?meeting_id=2564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C\Twc31\Template\twc_3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twc_31.dotm</Template>
  <TotalTime>6</TotalTime>
  <Pages>2</Pages>
  <Words>687</Words>
  <Characters>3891</Characters>
  <Application>Microsoft Office Word</Application>
  <DocSecurity>0</DocSecurity>
  <Lines>88</Lines>
  <Paragraphs>35</Paragraphs>
  <ScaleCrop>false</ScaleCrop>
  <HeadingPairs>
    <vt:vector size="2" baseType="variant">
      <vt:variant>
        <vt:lpstr>Title</vt:lpstr>
      </vt:variant>
      <vt:variant>
        <vt:i4>1</vt:i4>
      </vt:variant>
    </vt:vector>
  </HeadingPairs>
  <TitlesOfParts>
    <vt:vector size="1" baseType="lpstr">
      <vt:lpstr>TWC/31</vt:lpstr>
    </vt:vector>
  </TitlesOfParts>
  <Company>UPOV</Company>
  <LinksUpToDate>false</LinksUpToDate>
  <CharactersWithSpaces>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TWC/31</dc:title>
  <dc:creator>FAVA Alexandra</dc:creator>
  <cp:lastModifiedBy>BESSE Ariane</cp:lastModifiedBy>
  <cp:revision>9</cp:revision>
  <cp:lastPrinted>2013-05-13T13:41:00Z</cp:lastPrinted>
  <dcterms:created xsi:type="dcterms:W3CDTF">2013-05-03T15:35:00Z</dcterms:created>
  <dcterms:modified xsi:type="dcterms:W3CDTF">2013-05-14T08:25:00Z</dcterms:modified>
</cp:coreProperties>
</file>