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rsidTr="004226CC">
        <w:tc>
          <w:tcPr>
            <w:tcW w:w="6512" w:type="dxa"/>
          </w:tcPr>
          <w:p w:rsidR="00585A6C" w:rsidRPr="00AC2883" w:rsidRDefault="00585A6C" w:rsidP="004226CC">
            <w:pPr>
              <w:pStyle w:val="Sessiontc"/>
            </w:pPr>
            <w:r w:rsidRPr="00E70039">
              <w:t>Technical Working Party for Agricultural Crops</w:t>
            </w:r>
          </w:p>
          <w:p w:rsidR="00585A6C" w:rsidRPr="00DC3802" w:rsidRDefault="00585A6C" w:rsidP="008472FE">
            <w:pPr>
              <w:pStyle w:val="Sessiontcplacedate"/>
              <w:rPr>
                <w:sz w:val="22"/>
              </w:rPr>
            </w:pPr>
            <w:r>
              <w:t>Fift</w:t>
            </w:r>
            <w:r w:rsidR="008472FE">
              <w:t>y-First</w:t>
            </w:r>
            <w:r w:rsidRPr="00DA4973">
              <w:t xml:space="preserve"> Session</w:t>
            </w:r>
            <w:r w:rsidRPr="00DA4973">
              <w:br/>
            </w:r>
            <w:r w:rsidR="008472FE">
              <w:t>Cambridge</w:t>
            </w:r>
            <w:r w:rsidRPr="00F44C0E">
              <w:t xml:space="preserve">, United </w:t>
            </w:r>
            <w:r w:rsidR="008472FE">
              <w:t>Kingdom</w:t>
            </w:r>
            <w:r>
              <w:t xml:space="preserve">, </w:t>
            </w:r>
            <w:r w:rsidR="008472FE">
              <w:t>May 23 to 27, 2022</w:t>
            </w:r>
          </w:p>
        </w:tc>
        <w:tc>
          <w:tcPr>
            <w:tcW w:w="3127" w:type="dxa"/>
          </w:tcPr>
          <w:p w:rsidR="00585A6C" w:rsidRPr="003C7FBE" w:rsidRDefault="00585A6C" w:rsidP="004226CC">
            <w:pPr>
              <w:pStyle w:val="Doccode"/>
            </w:pPr>
            <w:r>
              <w:t>TWA</w:t>
            </w:r>
            <w:r w:rsidRPr="00AC2883">
              <w:t>/</w:t>
            </w:r>
            <w:r>
              <w:t>5</w:t>
            </w:r>
            <w:r w:rsidR="008472FE">
              <w:t>1</w:t>
            </w:r>
            <w:r w:rsidRPr="00AC2883">
              <w:t>/</w:t>
            </w:r>
            <w:r w:rsidR="00B92309">
              <w:t>9</w:t>
            </w:r>
          </w:p>
          <w:p w:rsidR="00585A6C" w:rsidRPr="003C7FBE" w:rsidRDefault="00585A6C" w:rsidP="004226CC">
            <w:pPr>
              <w:pStyle w:val="Docoriginal"/>
            </w:pPr>
            <w:r w:rsidRPr="00AC2883">
              <w:t>Original:</w:t>
            </w:r>
            <w:r w:rsidRPr="000E636A">
              <w:rPr>
                <w:b w:val="0"/>
                <w:spacing w:val="0"/>
              </w:rPr>
              <w:t xml:space="preserve">  English</w:t>
            </w:r>
          </w:p>
          <w:p w:rsidR="00585A6C" w:rsidRPr="007C1D92" w:rsidRDefault="00585A6C" w:rsidP="002229C5">
            <w:pPr>
              <w:pStyle w:val="Docoriginal"/>
            </w:pPr>
            <w:r w:rsidRPr="00AC2883">
              <w:t>Date:</w:t>
            </w:r>
            <w:r w:rsidRPr="000E636A">
              <w:rPr>
                <w:b w:val="0"/>
                <w:spacing w:val="0"/>
              </w:rPr>
              <w:t xml:space="preserve">  </w:t>
            </w:r>
            <w:r w:rsidR="00B92309" w:rsidRPr="00847B04">
              <w:rPr>
                <w:b w:val="0"/>
                <w:spacing w:val="0"/>
              </w:rPr>
              <w:t>May 1</w:t>
            </w:r>
            <w:r w:rsidR="002229C5" w:rsidRPr="00847B04">
              <w:rPr>
                <w:b w:val="0"/>
                <w:spacing w:val="0"/>
              </w:rPr>
              <w:t>8</w:t>
            </w:r>
            <w:r w:rsidRPr="00847B04">
              <w:rPr>
                <w:b w:val="0"/>
                <w:spacing w:val="0"/>
              </w:rPr>
              <w:t>, 202</w:t>
            </w:r>
            <w:r w:rsidR="008472FE" w:rsidRPr="00847B04">
              <w:rPr>
                <w:b w:val="0"/>
                <w:spacing w:val="0"/>
              </w:rPr>
              <w:t>2</w:t>
            </w:r>
            <w:bookmarkStart w:id="0" w:name="_GoBack"/>
            <w:bookmarkEnd w:id="0"/>
          </w:p>
        </w:tc>
      </w:tr>
    </w:tbl>
    <w:p w:rsidR="00585A6C" w:rsidRPr="006A644A" w:rsidRDefault="00B92309" w:rsidP="00585A6C">
      <w:pPr>
        <w:pStyle w:val="Titleofdoc0"/>
      </w:pPr>
      <w:bookmarkStart w:id="1" w:name="TitleOfDoc"/>
      <w:bookmarkEnd w:id="1"/>
      <w:r w:rsidRPr="004D74AF">
        <w:t>comments on guidance and information materials</w:t>
      </w:r>
    </w:p>
    <w:p w:rsidR="00585A6C" w:rsidRPr="006A644A" w:rsidRDefault="00585A6C" w:rsidP="009C2E2A">
      <w:pPr>
        <w:pStyle w:val="preparedby1"/>
      </w:pPr>
      <w:bookmarkStart w:id="2" w:name="Prepared"/>
      <w:bookmarkEnd w:id="2"/>
      <w:r w:rsidRPr="000C4E25">
        <w:t>Document prepared by the Office of the Union</w:t>
      </w:r>
    </w:p>
    <w:p w:rsidR="00585A6C" w:rsidRPr="006A644A" w:rsidRDefault="00585A6C" w:rsidP="00585A6C">
      <w:pPr>
        <w:pStyle w:val="Disclaimer"/>
      </w:pPr>
      <w:r w:rsidRPr="006A644A">
        <w:t>Disclaimer:  this document does not represent UPOV policies or guidance</w:t>
      </w:r>
    </w:p>
    <w:p w:rsidR="00B92309" w:rsidRPr="004D74AF" w:rsidRDefault="00B92309" w:rsidP="00B92309">
      <w:r w:rsidRPr="004D74AF">
        <w:fldChar w:fldCharType="begin"/>
      </w:r>
      <w:r w:rsidRPr="004D74AF">
        <w:instrText xml:space="preserve"> AUTONUM  </w:instrText>
      </w:r>
      <w:r w:rsidRPr="004D74AF">
        <w:fldChar w:fldCharType="end"/>
      </w:r>
      <w:r w:rsidRPr="004D74AF">
        <w:tab/>
        <w:t>The purpose of this document is to report the comments on guidance and information materials made by the Technical Working Party for Vegetables (TWV)</w:t>
      </w:r>
      <w:r>
        <w:rPr>
          <w:rStyle w:val="FootnoteReference"/>
        </w:rPr>
        <w:footnoteReference w:id="2"/>
      </w:r>
      <w:r>
        <w:t xml:space="preserve"> at its session in 2022.</w:t>
      </w:r>
    </w:p>
    <w:p w:rsidR="00B92309" w:rsidRPr="004D74AF" w:rsidRDefault="00B92309" w:rsidP="00B92309"/>
    <w:p w:rsidR="00B92309" w:rsidRPr="004D74AF" w:rsidRDefault="00B92309" w:rsidP="00B92309">
      <w:r w:rsidRPr="004D74AF">
        <w:fldChar w:fldCharType="begin"/>
      </w:r>
      <w:r w:rsidRPr="004D74AF">
        <w:instrText xml:space="preserve"> AUTONUM  </w:instrText>
      </w:r>
      <w:r w:rsidRPr="004D74AF">
        <w:fldChar w:fldCharType="end"/>
      </w:r>
      <w:r w:rsidRPr="004D74AF">
        <w:tab/>
        <w:t>The structure of this document is as follows:</w:t>
      </w:r>
    </w:p>
    <w:p w:rsidR="00B92309" w:rsidRPr="004D74AF" w:rsidRDefault="00B92309" w:rsidP="00B92309">
      <w:pPr>
        <w:rPr>
          <w:highlight w:val="yellow"/>
        </w:rPr>
      </w:pPr>
    </w:p>
    <w:p w:rsidR="004D452D" w:rsidRDefault="00B92309">
      <w:pPr>
        <w:pStyle w:val="TOC1"/>
        <w:rPr>
          <w:rFonts w:asciiTheme="minorHAnsi" w:eastAsiaTheme="minorEastAsia" w:hAnsiTheme="minorHAnsi" w:cstheme="minorBidi"/>
          <w:caps w:val="0"/>
          <w:noProof/>
          <w:sz w:val="22"/>
          <w:szCs w:val="22"/>
        </w:rPr>
      </w:pPr>
      <w:r w:rsidRPr="004D74AF">
        <w:rPr>
          <w:snapToGrid w:val="0"/>
          <w:sz w:val="20"/>
          <w:highlight w:val="yellow"/>
        </w:rPr>
        <w:fldChar w:fldCharType="begin"/>
      </w:r>
      <w:r w:rsidRPr="004D74AF">
        <w:rPr>
          <w:snapToGrid w:val="0"/>
          <w:highlight w:val="yellow"/>
        </w:rPr>
        <w:instrText xml:space="preserve"> TOC \o "1-3" \h \z \u </w:instrText>
      </w:r>
      <w:r w:rsidRPr="004D74AF">
        <w:rPr>
          <w:snapToGrid w:val="0"/>
          <w:sz w:val="20"/>
          <w:highlight w:val="yellow"/>
        </w:rPr>
        <w:fldChar w:fldCharType="separate"/>
      </w:r>
      <w:hyperlink w:anchor="_Toc103772285" w:history="1">
        <w:r w:rsidR="004D452D" w:rsidRPr="00570BA4">
          <w:rPr>
            <w:rStyle w:val="Hyperlink"/>
            <w:noProof/>
          </w:rPr>
          <w:t>Development of guidance and information materials</w:t>
        </w:r>
        <w:r w:rsidR="004D452D">
          <w:rPr>
            <w:noProof/>
            <w:webHidden/>
          </w:rPr>
          <w:tab/>
        </w:r>
        <w:r w:rsidR="004D452D">
          <w:rPr>
            <w:noProof/>
            <w:webHidden/>
          </w:rPr>
          <w:fldChar w:fldCharType="begin"/>
        </w:r>
        <w:r w:rsidR="004D452D">
          <w:rPr>
            <w:noProof/>
            <w:webHidden/>
          </w:rPr>
          <w:instrText xml:space="preserve"> PAGEREF _Toc103772285 \h </w:instrText>
        </w:r>
        <w:r w:rsidR="004D452D">
          <w:rPr>
            <w:noProof/>
            <w:webHidden/>
          </w:rPr>
        </w:r>
        <w:r w:rsidR="004D452D">
          <w:rPr>
            <w:noProof/>
            <w:webHidden/>
          </w:rPr>
          <w:fldChar w:fldCharType="separate"/>
        </w:r>
        <w:r w:rsidR="004D452D">
          <w:rPr>
            <w:noProof/>
            <w:webHidden/>
          </w:rPr>
          <w:t>2</w:t>
        </w:r>
        <w:r w:rsidR="004D452D">
          <w:rPr>
            <w:noProof/>
            <w:webHidden/>
          </w:rPr>
          <w:fldChar w:fldCharType="end"/>
        </w:r>
      </w:hyperlink>
    </w:p>
    <w:p w:rsidR="004D452D" w:rsidRDefault="00667FF3">
      <w:pPr>
        <w:pStyle w:val="TOC2"/>
        <w:rPr>
          <w:rFonts w:asciiTheme="minorHAnsi" w:eastAsiaTheme="minorEastAsia" w:hAnsiTheme="minorHAnsi" w:cstheme="minorBidi"/>
          <w:noProof/>
          <w:sz w:val="22"/>
          <w:szCs w:val="22"/>
        </w:rPr>
      </w:pPr>
      <w:hyperlink w:anchor="_Toc103772286" w:history="1">
        <w:r w:rsidR="004D452D" w:rsidRPr="00570BA4">
          <w:rPr>
            <w:rStyle w:val="Hyperlink"/>
            <w:noProof/>
          </w:rPr>
          <w:t>Document UPOV/INF/23 “UPOV Code System”</w:t>
        </w:r>
        <w:r w:rsidR="004D452D">
          <w:rPr>
            <w:noProof/>
            <w:webHidden/>
          </w:rPr>
          <w:tab/>
        </w:r>
        <w:r w:rsidR="004D452D">
          <w:rPr>
            <w:noProof/>
            <w:webHidden/>
          </w:rPr>
          <w:fldChar w:fldCharType="begin"/>
        </w:r>
        <w:r w:rsidR="004D452D">
          <w:rPr>
            <w:noProof/>
            <w:webHidden/>
          </w:rPr>
          <w:instrText xml:space="preserve"> PAGEREF _Toc103772286 \h </w:instrText>
        </w:r>
        <w:r w:rsidR="004D452D">
          <w:rPr>
            <w:noProof/>
            <w:webHidden/>
          </w:rPr>
        </w:r>
        <w:r w:rsidR="004D452D">
          <w:rPr>
            <w:noProof/>
            <w:webHidden/>
          </w:rPr>
          <w:fldChar w:fldCharType="separate"/>
        </w:r>
        <w:r w:rsidR="004D452D">
          <w:rPr>
            <w:noProof/>
            <w:webHidden/>
          </w:rPr>
          <w:t>2</w:t>
        </w:r>
        <w:r w:rsidR="004D452D">
          <w:rPr>
            <w:noProof/>
            <w:webHidden/>
          </w:rPr>
          <w:fldChar w:fldCharType="end"/>
        </w:r>
      </w:hyperlink>
    </w:p>
    <w:p w:rsidR="004D452D" w:rsidRDefault="00667FF3">
      <w:pPr>
        <w:pStyle w:val="TOC2"/>
        <w:rPr>
          <w:rFonts w:asciiTheme="minorHAnsi" w:eastAsiaTheme="minorEastAsia" w:hAnsiTheme="minorHAnsi" w:cstheme="minorBidi"/>
          <w:noProof/>
          <w:sz w:val="22"/>
          <w:szCs w:val="22"/>
        </w:rPr>
      </w:pPr>
      <w:hyperlink w:anchor="_Toc103772287" w:history="1">
        <w:r w:rsidR="004D452D" w:rsidRPr="00570BA4">
          <w:rPr>
            <w:rStyle w:val="Hyperlink"/>
            <w:noProof/>
          </w:rPr>
          <w:t>Document TGP/7 “Development of Test Guidelines”</w:t>
        </w:r>
        <w:r w:rsidR="004D452D">
          <w:rPr>
            <w:noProof/>
            <w:webHidden/>
          </w:rPr>
          <w:tab/>
        </w:r>
        <w:r w:rsidR="004D452D">
          <w:rPr>
            <w:noProof/>
            <w:webHidden/>
          </w:rPr>
          <w:fldChar w:fldCharType="begin"/>
        </w:r>
        <w:r w:rsidR="004D452D">
          <w:rPr>
            <w:noProof/>
            <w:webHidden/>
          </w:rPr>
          <w:instrText xml:space="preserve"> PAGEREF _Toc103772287 \h </w:instrText>
        </w:r>
        <w:r w:rsidR="004D452D">
          <w:rPr>
            <w:noProof/>
            <w:webHidden/>
          </w:rPr>
        </w:r>
        <w:r w:rsidR="004D452D">
          <w:rPr>
            <w:noProof/>
            <w:webHidden/>
          </w:rPr>
          <w:fldChar w:fldCharType="separate"/>
        </w:r>
        <w:r w:rsidR="004D452D">
          <w:rPr>
            <w:noProof/>
            <w:webHidden/>
          </w:rPr>
          <w:t>2</w:t>
        </w:r>
        <w:r w:rsidR="004D452D">
          <w:rPr>
            <w:noProof/>
            <w:webHidden/>
          </w:rPr>
          <w:fldChar w:fldCharType="end"/>
        </w:r>
      </w:hyperlink>
    </w:p>
    <w:p w:rsidR="004D452D" w:rsidRDefault="00667FF3">
      <w:pPr>
        <w:pStyle w:val="TOC3"/>
        <w:rPr>
          <w:rFonts w:asciiTheme="minorHAnsi" w:eastAsiaTheme="minorEastAsia" w:hAnsiTheme="minorHAnsi" w:cstheme="minorBidi"/>
          <w:i w:val="0"/>
          <w:noProof/>
          <w:sz w:val="22"/>
          <w:szCs w:val="22"/>
          <w:lang w:val="en-US"/>
        </w:rPr>
      </w:pPr>
      <w:hyperlink w:anchor="_Toc103772288" w:history="1">
        <w:r w:rsidR="004D452D" w:rsidRPr="00570BA4">
          <w:rPr>
            <w:rStyle w:val="Hyperlink"/>
            <w:noProof/>
          </w:rPr>
          <w:t>Example varieties for asterisked quantitative characteristics when illustrations are provided</w:t>
        </w:r>
        <w:r w:rsidR="004D452D">
          <w:rPr>
            <w:noProof/>
            <w:webHidden/>
          </w:rPr>
          <w:tab/>
        </w:r>
        <w:r w:rsidR="004D452D">
          <w:rPr>
            <w:noProof/>
            <w:webHidden/>
          </w:rPr>
          <w:fldChar w:fldCharType="begin"/>
        </w:r>
        <w:r w:rsidR="004D452D">
          <w:rPr>
            <w:noProof/>
            <w:webHidden/>
          </w:rPr>
          <w:instrText xml:space="preserve"> PAGEREF _Toc103772288 \h </w:instrText>
        </w:r>
        <w:r w:rsidR="004D452D">
          <w:rPr>
            <w:noProof/>
            <w:webHidden/>
          </w:rPr>
        </w:r>
        <w:r w:rsidR="004D452D">
          <w:rPr>
            <w:noProof/>
            <w:webHidden/>
          </w:rPr>
          <w:fldChar w:fldCharType="separate"/>
        </w:r>
        <w:r w:rsidR="004D452D">
          <w:rPr>
            <w:noProof/>
            <w:webHidden/>
          </w:rPr>
          <w:t>2</w:t>
        </w:r>
        <w:r w:rsidR="004D452D">
          <w:rPr>
            <w:noProof/>
            <w:webHidden/>
          </w:rPr>
          <w:fldChar w:fldCharType="end"/>
        </w:r>
      </w:hyperlink>
    </w:p>
    <w:p w:rsidR="004D452D" w:rsidRDefault="00667FF3">
      <w:pPr>
        <w:pStyle w:val="TOC3"/>
        <w:rPr>
          <w:rFonts w:asciiTheme="minorHAnsi" w:eastAsiaTheme="minorEastAsia" w:hAnsiTheme="minorHAnsi" w:cstheme="minorBidi"/>
          <w:i w:val="0"/>
          <w:noProof/>
          <w:sz w:val="22"/>
          <w:szCs w:val="22"/>
          <w:lang w:val="en-US"/>
        </w:rPr>
      </w:pPr>
      <w:hyperlink w:anchor="_Toc103772289" w:history="1">
        <w:r w:rsidR="004D452D" w:rsidRPr="004D452D">
          <w:rPr>
            <w:rStyle w:val="Hyperlink"/>
            <w:noProof/>
            <w:spacing w:val="-2"/>
          </w:rPr>
          <w:t>Indication of grouping characteristics in UPOV Test Guidelines (Table of characteristics and TQ 5)</w:t>
        </w:r>
        <w:r w:rsidR="004D452D">
          <w:rPr>
            <w:noProof/>
            <w:webHidden/>
          </w:rPr>
          <w:tab/>
        </w:r>
        <w:r w:rsidR="004D452D">
          <w:rPr>
            <w:noProof/>
            <w:webHidden/>
          </w:rPr>
          <w:fldChar w:fldCharType="begin"/>
        </w:r>
        <w:r w:rsidR="004D452D">
          <w:rPr>
            <w:noProof/>
            <w:webHidden/>
          </w:rPr>
          <w:instrText xml:space="preserve"> PAGEREF _Toc103772289 \h </w:instrText>
        </w:r>
        <w:r w:rsidR="004D452D">
          <w:rPr>
            <w:noProof/>
            <w:webHidden/>
          </w:rPr>
        </w:r>
        <w:r w:rsidR="004D452D">
          <w:rPr>
            <w:noProof/>
            <w:webHidden/>
          </w:rPr>
          <w:fldChar w:fldCharType="separate"/>
        </w:r>
        <w:r w:rsidR="004D452D">
          <w:rPr>
            <w:noProof/>
            <w:webHidden/>
          </w:rPr>
          <w:t>2</w:t>
        </w:r>
        <w:r w:rsidR="004D452D">
          <w:rPr>
            <w:noProof/>
            <w:webHidden/>
          </w:rPr>
          <w:fldChar w:fldCharType="end"/>
        </w:r>
      </w:hyperlink>
    </w:p>
    <w:p w:rsidR="004D452D" w:rsidRDefault="00667FF3">
      <w:pPr>
        <w:pStyle w:val="TOC3"/>
        <w:rPr>
          <w:rFonts w:asciiTheme="minorHAnsi" w:eastAsiaTheme="minorEastAsia" w:hAnsiTheme="minorHAnsi" w:cstheme="minorBidi"/>
          <w:i w:val="0"/>
          <w:noProof/>
          <w:sz w:val="22"/>
          <w:szCs w:val="22"/>
          <w:lang w:val="en-US"/>
        </w:rPr>
      </w:pPr>
      <w:hyperlink w:anchor="_Toc103772290" w:history="1">
        <w:r w:rsidR="004D452D" w:rsidRPr="00570BA4">
          <w:rPr>
            <w:rStyle w:val="Hyperlink"/>
            <w:noProof/>
          </w:rPr>
          <w:t>Converting standard wording in Test Guidelines into optional wording</w:t>
        </w:r>
        <w:r w:rsidR="004D452D">
          <w:rPr>
            <w:noProof/>
            <w:webHidden/>
          </w:rPr>
          <w:tab/>
        </w:r>
        <w:r w:rsidR="004D452D">
          <w:rPr>
            <w:noProof/>
            <w:webHidden/>
          </w:rPr>
          <w:fldChar w:fldCharType="begin"/>
        </w:r>
        <w:r w:rsidR="004D452D">
          <w:rPr>
            <w:noProof/>
            <w:webHidden/>
          </w:rPr>
          <w:instrText xml:space="preserve"> PAGEREF _Toc103772290 \h </w:instrText>
        </w:r>
        <w:r w:rsidR="004D452D">
          <w:rPr>
            <w:noProof/>
            <w:webHidden/>
          </w:rPr>
        </w:r>
        <w:r w:rsidR="004D452D">
          <w:rPr>
            <w:noProof/>
            <w:webHidden/>
          </w:rPr>
          <w:fldChar w:fldCharType="separate"/>
        </w:r>
        <w:r w:rsidR="004D452D">
          <w:rPr>
            <w:noProof/>
            <w:webHidden/>
          </w:rPr>
          <w:t>2</w:t>
        </w:r>
        <w:r w:rsidR="004D452D">
          <w:rPr>
            <w:noProof/>
            <w:webHidden/>
          </w:rPr>
          <w:fldChar w:fldCharType="end"/>
        </w:r>
      </w:hyperlink>
    </w:p>
    <w:p w:rsidR="004D452D" w:rsidRDefault="00667FF3">
      <w:pPr>
        <w:pStyle w:val="TOC2"/>
        <w:rPr>
          <w:rFonts w:asciiTheme="minorHAnsi" w:eastAsiaTheme="minorEastAsia" w:hAnsiTheme="minorHAnsi" w:cstheme="minorBidi"/>
          <w:noProof/>
          <w:sz w:val="22"/>
          <w:szCs w:val="22"/>
        </w:rPr>
      </w:pPr>
      <w:hyperlink w:anchor="_Toc103772291" w:history="1">
        <w:r w:rsidR="004D452D" w:rsidRPr="00570BA4">
          <w:rPr>
            <w:rStyle w:val="Hyperlink"/>
            <w:noProof/>
          </w:rPr>
          <w:t>Document TGP/8 ‘</w:t>
        </w:r>
        <w:r w:rsidR="004D452D" w:rsidRPr="00570BA4">
          <w:rPr>
            <w:rStyle w:val="Hyperlink"/>
            <w:noProof/>
            <w:shd w:val="clear" w:color="auto" w:fill="FFFFFF"/>
          </w:rPr>
          <w:t>Trial Design and Techniques Used in the Examination of Distinctness, Uniformity and Stability’</w:t>
        </w:r>
        <w:r w:rsidR="004D452D">
          <w:rPr>
            <w:noProof/>
            <w:webHidden/>
          </w:rPr>
          <w:tab/>
        </w:r>
        <w:r w:rsidR="004D452D">
          <w:rPr>
            <w:noProof/>
            <w:webHidden/>
          </w:rPr>
          <w:fldChar w:fldCharType="begin"/>
        </w:r>
        <w:r w:rsidR="004D452D">
          <w:rPr>
            <w:noProof/>
            <w:webHidden/>
          </w:rPr>
          <w:instrText xml:space="preserve"> PAGEREF _Toc103772291 \h </w:instrText>
        </w:r>
        <w:r w:rsidR="004D452D">
          <w:rPr>
            <w:noProof/>
            <w:webHidden/>
          </w:rPr>
        </w:r>
        <w:r w:rsidR="004D452D">
          <w:rPr>
            <w:noProof/>
            <w:webHidden/>
          </w:rPr>
          <w:fldChar w:fldCharType="separate"/>
        </w:r>
        <w:r w:rsidR="004D452D">
          <w:rPr>
            <w:noProof/>
            <w:webHidden/>
          </w:rPr>
          <w:t>2</w:t>
        </w:r>
        <w:r w:rsidR="004D452D">
          <w:rPr>
            <w:noProof/>
            <w:webHidden/>
          </w:rPr>
          <w:fldChar w:fldCharType="end"/>
        </w:r>
      </w:hyperlink>
    </w:p>
    <w:p w:rsidR="004D452D" w:rsidRDefault="00667FF3">
      <w:pPr>
        <w:pStyle w:val="TOC3"/>
        <w:rPr>
          <w:rFonts w:asciiTheme="minorHAnsi" w:eastAsiaTheme="minorEastAsia" w:hAnsiTheme="minorHAnsi" w:cstheme="minorBidi"/>
          <w:i w:val="0"/>
          <w:noProof/>
          <w:sz w:val="22"/>
          <w:szCs w:val="22"/>
          <w:lang w:val="en-US"/>
        </w:rPr>
      </w:pPr>
      <w:hyperlink w:anchor="_Toc103772292" w:history="1">
        <w:r w:rsidR="004D452D" w:rsidRPr="00570BA4">
          <w:rPr>
            <w:rStyle w:val="Hyperlink"/>
            <w:noProof/>
          </w:rPr>
          <w:t>The Combined Over Years Uniformity Criterion (COYU)</w:t>
        </w:r>
        <w:r w:rsidR="004D452D">
          <w:rPr>
            <w:noProof/>
            <w:webHidden/>
          </w:rPr>
          <w:tab/>
        </w:r>
        <w:r w:rsidR="004D452D">
          <w:rPr>
            <w:noProof/>
            <w:webHidden/>
          </w:rPr>
          <w:fldChar w:fldCharType="begin"/>
        </w:r>
        <w:r w:rsidR="004D452D">
          <w:rPr>
            <w:noProof/>
            <w:webHidden/>
          </w:rPr>
          <w:instrText xml:space="preserve"> PAGEREF _Toc103772292 \h </w:instrText>
        </w:r>
        <w:r w:rsidR="004D452D">
          <w:rPr>
            <w:noProof/>
            <w:webHidden/>
          </w:rPr>
        </w:r>
        <w:r w:rsidR="004D452D">
          <w:rPr>
            <w:noProof/>
            <w:webHidden/>
          </w:rPr>
          <w:fldChar w:fldCharType="separate"/>
        </w:r>
        <w:r w:rsidR="004D452D">
          <w:rPr>
            <w:noProof/>
            <w:webHidden/>
          </w:rPr>
          <w:t>2</w:t>
        </w:r>
        <w:r w:rsidR="004D452D">
          <w:rPr>
            <w:noProof/>
            <w:webHidden/>
          </w:rPr>
          <w:fldChar w:fldCharType="end"/>
        </w:r>
      </w:hyperlink>
    </w:p>
    <w:p w:rsidR="004D452D" w:rsidRDefault="00667FF3">
      <w:pPr>
        <w:pStyle w:val="TOC2"/>
        <w:rPr>
          <w:rFonts w:asciiTheme="minorHAnsi" w:eastAsiaTheme="minorEastAsia" w:hAnsiTheme="minorHAnsi" w:cstheme="minorBidi"/>
          <w:noProof/>
          <w:sz w:val="22"/>
          <w:szCs w:val="22"/>
        </w:rPr>
      </w:pPr>
      <w:hyperlink w:anchor="_Toc103772293" w:history="1">
        <w:r w:rsidR="004D452D" w:rsidRPr="00570BA4">
          <w:rPr>
            <w:rStyle w:val="Hyperlink"/>
            <w:noProof/>
          </w:rPr>
          <w:t>Document TGP/12 ‘Guidance on certain physiological characteristics’</w:t>
        </w:r>
        <w:r w:rsidR="004D452D">
          <w:rPr>
            <w:noProof/>
            <w:webHidden/>
          </w:rPr>
          <w:tab/>
        </w:r>
        <w:r w:rsidR="004D452D">
          <w:rPr>
            <w:noProof/>
            <w:webHidden/>
          </w:rPr>
          <w:fldChar w:fldCharType="begin"/>
        </w:r>
        <w:r w:rsidR="004D452D">
          <w:rPr>
            <w:noProof/>
            <w:webHidden/>
          </w:rPr>
          <w:instrText xml:space="preserve"> PAGEREF _Toc103772293 \h </w:instrText>
        </w:r>
        <w:r w:rsidR="004D452D">
          <w:rPr>
            <w:noProof/>
            <w:webHidden/>
          </w:rPr>
        </w:r>
        <w:r w:rsidR="004D452D">
          <w:rPr>
            <w:noProof/>
            <w:webHidden/>
          </w:rPr>
          <w:fldChar w:fldCharType="separate"/>
        </w:r>
        <w:r w:rsidR="004D452D">
          <w:rPr>
            <w:noProof/>
            <w:webHidden/>
          </w:rPr>
          <w:t>3</w:t>
        </w:r>
        <w:r w:rsidR="004D452D">
          <w:rPr>
            <w:noProof/>
            <w:webHidden/>
          </w:rPr>
          <w:fldChar w:fldCharType="end"/>
        </w:r>
      </w:hyperlink>
    </w:p>
    <w:p w:rsidR="004D452D" w:rsidRDefault="00667FF3">
      <w:pPr>
        <w:pStyle w:val="TOC3"/>
        <w:rPr>
          <w:rFonts w:asciiTheme="minorHAnsi" w:eastAsiaTheme="minorEastAsia" w:hAnsiTheme="minorHAnsi" w:cstheme="minorBidi"/>
          <w:i w:val="0"/>
          <w:noProof/>
          <w:sz w:val="22"/>
          <w:szCs w:val="22"/>
          <w:lang w:val="en-US"/>
        </w:rPr>
      </w:pPr>
      <w:hyperlink w:anchor="_Toc103772294" w:history="1">
        <w:r w:rsidR="004D452D" w:rsidRPr="00570BA4">
          <w:rPr>
            <w:rStyle w:val="Hyperlink"/>
            <w:noProof/>
          </w:rPr>
          <w:t>Word “highly” in only one state of expression</w:t>
        </w:r>
        <w:r w:rsidR="004D452D">
          <w:rPr>
            <w:noProof/>
            <w:webHidden/>
          </w:rPr>
          <w:tab/>
        </w:r>
        <w:r w:rsidR="004D452D">
          <w:rPr>
            <w:noProof/>
            <w:webHidden/>
          </w:rPr>
          <w:fldChar w:fldCharType="begin"/>
        </w:r>
        <w:r w:rsidR="004D452D">
          <w:rPr>
            <w:noProof/>
            <w:webHidden/>
          </w:rPr>
          <w:instrText xml:space="preserve"> PAGEREF _Toc103772294 \h </w:instrText>
        </w:r>
        <w:r w:rsidR="004D452D">
          <w:rPr>
            <w:noProof/>
            <w:webHidden/>
          </w:rPr>
        </w:r>
        <w:r w:rsidR="004D452D">
          <w:rPr>
            <w:noProof/>
            <w:webHidden/>
          </w:rPr>
          <w:fldChar w:fldCharType="separate"/>
        </w:r>
        <w:r w:rsidR="004D452D">
          <w:rPr>
            <w:noProof/>
            <w:webHidden/>
          </w:rPr>
          <w:t>3</w:t>
        </w:r>
        <w:r w:rsidR="004D452D">
          <w:rPr>
            <w:noProof/>
            <w:webHidden/>
          </w:rPr>
          <w:fldChar w:fldCharType="end"/>
        </w:r>
      </w:hyperlink>
    </w:p>
    <w:p w:rsidR="004D452D" w:rsidRDefault="00667FF3">
      <w:pPr>
        <w:pStyle w:val="TOC1"/>
        <w:rPr>
          <w:rFonts w:asciiTheme="minorHAnsi" w:eastAsiaTheme="minorEastAsia" w:hAnsiTheme="minorHAnsi" w:cstheme="minorBidi"/>
          <w:caps w:val="0"/>
          <w:noProof/>
          <w:sz w:val="22"/>
          <w:szCs w:val="22"/>
        </w:rPr>
      </w:pPr>
      <w:hyperlink w:anchor="_Toc103772295" w:history="1">
        <w:r w:rsidR="004D452D" w:rsidRPr="00570BA4">
          <w:rPr>
            <w:rStyle w:val="Hyperlink"/>
            <w:noProof/>
            <w:snapToGrid w:val="0"/>
          </w:rPr>
          <w:t>Information and databases</w:t>
        </w:r>
        <w:r w:rsidR="004D452D">
          <w:rPr>
            <w:noProof/>
            <w:webHidden/>
          </w:rPr>
          <w:tab/>
        </w:r>
        <w:r w:rsidR="004D452D">
          <w:rPr>
            <w:noProof/>
            <w:webHidden/>
          </w:rPr>
          <w:fldChar w:fldCharType="begin"/>
        </w:r>
        <w:r w:rsidR="004D452D">
          <w:rPr>
            <w:noProof/>
            <w:webHidden/>
          </w:rPr>
          <w:instrText xml:space="preserve"> PAGEREF _Toc103772295 \h </w:instrText>
        </w:r>
        <w:r w:rsidR="004D452D">
          <w:rPr>
            <w:noProof/>
            <w:webHidden/>
          </w:rPr>
        </w:r>
        <w:r w:rsidR="004D452D">
          <w:rPr>
            <w:noProof/>
            <w:webHidden/>
          </w:rPr>
          <w:fldChar w:fldCharType="separate"/>
        </w:r>
        <w:r w:rsidR="004D452D">
          <w:rPr>
            <w:noProof/>
            <w:webHidden/>
          </w:rPr>
          <w:t>3</w:t>
        </w:r>
        <w:r w:rsidR="004D452D">
          <w:rPr>
            <w:noProof/>
            <w:webHidden/>
          </w:rPr>
          <w:fldChar w:fldCharType="end"/>
        </w:r>
      </w:hyperlink>
    </w:p>
    <w:p w:rsidR="004D452D" w:rsidRDefault="00667FF3">
      <w:pPr>
        <w:pStyle w:val="TOC2"/>
        <w:tabs>
          <w:tab w:val="left" w:pos="1100"/>
        </w:tabs>
        <w:rPr>
          <w:rFonts w:asciiTheme="minorHAnsi" w:eastAsiaTheme="minorEastAsia" w:hAnsiTheme="minorHAnsi" w:cstheme="minorBidi"/>
          <w:noProof/>
          <w:sz w:val="22"/>
          <w:szCs w:val="22"/>
        </w:rPr>
      </w:pPr>
      <w:hyperlink w:anchor="_Toc103772296" w:history="1">
        <w:r w:rsidR="004D452D" w:rsidRPr="00570BA4">
          <w:rPr>
            <w:rStyle w:val="Hyperlink"/>
            <w:noProof/>
            <w:snapToGrid w:val="0"/>
          </w:rPr>
          <w:t>(c)</w:t>
        </w:r>
        <w:r w:rsidR="004D452D">
          <w:rPr>
            <w:rFonts w:asciiTheme="minorHAnsi" w:eastAsiaTheme="minorEastAsia" w:hAnsiTheme="minorHAnsi" w:cstheme="minorBidi"/>
            <w:noProof/>
            <w:sz w:val="22"/>
            <w:szCs w:val="22"/>
          </w:rPr>
          <w:tab/>
        </w:r>
        <w:r w:rsidR="004D452D" w:rsidRPr="00570BA4">
          <w:rPr>
            <w:rStyle w:val="Hyperlink"/>
            <w:noProof/>
            <w:snapToGrid w:val="0"/>
          </w:rPr>
          <w:t>Exchange and use of software and equipment</w:t>
        </w:r>
        <w:r w:rsidR="004D452D">
          <w:rPr>
            <w:noProof/>
            <w:webHidden/>
          </w:rPr>
          <w:tab/>
        </w:r>
        <w:r w:rsidR="004D452D">
          <w:rPr>
            <w:noProof/>
            <w:webHidden/>
          </w:rPr>
          <w:fldChar w:fldCharType="begin"/>
        </w:r>
        <w:r w:rsidR="004D452D">
          <w:rPr>
            <w:noProof/>
            <w:webHidden/>
          </w:rPr>
          <w:instrText xml:space="preserve"> PAGEREF _Toc103772296 \h </w:instrText>
        </w:r>
        <w:r w:rsidR="004D452D">
          <w:rPr>
            <w:noProof/>
            <w:webHidden/>
          </w:rPr>
        </w:r>
        <w:r w:rsidR="004D452D">
          <w:rPr>
            <w:noProof/>
            <w:webHidden/>
          </w:rPr>
          <w:fldChar w:fldCharType="separate"/>
        </w:r>
        <w:r w:rsidR="004D452D">
          <w:rPr>
            <w:noProof/>
            <w:webHidden/>
          </w:rPr>
          <w:t>3</w:t>
        </w:r>
        <w:r w:rsidR="004D452D">
          <w:rPr>
            <w:noProof/>
            <w:webHidden/>
          </w:rPr>
          <w:fldChar w:fldCharType="end"/>
        </w:r>
      </w:hyperlink>
    </w:p>
    <w:p w:rsidR="004D452D" w:rsidRDefault="00667FF3">
      <w:pPr>
        <w:pStyle w:val="TOC3"/>
        <w:rPr>
          <w:rFonts w:asciiTheme="minorHAnsi" w:eastAsiaTheme="minorEastAsia" w:hAnsiTheme="minorHAnsi" w:cstheme="minorBidi"/>
          <w:i w:val="0"/>
          <w:noProof/>
          <w:sz w:val="22"/>
          <w:szCs w:val="22"/>
          <w:lang w:val="en-US"/>
        </w:rPr>
      </w:pPr>
      <w:hyperlink w:anchor="_Toc103772297" w:history="1">
        <w:r w:rsidR="004D452D" w:rsidRPr="00570BA4">
          <w:rPr>
            <w:rStyle w:val="Hyperlink"/>
            <w:noProof/>
          </w:rPr>
          <w:t>Document UPOV/INF/16 “Exchangeable Software”</w:t>
        </w:r>
        <w:r w:rsidR="004D452D">
          <w:rPr>
            <w:noProof/>
            <w:webHidden/>
          </w:rPr>
          <w:tab/>
        </w:r>
        <w:r w:rsidR="004D452D">
          <w:rPr>
            <w:noProof/>
            <w:webHidden/>
          </w:rPr>
          <w:fldChar w:fldCharType="begin"/>
        </w:r>
        <w:r w:rsidR="004D452D">
          <w:rPr>
            <w:noProof/>
            <w:webHidden/>
          </w:rPr>
          <w:instrText xml:space="preserve"> PAGEREF _Toc103772297 \h </w:instrText>
        </w:r>
        <w:r w:rsidR="004D452D">
          <w:rPr>
            <w:noProof/>
            <w:webHidden/>
          </w:rPr>
        </w:r>
        <w:r w:rsidR="004D452D">
          <w:rPr>
            <w:noProof/>
            <w:webHidden/>
          </w:rPr>
          <w:fldChar w:fldCharType="separate"/>
        </w:r>
        <w:r w:rsidR="004D452D">
          <w:rPr>
            <w:noProof/>
            <w:webHidden/>
          </w:rPr>
          <w:t>3</w:t>
        </w:r>
        <w:r w:rsidR="004D452D">
          <w:rPr>
            <w:noProof/>
            <w:webHidden/>
          </w:rPr>
          <w:fldChar w:fldCharType="end"/>
        </w:r>
      </w:hyperlink>
    </w:p>
    <w:p w:rsidR="004D452D" w:rsidRDefault="00667FF3">
      <w:pPr>
        <w:pStyle w:val="TOC3"/>
        <w:rPr>
          <w:rFonts w:asciiTheme="minorHAnsi" w:eastAsiaTheme="minorEastAsia" w:hAnsiTheme="minorHAnsi" w:cstheme="minorBidi"/>
          <w:i w:val="0"/>
          <w:noProof/>
          <w:sz w:val="22"/>
          <w:szCs w:val="22"/>
          <w:lang w:val="en-US"/>
        </w:rPr>
      </w:pPr>
      <w:hyperlink w:anchor="_Toc103772298" w:history="1">
        <w:r w:rsidR="004D452D" w:rsidRPr="00570BA4">
          <w:rPr>
            <w:rStyle w:val="Hyperlink"/>
            <w:noProof/>
          </w:rPr>
          <w:t>Document</w:t>
        </w:r>
        <w:r w:rsidR="004D452D" w:rsidRPr="00570BA4">
          <w:rPr>
            <w:rStyle w:val="Hyperlink"/>
            <w:noProof/>
            <w:lang w:eastAsia="ja-JP"/>
          </w:rPr>
          <w:t xml:space="preserve"> </w:t>
        </w:r>
        <w:r w:rsidR="004D452D" w:rsidRPr="00570BA4">
          <w:rPr>
            <w:rStyle w:val="Hyperlink"/>
            <w:noProof/>
          </w:rPr>
          <w:t>UPOV/INF/22 “Software and Equipment Used by Members of</w:t>
        </w:r>
        <w:r w:rsidR="004D452D" w:rsidRPr="00570BA4">
          <w:rPr>
            <w:rStyle w:val="Hyperlink"/>
            <w:noProof/>
            <w:lang w:eastAsia="ja-JP"/>
          </w:rPr>
          <w:t xml:space="preserve"> </w:t>
        </w:r>
        <w:r w:rsidR="004D452D" w:rsidRPr="00570BA4">
          <w:rPr>
            <w:rStyle w:val="Hyperlink"/>
            <w:noProof/>
          </w:rPr>
          <w:t>the Union”</w:t>
        </w:r>
        <w:r w:rsidR="004D452D">
          <w:rPr>
            <w:noProof/>
            <w:webHidden/>
          </w:rPr>
          <w:tab/>
        </w:r>
        <w:r w:rsidR="004D452D">
          <w:rPr>
            <w:noProof/>
            <w:webHidden/>
          </w:rPr>
          <w:fldChar w:fldCharType="begin"/>
        </w:r>
        <w:r w:rsidR="004D452D">
          <w:rPr>
            <w:noProof/>
            <w:webHidden/>
          </w:rPr>
          <w:instrText xml:space="preserve"> PAGEREF _Toc103772298 \h </w:instrText>
        </w:r>
        <w:r w:rsidR="004D452D">
          <w:rPr>
            <w:noProof/>
            <w:webHidden/>
          </w:rPr>
        </w:r>
        <w:r w:rsidR="004D452D">
          <w:rPr>
            <w:noProof/>
            <w:webHidden/>
          </w:rPr>
          <w:fldChar w:fldCharType="separate"/>
        </w:r>
        <w:r w:rsidR="004D452D">
          <w:rPr>
            <w:noProof/>
            <w:webHidden/>
          </w:rPr>
          <w:t>3</w:t>
        </w:r>
        <w:r w:rsidR="004D452D">
          <w:rPr>
            <w:noProof/>
            <w:webHidden/>
          </w:rPr>
          <w:fldChar w:fldCharType="end"/>
        </w:r>
      </w:hyperlink>
    </w:p>
    <w:p w:rsidR="004D452D" w:rsidRDefault="00667FF3">
      <w:pPr>
        <w:pStyle w:val="TOC1"/>
        <w:rPr>
          <w:rFonts w:asciiTheme="minorHAnsi" w:eastAsiaTheme="minorEastAsia" w:hAnsiTheme="minorHAnsi" w:cstheme="minorBidi"/>
          <w:caps w:val="0"/>
          <w:noProof/>
          <w:sz w:val="22"/>
          <w:szCs w:val="22"/>
        </w:rPr>
      </w:pPr>
      <w:hyperlink w:anchor="_Toc103772299" w:history="1">
        <w:r w:rsidR="004D452D" w:rsidRPr="00570BA4">
          <w:rPr>
            <w:rStyle w:val="Hyperlink"/>
            <w:noProof/>
            <w:snapToGrid w:val="0"/>
          </w:rPr>
          <w:t>Variety denominations</w:t>
        </w:r>
        <w:r w:rsidR="004D452D">
          <w:rPr>
            <w:noProof/>
            <w:webHidden/>
          </w:rPr>
          <w:tab/>
        </w:r>
        <w:r w:rsidR="004D452D">
          <w:rPr>
            <w:noProof/>
            <w:webHidden/>
          </w:rPr>
          <w:fldChar w:fldCharType="begin"/>
        </w:r>
        <w:r w:rsidR="004D452D">
          <w:rPr>
            <w:noProof/>
            <w:webHidden/>
          </w:rPr>
          <w:instrText xml:space="preserve"> PAGEREF _Toc103772299 \h </w:instrText>
        </w:r>
        <w:r w:rsidR="004D452D">
          <w:rPr>
            <w:noProof/>
            <w:webHidden/>
          </w:rPr>
        </w:r>
        <w:r w:rsidR="004D452D">
          <w:rPr>
            <w:noProof/>
            <w:webHidden/>
          </w:rPr>
          <w:fldChar w:fldCharType="separate"/>
        </w:r>
        <w:r w:rsidR="004D452D">
          <w:rPr>
            <w:noProof/>
            <w:webHidden/>
          </w:rPr>
          <w:t>4</w:t>
        </w:r>
        <w:r w:rsidR="004D452D">
          <w:rPr>
            <w:noProof/>
            <w:webHidden/>
          </w:rPr>
          <w:fldChar w:fldCharType="end"/>
        </w:r>
      </w:hyperlink>
    </w:p>
    <w:p w:rsidR="00B92309" w:rsidRPr="004D74AF" w:rsidRDefault="00B92309" w:rsidP="00B92309">
      <w:pPr>
        <w:keepNext/>
        <w:outlineLvl w:val="0"/>
        <w:rPr>
          <w:rFonts w:cs="Arial"/>
          <w:bCs/>
          <w:caps/>
          <w:snapToGrid w:val="0"/>
          <w:sz w:val="18"/>
        </w:rPr>
      </w:pPr>
      <w:r w:rsidRPr="004D74AF">
        <w:rPr>
          <w:rFonts w:cs="Arial"/>
          <w:bCs/>
          <w:caps/>
          <w:snapToGrid w:val="0"/>
          <w:sz w:val="18"/>
          <w:highlight w:val="yellow"/>
        </w:rPr>
        <w:fldChar w:fldCharType="end"/>
      </w:r>
    </w:p>
    <w:p w:rsidR="00B92309" w:rsidRPr="004D74AF" w:rsidRDefault="00B92309" w:rsidP="00B92309">
      <w:pPr>
        <w:jc w:val="left"/>
        <w:rPr>
          <w:rFonts w:cs="Arial"/>
          <w:color w:val="000000"/>
        </w:rPr>
      </w:pPr>
      <w:r w:rsidRPr="004D74AF">
        <w:rPr>
          <w:rFonts w:cs="Arial"/>
          <w:color w:val="000000"/>
        </w:rPr>
        <w:fldChar w:fldCharType="begin"/>
      </w:r>
      <w:r w:rsidRPr="004D74AF">
        <w:rPr>
          <w:rFonts w:cs="Arial"/>
          <w:color w:val="000000"/>
        </w:rPr>
        <w:instrText xml:space="preserve"> AUTONUM  </w:instrText>
      </w:r>
      <w:r w:rsidRPr="004D74AF">
        <w:rPr>
          <w:rFonts w:cs="Arial"/>
          <w:color w:val="000000"/>
        </w:rPr>
        <w:fldChar w:fldCharType="end"/>
      </w:r>
      <w:r w:rsidRPr="004D74AF">
        <w:rPr>
          <w:rFonts w:cs="Arial"/>
          <w:color w:val="000000"/>
        </w:rPr>
        <w:tab/>
        <w:t xml:space="preserve">The following abbreviations </w:t>
      </w:r>
      <w:proofErr w:type="gramStart"/>
      <w:r w:rsidRPr="004D74AF">
        <w:rPr>
          <w:rFonts w:cs="Arial"/>
          <w:color w:val="000000"/>
        </w:rPr>
        <w:t>are used</w:t>
      </w:r>
      <w:proofErr w:type="gramEnd"/>
      <w:r w:rsidRPr="004D74AF">
        <w:rPr>
          <w:rFonts w:cs="Arial"/>
          <w:color w:val="000000"/>
        </w:rPr>
        <w:t xml:space="preserve"> in this document:</w:t>
      </w:r>
    </w:p>
    <w:p w:rsidR="00B92309" w:rsidRPr="004D74AF" w:rsidRDefault="00B92309" w:rsidP="00B92309">
      <w:pPr>
        <w:jc w:val="left"/>
        <w:rPr>
          <w:rFonts w:cs="Arial"/>
          <w:color w:val="000000"/>
        </w:rPr>
      </w:pPr>
    </w:p>
    <w:p w:rsidR="00B92309" w:rsidRPr="004D74AF" w:rsidRDefault="00B92309" w:rsidP="00B92309">
      <w:pPr>
        <w:tabs>
          <w:tab w:val="left" w:pos="1134"/>
        </w:tabs>
        <w:jc w:val="left"/>
        <w:rPr>
          <w:rFonts w:cs="Arial"/>
          <w:color w:val="000000"/>
        </w:rPr>
      </w:pPr>
      <w:r w:rsidRPr="004D74AF">
        <w:rPr>
          <w:rFonts w:cs="Arial"/>
          <w:color w:val="000000"/>
        </w:rPr>
        <w:t xml:space="preserve">TC:  </w:t>
      </w:r>
      <w:r w:rsidRPr="004D74AF">
        <w:rPr>
          <w:rFonts w:cs="Arial"/>
          <w:color w:val="000000"/>
        </w:rPr>
        <w:tab/>
        <w:t>Technical Committee</w:t>
      </w:r>
    </w:p>
    <w:p w:rsidR="00B92309" w:rsidRPr="004D74AF" w:rsidRDefault="00B92309" w:rsidP="00B92309">
      <w:pPr>
        <w:jc w:val="left"/>
        <w:rPr>
          <w:rFonts w:cs="Arial"/>
          <w:color w:val="000000"/>
        </w:rPr>
      </w:pPr>
      <w:r w:rsidRPr="004D74AF">
        <w:rPr>
          <w:rFonts w:cs="Arial"/>
          <w:color w:val="000000"/>
        </w:rPr>
        <w:t xml:space="preserve">TC-EDC:  </w:t>
      </w:r>
      <w:r w:rsidRPr="004D74AF">
        <w:rPr>
          <w:rFonts w:cs="Arial"/>
          <w:color w:val="000000"/>
        </w:rPr>
        <w:tab/>
        <w:t>Enlarged Editorial Committee</w:t>
      </w:r>
    </w:p>
    <w:p w:rsidR="00B92309" w:rsidRPr="004D74AF" w:rsidRDefault="00B92309" w:rsidP="00B92309">
      <w:pPr>
        <w:jc w:val="left"/>
        <w:rPr>
          <w:rFonts w:cs="Arial"/>
          <w:color w:val="000000"/>
        </w:rPr>
      </w:pPr>
      <w:r w:rsidRPr="004D74AF">
        <w:rPr>
          <w:rFonts w:cs="Arial"/>
          <w:color w:val="000000"/>
        </w:rPr>
        <w:t xml:space="preserve">TWA:  </w:t>
      </w:r>
      <w:r w:rsidRPr="004D74AF">
        <w:rPr>
          <w:rFonts w:cs="Arial"/>
          <w:color w:val="000000"/>
        </w:rPr>
        <w:tab/>
        <w:t>Technical Working Party for Agricultural Crops</w:t>
      </w:r>
    </w:p>
    <w:p w:rsidR="00B92309" w:rsidRPr="004D74AF" w:rsidRDefault="00B92309" w:rsidP="00B92309">
      <w:pPr>
        <w:jc w:val="left"/>
        <w:rPr>
          <w:rFonts w:cs="Arial"/>
          <w:color w:val="000000"/>
        </w:rPr>
      </w:pPr>
      <w:r w:rsidRPr="004D74AF">
        <w:rPr>
          <w:rFonts w:cs="Arial"/>
          <w:color w:val="000000"/>
        </w:rPr>
        <w:t xml:space="preserve">TWC:  </w:t>
      </w:r>
      <w:r w:rsidRPr="004D74AF">
        <w:rPr>
          <w:rFonts w:cs="Arial"/>
          <w:color w:val="000000"/>
        </w:rPr>
        <w:tab/>
        <w:t>Technical Working Party on Automation and Computer Programs</w:t>
      </w:r>
    </w:p>
    <w:p w:rsidR="00B92309" w:rsidRDefault="00B92309" w:rsidP="00B92309">
      <w:pPr>
        <w:jc w:val="left"/>
        <w:rPr>
          <w:rFonts w:cs="Arial"/>
          <w:color w:val="000000"/>
        </w:rPr>
      </w:pPr>
      <w:r w:rsidRPr="004D74AF">
        <w:rPr>
          <w:rFonts w:cs="Arial"/>
          <w:color w:val="000000"/>
        </w:rPr>
        <w:t xml:space="preserve">TWF:  </w:t>
      </w:r>
      <w:r w:rsidRPr="004D74AF">
        <w:rPr>
          <w:rFonts w:cs="Arial"/>
          <w:color w:val="000000"/>
        </w:rPr>
        <w:tab/>
        <w:t xml:space="preserve">Technical Working Party for Fruit Crops </w:t>
      </w:r>
    </w:p>
    <w:p w:rsidR="00A37F87" w:rsidRPr="004D74AF" w:rsidRDefault="00A37F87" w:rsidP="00B92309">
      <w:pPr>
        <w:jc w:val="left"/>
        <w:rPr>
          <w:rFonts w:cs="Arial"/>
          <w:color w:val="000000"/>
        </w:rPr>
      </w:pPr>
      <w:r w:rsidRPr="00787948">
        <w:rPr>
          <w:rFonts w:cs="Arial"/>
          <w:color w:val="000000"/>
        </w:rPr>
        <w:t>TWM:</w:t>
      </w:r>
      <w:r w:rsidRPr="00787948">
        <w:rPr>
          <w:rFonts w:cs="Arial"/>
          <w:color w:val="000000"/>
        </w:rPr>
        <w:tab/>
      </w:r>
      <w:r w:rsidRPr="00787948">
        <w:rPr>
          <w:rFonts w:cs="Arial"/>
          <w:color w:val="000000"/>
        </w:rPr>
        <w:tab/>
        <w:t>Technical Working Party on Testing Methods and Techniques</w:t>
      </w:r>
    </w:p>
    <w:p w:rsidR="00B92309" w:rsidRPr="004D74AF" w:rsidRDefault="00B92309" w:rsidP="00B92309">
      <w:pPr>
        <w:jc w:val="left"/>
        <w:rPr>
          <w:rFonts w:cs="Arial"/>
          <w:color w:val="000000"/>
        </w:rPr>
      </w:pPr>
      <w:r w:rsidRPr="004D74AF">
        <w:rPr>
          <w:rFonts w:cs="Arial"/>
          <w:color w:val="000000"/>
        </w:rPr>
        <w:t xml:space="preserve">TWO:  </w:t>
      </w:r>
      <w:r w:rsidRPr="004D74AF">
        <w:rPr>
          <w:rFonts w:cs="Arial"/>
          <w:color w:val="000000"/>
        </w:rPr>
        <w:tab/>
        <w:t xml:space="preserve">Technical Working Party for Ornamental Plants and Forest Trees </w:t>
      </w:r>
    </w:p>
    <w:p w:rsidR="00B92309" w:rsidRPr="004D74AF" w:rsidRDefault="00B92309" w:rsidP="00B92309">
      <w:pPr>
        <w:jc w:val="left"/>
        <w:rPr>
          <w:rFonts w:cs="Arial"/>
          <w:color w:val="000000"/>
        </w:rPr>
      </w:pPr>
      <w:r w:rsidRPr="004D74AF">
        <w:rPr>
          <w:rFonts w:cs="Arial"/>
          <w:color w:val="000000"/>
        </w:rPr>
        <w:t xml:space="preserve">TWV:  </w:t>
      </w:r>
      <w:r w:rsidRPr="004D74AF">
        <w:rPr>
          <w:rFonts w:cs="Arial"/>
          <w:color w:val="000000"/>
        </w:rPr>
        <w:tab/>
        <w:t>Technical Working Party for Vegetables</w:t>
      </w:r>
    </w:p>
    <w:p w:rsidR="00B92309" w:rsidRPr="004D74AF" w:rsidRDefault="00B92309" w:rsidP="00B92309">
      <w:pPr>
        <w:jc w:val="left"/>
        <w:rPr>
          <w:rFonts w:cs="Arial"/>
          <w:color w:val="000000"/>
        </w:rPr>
      </w:pPr>
      <w:r w:rsidRPr="004D74AF">
        <w:rPr>
          <w:rFonts w:cs="Arial"/>
          <w:color w:val="000000"/>
        </w:rPr>
        <w:t>TWPs:</w:t>
      </w:r>
      <w:r w:rsidRPr="004D74AF">
        <w:rPr>
          <w:rFonts w:cs="Arial"/>
          <w:color w:val="000000"/>
        </w:rPr>
        <w:tab/>
        <w:t>Technical Working Parties</w:t>
      </w:r>
    </w:p>
    <w:p w:rsidR="00B92309" w:rsidRDefault="00B92309" w:rsidP="00B92309"/>
    <w:p w:rsidR="00922A2F" w:rsidRDefault="00922A2F" w:rsidP="00B92309"/>
    <w:p w:rsidR="00B92309" w:rsidRDefault="00B92309" w:rsidP="00B92309"/>
    <w:p w:rsidR="00922A2F" w:rsidRPr="002D1B80" w:rsidRDefault="00922A2F" w:rsidP="006B0CC7">
      <w:pPr>
        <w:pStyle w:val="Heading1"/>
      </w:pPr>
      <w:bookmarkStart w:id="3" w:name="_Toc103772285"/>
      <w:r w:rsidRPr="002D1B80">
        <w:lastRenderedPageBreak/>
        <w:t>Development of guidance and information materials</w:t>
      </w:r>
      <w:bookmarkEnd w:id="3"/>
    </w:p>
    <w:p w:rsidR="00922A2F" w:rsidRPr="002D1B80" w:rsidRDefault="00922A2F" w:rsidP="006B0CC7">
      <w:pPr>
        <w:pStyle w:val="Heading2"/>
        <w:keepNext/>
      </w:pPr>
    </w:p>
    <w:p w:rsidR="00922A2F" w:rsidRPr="002D1B80" w:rsidRDefault="00922A2F" w:rsidP="006B0CC7">
      <w:pPr>
        <w:keepNext/>
      </w:pPr>
      <w:r w:rsidRPr="002D1B80">
        <w:fldChar w:fldCharType="begin"/>
      </w:r>
      <w:r w:rsidRPr="002D1B80">
        <w:instrText xml:space="preserve"> AUTONUM  </w:instrText>
      </w:r>
      <w:r w:rsidRPr="002D1B80">
        <w:fldChar w:fldCharType="end"/>
      </w:r>
      <w:r w:rsidRPr="002D1B80">
        <w:tab/>
        <w:t>The TWV considered document TWP/6/1.</w:t>
      </w:r>
    </w:p>
    <w:p w:rsidR="00B92309" w:rsidRPr="004D74AF" w:rsidRDefault="00B92309" w:rsidP="006B0CC7">
      <w:pPr>
        <w:keepNext/>
      </w:pPr>
    </w:p>
    <w:p w:rsidR="00B92309" w:rsidRPr="00B92309" w:rsidRDefault="00B92309" w:rsidP="006B0CC7">
      <w:pPr>
        <w:pStyle w:val="Heading2"/>
        <w:keepNext/>
      </w:pPr>
      <w:bookmarkStart w:id="4" w:name="_Toc95126306"/>
      <w:bookmarkStart w:id="5" w:name="_Toc103772286"/>
      <w:r w:rsidRPr="00B92309">
        <w:t>Document UPOV/INF/23 “UPOV Code System”</w:t>
      </w:r>
      <w:bookmarkEnd w:id="4"/>
      <w:bookmarkEnd w:id="5"/>
    </w:p>
    <w:p w:rsidR="00B92309" w:rsidRPr="002D1B80" w:rsidRDefault="00B92309" w:rsidP="00922A2F">
      <w:pPr>
        <w:keepNext/>
      </w:pPr>
    </w:p>
    <w:p w:rsidR="00B92309" w:rsidRPr="002D1B80" w:rsidRDefault="00B92309" w:rsidP="00B92309">
      <w:r w:rsidRPr="002D1B80">
        <w:fldChar w:fldCharType="begin"/>
      </w:r>
      <w:r w:rsidRPr="002D1B80">
        <w:instrText xml:space="preserve"> AUTONUM  </w:instrText>
      </w:r>
      <w:r w:rsidRPr="002D1B80">
        <w:fldChar w:fldCharType="end"/>
      </w:r>
      <w:r w:rsidRPr="002D1B80">
        <w:tab/>
        <w:t>The TWV agreed to revise document UPOV/INF/23 “Guide to the UPOV Code System” to clarify the maximum number of characters to be used in the appended element to UPOV codes, as set out in document TWP/6/1, paragraph 13</w:t>
      </w:r>
      <w:r w:rsidR="00FE6F46">
        <w:t xml:space="preserve"> (see document TWV/56/22 “Report”, paragraph 7)</w:t>
      </w:r>
      <w:r w:rsidRPr="002D1B80">
        <w:t>.</w:t>
      </w:r>
    </w:p>
    <w:p w:rsidR="00DF5922" w:rsidRPr="002D1B80" w:rsidRDefault="00DF5922" w:rsidP="00B92309"/>
    <w:p w:rsidR="00B92309" w:rsidRPr="00B92309" w:rsidRDefault="00B92309" w:rsidP="00922A2F">
      <w:pPr>
        <w:pStyle w:val="Heading2"/>
      </w:pPr>
      <w:bookmarkStart w:id="6" w:name="_Toc95126308"/>
      <w:bookmarkStart w:id="7" w:name="_Toc103772287"/>
      <w:r w:rsidRPr="00B92309">
        <w:t>Document TGP/7 “Development of Test Guidelines”</w:t>
      </w:r>
      <w:bookmarkEnd w:id="6"/>
      <w:bookmarkEnd w:id="7"/>
    </w:p>
    <w:p w:rsidR="00B92309" w:rsidRPr="002D1B80" w:rsidRDefault="00B92309" w:rsidP="00B92309">
      <w:pPr>
        <w:keepNext/>
      </w:pPr>
    </w:p>
    <w:p w:rsidR="00B92309" w:rsidRPr="002D1B80" w:rsidRDefault="00B92309" w:rsidP="0081562D">
      <w:pPr>
        <w:pStyle w:val="Heading3"/>
      </w:pPr>
      <w:bookmarkStart w:id="8" w:name="_Toc95126309"/>
      <w:bookmarkStart w:id="9" w:name="_Toc103772288"/>
      <w:r w:rsidRPr="002D1B80">
        <w:t>Example varieties for asterisked quantitative characteristics when illustrations are provided</w:t>
      </w:r>
      <w:bookmarkEnd w:id="8"/>
      <w:bookmarkEnd w:id="9"/>
    </w:p>
    <w:p w:rsidR="00B92309" w:rsidRPr="002D1B80" w:rsidRDefault="00B92309" w:rsidP="00B92309">
      <w:pPr>
        <w:keepNext/>
      </w:pPr>
    </w:p>
    <w:p w:rsidR="00B92309" w:rsidRPr="00153BC6" w:rsidRDefault="00B92309" w:rsidP="00B92309">
      <w:pPr>
        <w:keepNext/>
      </w:pPr>
      <w:r w:rsidRPr="002D1B80">
        <w:fldChar w:fldCharType="begin"/>
      </w:r>
      <w:r w:rsidRPr="002D1B80">
        <w:instrText xml:space="preserve"> AUTONUM  </w:instrText>
      </w:r>
      <w:r w:rsidRPr="002D1B80">
        <w:fldChar w:fldCharType="end"/>
      </w:r>
      <w:r w:rsidRPr="002D1B80">
        <w:tab/>
        <w:t xml:space="preserve">The TWV considered the proposal to amend document TGP/7 to remove the requirement to provide example varieties for asterisked quantitative characteristics if illustrations are provided, as set out in </w:t>
      </w:r>
      <w:r w:rsidRPr="00153BC6">
        <w:t>document TWP/6/1, paragraphs 18 and 19</w:t>
      </w:r>
      <w:r w:rsidR="00FE6F46">
        <w:t xml:space="preserve"> (see document TWV/56/22 “Report”, paragraphs 8 and 9)</w:t>
      </w:r>
      <w:r w:rsidRPr="00153BC6">
        <w:t>.</w:t>
      </w:r>
    </w:p>
    <w:p w:rsidR="00B92309" w:rsidRPr="00153BC6" w:rsidRDefault="00B92309" w:rsidP="00B92309"/>
    <w:p w:rsidR="00B92309" w:rsidRPr="002D1B80" w:rsidRDefault="00B92309" w:rsidP="00B92309">
      <w:r w:rsidRPr="00153BC6">
        <w:fldChar w:fldCharType="begin"/>
      </w:r>
      <w:r w:rsidRPr="00153BC6">
        <w:instrText xml:space="preserve"> AUTONUM  </w:instrText>
      </w:r>
      <w:r w:rsidRPr="00153BC6">
        <w:fldChar w:fldCharType="end"/>
      </w:r>
      <w:r w:rsidRPr="00153BC6">
        <w:tab/>
        <w:t xml:space="preserve">The TWV agreed that example varieties should continue to </w:t>
      </w:r>
      <w:proofErr w:type="gramStart"/>
      <w:r w:rsidRPr="00153BC6">
        <w:t>be provided</w:t>
      </w:r>
      <w:proofErr w:type="gramEnd"/>
      <w:r w:rsidRPr="00153BC6">
        <w:t xml:space="preserve"> for asterisked quantitative characteristics for vegetable</w:t>
      </w:r>
      <w:r w:rsidRPr="002D1B80">
        <w:t xml:space="preserve"> crops.  The TWV agreed that example varieties </w:t>
      </w:r>
      <w:proofErr w:type="gramStart"/>
      <w:r w:rsidRPr="002D1B80">
        <w:t>could be easily provided</w:t>
      </w:r>
      <w:proofErr w:type="gramEnd"/>
      <w:r w:rsidRPr="002D1B80">
        <w:t xml:space="preserve"> for vegetable crops and were useful for harmonizing DUS examination and producing variety descriptions.  The TWV recalled that guidance in document TGP/7 required example varieties for three or two states of expression, according to the scale of notes used.  </w:t>
      </w:r>
    </w:p>
    <w:p w:rsidR="00B92309" w:rsidRPr="002D1B80" w:rsidRDefault="00B92309" w:rsidP="00B92309"/>
    <w:p w:rsidR="00B92309" w:rsidRPr="0081562D" w:rsidRDefault="00B92309" w:rsidP="0081562D">
      <w:pPr>
        <w:pStyle w:val="Heading3"/>
      </w:pPr>
      <w:bookmarkStart w:id="10" w:name="_Toc79508488"/>
      <w:bookmarkStart w:id="11" w:name="_Toc95126310"/>
      <w:bookmarkStart w:id="12" w:name="_Toc103772289"/>
      <w:r w:rsidRPr="0081562D">
        <w:t>Indication of grouping characteristics in UPOV Test Guidelines (Table of characteristics and TQ 5)</w:t>
      </w:r>
      <w:bookmarkEnd w:id="10"/>
      <w:bookmarkEnd w:id="11"/>
      <w:bookmarkEnd w:id="12"/>
    </w:p>
    <w:p w:rsidR="00B92309" w:rsidRPr="002D1B80" w:rsidRDefault="00B92309" w:rsidP="00B92309"/>
    <w:p w:rsidR="00B92309" w:rsidRPr="002D1B80" w:rsidRDefault="00B92309" w:rsidP="00B92309">
      <w:r w:rsidRPr="002D1B80">
        <w:fldChar w:fldCharType="begin"/>
      </w:r>
      <w:r w:rsidRPr="002D1B80">
        <w:instrText xml:space="preserve"> AUTONUM  </w:instrText>
      </w:r>
      <w:r w:rsidRPr="002D1B80">
        <w:fldChar w:fldCharType="end"/>
      </w:r>
      <w:r w:rsidRPr="002D1B80">
        <w:tab/>
        <w:t>The TWV agreed to revise document TGP/7 “Development of Test Guidelines” to indicate characteristics in the table of characteristics and technical questionnaire used as grouping characteristics, as set out in document TWP/6/1, paragraph 22</w:t>
      </w:r>
      <w:r w:rsidR="00FE6F46">
        <w:t xml:space="preserve"> (see document TWV/56/22 “Report”, paragraph 10)</w:t>
      </w:r>
      <w:r w:rsidRPr="002D1B80">
        <w:t>.</w:t>
      </w:r>
    </w:p>
    <w:p w:rsidR="00B92309" w:rsidRPr="002D1B80" w:rsidRDefault="00B92309" w:rsidP="00B92309">
      <w:pPr>
        <w:pStyle w:val="Heading5"/>
      </w:pPr>
      <w:bookmarkStart w:id="13" w:name="_Toc95126311"/>
    </w:p>
    <w:p w:rsidR="00B92309" w:rsidRPr="002D1B80" w:rsidRDefault="00B92309" w:rsidP="0081562D">
      <w:pPr>
        <w:pStyle w:val="Heading3"/>
      </w:pPr>
      <w:bookmarkStart w:id="14" w:name="_Toc103772290"/>
      <w:r w:rsidRPr="002D1B80">
        <w:t>Converting standard wording in Test Guidelines into optional wording</w:t>
      </w:r>
      <w:bookmarkEnd w:id="13"/>
      <w:bookmarkEnd w:id="14"/>
      <w:r w:rsidRPr="002D1B80">
        <w:t xml:space="preserve"> </w:t>
      </w:r>
    </w:p>
    <w:p w:rsidR="00B92309" w:rsidRPr="002D1B80" w:rsidRDefault="00B92309" w:rsidP="00B92309"/>
    <w:p w:rsidR="00B92309" w:rsidRPr="002D1B80" w:rsidRDefault="00B92309" w:rsidP="00B92309">
      <w:r w:rsidRPr="002D1B80">
        <w:fldChar w:fldCharType="begin"/>
      </w:r>
      <w:r w:rsidRPr="002D1B80">
        <w:instrText xml:space="preserve"> AUTONUM  </w:instrText>
      </w:r>
      <w:r w:rsidRPr="002D1B80">
        <w:fldChar w:fldCharType="end"/>
      </w:r>
      <w:r w:rsidRPr="002D1B80">
        <w:tab/>
        <w:t>The TWV agreed to amend document TGP/7 “Development of Test Guidelines” to convert the standard wording in the Test Guidelines template, paragraph 4.2.2, into additional standard wording (optional), as set out in document TWP/6/1, paragraph 25</w:t>
      </w:r>
      <w:r w:rsidR="00FE6F46">
        <w:t xml:space="preserve"> (see document TWV/56/22 “Report”, paragraph 11)</w:t>
      </w:r>
      <w:r w:rsidRPr="002D1B80">
        <w:t>.</w:t>
      </w:r>
    </w:p>
    <w:p w:rsidR="00DF5922" w:rsidRPr="002D1B80" w:rsidRDefault="00DF5922" w:rsidP="00B92309"/>
    <w:p w:rsidR="00B92309" w:rsidRPr="00B92309" w:rsidRDefault="00B92309" w:rsidP="00922A2F">
      <w:pPr>
        <w:pStyle w:val="Heading2"/>
      </w:pPr>
      <w:bookmarkStart w:id="15" w:name="_Toc103772291"/>
      <w:r w:rsidRPr="00B92309">
        <w:t>Document TGP/8 ‘</w:t>
      </w:r>
      <w:r w:rsidRPr="00B92309">
        <w:rPr>
          <w:shd w:val="clear" w:color="auto" w:fill="FFFFFF"/>
        </w:rPr>
        <w:t>Trial Design and Techniques Used in the Examination of Distinctness, Uniformity and Stability’</w:t>
      </w:r>
      <w:bookmarkEnd w:id="15"/>
    </w:p>
    <w:p w:rsidR="00B92309" w:rsidRPr="002D1B80" w:rsidRDefault="00B92309" w:rsidP="00B92309"/>
    <w:p w:rsidR="00B92309" w:rsidRPr="002D1B80" w:rsidRDefault="00B92309" w:rsidP="0081562D">
      <w:pPr>
        <w:pStyle w:val="Heading3"/>
      </w:pPr>
      <w:bookmarkStart w:id="16" w:name="_Toc103772292"/>
      <w:r w:rsidRPr="002D1B80">
        <w:t>The Combined Over Years Uniformity Criterion (COYU)</w:t>
      </w:r>
      <w:bookmarkEnd w:id="16"/>
    </w:p>
    <w:p w:rsidR="00B92309" w:rsidRPr="002D1B80" w:rsidRDefault="00B92309" w:rsidP="00B92309"/>
    <w:p w:rsidR="00B92309" w:rsidRPr="002D1B80" w:rsidRDefault="00B92309" w:rsidP="00B92309">
      <w:pPr>
        <w:rPr>
          <w:rFonts w:cs="Arial"/>
        </w:rPr>
      </w:pPr>
      <w:r w:rsidRPr="002D1B80">
        <w:fldChar w:fldCharType="begin"/>
      </w:r>
      <w:r w:rsidRPr="002D1B80">
        <w:instrText xml:space="preserve"> AUTONUM  </w:instrText>
      </w:r>
      <w:r w:rsidRPr="002D1B80">
        <w:fldChar w:fldCharType="end"/>
      </w:r>
      <w:r w:rsidRPr="002D1B80">
        <w:tab/>
      </w:r>
      <w:r w:rsidRPr="002D1B80">
        <w:rPr>
          <w:rFonts w:cs="Arial"/>
        </w:rPr>
        <w:t>The TWV considered document TWP/6/11</w:t>
      </w:r>
      <w:r w:rsidR="00FE6F46">
        <w:rPr>
          <w:rFonts w:cs="Arial"/>
        </w:rPr>
        <w:t xml:space="preserve"> </w:t>
      </w:r>
      <w:r w:rsidR="00FE6F46">
        <w:t>(see document TWV/56/22 “Report”, paragraphs 12 to 15)</w:t>
      </w:r>
      <w:r w:rsidRPr="002D1B80">
        <w:rPr>
          <w:rFonts w:cs="Arial"/>
        </w:rPr>
        <w:t>.</w:t>
      </w:r>
    </w:p>
    <w:p w:rsidR="00B92309" w:rsidRPr="002D1B80" w:rsidRDefault="00B92309" w:rsidP="00B92309">
      <w:pPr>
        <w:rPr>
          <w:rFonts w:cs="Arial"/>
        </w:rPr>
      </w:pPr>
    </w:p>
    <w:p w:rsidR="00B92309" w:rsidRPr="002D1B80" w:rsidRDefault="00B92309" w:rsidP="00B92309">
      <w:pPr>
        <w:rPr>
          <w:rFonts w:cs="Arial"/>
        </w:rPr>
      </w:pPr>
      <w:r w:rsidRPr="002D1B80">
        <w:fldChar w:fldCharType="begin"/>
      </w:r>
      <w:r w:rsidRPr="002D1B80">
        <w:instrText xml:space="preserve"> AUTONUM  </w:instrText>
      </w:r>
      <w:r w:rsidRPr="002D1B80">
        <w:fldChar w:fldCharType="end"/>
      </w:r>
      <w:r w:rsidRPr="002D1B80">
        <w:tab/>
      </w:r>
      <w:r w:rsidRPr="002D1B80">
        <w:rPr>
          <w:rFonts w:cs="Arial"/>
        </w:rPr>
        <w:t xml:space="preserve">The TWV noted that software for COYU Splines would be under evaluation and planned to </w:t>
      </w:r>
      <w:proofErr w:type="gramStart"/>
      <w:r w:rsidRPr="002D1B80">
        <w:rPr>
          <w:rFonts w:cs="Arial"/>
        </w:rPr>
        <w:t>be implemented</w:t>
      </w:r>
      <w:proofErr w:type="gramEnd"/>
      <w:r w:rsidRPr="002D1B80">
        <w:rPr>
          <w:rFonts w:cs="Arial"/>
        </w:rPr>
        <w:t xml:space="preserve"> in the United Kingdom from 2022.</w:t>
      </w:r>
    </w:p>
    <w:p w:rsidR="00B92309" w:rsidRPr="002D1B80" w:rsidRDefault="00B92309" w:rsidP="00B92309">
      <w:pPr>
        <w:rPr>
          <w:rFonts w:cs="Arial"/>
        </w:rPr>
      </w:pPr>
    </w:p>
    <w:p w:rsidR="00B92309" w:rsidRPr="002D1B80" w:rsidRDefault="00B92309" w:rsidP="00B92309">
      <w:pPr>
        <w:rPr>
          <w:rFonts w:cs="Arial"/>
        </w:rPr>
      </w:pPr>
      <w:r w:rsidRPr="002D1B80">
        <w:fldChar w:fldCharType="begin"/>
      </w:r>
      <w:r w:rsidRPr="002D1B80">
        <w:instrText xml:space="preserve"> AUTONUM  </w:instrText>
      </w:r>
      <w:r w:rsidRPr="002D1B80">
        <w:fldChar w:fldCharType="end"/>
      </w:r>
      <w:r w:rsidRPr="002D1B80">
        <w:tab/>
      </w:r>
      <w:r w:rsidRPr="002D1B80">
        <w:rPr>
          <w:rFonts w:cs="Arial"/>
        </w:rPr>
        <w:t xml:space="preserve">The TWV noted that evaluation versions of software for COYU Splines </w:t>
      </w:r>
      <w:proofErr w:type="gramStart"/>
      <w:r w:rsidRPr="002D1B80">
        <w:rPr>
          <w:rFonts w:cs="Arial"/>
        </w:rPr>
        <w:t>had been made</w:t>
      </w:r>
      <w:proofErr w:type="gramEnd"/>
      <w:r w:rsidRPr="002D1B80">
        <w:rPr>
          <w:rFonts w:cs="Arial"/>
        </w:rPr>
        <w:t xml:space="preserve"> available in August 2021.  The TWV noted the invitation for members of the Union to participate in the test campaign of the COYU Splines software and report outcomes to the expert from the United Kingdom.</w:t>
      </w:r>
    </w:p>
    <w:p w:rsidR="00B92309" w:rsidRPr="002D1B80" w:rsidRDefault="00B92309" w:rsidP="00B92309">
      <w:pPr>
        <w:rPr>
          <w:rFonts w:cs="Arial"/>
        </w:rPr>
      </w:pPr>
    </w:p>
    <w:p w:rsidR="00B92309" w:rsidRPr="002D1B80" w:rsidRDefault="00B92309" w:rsidP="00B92309">
      <w:pPr>
        <w:rPr>
          <w:rFonts w:cs="Arial"/>
        </w:rPr>
      </w:pPr>
      <w:r w:rsidRPr="002D1B80">
        <w:fldChar w:fldCharType="begin"/>
      </w:r>
      <w:r w:rsidRPr="002D1B80">
        <w:instrText xml:space="preserve"> AUTONUM  </w:instrText>
      </w:r>
      <w:r w:rsidRPr="002D1B80">
        <w:fldChar w:fldCharType="end"/>
      </w:r>
      <w:r w:rsidRPr="002D1B80">
        <w:tab/>
      </w:r>
      <w:r w:rsidRPr="002D1B80">
        <w:rPr>
          <w:rFonts w:cs="Arial"/>
        </w:rPr>
        <w:t>The TWV noted the request for the TWM to prepare a report of the results of the test campaign of the software for COYU Splines for consideration by the TC, at its fifty-eight session, in conjunction with the revision of document TGP/8.</w:t>
      </w:r>
    </w:p>
    <w:p w:rsidR="00B92309" w:rsidRDefault="00B92309" w:rsidP="00B92309"/>
    <w:p w:rsidR="00B92309" w:rsidRPr="00B92309" w:rsidRDefault="00B92309" w:rsidP="00922A2F">
      <w:pPr>
        <w:pStyle w:val="Heading2"/>
        <w:keepNext/>
      </w:pPr>
      <w:bookmarkStart w:id="17" w:name="_Toc95126312"/>
      <w:bookmarkStart w:id="18" w:name="_Toc103772293"/>
      <w:r w:rsidRPr="00B92309">
        <w:t>Document TGP/12 ‘Guidance on certain physiological characteristics’</w:t>
      </w:r>
      <w:bookmarkEnd w:id="17"/>
      <w:bookmarkEnd w:id="18"/>
    </w:p>
    <w:p w:rsidR="00B92309" w:rsidRPr="002D1B80" w:rsidRDefault="00B92309" w:rsidP="00922A2F">
      <w:pPr>
        <w:keepNext/>
      </w:pPr>
    </w:p>
    <w:p w:rsidR="00B92309" w:rsidRPr="002D1B80" w:rsidRDefault="00B92309" w:rsidP="0081562D">
      <w:pPr>
        <w:pStyle w:val="Heading3"/>
      </w:pPr>
      <w:bookmarkStart w:id="19" w:name="_Toc95126313"/>
      <w:bookmarkStart w:id="20" w:name="_Toc103772294"/>
      <w:r w:rsidRPr="002D1B80">
        <w:t>Word “highly” in only one state of expression</w:t>
      </w:r>
      <w:bookmarkEnd w:id="19"/>
      <w:bookmarkEnd w:id="20"/>
    </w:p>
    <w:p w:rsidR="00B92309" w:rsidRPr="002D1B80" w:rsidRDefault="00B92309" w:rsidP="00922A2F">
      <w:pPr>
        <w:keepNext/>
      </w:pPr>
    </w:p>
    <w:p w:rsidR="00B92309" w:rsidRPr="00153BC6" w:rsidRDefault="00B92309" w:rsidP="00B92309">
      <w:r w:rsidRPr="002D1B80">
        <w:fldChar w:fldCharType="begin"/>
      </w:r>
      <w:r w:rsidRPr="002D1B80">
        <w:instrText xml:space="preserve"> AUTONUM  </w:instrText>
      </w:r>
      <w:r w:rsidRPr="002D1B80">
        <w:fldChar w:fldCharType="end"/>
      </w:r>
      <w:r w:rsidRPr="002D1B80">
        <w:tab/>
        <w:t xml:space="preserve">The TWV considered whether to revise the states of expression in the example characteristic in </w:t>
      </w:r>
      <w:r w:rsidRPr="00153BC6">
        <w:t>document TGP/12/2, Section 2.3.2, to address the use of the word “highly” in only one state of expression</w:t>
      </w:r>
      <w:r w:rsidR="00FE6F46">
        <w:t xml:space="preserve"> (see document TWV/56/22 “Report”, paragraphs 16 to 20)</w:t>
      </w:r>
      <w:r w:rsidRPr="00153BC6">
        <w:t>.</w:t>
      </w:r>
    </w:p>
    <w:p w:rsidR="00B92309" w:rsidRPr="00153BC6" w:rsidRDefault="00B92309" w:rsidP="00B92309"/>
    <w:p w:rsidR="00B92309" w:rsidRPr="00153BC6" w:rsidRDefault="00B92309" w:rsidP="00B92309">
      <w:r w:rsidRPr="00153BC6">
        <w:fldChar w:fldCharType="begin"/>
      </w:r>
      <w:r w:rsidRPr="00153BC6">
        <w:instrText xml:space="preserve"> AUTONUM  </w:instrText>
      </w:r>
      <w:r w:rsidRPr="00153BC6">
        <w:fldChar w:fldCharType="end"/>
      </w:r>
      <w:r w:rsidRPr="00153BC6">
        <w:tab/>
        <w:t xml:space="preserve">The TWV noted that the scale “susceptible; intermediately resistant; and highly resistant” </w:t>
      </w:r>
      <w:proofErr w:type="gramStart"/>
      <w:r w:rsidRPr="00153BC6">
        <w:t>had been previously used</w:t>
      </w:r>
      <w:proofErr w:type="gramEnd"/>
      <w:r w:rsidRPr="00153BC6">
        <w:t xml:space="preserve"> in the Test Guidelines for Cucumber, Lettuce and Melon and was commonly used in the vegetable sector.  </w:t>
      </w:r>
    </w:p>
    <w:p w:rsidR="00B92309" w:rsidRPr="00153BC6" w:rsidRDefault="00B92309" w:rsidP="00B92309"/>
    <w:p w:rsidR="00B92309" w:rsidRPr="00153BC6" w:rsidRDefault="00B92309" w:rsidP="00B92309">
      <w:r w:rsidRPr="00153BC6">
        <w:fldChar w:fldCharType="begin"/>
      </w:r>
      <w:r w:rsidRPr="00153BC6">
        <w:instrText xml:space="preserve"> AUTONUM  </w:instrText>
      </w:r>
      <w:r w:rsidRPr="00153BC6">
        <w:fldChar w:fldCharType="end"/>
      </w:r>
      <w:r w:rsidRPr="00153BC6">
        <w:tab/>
        <w:t>The TWV noted the explanation from France that state of expression “susceptible” covered a range of expressions, including “highly susceptible”.  The TWV discussed how to apply general UPOV guidance for drafting disease resistance characteristics and agreed there was no consensus to amend guidance in document TGP/12 to delete the word “highly” from state of expression “highly resistant”.</w:t>
      </w:r>
    </w:p>
    <w:p w:rsidR="00B92309" w:rsidRPr="00153BC6" w:rsidRDefault="00B92309" w:rsidP="00B92309"/>
    <w:p w:rsidR="00B92309" w:rsidRPr="00153BC6" w:rsidRDefault="00B92309" w:rsidP="00B92309">
      <w:pPr>
        <w:keepLines/>
      </w:pPr>
      <w:r w:rsidRPr="00153BC6">
        <w:fldChar w:fldCharType="begin"/>
      </w:r>
      <w:r w:rsidRPr="00153BC6">
        <w:instrText xml:space="preserve"> AUTONUM  </w:instrText>
      </w:r>
      <w:r w:rsidRPr="00153BC6">
        <w:fldChar w:fldCharType="end"/>
      </w:r>
      <w:r w:rsidRPr="00153BC6">
        <w:tab/>
        <w:t>The TWV agreed to invite the experts from France and the Netherlands to propose draft guidance explaining the particular features of disease resistance characteristics that require special treatment in relation to general UPOV guidance</w:t>
      </w:r>
      <w:r w:rsidRPr="002D1B80">
        <w:t xml:space="preserve">, to </w:t>
      </w:r>
      <w:proofErr w:type="gramStart"/>
      <w:r w:rsidRPr="002D1B80">
        <w:t>be presented</w:t>
      </w:r>
      <w:proofErr w:type="gramEnd"/>
      <w:r w:rsidRPr="002D1B80">
        <w:t xml:space="preserve"> to the TWV, at its fifty</w:t>
      </w:r>
      <w:r w:rsidRPr="002D1B80">
        <w:noBreakHyphen/>
        <w:t xml:space="preserve">seventh session.  The draft guidance should address matters such as establishing clear distinctness for quantitative disease resistance characteristics on the basis of a difference of one note between varieties;  and explore possibilities for correlating </w:t>
      </w:r>
      <w:r>
        <w:t xml:space="preserve">the scales of </w:t>
      </w:r>
      <w:r w:rsidRPr="00153BC6">
        <w:t xml:space="preserve">UPOV characteristics with those used by </w:t>
      </w:r>
      <w:proofErr w:type="spellStart"/>
      <w:r w:rsidRPr="00153BC6">
        <w:t>phytopathologists</w:t>
      </w:r>
      <w:proofErr w:type="spellEnd"/>
      <w:r w:rsidRPr="00153BC6">
        <w:t xml:space="preserve"> for variety descriptions (e.g.: UPOV “Resistant” = phytopathology “Highly Resistant”).  </w:t>
      </w:r>
    </w:p>
    <w:p w:rsidR="00B92309" w:rsidRPr="00153BC6" w:rsidRDefault="00B92309" w:rsidP="00B92309"/>
    <w:p w:rsidR="00B92309" w:rsidRPr="002D1B80" w:rsidRDefault="00B92309" w:rsidP="00B92309">
      <w:r w:rsidRPr="00153BC6">
        <w:fldChar w:fldCharType="begin"/>
      </w:r>
      <w:r w:rsidRPr="00153BC6">
        <w:instrText xml:space="preserve"> AUTONUM  </w:instrText>
      </w:r>
      <w:r w:rsidRPr="00153BC6">
        <w:fldChar w:fldCharType="end"/>
      </w:r>
      <w:r w:rsidRPr="00153BC6">
        <w:tab/>
        <w:t xml:space="preserve">The TWV agreed that state “intermediate” in the example </w:t>
      </w:r>
      <w:proofErr w:type="gramStart"/>
      <w:r w:rsidRPr="00153BC6">
        <w:t>provided in document TWP/6/1, paragraph 28, should read</w:t>
      </w:r>
      <w:r w:rsidRPr="002D1B80">
        <w:t xml:space="preserve"> “intermediate resistan</w:t>
      </w:r>
      <w:r>
        <w:t>t</w:t>
      </w:r>
      <w:r w:rsidRPr="002D1B80">
        <w:t>”</w:t>
      </w:r>
      <w:proofErr w:type="gramEnd"/>
      <w:r w:rsidRPr="002D1B80">
        <w:t xml:space="preserve">. </w:t>
      </w:r>
    </w:p>
    <w:p w:rsidR="00B92309" w:rsidRPr="002D1B80" w:rsidRDefault="00B92309" w:rsidP="00B92309"/>
    <w:p w:rsidR="00B92309" w:rsidRDefault="00B92309" w:rsidP="00B92309"/>
    <w:p w:rsidR="00922A2F" w:rsidRDefault="00922A2F" w:rsidP="00922A2F">
      <w:pPr>
        <w:pStyle w:val="Heading1"/>
      </w:pPr>
      <w:bookmarkStart w:id="21" w:name="_Toc103772295"/>
      <w:r w:rsidRPr="002D1B80">
        <w:rPr>
          <w:snapToGrid w:val="0"/>
        </w:rPr>
        <w:t>Information and databases</w:t>
      </w:r>
      <w:bookmarkEnd w:id="21"/>
    </w:p>
    <w:p w:rsidR="00922A2F" w:rsidRDefault="00922A2F" w:rsidP="00B92309"/>
    <w:p w:rsidR="00922A2F" w:rsidRPr="002D1B80" w:rsidRDefault="00922A2F" w:rsidP="00922A2F">
      <w:pPr>
        <w:pStyle w:val="Heading2"/>
        <w:rPr>
          <w:snapToGrid w:val="0"/>
        </w:rPr>
      </w:pPr>
      <w:bookmarkStart w:id="22" w:name="_Toc103772296"/>
      <w:r w:rsidRPr="002D1B80">
        <w:rPr>
          <w:snapToGrid w:val="0"/>
        </w:rPr>
        <w:t>(c)</w:t>
      </w:r>
      <w:r w:rsidRPr="002D1B80">
        <w:rPr>
          <w:snapToGrid w:val="0"/>
        </w:rPr>
        <w:tab/>
        <w:t>Exchange and use of software and equipment</w:t>
      </w:r>
      <w:bookmarkEnd w:id="22"/>
    </w:p>
    <w:p w:rsidR="00922A2F" w:rsidRPr="002D1B80" w:rsidRDefault="00922A2F" w:rsidP="00922A2F">
      <w:pPr>
        <w:keepNext/>
        <w:rPr>
          <w:snapToGrid w:val="0"/>
        </w:rPr>
      </w:pPr>
    </w:p>
    <w:p w:rsidR="00922A2F" w:rsidRPr="002D1B80" w:rsidRDefault="00922A2F" w:rsidP="00922A2F">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 considered document TWP/6/5.</w:t>
      </w:r>
    </w:p>
    <w:p w:rsidR="00922A2F" w:rsidRPr="002D1B80" w:rsidRDefault="00922A2F" w:rsidP="00922A2F">
      <w:pPr>
        <w:rPr>
          <w:snapToGrid w:val="0"/>
        </w:rPr>
      </w:pPr>
    </w:p>
    <w:p w:rsidR="00922A2F" w:rsidRPr="00922A2F" w:rsidRDefault="00922A2F" w:rsidP="0081562D">
      <w:pPr>
        <w:pStyle w:val="Heading3"/>
      </w:pPr>
      <w:bookmarkStart w:id="23" w:name="_Toc99994211"/>
      <w:bookmarkStart w:id="24" w:name="_Toc103772297"/>
      <w:r w:rsidRPr="00922A2F">
        <w:t>Document UPOV/INF/16 “Exchangeable Software”</w:t>
      </w:r>
      <w:bookmarkEnd w:id="23"/>
      <w:bookmarkEnd w:id="24"/>
    </w:p>
    <w:p w:rsidR="00922A2F" w:rsidRPr="002D1B80" w:rsidRDefault="00922A2F" w:rsidP="00922A2F">
      <w:pPr>
        <w:keepNext/>
        <w:rPr>
          <w:snapToGrid w:val="0"/>
        </w:rPr>
      </w:pPr>
    </w:p>
    <w:p w:rsidR="00922A2F" w:rsidRPr="002D1B80" w:rsidRDefault="00922A2F" w:rsidP="00922A2F">
      <w:pPr>
        <w:keepNext/>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 noted that the Council had adopted by correspondence, on September 21, 2021, document UPOV/INF/16/10 “Exchangeable Software”</w:t>
      </w:r>
      <w:r>
        <w:rPr>
          <w:snapToGrid w:val="0"/>
        </w:rPr>
        <w:t xml:space="preserve"> </w:t>
      </w:r>
      <w:r w:rsidRPr="00153BC6">
        <w:t>expression</w:t>
      </w:r>
      <w:r>
        <w:t xml:space="preserve"> (see document TWV/56/22 “Report”, paragraphs 40 to 44)</w:t>
      </w:r>
      <w:r w:rsidRPr="002D1B80">
        <w:rPr>
          <w:snapToGrid w:val="0"/>
        </w:rPr>
        <w:t>.</w:t>
      </w:r>
    </w:p>
    <w:p w:rsidR="00922A2F" w:rsidRPr="002D1B80" w:rsidRDefault="00922A2F" w:rsidP="00922A2F">
      <w:pPr>
        <w:rPr>
          <w:snapToGrid w:val="0"/>
        </w:rPr>
      </w:pPr>
    </w:p>
    <w:p w:rsidR="00922A2F" w:rsidRPr="002D1B80" w:rsidRDefault="00922A2F" w:rsidP="00922A2F">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 noted that the Office of the Union had issued on January 18, 2022, Circular E-22/002 inviting the designated persons of the members of the Union in the TC to provide or update information regarding the use of the software included in document UPOV/INF/16.</w:t>
      </w:r>
    </w:p>
    <w:p w:rsidR="00922A2F" w:rsidRPr="002D1B80" w:rsidRDefault="00922A2F" w:rsidP="00922A2F">
      <w:pPr>
        <w:rPr>
          <w:snapToGrid w:val="0"/>
        </w:rPr>
      </w:pPr>
    </w:p>
    <w:p w:rsidR="00922A2F" w:rsidRPr="002D1B80" w:rsidRDefault="00922A2F" w:rsidP="00922A2F">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 xml:space="preserve">The TWV noted that information from China, Czech Republic, France, Poland and Uzbekistan </w:t>
      </w:r>
      <w:proofErr w:type="gramStart"/>
      <w:r w:rsidRPr="002D1B80">
        <w:rPr>
          <w:snapToGrid w:val="0"/>
        </w:rPr>
        <w:t>had been received</w:t>
      </w:r>
      <w:proofErr w:type="gramEnd"/>
      <w:r w:rsidRPr="002D1B80">
        <w:rPr>
          <w:snapToGrid w:val="0"/>
        </w:rPr>
        <w:t xml:space="preserve"> to update document UPOV/INF/16.</w:t>
      </w:r>
    </w:p>
    <w:p w:rsidR="00922A2F" w:rsidRPr="002D1B80" w:rsidRDefault="00922A2F" w:rsidP="00922A2F">
      <w:pPr>
        <w:rPr>
          <w:snapToGrid w:val="0"/>
        </w:rPr>
      </w:pPr>
    </w:p>
    <w:p w:rsidR="00922A2F" w:rsidRPr="002D1B80" w:rsidRDefault="00922A2F" w:rsidP="00922A2F">
      <w:pPr>
        <w:rPr>
          <w:snapToGrid w:val="0"/>
        </w:rPr>
      </w:pPr>
      <w:r w:rsidRPr="00153BC6">
        <w:rPr>
          <w:snapToGrid w:val="0"/>
        </w:rPr>
        <w:fldChar w:fldCharType="begin"/>
      </w:r>
      <w:r w:rsidRPr="00153BC6">
        <w:rPr>
          <w:snapToGrid w:val="0"/>
        </w:rPr>
        <w:instrText xml:space="preserve"> AUTONUM  </w:instrText>
      </w:r>
      <w:r w:rsidRPr="00153BC6">
        <w:rPr>
          <w:snapToGrid w:val="0"/>
        </w:rPr>
        <w:fldChar w:fldCharType="end"/>
      </w:r>
      <w:r w:rsidRPr="00153BC6">
        <w:rPr>
          <w:snapToGrid w:val="0"/>
        </w:rPr>
        <w:tab/>
        <w:t>The TWV receive</w:t>
      </w:r>
      <w:r w:rsidRPr="002D1B80">
        <w:rPr>
          <w:snapToGrid w:val="0"/>
        </w:rPr>
        <w:t xml:space="preserve">d a presentation on </w:t>
      </w:r>
      <w:r w:rsidRPr="002D1B80">
        <w:t>“A Statistical Analysis Software: DUSCEL</w:t>
      </w:r>
      <w:r>
        <w:t>3.5</w:t>
      </w:r>
      <w:r w:rsidRPr="002D1B80">
        <w:t>” from an expert from China</w:t>
      </w:r>
      <w:r w:rsidRPr="002D1B80">
        <w:rPr>
          <w:snapToGrid w:val="0"/>
        </w:rPr>
        <w:t xml:space="preserve">.  A copy of the presentation </w:t>
      </w:r>
      <w:proofErr w:type="gramStart"/>
      <w:r w:rsidRPr="002D1B80">
        <w:rPr>
          <w:snapToGrid w:val="0"/>
        </w:rPr>
        <w:t>is provided</w:t>
      </w:r>
      <w:proofErr w:type="gramEnd"/>
      <w:r w:rsidRPr="002D1B80">
        <w:rPr>
          <w:snapToGrid w:val="0"/>
        </w:rPr>
        <w:t xml:space="preserve"> in document TWV/56/12.</w:t>
      </w:r>
    </w:p>
    <w:p w:rsidR="00922A2F" w:rsidRPr="002D1B80" w:rsidRDefault="00922A2F" w:rsidP="00922A2F">
      <w:pPr>
        <w:rPr>
          <w:snapToGrid w:val="0"/>
        </w:rPr>
      </w:pPr>
    </w:p>
    <w:p w:rsidR="00922A2F" w:rsidRPr="002D1B80" w:rsidRDefault="00922A2F" w:rsidP="00922A2F">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 xml:space="preserve">The TWV noted that the TWM, at its first session, </w:t>
      </w:r>
      <w:proofErr w:type="gramStart"/>
      <w:r w:rsidRPr="002D1B80">
        <w:rPr>
          <w:snapToGrid w:val="0"/>
        </w:rPr>
        <w:t>would be invited</w:t>
      </w:r>
      <w:proofErr w:type="gramEnd"/>
      <w:r w:rsidRPr="002D1B80">
        <w:rPr>
          <w:snapToGrid w:val="0"/>
        </w:rPr>
        <w:t xml:space="preserve"> to review the software proposed by China, Czech Republic, France, Poland and Uzbekistan and make a recommendation to the TC, at its fifty</w:t>
      </w:r>
      <w:r w:rsidRPr="002D1B80">
        <w:rPr>
          <w:snapToGrid w:val="0"/>
        </w:rPr>
        <w:noBreakHyphen/>
        <w:t>eighth session, on whether to include the proposed software in document UPOV/INF/16.</w:t>
      </w:r>
    </w:p>
    <w:p w:rsidR="00922A2F" w:rsidRPr="002D1B80" w:rsidRDefault="00922A2F" w:rsidP="00922A2F">
      <w:pPr>
        <w:rPr>
          <w:snapToGrid w:val="0"/>
        </w:rPr>
      </w:pPr>
    </w:p>
    <w:p w:rsidR="00922A2F" w:rsidRPr="00922A2F" w:rsidRDefault="00922A2F" w:rsidP="0081562D">
      <w:pPr>
        <w:pStyle w:val="Heading3"/>
      </w:pPr>
      <w:bookmarkStart w:id="25" w:name="_Toc99994216"/>
      <w:bookmarkStart w:id="26" w:name="_Toc103772298"/>
      <w:r w:rsidRPr="00922A2F">
        <w:t>Document</w:t>
      </w:r>
      <w:r w:rsidRPr="00922A2F">
        <w:rPr>
          <w:lang w:eastAsia="ja-JP"/>
        </w:rPr>
        <w:t xml:space="preserve"> </w:t>
      </w:r>
      <w:r w:rsidRPr="00922A2F">
        <w:t>UPOV/INF/22 “Software and Equipment Used by Members of</w:t>
      </w:r>
      <w:r w:rsidRPr="00922A2F">
        <w:rPr>
          <w:lang w:eastAsia="ja-JP"/>
        </w:rPr>
        <w:t xml:space="preserve"> </w:t>
      </w:r>
      <w:r w:rsidRPr="00922A2F">
        <w:t>the Union”</w:t>
      </w:r>
      <w:bookmarkEnd w:id="25"/>
      <w:bookmarkEnd w:id="26"/>
    </w:p>
    <w:p w:rsidR="00922A2F" w:rsidRPr="002D1B80" w:rsidRDefault="00922A2F" w:rsidP="00922A2F">
      <w:pPr>
        <w:keepNext/>
        <w:rPr>
          <w:snapToGrid w:val="0"/>
        </w:rPr>
      </w:pPr>
    </w:p>
    <w:p w:rsidR="00922A2F" w:rsidRPr="002D1B80" w:rsidRDefault="00922A2F" w:rsidP="00922A2F">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 noted that the Council had adopted by correspondence, on September 21, 2021, document UPOV/INF/22/8 “Software and Equipment Used by Members of the Union”</w:t>
      </w:r>
      <w:r>
        <w:rPr>
          <w:snapToGrid w:val="0"/>
        </w:rPr>
        <w:t xml:space="preserve"> </w:t>
      </w:r>
      <w:r w:rsidRPr="00153BC6">
        <w:t>expression</w:t>
      </w:r>
      <w:r>
        <w:t xml:space="preserve"> (see document TWV/56/22 “Report”, paragraphs 45 to 48)</w:t>
      </w:r>
      <w:r w:rsidRPr="002D1B80">
        <w:rPr>
          <w:snapToGrid w:val="0"/>
        </w:rPr>
        <w:t>.</w:t>
      </w:r>
    </w:p>
    <w:p w:rsidR="00922A2F" w:rsidRPr="002D1B80" w:rsidRDefault="00922A2F" w:rsidP="00922A2F">
      <w:pPr>
        <w:rPr>
          <w:snapToGrid w:val="0"/>
        </w:rPr>
      </w:pPr>
    </w:p>
    <w:p w:rsidR="00922A2F" w:rsidRPr="002D1B80" w:rsidRDefault="00922A2F" w:rsidP="00922A2F">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The TWV noted that the Office of the Union had issued on January 18, 2022, Circular E-22/002 inviting the designated persons of the members of the Union in the TC to provide or update information regarding the use of the software included in document UPOV/INF/22.</w:t>
      </w:r>
    </w:p>
    <w:p w:rsidR="00922A2F" w:rsidRPr="002D1B80" w:rsidRDefault="00922A2F" w:rsidP="00922A2F">
      <w:pPr>
        <w:rPr>
          <w:snapToGrid w:val="0"/>
        </w:rPr>
      </w:pPr>
    </w:p>
    <w:p w:rsidR="00922A2F" w:rsidRPr="002D1B80" w:rsidRDefault="00922A2F" w:rsidP="00922A2F">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 xml:space="preserve">The TWV noted that information from the Czech Republic, Netherlands, Poland and Uzbekistan </w:t>
      </w:r>
      <w:proofErr w:type="gramStart"/>
      <w:r w:rsidRPr="002D1B80">
        <w:rPr>
          <w:snapToGrid w:val="0"/>
        </w:rPr>
        <w:t>had been received</w:t>
      </w:r>
      <w:proofErr w:type="gramEnd"/>
      <w:r w:rsidRPr="002D1B80">
        <w:rPr>
          <w:snapToGrid w:val="0"/>
        </w:rPr>
        <w:t xml:space="preserve"> to update document UPOV/INF/22.</w:t>
      </w:r>
    </w:p>
    <w:p w:rsidR="00922A2F" w:rsidRPr="002D1B80" w:rsidRDefault="00922A2F" w:rsidP="00922A2F">
      <w:pPr>
        <w:rPr>
          <w:snapToGrid w:val="0"/>
        </w:rPr>
      </w:pPr>
    </w:p>
    <w:p w:rsidR="00922A2F" w:rsidRPr="002D1B80" w:rsidRDefault="00922A2F" w:rsidP="00922A2F">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 xml:space="preserve">The TWV noted that the TC, at its fifty-eighth session, </w:t>
      </w:r>
      <w:proofErr w:type="gramStart"/>
      <w:r w:rsidRPr="002D1B80">
        <w:rPr>
          <w:snapToGrid w:val="0"/>
        </w:rPr>
        <w:t>would be invited</w:t>
      </w:r>
      <w:proofErr w:type="gramEnd"/>
      <w:r w:rsidRPr="002D1B80">
        <w:rPr>
          <w:snapToGrid w:val="0"/>
        </w:rPr>
        <w:t xml:space="preserve"> to consider whether to include the proposed software or equipment in document UPOV/INF/22, or whether to request further guidance from other relevant bodies.</w:t>
      </w:r>
    </w:p>
    <w:p w:rsidR="00922A2F" w:rsidRDefault="00922A2F" w:rsidP="00B92309"/>
    <w:p w:rsidR="00922A2F" w:rsidRPr="002D1B80" w:rsidRDefault="00922A2F" w:rsidP="00922A2F">
      <w:pPr>
        <w:pStyle w:val="Heading1"/>
        <w:rPr>
          <w:snapToGrid w:val="0"/>
        </w:rPr>
      </w:pPr>
      <w:bookmarkStart w:id="27" w:name="_Toc103772299"/>
      <w:r w:rsidRPr="002D1B80">
        <w:rPr>
          <w:snapToGrid w:val="0"/>
        </w:rPr>
        <w:t>Variety denominations</w:t>
      </w:r>
      <w:bookmarkEnd w:id="27"/>
    </w:p>
    <w:p w:rsidR="00922A2F" w:rsidRPr="002D1B80" w:rsidRDefault="00922A2F" w:rsidP="00922A2F">
      <w:pPr>
        <w:ind w:left="567" w:hanging="567"/>
        <w:rPr>
          <w:snapToGrid w:val="0"/>
        </w:rPr>
      </w:pPr>
    </w:p>
    <w:p w:rsidR="00922A2F" w:rsidRPr="002D1B80" w:rsidRDefault="00922A2F" w:rsidP="00922A2F">
      <w:r w:rsidRPr="002D1B80">
        <w:rPr>
          <w:rFonts w:cs="Arial"/>
        </w:rPr>
        <w:fldChar w:fldCharType="begin"/>
      </w:r>
      <w:r w:rsidRPr="002D1B80">
        <w:rPr>
          <w:rFonts w:cs="Arial"/>
        </w:rPr>
        <w:instrText xml:space="preserve"> AUTONUM  </w:instrText>
      </w:r>
      <w:r w:rsidRPr="002D1B80">
        <w:rPr>
          <w:rFonts w:cs="Arial"/>
        </w:rPr>
        <w:fldChar w:fldCharType="end"/>
      </w:r>
      <w:r w:rsidRPr="002D1B80">
        <w:rPr>
          <w:rFonts w:cs="Arial"/>
        </w:rPr>
        <w:tab/>
        <w:t xml:space="preserve">The TWV considered document TWP/6/6 and </w:t>
      </w:r>
      <w:r w:rsidRPr="002D1B80">
        <w:rPr>
          <w:snapToGrid w:val="0"/>
        </w:rPr>
        <w:t>noted developments concerning the “Explanatory Notes on Variety Denominations under the UPOV Convention” (document UPOV/EXN/DEN/1), the possible development of a UPOV similarity search tool for variety denomination and the expansion of the content of the PLUTO database</w:t>
      </w:r>
      <w:r>
        <w:rPr>
          <w:snapToGrid w:val="0"/>
        </w:rPr>
        <w:t xml:space="preserve"> </w:t>
      </w:r>
      <w:r>
        <w:t>(see document TWV/56/22 “Report”, paragraphs 51 to 54)</w:t>
      </w:r>
      <w:r w:rsidRPr="002D1B80">
        <w:rPr>
          <w:snapToGrid w:val="0"/>
        </w:rPr>
        <w:t>.</w:t>
      </w:r>
    </w:p>
    <w:p w:rsidR="00922A2F" w:rsidRPr="002D1B80" w:rsidRDefault="00922A2F" w:rsidP="00922A2F">
      <w:pPr>
        <w:ind w:left="567" w:hanging="567"/>
        <w:rPr>
          <w:snapToGrid w:val="0"/>
        </w:rPr>
      </w:pPr>
    </w:p>
    <w:p w:rsidR="00922A2F" w:rsidRPr="00153BC6" w:rsidRDefault="00922A2F" w:rsidP="00922A2F">
      <w:pPr>
        <w:rPr>
          <w:snapToGrid w:val="0"/>
        </w:rPr>
      </w:pPr>
      <w:r w:rsidRPr="002D1B80">
        <w:rPr>
          <w:snapToGrid w:val="0"/>
        </w:rPr>
        <w:fldChar w:fldCharType="begin"/>
      </w:r>
      <w:r w:rsidRPr="002D1B80">
        <w:rPr>
          <w:snapToGrid w:val="0"/>
        </w:rPr>
        <w:instrText xml:space="preserve"> AUTONUM  </w:instrText>
      </w:r>
      <w:r w:rsidRPr="002D1B80">
        <w:rPr>
          <w:snapToGrid w:val="0"/>
        </w:rPr>
        <w:fldChar w:fldCharType="end"/>
      </w:r>
      <w:r w:rsidRPr="002D1B80">
        <w:rPr>
          <w:snapToGrid w:val="0"/>
        </w:rPr>
        <w:tab/>
        <w:t xml:space="preserve">The TWV considered document TWV/56/4 and the </w:t>
      </w:r>
      <w:r w:rsidRPr="002D1B80">
        <w:t xml:space="preserve">changes proposed to variety denomination classes for </w:t>
      </w:r>
      <w:r w:rsidRPr="002D1B80">
        <w:rPr>
          <w:i/>
        </w:rPr>
        <w:t>Brassica</w:t>
      </w:r>
      <w:r w:rsidRPr="002D1B80">
        <w:t xml:space="preserve"> and creation of new classes within </w:t>
      </w:r>
      <w:r w:rsidRPr="002D1B80">
        <w:rPr>
          <w:i/>
        </w:rPr>
        <w:t>Allium</w:t>
      </w:r>
      <w:r w:rsidRPr="002D1B80">
        <w:t xml:space="preserve"> and </w:t>
      </w:r>
      <w:proofErr w:type="spellStart"/>
      <w:r w:rsidRPr="002D1B80">
        <w:rPr>
          <w:i/>
        </w:rPr>
        <w:t>Prunus</w:t>
      </w:r>
      <w:proofErr w:type="spellEnd"/>
      <w:r w:rsidRPr="002D1B80">
        <w:t xml:space="preserve">, as presented by an expert from the </w:t>
      </w:r>
      <w:r w:rsidRPr="00153BC6">
        <w:t>Czech Republic.</w:t>
      </w:r>
      <w:r w:rsidRPr="00153BC6">
        <w:rPr>
          <w:snapToGrid w:val="0"/>
        </w:rPr>
        <w:t xml:space="preserve"> </w:t>
      </w:r>
    </w:p>
    <w:p w:rsidR="00922A2F" w:rsidRPr="00153BC6" w:rsidRDefault="00922A2F" w:rsidP="00922A2F">
      <w:pPr>
        <w:ind w:left="567" w:hanging="567"/>
        <w:rPr>
          <w:snapToGrid w:val="0"/>
        </w:rPr>
      </w:pPr>
    </w:p>
    <w:p w:rsidR="00922A2F" w:rsidRPr="00153BC6" w:rsidRDefault="00922A2F" w:rsidP="00922A2F">
      <w:r w:rsidRPr="00153BC6">
        <w:fldChar w:fldCharType="begin"/>
      </w:r>
      <w:r w:rsidRPr="00153BC6">
        <w:instrText xml:space="preserve"> AUTONUM  </w:instrText>
      </w:r>
      <w:r w:rsidRPr="00153BC6">
        <w:fldChar w:fldCharType="end"/>
      </w:r>
      <w:r w:rsidRPr="00153BC6">
        <w:tab/>
        <w:t xml:space="preserve">The TWV considered the different species within the proposed classes for </w:t>
      </w:r>
      <w:r w:rsidRPr="00153BC6">
        <w:rPr>
          <w:i/>
        </w:rPr>
        <w:t>Allium</w:t>
      </w:r>
      <w:r w:rsidRPr="00153BC6">
        <w:t xml:space="preserve"> and </w:t>
      </w:r>
      <w:r w:rsidRPr="00153BC6">
        <w:rPr>
          <w:i/>
        </w:rPr>
        <w:t>Brassica</w:t>
      </w:r>
      <w:r w:rsidRPr="00153BC6">
        <w:t xml:space="preserve"> and agreed that further discussion was required.  The TWV agreed that </w:t>
      </w:r>
      <w:r w:rsidRPr="00153BC6">
        <w:rPr>
          <w:i/>
        </w:rPr>
        <w:t>Allium</w:t>
      </w:r>
      <w:r w:rsidRPr="00153BC6">
        <w:t xml:space="preserve"> species used as vegetable crops </w:t>
      </w:r>
      <w:proofErr w:type="gramStart"/>
      <w:r w:rsidRPr="00153BC6">
        <w:t>should be individually listed</w:t>
      </w:r>
      <w:proofErr w:type="gramEnd"/>
      <w:r w:rsidRPr="00153BC6">
        <w:t xml:space="preserve"> to create a separate denomination class from other species used as ornamental plants.  </w:t>
      </w:r>
    </w:p>
    <w:p w:rsidR="00922A2F" w:rsidRPr="00153BC6" w:rsidRDefault="00922A2F" w:rsidP="00922A2F"/>
    <w:p w:rsidR="00922A2F" w:rsidRDefault="00922A2F" w:rsidP="00922A2F">
      <w:r w:rsidRPr="00153BC6">
        <w:fldChar w:fldCharType="begin"/>
      </w:r>
      <w:r w:rsidRPr="00153BC6">
        <w:instrText xml:space="preserve"> AUTONUM  </w:instrText>
      </w:r>
      <w:r w:rsidRPr="00153BC6">
        <w:fldChar w:fldCharType="end"/>
      </w:r>
      <w:r w:rsidRPr="00153BC6">
        <w:tab/>
        <w:t>The TWV agreed to invite the experts from the Czech Republic and the Netherlands to develop a new proposal to amend</w:t>
      </w:r>
      <w:r w:rsidRPr="002D1B80">
        <w:t xml:space="preserve"> the denomination classes for </w:t>
      </w:r>
      <w:r w:rsidRPr="002D1B80">
        <w:rPr>
          <w:i/>
        </w:rPr>
        <w:t>Allium</w:t>
      </w:r>
      <w:r w:rsidRPr="002D1B80">
        <w:t xml:space="preserve"> and </w:t>
      </w:r>
      <w:r w:rsidRPr="002D1B80">
        <w:rPr>
          <w:i/>
        </w:rPr>
        <w:t>Brassica</w:t>
      </w:r>
      <w:r w:rsidRPr="002D1B80">
        <w:t xml:space="preserve">, </w:t>
      </w:r>
      <w:r w:rsidRPr="002D1B80">
        <w:rPr>
          <w:snapToGrid w:val="0"/>
        </w:rPr>
        <w:t xml:space="preserve">to </w:t>
      </w:r>
      <w:proofErr w:type="gramStart"/>
      <w:r w:rsidRPr="002D1B80">
        <w:rPr>
          <w:snapToGrid w:val="0"/>
        </w:rPr>
        <w:t xml:space="preserve">be </w:t>
      </w:r>
      <w:r w:rsidRPr="002D1B80">
        <w:t>presented</w:t>
      </w:r>
      <w:proofErr w:type="gramEnd"/>
      <w:r w:rsidRPr="002D1B80">
        <w:t xml:space="preserve"> to the TWV at its fifty</w:t>
      </w:r>
      <w:r w:rsidRPr="002D1B80">
        <w:noBreakHyphen/>
        <w:t xml:space="preserve">seventh session.  </w:t>
      </w:r>
    </w:p>
    <w:p w:rsidR="00922A2F" w:rsidRDefault="00922A2F" w:rsidP="00922A2F"/>
    <w:p w:rsidR="00922A2F" w:rsidRPr="002D1B80" w:rsidRDefault="00922A2F" w:rsidP="00922A2F">
      <w:pPr>
        <w:rPr>
          <w:rFonts w:eastAsiaTheme="minorEastAsia"/>
          <w:lang w:eastAsia="ja-JP"/>
        </w:rPr>
      </w:pPr>
    </w:p>
    <w:p w:rsidR="00922A2F" w:rsidRPr="004D74AF" w:rsidRDefault="00922A2F" w:rsidP="00B92309"/>
    <w:p w:rsidR="00B92309" w:rsidRPr="004D74AF" w:rsidRDefault="00B92309" w:rsidP="00B92309">
      <w:pPr>
        <w:jc w:val="right"/>
      </w:pPr>
      <w:r w:rsidRPr="004D74AF">
        <w:t>[End of document]</w:t>
      </w:r>
    </w:p>
    <w:p w:rsidR="00B92309" w:rsidRPr="004D74AF" w:rsidRDefault="00B92309" w:rsidP="00B92309">
      <w:pPr>
        <w:jc w:val="left"/>
      </w:pPr>
    </w:p>
    <w:p w:rsidR="00050E16" w:rsidRPr="00C5280D" w:rsidRDefault="00050E16" w:rsidP="009B440E">
      <w:pPr>
        <w:jc w:val="left"/>
      </w:pPr>
    </w:p>
    <w:sectPr w:rsidR="00050E16" w:rsidRPr="00C5280D"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83D" w:rsidRDefault="00D3083D" w:rsidP="006655D3">
      <w:r>
        <w:separator/>
      </w:r>
    </w:p>
    <w:p w:rsidR="00D3083D" w:rsidRDefault="00D3083D" w:rsidP="006655D3"/>
    <w:p w:rsidR="00D3083D" w:rsidRDefault="00D3083D" w:rsidP="006655D3"/>
  </w:endnote>
  <w:endnote w:type="continuationSeparator" w:id="0">
    <w:p w:rsidR="00D3083D" w:rsidRDefault="00D3083D" w:rsidP="006655D3">
      <w:r>
        <w:separator/>
      </w:r>
    </w:p>
    <w:p w:rsidR="00D3083D" w:rsidRPr="00294751" w:rsidRDefault="00D3083D">
      <w:pPr>
        <w:pStyle w:val="Footer"/>
        <w:spacing w:after="60"/>
        <w:rPr>
          <w:sz w:val="18"/>
          <w:lang w:val="fr-FR"/>
        </w:rPr>
      </w:pPr>
      <w:r w:rsidRPr="00294751">
        <w:rPr>
          <w:sz w:val="18"/>
          <w:lang w:val="fr-FR"/>
        </w:rPr>
        <w:t>[Suite de la note de la page précédente]</w:t>
      </w:r>
    </w:p>
    <w:p w:rsidR="00D3083D" w:rsidRPr="00294751" w:rsidRDefault="00D3083D" w:rsidP="006655D3">
      <w:pPr>
        <w:rPr>
          <w:lang w:val="fr-FR"/>
        </w:rPr>
      </w:pPr>
    </w:p>
    <w:p w:rsidR="00D3083D" w:rsidRPr="00294751" w:rsidRDefault="00D3083D" w:rsidP="006655D3">
      <w:pPr>
        <w:rPr>
          <w:lang w:val="fr-FR"/>
        </w:rPr>
      </w:pPr>
    </w:p>
  </w:endnote>
  <w:endnote w:type="continuationNotice" w:id="1">
    <w:p w:rsidR="00D3083D" w:rsidRPr="00294751" w:rsidRDefault="00D3083D" w:rsidP="006655D3">
      <w:pPr>
        <w:rPr>
          <w:lang w:val="fr-FR"/>
        </w:rPr>
      </w:pPr>
      <w:r w:rsidRPr="00294751">
        <w:rPr>
          <w:lang w:val="fr-FR"/>
        </w:rPr>
        <w:t>[Suite de la note page suivante]</w:t>
      </w:r>
    </w:p>
    <w:p w:rsidR="00D3083D" w:rsidRPr="00294751" w:rsidRDefault="00D3083D" w:rsidP="006655D3">
      <w:pPr>
        <w:rPr>
          <w:lang w:val="fr-FR"/>
        </w:rPr>
      </w:pPr>
    </w:p>
    <w:p w:rsidR="00D3083D" w:rsidRPr="00294751" w:rsidRDefault="00D3083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83D" w:rsidRDefault="00D3083D" w:rsidP="006655D3">
      <w:r>
        <w:separator/>
      </w:r>
    </w:p>
  </w:footnote>
  <w:footnote w:type="continuationSeparator" w:id="0">
    <w:p w:rsidR="00D3083D" w:rsidRDefault="00D3083D" w:rsidP="006655D3">
      <w:r>
        <w:separator/>
      </w:r>
    </w:p>
  </w:footnote>
  <w:footnote w:type="continuationNotice" w:id="1">
    <w:p w:rsidR="00D3083D" w:rsidRPr="00AB530F" w:rsidRDefault="00D3083D" w:rsidP="00AB530F">
      <w:pPr>
        <w:pStyle w:val="Footer"/>
      </w:pPr>
    </w:p>
  </w:footnote>
  <w:footnote w:id="2">
    <w:p w:rsidR="00B92309" w:rsidRDefault="00B92309" w:rsidP="00B92309">
      <w:pPr>
        <w:pStyle w:val="FootnoteText"/>
      </w:pPr>
      <w:r>
        <w:rPr>
          <w:rStyle w:val="FootnoteReference"/>
        </w:rPr>
        <w:footnoteRef/>
      </w:r>
      <w:r>
        <w:t xml:space="preserve"> At its </w:t>
      </w:r>
      <w:r w:rsidRPr="002D1B80">
        <w:t>fifty-sixth session, organized by electronic means, from April 18 to 22,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585A6C" w:rsidP="00EB048E">
    <w:pPr>
      <w:pStyle w:val="Header"/>
      <w:rPr>
        <w:rStyle w:val="PageNumber"/>
        <w:lang w:val="en-US"/>
      </w:rPr>
    </w:pPr>
    <w:r>
      <w:rPr>
        <w:rStyle w:val="PageNumber"/>
        <w:lang w:val="en-US"/>
      </w:rPr>
      <w:t>TWA/5</w:t>
    </w:r>
    <w:r w:rsidR="008472FE">
      <w:rPr>
        <w:rStyle w:val="PageNumber"/>
        <w:lang w:val="en-US"/>
      </w:rPr>
      <w:t>1</w:t>
    </w:r>
    <w:r w:rsidR="0004198B">
      <w:rPr>
        <w:rStyle w:val="PageNumber"/>
        <w:lang w:val="en-US"/>
      </w:rPr>
      <w:t>/</w:t>
    </w:r>
    <w:r w:rsidR="00FE6F46">
      <w:rPr>
        <w:rStyle w:val="PageNumber"/>
        <w:lang w:val="en-US"/>
      </w:rPr>
      <w:t>9</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67FF3">
      <w:rPr>
        <w:rStyle w:val="PageNumber"/>
        <w:noProof/>
        <w:lang w:val="en-US"/>
      </w:rPr>
      <w:t>4</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8100B"/>
    <w:multiLevelType w:val="hybridMultilevel"/>
    <w:tmpl w:val="2C3072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3D"/>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229C5"/>
    <w:rsid w:val="0024416D"/>
    <w:rsid w:val="00271911"/>
    <w:rsid w:val="00273187"/>
    <w:rsid w:val="002800A0"/>
    <w:rsid w:val="002801B3"/>
    <w:rsid w:val="00281060"/>
    <w:rsid w:val="00284050"/>
    <w:rsid w:val="00285BD0"/>
    <w:rsid w:val="002940E8"/>
    <w:rsid w:val="00294751"/>
    <w:rsid w:val="002A6E50"/>
    <w:rsid w:val="002B2655"/>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90500"/>
    <w:rsid w:val="004935D2"/>
    <w:rsid w:val="004B1215"/>
    <w:rsid w:val="004D047D"/>
    <w:rsid w:val="004D452D"/>
    <w:rsid w:val="004F1E9E"/>
    <w:rsid w:val="004F305A"/>
    <w:rsid w:val="00512164"/>
    <w:rsid w:val="00520297"/>
    <w:rsid w:val="005338F9"/>
    <w:rsid w:val="00536F98"/>
    <w:rsid w:val="0054281C"/>
    <w:rsid w:val="00544581"/>
    <w:rsid w:val="0055268D"/>
    <w:rsid w:val="00575DE2"/>
    <w:rsid w:val="00576BE4"/>
    <w:rsid w:val="005779DB"/>
    <w:rsid w:val="00585A6C"/>
    <w:rsid w:val="005937D5"/>
    <w:rsid w:val="005A2A67"/>
    <w:rsid w:val="005A400A"/>
    <w:rsid w:val="005B269D"/>
    <w:rsid w:val="005D16F1"/>
    <w:rsid w:val="005E7466"/>
    <w:rsid w:val="005F7B92"/>
    <w:rsid w:val="00612379"/>
    <w:rsid w:val="006153B6"/>
    <w:rsid w:val="0061555F"/>
    <w:rsid w:val="006245ED"/>
    <w:rsid w:val="00636CA6"/>
    <w:rsid w:val="00641200"/>
    <w:rsid w:val="00645CA8"/>
    <w:rsid w:val="006655D3"/>
    <w:rsid w:val="00667404"/>
    <w:rsid w:val="00667FF3"/>
    <w:rsid w:val="00687EB4"/>
    <w:rsid w:val="00695C56"/>
    <w:rsid w:val="006A5CDE"/>
    <w:rsid w:val="006A644A"/>
    <w:rsid w:val="006B0CC7"/>
    <w:rsid w:val="006B17D2"/>
    <w:rsid w:val="006C224E"/>
    <w:rsid w:val="006C718F"/>
    <w:rsid w:val="006D780A"/>
    <w:rsid w:val="006E3439"/>
    <w:rsid w:val="00704ECF"/>
    <w:rsid w:val="0071271E"/>
    <w:rsid w:val="00732DEC"/>
    <w:rsid w:val="00735BD5"/>
    <w:rsid w:val="007451EC"/>
    <w:rsid w:val="00751613"/>
    <w:rsid w:val="00753EE9"/>
    <w:rsid w:val="007556F6"/>
    <w:rsid w:val="00760EEF"/>
    <w:rsid w:val="00777EE5"/>
    <w:rsid w:val="00784836"/>
    <w:rsid w:val="00787948"/>
    <w:rsid w:val="0079023E"/>
    <w:rsid w:val="007A2854"/>
    <w:rsid w:val="007C1D92"/>
    <w:rsid w:val="007C4CB9"/>
    <w:rsid w:val="007D0B9D"/>
    <w:rsid w:val="007D19B0"/>
    <w:rsid w:val="007F498F"/>
    <w:rsid w:val="0080679D"/>
    <w:rsid w:val="008108B0"/>
    <w:rsid w:val="00811B20"/>
    <w:rsid w:val="00812609"/>
    <w:rsid w:val="0081562D"/>
    <w:rsid w:val="008211B5"/>
    <w:rsid w:val="0082296E"/>
    <w:rsid w:val="00824099"/>
    <w:rsid w:val="00846D7C"/>
    <w:rsid w:val="00846ECA"/>
    <w:rsid w:val="008472FE"/>
    <w:rsid w:val="00847B04"/>
    <w:rsid w:val="00867AC1"/>
    <w:rsid w:val="008751DE"/>
    <w:rsid w:val="00890DF8"/>
    <w:rsid w:val="008A0ADE"/>
    <w:rsid w:val="008A743F"/>
    <w:rsid w:val="008C0970"/>
    <w:rsid w:val="008D0BC5"/>
    <w:rsid w:val="008D2CF7"/>
    <w:rsid w:val="00900C26"/>
    <w:rsid w:val="0090197F"/>
    <w:rsid w:val="00903264"/>
    <w:rsid w:val="00906DDC"/>
    <w:rsid w:val="00922A2F"/>
    <w:rsid w:val="00934E09"/>
    <w:rsid w:val="00936253"/>
    <w:rsid w:val="00940D46"/>
    <w:rsid w:val="009413F1"/>
    <w:rsid w:val="00951234"/>
    <w:rsid w:val="00952DD4"/>
    <w:rsid w:val="009561F4"/>
    <w:rsid w:val="00965AE7"/>
    <w:rsid w:val="00970FED"/>
    <w:rsid w:val="00992D82"/>
    <w:rsid w:val="00997029"/>
    <w:rsid w:val="009A7339"/>
    <w:rsid w:val="009B440E"/>
    <w:rsid w:val="009C2E2A"/>
    <w:rsid w:val="009D690D"/>
    <w:rsid w:val="009E65B6"/>
    <w:rsid w:val="009F0A51"/>
    <w:rsid w:val="009F77CF"/>
    <w:rsid w:val="00A24C10"/>
    <w:rsid w:val="00A37F87"/>
    <w:rsid w:val="00A42AC3"/>
    <w:rsid w:val="00A430CF"/>
    <w:rsid w:val="00A54309"/>
    <w:rsid w:val="00A610A9"/>
    <w:rsid w:val="00A6411D"/>
    <w:rsid w:val="00A80F2A"/>
    <w:rsid w:val="00A96C33"/>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679B0"/>
    <w:rsid w:val="00B83E82"/>
    <w:rsid w:val="00B84BBD"/>
    <w:rsid w:val="00B92309"/>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3083D"/>
    <w:rsid w:val="00D3708D"/>
    <w:rsid w:val="00D40426"/>
    <w:rsid w:val="00D57C96"/>
    <w:rsid w:val="00D57D18"/>
    <w:rsid w:val="00D70E65"/>
    <w:rsid w:val="00D91203"/>
    <w:rsid w:val="00D95174"/>
    <w:rsid w:val="00DA4973"/>
    <w:rsid w:val="00DA522F"/>
    <w:rsid w:val="00DA6F36"/>
    <w:rsid w:val="00DB596E"/>
    <w:rsid w:val="00DB7773"/>
    <w:rsid w:val="00DC00EA"/>
    <w:rsid w:val="00DC3802"/>
    <w:rsid w:val="00DD6208"/>
    <w:rsid w:val="00DF5922"/>
    <w:rsid w:val="00DF7E99"/>
    <w:rsid w:val="00E07D87"/>
    <w:rsid w:val="00E243DA"/>
    <w:rsid w:val="00E249C8"/>
    <w:rsid w:val="00E32F7E"/>
    <w:rsid w:val="00E5267B"/>
    <w:rsid w:val="00E559F0"/>
    <w:rsid w:val="00E63C0E"/>
    <w:rsid w:val="00E65716"/>
    <w:rsid w:val="00E72D49"/>
    <w:rsid w:val="00E7593C"/>
    <w:rsid w:val="00E7678A"/>
    <w:rsid w:val="00E935F1"/>
    <w:rsid w:val="00E94A81"/>
    <w:rsid w:val="00EA1FFB"/>
    <w:rsid w:val="00EB048E"/>
    <w:rsid w:val="00EB4E9C"/>
    <w:rsid w:val="00EE34DF"/>
    <w:rsid w:val="00EF2F89"/>
    <w:rsid w:val="00EF7F1D"/>
    <w:rsid w:val="00F03E98"/>
    <w:rsid w:val="00F1237A"/>
    <w:rsid w:val="00F22CBD"/>
    <w:rsid w:val="00F272F1"/>
    <w:rsid w:val="00F31412"/>
    <w:rsid w:val="00F45372"/>
    <w:rsid w:val="00F560F7"/>
    <w:rsid w:val="00F6225A"/>
    <w:rsid w:val="00F6334D"/>
    <w:rsid w:val="00F63599"/>
    <w:rsid w:val="00F71781"/>
    <w:rsid w:val="00FA49AB"/>
    <w:rsid w:val="00FC5FD0"/>
    <w:rsid w:val="00FE39C7"/>
    <w:rsid w:val="00FE6F4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90928B8-8FB9-4905-AA17-FD67BE61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922A2F"/>
    <w:pPr>
      <w:jc w:val="both"/>
      <w:outlineLvl w:val="1"/>
    </w:pPr>
    <w:rPr>
      <w:rFonts w:ascii="Arial" w:hAnsi="Arial"/>
      <w:u w:val="single"/>
    </w:rPr>
  </w:style>
  <w:style w:type="paragraph" w:styleId="Heading3">
    <w:name w:val="heading 3"/>
    <w:next w:val="Normal"/>
    <w:link w:val="Heading3Char"/>
    <w:autoRedefine/>
    <w:uiPriority w:val="9"/>
    <w:qFormat/>
    <w:rsid w:val="0081562D"/>
    <w:pPr>
      <w:keepNext/>
      <w:jc w:val="both"/>
      <w:outlineLvl w:val="2"/>
    </w:pPr>
    <w:rPr>
      <w:rFonts w:ascii="Arial" w:hAnsi="Arial"/>
      <w:i/>
      <w:snapToGrid w:val="0"/>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basedOn w:val="Normal"/>
    <w:next w:val="Normal"/>
    <w:autoRedefine/>
    <w:uiPriority w:val="39"/>
    <w:rsid w:val="006B0CC7"/>
    <w:pPr>
      <w:tabs>
        <w:tab w:val="right" w:leader="dot" w:pos="9639"/>
      </w:tabs>
      <w:ind w:left="851" w:right="1418" w:hanging="284"/>
      <w:contextualSpacing/>
      <w:jc w:val="left"/>
    </w:pPr>
    <w:rPr>
      <w:sz w:val="18"/>
    </w:rPr>
  </w:style>
  <w:style w:type="paragraph" w:styleId="TOC3">
    <w:name w:val="toc 3"/>
    <w:next w:val="Normal"/>
    <w:autoRedefine/>
    <w:uiPriority w:val="39"/>
    <w:rsid w:val="006B0CC7"/>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2229C5"/>
    <w:pPr>
      <w:tabs>
        <w:tab w:val="right" w:leader="dot" w:pos="9639"/>
      </w:tabs>
      <w:spacing w:before="60"/>
      <w:ind w:right="1418"/>
      <w:contextualSpacing/>
      <w:jc w:val="left"/>
    </w:pPr>
    <w:rPr>
      <w:caps/>
      <w:sz w:val="18"/>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3Char">
    <w:name w:val="Heading 3 Char"/>
    <w:basedOn w:val="DefaultParagraphFont"/>
    <w:link w:val="Heading3"/>
    <w:uiPriority w:val="9"/>
    <w:rsid w:val="0081562D"/>
    <w:rPr>
      <w:rFonts w:ascii="Arial" w:hAnsi="Arial"/>
      <w:i/>
      <w:snapToGrid w:val="0"/>
    </w:rPr>
  </w:style>
  <w:style w:type="character" w:customStyle="1" w:styleId="Heading2Char">
    <w:name w:val="Heading 2 Char"/>
    <w:aliases w:val="VARIETY Char,variety Char"/>
    <w:link w:val="Heading2"/>
    <w:locked/>
    <w:rsid w:val="00922A2F"/>
    <w:rPr>
      <w:rFonts w:ascii="Arial" w:hAnsi="Arial"/>
      <w:u w:val="single"/>
    </w:rPr>
  </w:style>
  <w:style w:type="paragraph" w:styleId="ListParagraph">
    <w:name w:val="List Paragraph"/>
    <w:aliases w:val="auto_list_(i),List Paragraph1"/>
    <w:basedOn w:val="Normal"/>
    <w:link w:val="ListParagraphChar"/>
    <w:uiPriority w:val="34"/>
    <w:qFormat/>
    <w:rsid w:val="00B92309"/>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B9230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161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1\Template\routing_slip_with_doc_twa_5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703FD-821E-4CBF-B55F-D90AE3A4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routing_slip_with_doc_twa_51</Template>
  <TotalTime>0</TotalTime>
  <Pages>4</Pages>
  <Words>1531</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TWA/51/</vt:lpstr>
    </vt:vector>
  </TitlesOfParts>
  <Company>UPOV</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TWA/51/9</dc:title>
  <dc:creator>OERTEL Romy</dc:creator>
  <cp:lastModifiedBy>MAY Jessica</cp:lastModifiedBy>
  <cp:revision>5</cp:revision>
  <cp:lastPrinted>2016-11-22T15:41:00Z</cp:lastPrinted>
  <dcterms:created xsi:type="dcterms:W3CDTF">2022-05-18T11:20:00Z</dcterms:created>
  <dcterms:modified xsi:type="dcterms:W3CDTF">2022-05-18T11:21:00Z</dcterms:modified>
</cp:coreProperties>
</file>