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04137A" w:rsidRPr="0004137A" w:rsidRDefault="0004137A" w:rsidP="0004137A">
            <w:pPr>
              <w:pStyle w:val="Sessiontc"/>
            </w:pPr>
            <w:r w:rsidRPr="0004137A">
              <w:t>Technical Working Party for Agricultural Crops</w:t>
            </w:r>
          </w:p>
          <w:p w:rsidR="00EB4E9C" w:rsidRPr="00DC3802" w:rsidRDefault="0004137A" w:rsidP="0004137A">
            <w:pPr>
              <w:pStyle w:val="Sessiontcplacedate"/>
              <w:rPr>
                <w:sz w:val="22"/>
              </w:rPr>
            </w:pPr>
            <w:r w:rsidRPr="0004137A">
              <w:t>Forty-Eighth Session</w:t>
            </w:r>
            <w:r w:rsidRPr="0004137A">
              <w:br/>
              <w:t>Montevideo, Uruguay, September 16 to 20, 2019</w:t>
            </w:r>
          </w:p>
        </w:tc>
        <w:tc>
          <w:tcPr>
            <w:tcW w:w="3127" w:type="dxa"/>
          </w:tcPr>
          <w:p w:rsidR="00B3795D" w:rsidRPr="003C7FBE" w:rsidRDefault="0004137A" w:rsidP="00B3795D">
            <w:pPr>
              <w:pStyle w:val="Doccode"/>
            </w:pPr>
            <w:r>
              <w:t>TWA</w:t>
            </w:r>
            <w:r w:rsidR="00B3795D" w:rsidRPr="00AC2883">
              <w:t>/</w:t>
            </w:r>
            <w:r>
              <w:t>48</w:t>
            </w:r>
            <w:r w:rsidR="00B3795D" w:rsidRPr="00AC2883">
              <w:t>/</w:t>
            </w:r>
            <w:r w:rsidR="00FB0E94">
              <w:t>3</w:t>
            </w:r>
          </w:p>
          <w:p w:rsidR="00B3795D" w:rsidRPr="00064BC8" w:rsidRDefault="00B3795D" w:rsidP="00B3795D">
            <w:pPr>
              <w:pStyle w:val="Docoriginal"/>
            </w:pPr>
            <w:r w:rsidRPr="00AC2883">
              <w:t>Original</w:t>
            </w:r>
            <w:r w:rsidRPr="00064BC8">
              <w:t>:</w:t>
            </w:r>
            <w:r w:rsidRPr="00064BC8">
              <w:rPr>
                <w:b w:val="0"/>
                <w:spacing w:val="0"/>
              </w:rPr>
              <w:t xml:space="preserve">  English</w:t>
            </w:r>
          </w:p>
          <w:p w:rsidR="00EB4E9C" w:rsidRPr="007C1D92" w:rsidRDefault="00B3795D" w:rsidP="00064BC8">
            <w:pPr>
              <w:pStyle w:val="Docoriginal"/>
            </w:pPr>
            <w:r w:rsidRPr="00064BC8">
              <w:t>Date:</w:t>
            </w:r>
            <w:r w:rsidRPr="00064BC8">
              <w:rPr>
                <w:b w:val="0"/>
                <w:spacing w:val="0"/>
              </w:rPr>
              <w:t xml:space="preserve">  </w:t>
            </w:r>
            <w:r w:rsidR="00064BC8" w:rsidRPr="00064BC8">
              <w:rPr>
                <w:b w:val="0"/>
                <w:spacing w:val="0"/>
              </w:rPr>
              <w:t>October 4</w:t>
            </w:r>
            <w:r w:rsidRPr="00064BC8">
              <w:rPr>
                <w:b w:val="0"/>
                <w:spacing w:val="0"/>
              </w:rPr>
              <w:t>, 201</w:t>
            </w:r>
            <w:r w:rsidR="00B47490" w:rsidRPr="00064BC8">
              <w:rPr>
                <w:b w:val="0"/>
                <w:spacing w:val="0"/>
              </w:rPr>
              <w:t>9</w:t>
            </w:r>
          </w:p>
        </w:tc>
      </w:tr>
    </w:tbl>
    <w:p w:rsidR="00FF2092" w:rsidRPr="006A644A" w:rsidRDefault="00116968" w:rsidP="00FF2092">
      <w:pPr>
        <w:pStyle w:val="Titleofdoc0"/>
      </w:pPr>
      <w:bookmarkStart w:id="1" w:name="TitleOfDoc"/>
      <w:bookmarkEnd w:id="1"/>
      <w:r w:rsidRPr="00116968">
        <w:t>Reports on Developments in Plant Variety Protection from Members and Observers</w:t>
      </w:r>
    </w:p>
    <w:p w:rsidR="00116968" w:rsidRPr="006A644A" w:rsidRDefault="00116968" w:rsidP="00116968">
      <w:pPr>
        <w:pStyle w:val="preparedby1"/>
        <w:jc w:val="left"/>
      </w:pPr>
      <w:bookmarkStart w:id="2" w:name="Prepared"/>
      <w:bookmarkEnd w:id="2"/>
      <w:r w:rsidRPr="000C4E25">
        <w:t>Document prepared by the Office of the Union</w:t>
      </w:r>
    </w:p>
    <w:p w:rsidR="00116968" w:rsidRPr="006A644A" w:rsidRDefault="00116968" w:rsidP="00116968">
      <w:pPr>
        <w:pStyle w:val="Disclaimer"/>
      </w:pPr>
      <w:r w:rsidRPr="006A644A">
        <w:t>Disclaimer:  this document does not represent UPOV policies or guidance</w:t>
      </w:r>
    </w:p>
    <w:p w:rsidR="00116968" w:rsidRPr="0004029A" w:rsidRDefault="00116968" w:rsidP="00116968">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w:t>
      </w:r>
      <w:r w:rsidR="0077452D">
        <w:rPr>
          <w:rFonts w:cs="Arial"/>
          <w:snapToGrid w:val="0"/>
        </w:rPr>
        <w:t>,</w:t>
      </w:r>
      <w:r w:rsidRPr="0004029A">
        <w:rPr>
          <w:rFonts w:cs="Arial"/>
          <w:snapToGrid w:val="0"/>
        </w:rPr>
        <w:t xml:space="preserve">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t>
      </w:r>
      <w:proofErr w:type="gramStart"/>
      <w:r w:rsidRPr="0004029A">
        <w:rPr>
          <w:rFonts w:cs="Arial"/>
          <w:snapToGrid w:val="0"/>
        </w:rPr>
        <w:t>were invited</w:t>
      </w:r>
      <w:proofErr w:type="gramEnd"/>
      <w:r w:rsidRPr="0004029A">
        <w:rPr>
          <w:rFonts w:cs="Arial"/>
          <w:snapToGrid w:val="0"/>
        </w:rPr>
        <w:t xml:space="preserve"> by the Office of the Union in </w:t>
      </w:r>
      <w:r w:rsidRPr="00F415A7">
        <w:rPr>
          <w:rFonts w:cs="Arial"/>
        </w:rPr>
        <w:t xml:space="preserve">Circular </w:t>
      </w:r>
      <w:r w:rsidR="00F415A7" w:rsidRPr="00F415A7">
        <w:rPr>
          <w:rFonts w:cs="Arial"/>
        </w:rPr>
        <w:t>E-19/114</w:t>
      </w:r>
      <w:r w:rsidRPr="00F415A7">
        <w:rPr>
          <w:rFonts w:cs="Arial"/>
        </w:rPr>
        <w:t xml:space="preserve"> of </w:t>
      </w:r>
      <w:r w:rsidR="00F415A7" w:rsidRPr="00F415A7">
        <w:rPr>
          <w:rFonts w:cs="Arial"/>
        </w:rPr>
        <w:t>August 6</w:t>
      </w:r>
      <w:r w:rsidRPr="00F415A7">
        <w:rPr>
          <w:rFonts w:cs="Arial"/>
        </w:rPr>
        <w:t>, 2019</w:t>
      </w:r>
      <w:r w:rsidRPr="00F415A7">
        <w:rPr>
          <w:rFonts w:cs="Arial"/>
          <w:snapToGrid w:val="0"/>
        </w:rPr>
        <w:t>.</w:t>
      </w:r>
      <w:r w:rsidRPr="0004029A">
        <w:rPr>
          <w:rFonts w:cs="Arial"/>
          <w:snapToGrid w:val="0"/>
        </w:rPr>
        <w:t xml:space="preserve">  The following reports </w:t>
      </w:r>
      <w:proofErr w:type="gramStart"/>
      <w:r w:rsidRPr="0004029A">
        <w:rPr>
          <w:rFonts w:cs="Arial"/>
          <w:snapToGrid w:val="0"/>
        </w:rPr>
        <w:t>were received</w:t>
      </w:r>
      <w:proofErr w:type="gramEnd"/>
      <w:r w:rsidRPr="0004029A">
        <w:rPr>
          <w:rFonts w:cs="Arial"/>
          <w:snapToGrid w:val="0"/>
        </w:rPr>
        <w:t xml:space="preserve"> </w:t>
      </w:r>
      <w:r w:rsidRPr="005E1081">
        <w:rPr>
          <w:rFonts w:cs="Arial"/>
          <w:snapToGrid w:val="0"/>
        </w:rPr>
        <w:t>(in alphabetical</w:t>
      </w:r>
      <w:r w:rsidRPr="0004029A">
        <w:rPr>
          <w:rFonts w:cs="Arial"/>
          <w:snapToGrid w:val="0"/>
        </w:rPr>
        <w:t xml:space="preserve"> order):</w:t>
      </w:r>
    </w:p>
    <w:p w:rsidR="00116968" w:rsidRPr="0004029A" w:rsidRDefault="00116968" w:rsidP="00116968">
      <w:pPr>
        <w:tabs>
          <w:tab w:val="left" w:pos="567"/>
        </w:tabs>
        <w:rPr>
          <w:rFonts w:cs="Arial"/>
          <w:snapToGrid w:val="0"/>
          <w:u w:val="single"/>
        </w:rPr>
      </w:pPr>
    </w:p>
    <w:p w:rsidR="00116968" w:rsidRPr="00F415A7" w:rsidRDefault="00116968" w:rsidP="002F4210">
      <w:pPr>
        <w:numPr>
          <w:ilvl w:val="0"/>
          <w:numId w:val="2"/>
        </w:numPr>
        <w:contextualSpacing/>
        <w:rPr>
          <w:rFonts w:eastAsiaTheme="minorEastAsia" w:cs="Arial"/>
          <w:snapToGrid w:val="0"/>
          <w:lang w:eastAsia="ja-JP"/>
        </w:rPr>
      </w:pPr>
      <w:r w:rsidRPr="00F415A7">
        <w:rPr>
          <w:rFonts w:cs="Arial"/>
          <w:snapToGrid w:val="0"/>
          <w:u w:val="single"/>
        </w:rPr>
        <w:t>Members of the Union</w:t>
      </w:r>
      <w:r w:rsidRPr="00F415A7">
        <w:rPr>
          <w:rFonts w:cs="Arial"/>
          <w:snapToGrid w:val="0"/>
        </w:rPr>
        <w:t xml:space="preserve">:  Annexes I to </w:t>
      </w:r>
      <w:r w:rsidR="004C2E81">
        <w:rPr>
          <w:rFonts w:cs="Arial"/>
          <w:snapToGrid w:val="0"/>
        </w:rPr>
        <w:t>V</w:t>
      </w:r>
      <w:r w:rsidR="009B2E10">
        <w:rPr>
          <w:rFonts w:cs="Arial"/>
          <w:snapToGrid w:val="0"/>
        </w:rPr>
        <w:t>I</w:t>
      </w:r>
      <w:r w:rsidRPr="00F415A7">
        <w:rPr>
          <w:rFonts w:cs="Arial"/>
          <w:snapToGrid w:val="0"/>
        </w:rPr>
        <w:t xml:space="preserve">:  Brazil, </w:t>
      </w:r>
      <w:r w:rsidR="00232C43">
        <w:rPr>
          <w:rFonts w:cs="Arial"/>
          <w:snapToGrid w:val="0"/>
        </w:rPr>
        <w:t xml:space="preserve">Denmark, </w:t>
      </w:r>
      <w:r w:rsidR="0080007B" w:rsidRPr="00F415A7">
        <w:rPr>
          <w:rFonts w:cs="Arial"/>
          <w:snapToGrid w:val="0"/>
        </w:rPr>
        <w:t>European Union</w:t>
      </w:r>
      <w:r w:rsidR="00106F89">
        <w:rPr>
          <w:rFonts w:cs="Arial"/>
          <w:snapToGrid w:val="0"/>
        </w:rPr>
        <w:t>, Japan</w:t>
      </w:r>
      <w:r w:rsidR="00FB0E94">
        <w:rPr>
          <w:rFonts w:cs="Arial"/>
          <w:snapToGrid w:val="0"/>
        </w:rPr>
        <w:t>,</w:t>
      </w:r>
      <w:r w:rsidR="00F415A7" w:rsidRPr="00F415A7">
        <w:rPr>
          <w:rFonts w:cs="Arial"/>
          <w:snapToGrid w:val="0"/>
        </w:rPr>
        <w:t xml:space="preserve"> </w:t>
      </w:r>
      <w:r w:rsidRPr="00F415A7">
        <w:rPr>
          <w:rFonts w:cs="Arial"/>
          <w:snapToGrid w:val="0"/>
        </w:rPr>
        <w:t>Netherlands</w:t>
      </w:r>
      <w:r w:rsidR="00FB0E94">
        <w:rPr>
          <w:rFonts w:cs="Arial"/>
          <w:snapToGrid w:val="0"/>
        </w:rPr>
        <w:t xml:space="preserve"> and the United Kingdom</w:t>
      </w: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p>
    <w:p w:rsidR="00116968" w:rsidRPr="0004029A" w:rsidRDefault="00116968" w:rsidP="00116968">
      <w:pPr>
        <w:tabs>
          <w:tab w:val="left" w:pos="567"/>
        </w:tabs>
        <w:rPr>
          <w:rFonts w:cs="Arial"/>
          <w:snapToGrid w:val="0"/>
        </w:rPr>
      </w:pPr>
    </w:p>
    <w:p w:rsidR="00116968" w:rsidRPr="0004029A" w:rsidRDefault="00116968" w:rsidP="00116968">
      <w:pPr>
        <w:jc w:val="right"/>
        <w:rPr>
          <w:snapToGrid w:val="0"/>
        </w:rPr>
      </w:pPr>
      <w:r w:rsidRPr="0004029A">
        <w:rPr>
          <w:snapToGrid w:val="0"/>
        </w:rPr>
        <w:t>[Annexes follow]</w:t>
      </w:r>
    </w:p>
    <w:p w:rsidR="00116968" w:rsidRDefault="00116968" w:rsidP="00116968"/>
    <w:p w:rsidR="007947FE" w:rsidRDefault="007947FE" w:rsidP="00FF2092">
      <w:pPr>
        <w:jc w:val="left"/>
        <w:sectPr w:rsidR="007947FE" w:rsidSect="00906DDC">
          <w:headerReference w:type="default" r:id="rId9"/>
          <w:pgSz w:w="11907" w:h="16840" w:code="9"/>
          <w:pgMar w:top="510" w:right="1134" w:bottom="1134" w:left="1134" w:header="510" w:footer="680" w:gutter="0"/>
          <w:cols w:space="720"/>
          <w:titlePg/>
        </w:sectPr>
      </w:pPr>
    </w:p>
    <w:p w:rsidR="007947FE" w:rsidRDefault="007947FE" w:rsidP="00FF2092">
      <w:pPr>
        <w:jc w:val="left"/>
      </w:pPr>
    </w:p>
    <w:p w:rsidR="007947FE" w:rsidRDefault="007664B1" w:rsidP="007947FE">
      <w:pPr>
        <w:jc w:val="center"/>
      </w:pPr>
      <w:r>
        <w:t>BRAZIL</w:t>
      </w:r>
    </w:p>
    <w:p w:rsidR="007947FE" w:rsidRDefault="007947FE" w:rsidP="00FF2092">
      <w:pPr>
        <w:jc w:val="left"/>
      </w:pPr>
    </w:p>
    <w:p w:rsidR="007947FE" w:rsidRPr="007947FE" w:rsidRDefault="007947FE" w:rsidP="007947FE"/>
    <w:p w:rsidR="00255861" w:rsidRDefault="00255861" w:rsidP="00255861">
      <w:pPr>
        <w:rPr>
          <w:lang w:eastAsia="pt-BR"/>
        </w:rPr>
      </w:pPr>
      <w:bookmarkStart w:id="3" w:name="_Hlk16145117"/>
      <w:r w:rsidRPr="00255861">
        <w:rPr>
          <w:lang w:eastAsia="pt-BR"/>
        </w:rPr>
        <w:t xml:space="preserve">1. The National Plant Variety Protection Service (SNPC) on the Ministry of Agriculture, Livestock and Food Supply (MAPA), is the national authority for the examination of applications and for granting Plant Breeder’s Rights in Brazil. </w:t>
      </w:r>
    </w:p>
    <w:p w:rsidR="00255861" w:rsidRPr="00255861" w:rsidRDefault="00255861" w:rsidP="00255861">
      <w:pPr>
        <w:rPr>
          <w:lang w:eastAsia="pt-BR"/>
        </w:rPr>
      </w:pPr>
    </w:p>
    <w:p w:rsidR="00255861" w:rsidRDefault="00255861" w:rsidP="00255861">
      <w:pPr>
        <w:rPr>
          <w:lang w:eastAsia="pt-BR"/>
        </w:rPr>
      </w:pPr>
      <w:r w:rsidRPr="00255861">
        <w:rPr>
          <w:lang w:eastAsia="pt-BR"/>
        </w:rPr>
        <w:t xml:space="preserve">2. Since the end of 2018, the SNPC fully implemented the electronic PVP application </w:t>
      </w:r>
      <w:r w:rsidR="00461C8A">
        <w:rPr>
          <w:lang w:eastAsia="pt-BR"/>
        </w:rPr>
        <w:t xml:space="preserve">system </w:t>
      </w:r>
      <w:r w:rsidRPr="00255861">
        <w:rPr>
          <w:lang w:eastAsia="pt-BR"/>
        </w:rPr>
        <w:t>and currently the office is running paperless.</w:t>
      </w:r>
    </w:p>
    <w:p w:rsidR="00255861" w:rsidRPr="00255861" w:rsidRDefault="00255861" w:rsidP="00255861">
      <w:pPr>
        <w:rPr>
          <w:lang w:eastAsia="pt-BR"/>
        </w:rPr>
      </w:pPr>
    </w:p>
    <w:p w:rsidR="00255861" w:rsidRDefault="00255861" w:rsidP="00255861">
      <w:pPr>
        <w:rPr>
          <w:lang w:eastAsia="pt-BR"/>
        </w:rPr>
      </w:pPr>
      <w:r w:rsidRPr="00255861">
        <w:rPr>
          <w:lang w:eastAsia="pt-BR"/>
        </w:rPr>
        <w:t xml:space="preserve">3. In 2018, SNPC received 326 applications: agricultural crops (187), ornamentals (43), vegetables (54), fruit crops (27), forest trees (13) and forage crops (2). Comparing to the previous year, the number of applications for agricultural crops remained stable. </w:t>
      </w:r>
    </w:p>
    <w:p w:rsidR="00255861" w:rsidRPr="00255861" w:rsidRDefault="00255861" w:rsidP="00255861">
      <w:pPr>
        <w:rPr>
          <w:lang w:eastAsia="pt-BR"/>
        </w:rPr>
      </w:pPr>
    </w:p>
    <w:p w:rsidR="00255861" w:rsidRDefault="00255861" w:rsidP="00255861">
      <w:pPr>
        <w:rPr>
          <w:lang w:val="pt-BR" w:eastAsia="pt-BR"/>
        </w:rPr>
      </w:pPr>
      <w:r w:rsidRPr="00255861">
        <w:rPr>
          <w:lang w:eastAsia="pt-BR"/>
        </w:rPr>
        <w:t xml:space="preserve">4. Those 187 applications of agricultural crops were for the following: </w:t>
      </w:r>
      <w:r w:rsidRPr="00255861">
        <w:rPr>
          <w:i/>
          <w:iCs/>
          <w:lang w:eastAsia="pt-BR"/>
        </w:rPr>
        <w:t>Glycine max</w:t>
      </w:r>
      <w:r w:rsidRPr="00255861">
        <w:rPr>
          <w:lang w:eastAsia="pt-BR"/>
        </w:rPr>
        <w:t xml:space="preserve"> (L.) </w:t>
      </w:r>
      <w:r w:rsidRPr="00255861">
        <w:rPr>
          <w:lang w:val="pt-BR" w:eastAsia="pt-BR"/>
        </w:rPr>
        <w:t xml:space="preserve">Merrill (127); </w:t>
      </w:r>
      <w:r w:rsidRPr="00255861">
        <w:rPr>
          <w:i/>
          <w:iCs/>
          <w:lang w:val="pt-BR" w:eastAsia="pt-BR"/>
        </w:rPr>
        <w:t>Triticum aestivum</w:t>
      </w:r>
      <w:r w:rsidRPr="00255861">
        <w:rPr>
          <w:lang w:val="pt-BR" w:eastAsia="pt-BR"/>
        </w:rPr>
        <w:t xml:space="preserve"> L. (16);</w:t>
      </w:r>
      <w:r w:rsidRPr="00255861">
        <w:rPr>
          <w:i/>
          <w:lang w:val="pt-BR" w:eastAsia="pt-BR"/>
        </w:rPr>
        <w:t xml:space="preserve"> Solanum tuberosum </w:t>
      </w:r>
      <w:r w:rsidRPr="00461C8A">
        <w:rPr>
          <w:lang w:val="pt-BR" w:eastAsia="pt-BR"/>
        </w:rPr>
        <w:t>L</w:t>
      </w:r>
      <w:r w:rsidRPr="00255861">
        <w:rPr>
          <w:i/>
          <w:lang w:val="pt-BR" w:eastAsia="pt-BR"/>
        </w:rPr>
        <w:t xml:space="preserve">. </w:t>
      </w:r>
      <w:r w:rsidRPr="00255861">
        <w:rPr>
          <w:lang w:val="pt-BR" w:eastAsia="pt-BR"/>
        </w:rPr>
        <w:t xml:space="preserve">(09); </w:t>
      </w:r>
      <w:r w:rsidRPr="00255861">
        <w:rPr>
          <w:i/>
          <w:iCs/>
          <w:lang w:val="pt-BR" w:eastAsia="pt-BR"/>
        </w:rPr>
        <w:t>Phaseolus vulgaris</w:t>
      </w:r>
      <w:r w:rsidRPr="00255861">
        <w:rPr>
          <w:lang w:val="pt-BR" w:eastAsia="pt-BR"/>
        </w:rPr>
        <w:t xml:space="preserve"> L. (07);</w:t>
      </w:r>
      <w:r w:rsidRPr="00255861">
        <w:rPr>
          <w:i/>
          <w:lang w:val="pt-BR" w:eastAsia="pt-BR"/>
        </w:rPr>
        <w:t xml:space="preserve"> Saccharum </w:t>
      </w:r>
      <w:r w:rsidRPr="00461C8A">
        <w:rPr>
          <w:lang w:val="pt-BR" w:eastAsia="pt-BR"/>
        </w:rPr>
        <w:t>spp</w:t>
      </w:r>
      <w:r w:rsidRPr="00255861">
        <w:rPr>
          <w:i/>
          <w:lang w:val="pt-BR" w:eastAsia="pt-BR"/>
        </w:rPr>
        <w:t xml:space="preserve">. </w:t>
      </w:r>
      <w:r w:rsidRPr="00255861">
        <w:rPr>
          <w:lang w:val="pt-BR" w:eastAsia="pt-BR"/>
        </w:rPr>
        <w:t xml:space="preserve">(06); </w:t>
      </w:r>
      <w:r w:rsidRPr="00255861">
        <w:rPr>
          <w:i/>
          <w:iCs/>
          <w:lang w:val="pt-BR" w:eastAsia="pt-BR"/>
        </w:rPr>
        <w:t xml:space="preserve">Zea mays </w:t>
      </w:r>
      <w:r w:rsidRPr="00255861">
        <w:rPr>
          <w:lang w:val="pt-BR" w:eastAsia="pt-BR"/>
        </w:rPr>
        <w:t>L. (05);</w:t>
      </w:r>
      <w:r w:rsidRPr="00255861">
        <w:rPr>
          <w:i/>
          <w:lang w:val="pt-BR" w:eastAsia="pt-BR"/>
        </w:rPr>
        <w:t xml:space="preserve"> Oryza sativa </w:t>
      </w:r>
      <w:r w:rsidRPr="00461C8A">
        <w:rPr>
          <w:lang w:val="pt-BR" w:eastAsia="pt-BR"/>
        </w:rPr>
        <w:t>L.</w:t>
      </w:r>
      <w:r w:rsidRPr="00255861">
        <w:rPr>
          <w:i/>
          <w:lang w:val="pt-BR" w:eastAsia="pt-BR"/>
        </w:rPr>
        <w:t xml:space="preserve"> </w:t>
      </w:r>
      <w:r w:rsidRPr="00255861">
        <w:rPr>
          <w:lang w:val="pt-BR" w:eastAsia="pt-BR"/>
        </w:rPr>
        <w:t xml:space="preserve">(04); </w:t>
      </w:r>
      <w:r w:rsidRPr="00255861">
        <w:rPr>
          <w:i/>
          <w:lang w:val="pt-BR" w:eastAsia="pt-BR"/>
        </w:rPr>
        <w:t xml:space="preserve">Gossypium hirsutum </w:t>
      </w:r>
      <w:r w:rsidRPr="00461C8A">
        <w:rPr>
          <w:lang w:val="pt-BR" w:eastAsia="pt-BR"/>
        </w:rPr>
        <w:t>L</w:t>
      </w:r>
      <w:r w:rsidRPr="00255861">
        <w:rPr>
          <w:i/>
          <w:lang w:val="pt-BR" w:eastAsia="pt-BR"/>
        </w:rPr>
        <w:t xml:space="preserve">. </w:t>
      </w:r>
      <w:r w:rsidRPr="00255861">
        <w:rPr>
          <w:lang w:val="pt-BR" w:eastAsia="pt-BR"/>
        </w:rPr>
        <w:t>(03);</w:t>
      </w:r>
      <w:r w:rsidRPr="00255861">
        <w:rPr>
          <w:i/>
          <w:lang w:val="pt-BR" w:eastAsia="pt-BR"/>
        </w:rPr>
        <w:t xml:space="preserve"> Avena spp </w:t>
      </w:r>
      <w:r w:rsidRPr="00255861">
        <w:rPr>
          <w:lang w:val="pt-BR" w:eastAsia="pt-BR"/>
        </w:rPr>
        <w:t xml:space="preserve">(02); </w:t>
      </w:r>
      <w:r w:rsidRPr="00255861">
        <w:rPr>
          <w:i/>
          <w:iCs/>
          <w:lang w:val="pt-BR" w:eastAsia="pt-BR"/>
        </w:rPr>
        <w:t>Sorghum spp</w:t>
      </w:r>
      <w:r w:rsidRPr="00255861">
        <w:rPr>
          <w:lang w:val="pt-BR" w:eastAsia="pt-BR"/>
        </w:rPr>
        <w:t xml:space="preserve"> (02); </w:t>
      </w:r>
      <w:r w:rsidRPr="00255861">
        <w:rPr>
          <w:i/>
          <w:iCs/>
          <w:lang w:val="pt-BR" w:eastAsia="pt-BR"/>
        </w:rPr>
        <w:t>Vigna unguiculata</w:t>
      </w:r>
      <w:r w:rsidRPr="00255861">
        <w:rPr>
          <w:lang w:val="pt-BR" w:eastAsia="pt-BR"/>
        </w:rPr>
        <w:t xml:space="preserve"> L. (02); </w:t>
      </w:r>
      <w:r w:rsidRPr="00255861">
        <w:rPr>
          <w:i/>
          <w:iCs/>
          <w:lang w:val="pt-BR" w:eastAsia="pt-BR"/>
        </w:rPr>
        <w:t>Hordeum vulgare</w:t>
      </w:r>
      <w:r w:rsidRPr="00255861">
        <w:rPr>
          <w:lang w:val="pt-BR" w:eastAsia="pt-BR"/>
        </w:rPr>
        <w:t xml:space="preserve"> L. </w:t>
      </w:r>
      <w:r w:rsidRPr="00461C8A">
        <w:rPr>
          <w:i/>
          <w:lang w:val="pt-BR" w:eastAsia="pt-BR"/>
        </w:rPr>
        <w:t>sensu lato</w:t>
      </w:r>
      <w:r w:rsidRPr="00255861">
        <w:rPr>
          <w:lang w:val="pt-BR" w:eastAsia="pt-BR"/>
        </w:rPr>
        <w:t xml:space="preserve"> (01); </w:t>
      </w:r>
      <w:r w:rsidRPr="00255861">
        <w:rPr>
          <w:i/>
          <w:iCs/>
          <w:lang w:val="pt-BR" w:eastAsia="pt-BR"/>
        </w:rPr>
        <w:t>Humulus lupulus</w:t>
      </w:r>
      <w:r w:rsidRPr="00255861">
        <w:rPr>
          <w:lang w:val="pt-BR" w:eastAsia="pt-BR"/>
        </w:rPr>
        <w:t xml:space="preserve"> L. (01); </w:t>
      </w:r>
      <w:r w:rsidRPr="00255861">
        <w:rPr>
          <w:i/>
          <w:iCs/>
          <w:lang w:val="pt-BR" w:eastAsia="pt-BR"/>
        </w:rPr>
        <w:t xml:space="preserve">Manihot esculenta </w:t>
      </w:r>
      <w:r w:rsidRPr="00255861">
        <w:rPr>
          <w:lang w:val="pt-BR" w:eastAsia="pt-BR"/>
        </w:rPr>
        <w:t xml:space="preserve">Crantz (01); </w:t>
      </w:r>
      <w:r w:rsidR="00461C8A">
        <w:rPr>
          <w:rFonts w:cs="Arial"/>
          <w:i/>
          <w:iCs/>
          <w:lang w:val="pt-BR" w:eastAsia="pt-BR"/>
        </w:rPr>
        <w:t>×</w:t>
      </w:r>
      <w:r w:rsidR="00461C8A">
        <w:rPr>
          <w:i/>
          <w:iCs/>
          <w:lang w:val="pt-BR" w:eastAsia="pt-BR"/>
        </w:rPr>
        <w:t> </w:t>
      </w:r>
      <w:r w:rsidRPr="00255861">
        <w:rPr>
          <w:i/>
          <w:iCs/>
          <w:lang w:val="pt-BR" w:eastAsia="pt-BR"/>
        </w:rPr>
        <w:t>Triticosecale</w:t>
      </w:r>
      <w:r w:rsidRPr="00255861">
        <w:rPr>
          <w:lang w:val="pt-BR" w:eastAsia="pt-BR"/>
        </w:rPr>
        <w:t xml:space="preserve"> Witt (01).</w:t>
      </w:r>
    </w:p>
    <w:p w:rsidR="00255861" w:rsidRPr="00255861" w:rsidRDefault="00255861" w:rsidP="00255861">
      <w:pPr>
        <w:rPr>
          <w:lang w:val="pt-BR" w:eastAsia="pt-BR"/>
        </w:rPr>
      </w:pPr>
    </w:p>
    <w:p w:rsidR="00255861" w:rsidRDefault="00255861" w:rsidP="00255861">
      <w:pPr>
        <w:rPr>
          <w:lang w:eastAsia="pt-BR"/>
        </w:rPr>
      </w:pPr>
      <w:r w:rsidRPr="00255861">
        <w:rPr>
          <w:lang w:eastAsia="pt-BR"/>
        </w:rPr>
        <w:t xml:space="preserve">5. Applications </w:t>
      </w:r>
      <w:proofErr w:type="gramStart"/>
      <w:r w:rsidRPr="00255861">
        <w:rPr>
          <w:lang w:eastAsia="pt-BR"/>
        </w:rPr>
        <w:t>were filed</w:t>
      </w:r>
      <w:proofErr w:type="gramEnd"/>
      <w:r w:rsidRPr="00255861">
        <w:rPr>
          <w:lang w:eastAsia="pt-BR"/>
        </w:rPr>
        <w:t xml:space="preserve"> from nationals of: Brazil (134), Argentina (26), U</w:t>
      </w:r>
      <w:r w:rsidR="00605303">
        <w:rPr>
          <w:lang w:eastAsia="pt-BR"/>
        </w:rPr>
        <w:t xml:space="preserve">nited </w:t>
      </w:r>
      <w:r w:rsidRPr="00255861">
        <w:rPr>
          <w:lang w:eastAsia="pt-BR"/>
        </w:rPr>
        <w:t>S</w:t>
      </w:r>
      <w:r w:rsidR="00605303">
        <w:rPr>
          <w:lang w:eastAsia="pt-BR"/>
        </w:rPr>
        <w:t xml:space="preserve">tates of </w:t>
      </w:r>
      <w:r w:rsidRPr="00255861">
        <w:rPr>
          <w:lang w:eastAsia="pt-BR"/>
        </w:rPr>
        <w:t>A</w:t>
      </w:r>
      <w:r w:rsidR="00605303">
        <w:rPr>
          <w:lang w:eastAsia="pt-BR"/>
        </w:rPr>
        <w:t>merica</w:t>
      </w:r>
      <w:r w:rsidRPr="00255861">
        <w:rPr>
          <w:lang w:eastAsia="pt-BR"/>
        </w:rPr>
        <w:t xml:space="preserve"> (10), Netherlands (08), Switzerland (06), Germany (02) and Paraguay (01).</w:t>
      </w:r>
    </w:p>
    <w:p w:rsidR="00255861" w:rsidRPr="00255861" w:rsidRDefault="00255861" w:rsidP="00255861">
      <w:pPr>
        <w:rPr>
          <w:lang w:eastAsia="pt-BR"/>
        </w:rPr>
      </w:pPr>
    </w:p>
    <w:p w:rsidR="00255861" w:rsidRDefault="00255861" w:rsidP="00255861">
      <w:pPr>
        <w:rPr>
          <w:lang w:eastAsia="pt-BR"/>
        </w:rPr>
      </w:pPr>
      <w:r w:rsidRPr="00255861">
        <w:rPr>
          <w:lang w:eastAsia="pt-BR"/>
        </w:rPr>
        <w:t>6. In 2018, SNPC granted 270 titles: agricultural crops (180), ornamentals (33), vegetables (26), fruit crops (22), forest trees (7) and forage crops (2).</w:t>
      </w:r>
    </w:p>
    <w:p w:rsidR="00255861" w:rsidRPr="00255861" w:rsidRDefault="00255861" w:rsidP="00255861">
      <w:pPr>
        <w:rPr>
          <w:lang w:eastAsia="pt-BR"/>
        </w:rPr>
      </w:pPr>
    </w:p>
    <w:p w:rsidR="00255861" w:rsidRDefault="00255861" w:rsidP="00255861">
      <w:pPr>
        <w:rPr>
          <w:lang w:eastAsia="pt-BR"/>
        </w:rPr>
      </w:pPr>
      <w:r w:rsidRPr="00255861">
        <w:rPr>
          <w:lang w:eastAsia="pt-BR"/>
        </w:rPr>
        <w:t xml:space="preserve">7. Those 180 granted titles of agricultural crops were for the following: </w:t>
      </w:r>
      <w:r w:rsidRPr="00255861">
        <w:rPr>
          <w:i/>
          <w:iCs/>
          <w:lang w:eastAsia="pt-BR"/>
        </w:rPr>
        <w:t>Glycine max</w:t>
      </w:r>
      <w:r w:rsidRPr="00255861">
        <w:rPr>
          <w:lang w:eastAsia="pt-BR"/>
        </w:rPr>
        <w:t xml:space="preserve"> (L.) Merrill (139);</w:t>
      </w:r>
      <w:r w:rsidRPr="00255861">
        <w:rPr>
          <w:i/>
          <w:lang w:eastAsia="pt-BR"/>
        </w:rPr>
        <w:t xml:space="preserve"> </w:t>
      </w:r>
      <w:proofErr w:type="spellStart"/>
      <w:r w:rsidRPr="00255861">
        <w:rPr>
          <w:i/>
          <w:iCs/>
          <w:lang w:eastAsia="pt-BR"/>
        </w:rPr>
        <w:t>Triticum</w:t>
      </w:r>
      <w:proofErr w:type="spellEnd"/>
      <w:r w:rsidRPr="00255861">
        <w:rPr>
          <w:i/>
          <w:iCs/>
          <w:lang w:eastAsia="pt-BR"/>
        </w:rPr>
        <w:t xml:space="preserve"> </w:t>
      </w:r>
      <w:proofErr w:type="spellStart"/>
      <w:r w:rsidRPr="00255861">
        <w:rPr>
          <w:i/>
          <w:iCs/>
          <w:lang w:eastAsia="pt-BR"/>
        </w:rPr>
        <w:t>aestivum</w:t>
      </w:r>
      <w:proofErr w:type="spellEnd"/>
      <w:r w:rsidRPr="00255861">
        <w:rPr>
          <w:lang w:eastAsia="pt-BR"/>
        </w:rPr>
        <w:t xml:space="preserve"> L. (10); </w:t>
      </w:r>
      <w:proofErr w:type="spellStart"/>
      <w:r w:rsidRPr="00255861">
        <w:rPr>
          <w:i/>
          <w:lang w:eastAsia="pt-BR"/>
        </w:rPr>
        <w:t>Saccharum</w:t>
      </w:r>
      <w:proofErr w:type="spellEnd"/>
      <w:r w:rsidRPr="00255861">
        <w:rPr>
          <w:i/>
          <w:lang w:eastAsia="pt-BR"/>
        </w:rPr>
        <w:t xml:space="preserve"> spp. </w:t>
      </w:r>
      <w:r w:rsidRPr="00255861">
        <w:rPr>
          <w:lang w:eastAsia="pt-BR"/>
        </w:rPr>
        <w:t>(5);</w:t>
      </w:r>
      <w:r w:rsidRPr="00255861">
        <w:rPr>
          <w:i/>
          <w:lang w:eastAsia="pt-BR"/>
        </w:rPr>
        <w:t xml:space="preserve"> </w:t>
      </w:r>
      <w:proofErr w:type="spellStart"/>
      <w:r w:rsidRPr="00255861">
        <w:rPr>
          <w:i/>
          <w:lang w:eastAsia="pt-BR"/>
        </w:rPr>
        <w:t>Gossypium</w:t>
      </w:r>
      <w:proofErr w:type="spellEnd"/>
      <w:r w:rsidRPr="00255861">
        <w:rPr>
          <w:i/>
          <w:lang w:eastAsia="pt-BR"/>
        </w:rPr>
        <w:t xml:space="preserve"> </w:t>
      </w:r>
      <w:proofErr w:type="spellStart"/>
      <w:r w:rsidRPr="00255861">
        <w:rPr>
          <w:i/>
          <w:lang w:eastAsia="pt-BR"/>
        </w:rPr>
        <w:t>hirsutum</w:t>
      </w:r>
      <w:proofErr w:type="spellEnd"/>
      <w:r w:rsidRPr="00255861">
        <w:rPr>
          <w:i/>
          <w:lang w:eastAsia="pt-BR"/>
        </w:rPr>
        <w:t xml:space="preserve"> L. </w:t>
      </w:r>
      <w:r w:rsidRPr="00255861">
        <w:rPr>
          <w:lang w:eastAsia="pt-BR"/>
        </w:rPr>
        <w:t>(5);</w:t>
      </w:r>
      <w:r w:rsidRPr="00255861">
        <w:rPr>
          <w:i/>
          <w:iCs/>
          <w:lang w:eastAsia="pt-BR"/>
        </w:rPr>
        <w:t xml:space="preserve"> </w:t>
      </w:r>
      <w:proofErr w:type="spellStart"/>
      <w:r w:rsidRPr="00255861">
        <w:rPr>
          <w:i/>
          <w:iCs/>
          <w:lang w:eastAsia="pt-BR"/>
        </w:rPr>
        <w:t>Phaseolus</w:t>
      </w:r>
      <w:proofErr w:type="spellEnd"/>
      <w:r w:rsidRPr="00255861">
        <w:rPr>
          <w:i/>
          <w:iCs/>
          <w:lang w:eastAsia="pt-BR"/>
        </w:rPr>
        <w:t xml:space="preserve"> vulgaris</w:t>
      </w:r>
      <w:r w:rsidRPr="00255861">
        <w:rPr>
          <w:lang w:eastAsia="pt-BR"/>
        </w:rPr>
        <w:t xml:space="preserve"> L. (1);</w:t>
      </w:r>
      <w:r w:rsidRPr="00255861">
        <w:rPr>
          <w:i/>
          <w:lang w:eastAsia="pt-BR"/>
        </w:rPr>
        <w:t xml:space="preserve"> </w:t>
      </w:r>
      <w:proofErr w:type="spellStart"/>
      <w:r w:rsidRPr="00255861">
        <w:rPr>
          <w:i/>
          <w:lang w:eastAsia="pt-BR"/>
        </w:rPr>
        <w:t>Oryza</w:t>
      </w:r>
      <w:proofErr w:type="spellEnd"/>
      <w:r w:rsidRPr="00255861">
        <w:rPr>
          <w:i/>
          <w:lang w:eastAsia="pt-BR"/>
        </w:rPr>
        <w:t xml:space="preserve"> sativa L. </w:t>
      </w:r>
      <w:r w:rsidRPr="00255861">
        <w:rPr>
          <w:lang w:eastAsia="pt-BR"/>
        </w:rPr>
        <w:t>(6);</w:t>
      </w:r>
      <w:r w:rsidRPr="00255861">
        <w:rPr>
          <w:i/>
          <w:iCs/>
          <w:lang w:eastAsia="pt-BR"/>
        </w:rPr>
        <w:t xml:space="preserve"> </w:t>
      </w:r>
      <w:proofErr w:type="spellStart"/>
      <w:r w:rsidRPr="00255861">
        <w:rPr>
          <w:i/>
          <w:iCs/>
          <w:lang w:eastAsia="pt-BR"/>
        </w:rPr>
        <w:t>Manihot</w:t>
      </w:r>
      <w:proofErr w:type="spellEnd"/>
      <w:r w:rsidRPr="00255861">
        <w:rPr>
          <w:i/>
          <w:iCs/>
          <w:lang w:eastAsia="pt-BR"/>
        </w:rPr>
        <w:t xml:space="preserve"> </w:t>
      </w:r>
      <w:proofErr w:type="spellStart"/>
      <w:r w:rsidRPr="00255861">
        <w:rPr>
          <w:i/>
          <w:iCs/>
          <w:lang w:eastAsia="pt-BR"/>
        </w:rPr>
        <w:t>esculenta</w:t>
      </w:r>
      <w:proofErr w:type="spellEnd"/>
      <w:r w:rsidRPr="00255861">
        <w:rPr>
          <w:i/>
          <w:iCs/>
          <w:lang w:eastAsia="pt-BR"/>
        </w:rPr>
        <w:t xml:space="preserve"> </w:t>
      </w:r>
      <w:proofErr w:type="spellStart"/>
      <w:r w:rsidRPr="00255861">
        <w:rPr>
          <w:lang w:eastAsia="pt-BR"/>
        </w:rPr>
        <w:t>Crantz</w:t>
      </w:r>
      <w:proofErr w:type="spellEnd"/>
      <w:r w:rsidRPr="00255861">
        <w:rPr>
          <w:lang w:eastAsia="pt-BR"/>
        </w:rPr>
        <w:t xml:space="preserve"> (4);</w:t>
      </w:r>
      <w:r w:rsidRPr="00255861">
        <w:rPr>
          <w:i/>
          <w:lang w:eastAsia="pt-BR"/>
        </w:rPr>
        <w:t xml:space="preserve"> </w:t>
      </w:r>
      <w:proofErr w:type="spellStart"/>
      <w:r w:rsidRPr="00255861">
        <w:rPr>
          <w:i/>
          <w:lang w:eastAsia="pt-BR"/>
        </w:rPr>
        <w:t>Solanum</w:t>
      </w:r>
      <w:proofErr w:type="spellEnd"/>
      <w:r w:rsidRPr="00255861">
        <w:rPr>
          <w:i/>
          <w:lang w:eastAsia="pt-BR"/>
        </w:rPr>
        <w:t xml:space="preserve"> </w:t>
      </w:r>
      <w:proofErr w:type="spellStart"/>
      <w:r w:rsidRPr="00255861">
        <w:rPr>
          <w:i/>
          <w:lang w:eastAsia="pt-BR"/>
        </w:rPr>
        <w:t>tuberosum</w:t>
      </w:r>
      <w:proofErr w:type="spellEnd"/>
      <w:r w:rsidRPr="00255861">
        <w:rPr>
          <w:i/>
          <w:lang w:eastAsia="pt-BR"/>
        </w:rPr>
        <w:t xml:space="preserve"> L. </w:t>
      </w:r>
      <w:r w:rsidRPr="00255861">
        <w:rPr>
          <w:lang w:eastAsia="pt-BR"/>
        </w:rPr>
        <w:t>(4);</w:t>
      </w:r>
      <w:r w:rsidRPr="00255861">
        <w:rPr>
          <w:i/>
          <w:iCs/>
          <w:lang w:eastAsia="pt-BR"/>
        </w:rPr>
        <w:t xml:space="preserve"> </w:t>
      </w:r>
      <w:proofErr w:type="spellStart"/>
      <w:r w:rsidRPr="00255861">
        <w:rPr>
          <w:i/>
          <w:iCs/>
          <w:lang w:eastAsia="pt-BR"/>
        </w:rPr>
        <w:t>Zea</w:t>
      </w:r>
      <w:proofErr w:type="spellEnd"/>
      <w:r w:rsidRPr="00255861">
        <w:rPr>
          <w:i/>
          <w:iCs/>
          <w:lang w:eastAsia="pt-BR"/>
        </w:rPr>
        <w:t xml:space="preserve"> mays</w:t>
      </w:r>
      <w:r w:rsidRPr="00255861">
        <w:rPr>
          <w:lang w:eastAsia="pt-BR"/>
        </w:rPr>
        <w:t xml:space="preserve"> L. (2); </w:t>
      </w:r>
      <w:proofErr w:type="spellStart"/>
      <w:r w:rsidRPr="00255861">
        <w:rPr>
          <w:i/>
          <w:lang w:eastAsia="pt-BR"/>
        </w:rPr>
        <w:t>Avena</w:t>
      </w:r>
      <w:proofErr w:type="spellEnd"/>
      <w:r w:rsidRPr="00255861">
        <w:rPr>
          <w:i/>
          <w:lang w:eastAsia="pt-BR"/>
        </w:rPr>
        <w:t xml:space="preserve"> </w:t>
      </w:r>
      <w:proofErr w:type="spellStart"/>
      <w:r w:rsidRPr="00255861">
        <w:rPr>
          <w:i/>
          <w:lang w:eastAsia="pt-BR"/>
        </w:rPr>
        <w:t>spp</w:t>
      </w:r>
      <w:proofErr w:type="spellEnd"/>
      <w:r w:rsidRPr="00255861">
        <w:rPr>
          <w:i/>
          <w:lang w:eastAsia="pt-BR"/>
        </w:rPr>
        <w:t xml:space="preserve"> </w:t>
      </w:r>
      <w:r w:rsidRPr="00255861">
        <w:rPr>
          <w:lang w:eastAsia="pt-BR"/>
        </w:rPr>
        <w:t>(1);</w:t>
      </w:r>
      <w:r w:rsidRPr="00255861">
        <w:rPr>
          <w:i/>
          <w:lang w:eastAsia="pt-BR"/>
        </w:rPr>
        <w:t xml:space="preserve"> </w:t>
      </w:r>
      <w:proofErr w:type="spellStart"/>
      <w:r w:rsidRPr="00255861">
        <w:rPr>
          <w:i/>
          <w:iCs/>
          <w:lang w:eastAsia="pt-BR"/>
        </w:rPr>
        <w:t>Vigna</w:t>
      </w:r>
      <w:proofErr w:type="spellEnd"/>
      <w:r w:rsidRPr="00255861">
        <w:rPr>
          <w:i/>
          <w:iCs/>
          <w:lang w:eastAsia="pt-BR"/>
        </w:rPr>
        <w:t xml:space="preserve"> </w:t>
      </w:r>
      <w:proofErr w:type="spellStart"/>
      <w:r w:rsidRPr="00255861">
        <w:rPr>
          <w:i/>
          <w:iCs/>
          <w:lang w:eastAsia="pt-BR"/>
        </w:rPr>
        <w:t>unguiculata</w:t>
      </w:r>
      <w:proofErr w:type="spellEnd"/>
      <w:r w:rsidRPr="00255861">
        <w:rPr>
          <w:lang w:eastAsia="pt-BR"/>
        </w:rPr>
        <w:t xml:space="preserve"> L. (2);</w:t>
      </w:r>
      <w:r w:rsidRPr="00255861">
        <w:rPr>
          <w:i/>
          <w:iCs/>
          <w:lang w:eastAsia="pt-BR"/>
        </w:rPr>
        <w:t xml:space="preserve"> </w:t>
      </w:r>
      <w:r w:rsidR="00461C8A">
        <w:rPr>
          <w:rFonts w:cs="Arial"/>
          <w:i/>
          <w:iCs/>
          <w:lang w:eastAsia="pt-BR"/>
        </w:rPr>
        <w:t>×</w:t>
      </w:r>
      <w:proofErr w:type="spellStart"/>
      <w:r w:rsidRPr="00255861">
        <w:rPr>
          <w:i/>
          <w:iCs/>
          <w:lang w:eastAsia="pt-BR"/>
        </w:rPr>
        <w:t>Triticosecale</w:t>
      </w:r>
      <w:proofErr w:type="spellEnd"/>
      <w:r w:rsidRPr="00255861">
        <w:rPr>
          <w:i/>
          <w:iCs/>
          <w:lang w:eastAsia="pt-BR"/>
        </w:rPr>
        <w:t xml:space="preserve"> </w:t>
      </w:r>
      <w:r w:rsidRPr="00255861">
        <w:rPr>
          <w:lang w:eastAsia="pt-BR"/>
        </w:rPr>
        <w:t>Witt (1).</w:t>
      </w:r>
    </w:p>
    <w:p w:rsidR="00255861" w:rsidRPr="00255861" w:rsidRDefault="00255861" w:rsidP="00255861">
      <w:pPr>
        <w:rPr>
          <w:lang w:eastAsia="pt-BR"/>
        </w:rPr>
      </w:pPr>
    </w:p>
    <w:p w:rsidR="00255861" w:rsidRDefault="00255861" w:rsidP="00255861">
      <w:pPr>
        <w:rPr>
          <w:lang w:eastAsia="pt-BR"/>
        </w:rPr>
      </w:pPr>
      <w:r w:rsidRPr="00255861">
        <w:rPr>
          <w:lang w:eastAsia="pt-BR"/>
        </w:rPr>
        <w:t xml:space="preserve">8. Those titles </w:t>
      </w:r>
      <w:proofErr w:type="gramStart"/>
      <w:r w:rsidRPr="00255861">
        <w:rPr>
          <w:lang w:eastAsia="pt-BR"/>
        </w:rPr>
        <w:t>were granted</w:t>
      </w:r>
      <w:proofErr w:type="gramEnd"/>
      <w:r w:rsidRPr="00255861">
        <w:rPr>
          <w:lang w:eastAsia="pt-BR"/>
        </w:rPr>
        <w:t xml:space="preserve"> to applicants from: Brazil (136), Argentina (31); </w:t>
      </w:r>
      <w:r w:rsidR="00605303" w:rsidRPr="00255861">
        <w:rPr>
          <w:lang w:eastAsia="pt-BR"/>
        </w:rPr>
        <w:t>U</w:t>
      </w:r>
      <w:r w:rsidR="00605303">
        <w:rPr>
          <w:lang w:eastAsia="pt-BR"/>
        </w:rPr>
        <w:t xml:space="preserve">nited </w:t>
      </w:r>
      <w:r w:rsidR="00605303" w:rsidRPr="00255861">
        <w:rPr>
          <w:lang w:eastAsia="pt-BR"/>
        </w:rPr>
        <w:t>S</w:t>
      </w:r>
      <w:r w:rsidR="00605303">
        <w:rPr>
          <w:lang w:eastAsia="pt-BR"/>
        </w:rPr>
        <w:t xml:space="preserve">tates of </w:t>
      </w:r>
      <w:r w:rsidR="00605303" w:rsidRPr="00255861">
        <w:rPr>
          <w:lang w:eastAsia="pt-BR"/>
        </w:rPr>
        <w:t>A</w:t>
      </w:r>
      <w:r w:rsidR="00605303">
        <w:rPr>
          <w:lang w:eastAsia="pt-BR"/>
        </w:rPr>
        <w:t>merica</w:t>
      </w:r>
      <w:r w:rsidRPr="00255861">
        <w:rPr>
          <w:lang w:eastAsia="pt-BR"/>
        </w:rPr>
        <w:t xml:space="preserve"> (8), Netherlands (3), France (1) and U</w:t>
      </w:r>
      <w:r w:rsidR="00605303">
        <w:rPr>
          <w:lang w:eastAsia="pt-BR"/>
        </w:rPr>
        <w:t xml:space="preserve">nited </w:t>
      </w:r>
      <w:r w:rsidRPr="00255861">
        <w:rPr>
          <w:lang w:eastAsia="pt-BR"/>
        </w:rPr>
        <w:t>K</w:t>
      </w:r>
      <w:r w:rsidR="00605303">
        <w:rPr>
          <w:lang w:eastAsia="pt-BR"/>
        </w:rPr>
        <w:t>ingdom</w:t>
      </w:r>
      <w:r w:rsidRPr="00255861">
        <w:rPr>
          <w:lang w:eastAsia="pt-BR"/>
        </w:rPr>
        <w:t xml:space="preserve"> (1).</w:t>
      </w:r>
    </w:p>
    <w:p w:rsidR="00255861" w:rsidRPr="00255861" w:rsidRDefault="00255861" w:rsidP="00255861">
      <w:pPr>
        <w:rPr>
          <w:lang w:eastAsia="pt-BR"/>
        </w:rPr>
      </w:pPr>
    </w:p>
    <w:p w:rsidR="00255861" w:rsidRPr="00255861" w:rsidRDefault="00255861" w:rsidP="00255861">
      <w:pPr>
        <w:rPr>
          <w:rFonts w:ascii="Calibri" w:eastAsia="Calibri" w:hAnsi="Calibri"/>
          <w:sz w:val="22"/>
          <w:szCs w:val="22"/>
        </w:rPr>
      </w:pPr>
      <w:r w:rsidRPr="00255861">
        <w:rPr>
          <w:lang w:eastAsia="pt-BR"/>
        </w:rPr>
        <w:t xml:space="preserve">9. From January up to August </w:t>
      </w:r>
      <w:proofErr w:type="gramStart"/>
      <w:r w:rsidRPr="00255861">
        <w:rPr>
          <w:lang w:eastAsia="pt-BR"/>
        </w:rPr>
        <w:t>7</w:t>
      </w:r>
      <w:r w:rsidRPr="00255861">
        <w:rPr>
          <w:vertAlign w:val="superscript"/>
          <w:lang w:eastAsia="pt-BR"/>
        </w:rPr>
        <w:t>th</w:t>
      </w:r>
      <w:proofErr w:type="gramEnd"/>
      <w:r w:rsidRPr="00255861">
        <w:rPr>
          <w:lang w:eastAsia="pt-BR"/>
        </w:rPr>
        <w:t xml:space="preserve">, 2019, SNPC received 131 applications, 51 of them to agricultural crops; and granted 203 titles, 115 </w:t>
      </w:r>
      <w:r w:rsidR="00461C8A">
        <w:rPr>
          <w:lang w:eastAsia="pt-BR"/>
        </w:rPr>
        <w:t>for agricultural crops</w:t>
      </w:r>
      <w:r w:rsidRPr="00255861">
        <w:rPr>
          <w:i/>
          <w:lang w:eastAsia="pt-BR"/>
        </w:rPr>
        <w:t>.</w:t>
      </w:r>
      <w:bookmarkEnd w:id="3"/>
    </w:p>
    <w:p w:rsidR="007947FE" w:rsidRPr="00255861" w:rsidRDefault="007947FE" w:rsidP="007947FE"/>
    <w:p w:rsidR="00116968" w:rsidRPr="007947FE" w:rsidRDefault="00116968" w:rsidP="007947FE"/>
    <w:p w:rsidR="00FF2092" w:rsidRPr="007947FE" w:rsidRDefault="00FF2092" w:rsidP="007947FE"/>
    <w:p w:rsidR="00FF2092" w:rsidRDefault="00FF2092" w:rsidP="00FF2092">
      <w:pPr>
        <w:jc w:val="right"/>
      </w:pPr>
      <w:r>
        <w:t>[</w:t>
      </w:r>
      <w:r w:rsidR="007947FE">
        <w:t>Annex II follows]</w:t>
      </w:r>
    </w:p>
    <w:p w:rsidR="007947FE" w:rsidRDefault="007947FE" w:rsidP="00FF2092">
      <w:pPr>
        <w:jc w:val="right"/>
      </w:pPr>
    </w:p>
    <w:p w:rsidR="007947FE" w:rsidRDefault="007947FE" w:rsidP="00FF2092">
      <w:pPr>
        <w:jc w:val="right"/>
        <w:sectPr w:rsidR="007947FE" w:rsidSect="00906DDC">
          <w:headerReference w:type="first" r:id="rId10"/>
          <w:pgSz w:w="11907" w:h="16840" w:code="9"/>
          <w:pgMar w:top="510" w:right="1134" w:bottom="1134" w:left="1134" w:header="510" w:footer="680" w:gutter="0"/>
          <w:cols w:space="720"/>
          <w:titlePg/>
        </w:sectPr>
      </w:pPr>
    </w:p>
    <w:p w:rsidR="00050E16" w:rsidRDefault="00050E16" w:rsidP="00FC03D0">
      <w:pPr>
        <w:jc w:val="center"/>
      </w:pPr>
    </w:p>
    <w:p w:rsidR="000D1342" w:rsidRDefault="000D1342" w:rsidP="007947FE">
      <w:pPr>
        <w:jc w:val="center"/>
      </w:pPr>
      <w:r>
        <w:t>DENMARK</w:t>
      </w:r>
    </w:p>
    <w:p w:rsidR="000D1342" w:rsidRDefault="000D1342" w:rsidP="007947FE">
      <w:pPr>
        <w:jc w:val="center"/>
      </w:pPr>
    </w:p>
    <w:p w:rsidR="000D1342" w:rsidRDefault="000D1342" w:rsidP="007947FE">
      <w:pPr>
        <w:jc w:val="center"/>
      </w:pPr>
    </w:p>
    <w:p w:rsidR="000D1342" w:rsidRDefault="000D1342" w:rsidP="00BB1E7B">
      <w:r w:rsidRPr="000D1342">
        <w:t xml:space="preserve">The </w:t>
      </w:r>
      <w:proofErr w:type="spellStart"/>
      <w:r w:rsidRPr="000D1342">
        <w:t>TystofteFoundation</w:t>
      </w:r>
      <w:proofErr w:type="spellEnd"/>
      <w:r w:rsidRPr="000D1342">
        <w:t xml:space="preserve"> applied for extension of the scope of the CPVO entrustment with Rye (</w:t>
      </w:r>
      <w:proofErr w:type="spellStart"/>
      <w:r w:rsidRPr="000D1342">
        <w:rPr>
          <w:i/>
          <w:iCs/>
        </w:rPr>
        <w:t>Secale</w:t>
      </w:r>
      <w:proofErr w:type="spellEnd"/>
      <w:r w:rsidR="001D4494">
        <w:rPr>
          <w:i/>
          <w:iCs/>
        </w:rPr>
        <w:t> </w:t>
      </w:r>
      <w:proofErr w:type="spellStart"/>
      <w:r w:rsidR="001D4494">
        <w:rPr>
          <w:i/>
          <w:iCs/>
        </w:rPr>
        <w:t>cereal</w:t>
      </w:r>
      <w:r w:rsidR="00461C8A">
        <w:rPr>
          <w:i/>
          <w:iCs/>
        </w:rPr>
        <w:t>e</w:t>
      </w:r>
      <w:proofErr w:type="spellEnd"/>
      <w:r w:rsidR="001D4494">
        <w:t> </w:t>
      </w:r>
      <w:r w:rsidRPr="000D1342">
        <w:t xml:space="preserve">L.), and we are now in the first year of conducting </w:t>
      </w:r>
      <w:proofErr w:type="gramStart"/>
      <w:r w:rsidRPr="000D1342">
        <w:t>rye-testing</w:t>
      </w:r>
      <w:proofErr w:type="gramEnd"/>
      <w:r w:rsidRPr="000D1342">
        <w:t>, which is rather challenging and ex</w:t>
      </w:r>
      <w:r w:rsidR="00461C8A">
        <w:t>c</w:t>
      </w:r>
      <w:r w:rsidRPr="000D1342">
        <w:t>iting.</w:t>
      </w:r>
    </w:p>
    <w:p w:rsidR="00BB1E7B" w:rsidRPr="000D1342" w:rsidRDefault="00BB1E7B" w:rsidP="00BB1E7B"/>
    <w:p w:rsidR="000D1342" w:rsidRDefault="000D1342" w:rsidP="00BB1E7B">
      <w:r w:rsidRPr="000D1342">
        <w:t xml:space="preserve">We have started using a new 2.5 </w:t>
      </w:r>
      <w:proofErr w:type="spellStart"/>
      <w:r w:rsidRPr="000D1342">
        <w:t>mio</w:t>
      </w:r>
      <w:proofErr w:type="spellEnd"/>
      <w:r w:rsidRPr="000D1342">
        <w:t>. Euro building with offices, meeting rooms, laboratories and seed storage facilities. Further, we have started using GPS technology in seeding and maintenance of trials.</w:t>
      </w:r>
    </w:p>
    <w:p w:rsidR="00BB1E7B" w:rsidRPr="000D1342" w:rsidRDefault="00BB1E7B" w:rsidP="00BB1E7B"/>
    <w:p w:rsidR="000D1342" w:rsidRDefault="000D1342" w:rsidP="00BB1E7B">
      <w:r w:rsidRPr="000D1342">
        <w:t xml:space="preserve">The </w:t>
      </w:r>
      <w:proofErr w:type="spellStart"/>
      <w:r w:rsidRPr="000D1342">
        <w:t>TystofteFoundation</w:t>
      </w:r>
      <w:proofErr w:type="spellEnd"/>
      <w:r w:rsidRPr="000D1342">
        <w:t xml:space="preserve"> have joined a research project, INNOVAR, financed by the European Union. The project aims at developing variety testing </w:t>
      </w:r>
      <w:proofErr w:type="gramStart"/>
      <w:r w:rsidRPr="000D1342">
        <w:t>both for DUS and VCU</w:t>
      </w:r>
      <w:proofErr w:type="gramEnd"/>
      <w:r w:rsidRPr="000D1342">
        <w:t xml:space="preserve"> by using new technologies like DNA-marker analysis, phenotyping by images acquired by Unmanned Aerial Vehicles (drones) and introducing new methods of data-analysis in machine learning. The project is a corporation between 27 partners from European research institutions, E</w:t>
      </w:r>
      <w:r w:rsidR="00461C8A">
        <w:t>xamination Offices</w:t>
      </w:r>
      <w:r w:rsidRPr="000D1342">
        <w:t xml:space="preserve"> and breeding companies and it runs for 4.5 years.</w:t>
      </w:r>
    </w:p>
    <w:p w:rsidR="00BB1E7B" w:rsidRPr="000D1342" w:rsidRDefault="00BB1E7B" w:rsidP="00BB1E7B"/>
    <w:p w:rsidR="000D1342" w:rsidRDefault="000D1342" w:rsidP="00BB1E7B">
      <w:r w:rsidRPr="000D1342">
        <w:t xml:space="preserve">Several </w:t>
      </w:r>
      <w:proofErr w:type="spellStart"/>
      <w:r w:rsidRPr="000D1342">
        <w:t>TystofteFoundation</w:t>
      </w:r>
      <w:proofErr w:type="spellEnd"/>
      <w:r w:rsidRPr="000D1342">
        <w:t xml:space="preserve"> colleagues have followed the UPOV distance learning courses (DL205, DL 305A and DL305B</w:t>
      </w:r>
      <w:r w:rsidR="00461C8A">
        <w:t>)</w:t>
      </w:r>
      <w:r w:rsidRPr="000D1342">
        <w:t xml:space="preserve"> and have passed successfully. It is an effective way to lead new colleagues into the “world of variety testing.”</w:t>
      </w:r>
    </w:p>
    <w:p w:rsidR="00BB1E7B" w:rsidRPr="000D1342" w:rsidRDefault="00BB1E7B" w:rsidP="00BB1E7B"/>
    <w:p w:rsidR="000D1342" w:rsidRDefault="000D1342" w:rsidP="00BB1E7B">
      <w:r w:rsidRPr="000D1342">
        <w:t xml:space="preserve">The number of applications is on a stable high level in 2019 and as we in 2018 have started DUS in Rye, we notice increasing activities. </w:t>
      </w:r>
    </w:p>
    <w:p w:rsidR="00BB1E7B" w:rsidRPr="000D1342" w:rsidRDefault="00BB1E7B" w:rsidP="00BB1E7B"/>
    <w:p w:rsidR="000D1342" w:rsidRDefault="000D1342" w:rsidP="00BB1E7B">
      <w:r w:rsidRPr="000D1342">
        <w:t xml:space="preserve">The </w:t>
      </w:r>
      <w:proofErr w:type="spellStart"/>
      <w:r w:rsidRPr="000D1342">
        <w:t>TystofteFoundation</w:t>
      </w:r>
      <w:proofErr w:type="spellEnd"/>
      <w:r w:rsidRPr="000D1342">
        <w:t xml:space="preserve"> have changed DUS-coordinator to Preben Klarskov Hansen as Erik Anders Lawaetz has turned into senior advisor.</w:t>
      </w:r>
    </w:p>
    <w:p w:rsidR="00BB1E7B" w:rsidRPr="000D1342" w:rsidRDefault="00BB1E7B" w:rsidP="00BB1E7B"/>
    <w:p w:rsidR="000D1342" w:rsidRPr="000D1342" w:rsidRDefault="000D1342" w:rsidP="00BB1E7B">
      <w:r w:rsidRPr="000D1342">
        <w:t xml:space="preserve">The </w:t>
      </w:r>
      <w:proofErr w:type="spellStart"/>
      <w:r w:rsidRPr="000D1342">
        <w:t>TystofteFoundation</w:t>
      </w:r>
      <w:proofErr w:type="spellEnd"/>
      <w:r w:rsidRPr="000D1342">
        <w:t xml:space="preserve"> have delivered data to TWC for testing for possible exclusions of reference varieties after first year of testing. Denmark have appointed a new representative in</w:t>
      </w:r>
      <w:r w:rsidR="001D4494">
        <w:t xml:space="preserve"> TWC: Senior researcher Dr. Luc </w:t>
      </w:r>
      <w:proofErr w:type="spellStart"/>
      <w:r w:rsidRPr="000D1342">
        <w:t>Janss</w:t>
      </w:r>
      <w:proofErr w:type="spellEnd"/>
      <w:r w:rsidRPr="000D1342">
        <w:t>, from Aarhus University</w:t>
      </w:r>
      <w:proofErr w:type="gramStart"/>
      <w:r w:rsidRPr="000D1342">
        <w:t>,  Department</w:t>
      </w:r>
      <w:proofErr w:type="gramEnd"/>
      <w:r w:rsidRPr="000D1342">
        <w:t xml:space="preserve"> of Molecular Biology and Genetics - Center for Quantitative Genetics and Genomics</w:t>
      </w:r>
      <w:r w:rsidR="00461C8A">
        <w:t>,</w:t>
      </w:r>
      <w:r w:rsidRPr="000D1342">
        <w:t xml:space="preserve"> is replacing Mr. Kristian </w:t>
      </w:r>
      <w:proofErr w:type="spellStart"/>
      <w:r w:rsidRPr="000D1342">
        <w:t>Kristensen</w:t>
      </w:r>
      <w:proofErr w:type="spellEnd"/>
      <w:r w:rsidRPr="000D1342">
        <w:t>.</w:t>
      </w:r>
    </w:p>
    <w:p w:rsidR="000D1342" w:rsidRPr="000D1342" w:rsidRDefault="000D1342" w:rsidP="000D1342"/>
    <w:p w:rsidR="000D1342" w:rsidRDefault="000D1342" w:rsidP="007609FA"/>
    <w:p w:rsidR="000D1342" w:rsidRDefault="000D1342" w:rsidP="007609FA"/>
    <w:p w:rsidR="000D1342" w:rsidRDefault="000D1342" w:rsidP="000D1342">
      <w:pPr>
        <w:jc w:val="right"/>
      </w:pPr>
      <w:r>
        <w:t>[Annex III follows]</w:t>
      </w:r>
    </w:p>
    <w:p w:rsidR="000D1342" w:rsidRDefault="000D1342" w:rsidP="007947FE">
      <w:pPr>
        <w:jc w:val="center"/>
        <w:sectPr w:rsidR="000D1342" w:rsidSect="00B46F19">
          <w:headerReference w:type="default" r:id="rId11"/>
          <w:headerReference w:type="first" r:id="rId12"/>
          <w:pgSz w:w="11907" w:h="16840" w:code="9"/>
          <w:pgMar w:top="510" w:right="1134" w:bottom="1134" w:left="1134" w:header="510" w:footer="680" w:gutter="0"/>
          <w:pgNumType w:start="1"/>
          <w:cols w:space="720"/>
          <w:titlePg/>
        </w:sectPr>
      </w:pPr>
    </w:p>
    <w:p w:rsidR="000D1342" w:rsidRDefault="000D1342" w:rsidP="007947FE">
      <w:pPr>
        <w:jc w:val="center"/>
      </w:pPr>
    </w:p>
    <w:p w:rsidR="007947FE" w:rsidRDefault="007664B1" w:rsidP="007947FE">
      <w:pPr>
        <w:jc w:val="center"/>
      </w:pPr>
      <w:r>
        <w:t>EUROPEAN UNION</w:t>
      </w:r>
    </w:p>
    <w:p w:rsidR="007947FE" w:rsidRDefault="007947FE" w:rsidP="00FF2092"/>
    <w:p w:rsidR="007947FE" w:rsidRDefault="007947FE" w:rsidP="00FF2092"/>
    <w:p w:rsidR="001746EF" w:rsidRPr="001746EF" w:rsidRDefault="001746EF" w:rsidP="001746EF">
      <w:pPr>
        <w:jc w:val="center"/>
        <w:rPr>
          <w:lang w:val="en-GB"/>
        </w:rPr>
      </w:pPr>
      <w:r w:rsidRPr="001746EF">
        <w:rPr>
          <w:lang w:val="en-GB"/>
        </w:rPr>
        <w:t>Report on activities of the Community Plant Variety Office (CPVO) of the European Union (EU)</w:t>
      </w:r>
    </w:p>
    <w:p w:rsidR="001746EF" w:rsidRPr="001746EF" w:rsidRDefault="001746EF" w:rsidP="001746EF">
      <w:pPr>
        <w:rPr>
          <w:lang w:val="en-GB"/>
        </w:rPr>
      </w:pPr>
    </w:p>
    <w:p w:rsidR="001746EF" w:rsidRPr="00B46F19" w:rsidRDefault="001746EF" w:rsidP="001746EF">
      <w:pPr>
        <w:rPr>
          <w:lang w:val="en-GB"/>
        </w:rPr>
      </w:pPr>
      <w:r w:rsidRPr="00461C8A">
        <w:rPr>
          <w:u w:val="single"/>
          <w:lang w:val="en-GB"/>
        </w:rPr>
        <w:t>Statistics for 2018:</w:t>
      </w:r>
      <w:r w:rsidRPr="00B46F19">
        <w:rPr>
          <w:lang w:val="en-GB"/>
        </w:rPr>
        <w:t xml:space="preserve"> In 2018, the CPVO received 3 554 applications for Community plant variety rights – the second highest number in the history of the Office. </w:t>
      </w:r>
    </w:p>
    <w:p w:rsidR="001746EF" w:rsidRPr="00B46F19" w:rsidRDefault="001746EF" w:rsidP="001746EF">
      <w:pPr>
        <w:rPr>
          <w:lang w:val="en-GB"/>
        </w:rPr>
      </w:pPr>
    </w:p>
    <w:p w:rsidR="001746EF" w:rsidRPr="00B46F19" w:rsidRDefault="001746EF" w:rsidP="001746EF">
      <w:pPr>
        <w:rPr>
          <w:lang w:val="en-GB"/>
        </w:rPr>
      </w:pPr>
      <w:r w:rsidRPr="00B46F19">
        <w:rPr>
          <w:lang w:val="en-GB"/>
        </w:rPr>
        <w:t>With 1561 applications received, it was one of the best years in the agricultural sector. Maize (262), Wheat (152) and Oilseed rape (103) remain the top three species in that sector.</w:t>
      </w:r>
    </w:p>
    <w:p w:rsidR="001746EF" w:rsidRPr="00B46F19" w:rsidRDefault="001746EF" w:rsidP="001746EF">
      <w:pPr>
        <w:rPr>
          <w:lang w:val="en-GB"/>
        </w:rPr>
      </w:pPr>
    </w:p>
    <w:p w:rsidR="001746EF" w:rsidRPr="00B46F19" w:rsidRDefault="001746EF" w:rsidP="001746EF">
      <w:pPr>
        <w:rPr>
          <w:lang w:val="en-GB"/>
        </w:rPr>
      </w:pPr>
      <w:r w:rsidRPr="00B46F19">
        <w:rPr>
          <w:lang w:val="en-GB"/>
        </w:rPr>
        <w:t>In 2018, the Office granted 2757 titles for Community protection; 26 859 titles were in force at the end of the year.</w:t>
      </w:r>
    </w:p>
    <w:p w:rsidR="001746EF" w:rsidRPr="00B46F19" w:rsidRDefault="001746EF" w:rsidP="001746EF">
      <w:pPr>
        <w:rPr>
          <w:rFonts w:eastAsia="Calibri"/>
          <w:lang w:val="en-GB"/>
        </w:rPr>
      </w:pPr>
    </w:p>
    <w:p w:rsidR="001746EF" w:rsidRPr="00B46F19" w:rsidRDefault="001746EF" w:rsidP="001746EF">
      <w:pPr>
        <w:rPr>
          <w:rFonts w:eastAsia="Times New Roman"/>
          <w:lang w:val="en-GB" w:eastAsia="fr-FR"/>
        </w:rPr>
      </w:pPr>
      <w:r w:rsidRPr="00461C8A">
        <w:rPr>
          <w:u w:val="single"/>
          <w:lang w:val="en-GB"/>
        </w:rPr>
        <w:t>Administrative Council (AC):</w:t>
      </w:r>
      <w:r w:rsidRPr="00B46F19">
        <w:rPr>
          <w:lang w:val="en-GB"/>
        </w:rPr>
        <w:t xml:space="preserve"> </w:t>
      </w:r>
      <w:r w:rsidRPr="00B46F19">
        <w:rPr>
          <w:rFonts w:eastAsia="Times New Roman"/>
          <w:lang w:val="en-GB" w:eastAsia="fr-FR"/>
        </w:rPr>
        <w:t xml:space="preserve">In 2018, the AC continued meeting twice a year. The AC approved the revision of two technical </w:t>
      </w:r>
      <w:proofErr w:type="spellStart"/>
      <w:r w:rsidRPr="00B46F19">
        <w:rPr>
          <w:rFonts w:eastAsia="Times New Roman"/>
          <w:lang w:val="en-GB" w:eastAsia="fr-FR"/>
        </w:rPr>
        <w:t>protocls</w:t>
      </w:r>
      <w:proofErr w:type="spellEnd"/>
      <w:r w:rsidRPr="00B46F19">
        <w:rPr>
          <w:rFonts w:eastAsia="Times New Roman"/>
          <w:lang w:val="en-GB" w:eastAsia="fr-FR"/>
        </w:rPr>
        <w:t xml:space="preserve">, namely Hemp/Cannabis and </w:t>
      </w:r>
      <w:proofErr w:type="spellStart"/>
      <w:r w:rsidRPr="00B46F19">
        <w:rPr>
          <w:rFonts w:eastAsia="Times New Roman"/>
          <w:lang w:val="en-GB" w:eastAsia="fr-FR"/>
        </w:rPr>
        <w:t>Sugarbeet</w:t>
      </w:r>
      <w:proofErr w:type="spellEnd"/>
      <w:r w:rsidRPr="00B46F19">
        <w:rPr>
          <w:rFonts w:eastAsia="Times New Roman"/>
          <w:lang w:val="en-GB" w:eastAsia="fr-FR"/>
        </w:rPr>
        <w:t xml:space="preserve"> components.</w:t>
      </w:r>
    </w:p>
    <w:p w:rsidR="001746EF" w:rsidRPr="00B46F19" w:rsidRDefault="001746EF" w:rsidP="001746EF">
      <w:pPr>
        <w:rPr>
          <w:rFonts w:eastAsia="Times New Roman"/>
          <w:lang w:val="en-GB" w:eastAsia="fr-FR"/>
        </w:rPr>
      </w:pPr>
    </w:p>
    <w:p w:rsidR="001746EF" w:rsidRPr="00B46F19" w:rsidRDefault="001746EF" w:rsidP="001746EF">
      <w:pPr>
        <w:rPr>
          <w:rFonts w:eastAsia="Times New Roman"/>
          <w:lang w:val="en-GB" w:eastAsia="fr-FR"/>
        </w:rPr>
      </w:pPr>
      <w:r w:rsidRPr="00461C8A">
        <w:rPr>
          <w:rFonts w:eastAsia="Times New Roman"/>
          <w:u w:val="single"/>
          <w:lang w:val="en-GB" w:eastAsia="fr-FR"/>
        </w:rPr>
        <w:t>Seminar on “The benefits of Plant Variety Protection”:</w:t>
      </w:r>
      <w:r w:rsidRPr="00B46F19">
        <w:rPr>
          <w:rFonts w:eastAsia="Times New Roman"/>
          <w:lang w:val="en-GB" w:eastAsia="fr-FR"/>
        </w:rPr>
        <w:t xml:space="preserve"> In 2018, enforcement seminar promoting investments in plant breeding in Sofia (Bulgaria) was prepared in collaboration with the Bulgarian Ministry of Agriculture and Foodstuffs and the Bulgarian Executive Agency for Variety Testing, Field Inspection and Seed Control. More than 130 participants from the private and the public sectors attended the event. In </w:t>
      </w:r>
      <w:proofErr w:type="gramStart"/>
      <w:r w:rsidRPr="00B46F19">
        <w:rPr>
          <w:rFonts w:eastAsia="Times New Roman"/>
          <w:lang w:val="en-GB" w:eastAsia="fr-FR"/>
        </w:rPr>
        <w:t>2020</w:t>
      </w:r>
      <w:proofErr w:type="gramEnd"/>
      <w:r w:rsidRPr="00B46F19">
        <w:rPr>
          <w:rFonts w:eastAsia="Times New Roman"/>
          <w:lang w:val="en-GB" w:eastAsia="fr-FR"/>
        </w:rPr>
        <w:t xml:space="preserve"> the CPVO will organise in cooperation with the authorities in Estonia a Seminar related to Farm Saved Seed</w:t>
      </w:r>
      <w:r w:rsidR="00461C8A">
        <w:rPr>
          <w:rFonts w:eastAsia="Times New Roman"/>
          <w:lang w:val="en-GB" w:eastAsia="fr-FR"/>
        </w:rPr>
        <w:t>.</w:t>
      </w:r>
    </w:p>
    <w:p w:rsidR="001746EF" w:rsidRPr="00B46F19" w:rsidRDefault="001746EF" w:rsidP="001746EF">
      <w:pPr>
        <w:rPr>
          <w:rFonts w:eastAsia="Times New Roman"/>
          <w:lang w:val="en-GB" w:eastAsia="fr-FR"/>
        </w:rPr>
      </w:pPr>
    </w:p>
    <w:p w:rsidR="001746EF" w:rsidRPr="00B46F19" w:rsidRDefault="001746EF" w:rsidP="001746EF">
      <w:pPr>
        <w:rPr>
          <w:lang w:val="en-GB"/>
        </w:rPr>
      </w:pPr>
      <w:r w:rsidRPr="00461C8A">
        <w:rPr>
          <w:u w:val="single"/>
          <w:lang w:val="en-GB"/>
        </w:rPr>
        <w:t xml:space="preserve">Cooperation with the European Patent Office (EPO): </w:t>
      </w:r>
      <w:r w:rsidRPr="00B46F19">
        <w:rPr>
          <w:lang w:val="en-GB"/>
        </w:rPr>
        <w:t>The CPVO made recently available to EPO a range of application documents and variety descriptions for routine searches by EPO examiners in order to ensure that plant related patent applications do not overlap with existing Plant breeders’ rights.</w:t>
      </w:r>
    </w:p>
    <w:p w:rsidR="001746EF" w:rsidRPr="00B46F19" w:rsidRDefault="001746EF" w:rsidP="001746EF">
      <w:pPr>
        <w:rPr>
          <w:lang w:val="en-GB"/>
        </w:rPr>
      </w:pPr>
    </w:p>
    <w:p w:rsidR="001746EF" w:rsidRPr="00B46F19" w:rsidRDefault="001746EF" w:rsidP="001746EF">
      <w:pPr>
        <w:rPr>
          <w:rFonts w:eastAsia="Times New Roman"/>
          <w:lang w:val="en-GB" w:eastAsia="fr-FR"/>
        </w:rPr>
      </w:pPr>
      <w:proofErr w:type="spellStart"/>
      <w:r w:rsidRPr="00461C8A">
        <w:rPr>
          <w:rFonts w:eastAsia="Times New Roman"/>
          <w:u w:val="single"/>
          <w:lang w:val="en-GB" w:eastAsia="fr-FR"/>
        </w:rPr>
        <w:t>Brexit</w:t>
      </w:r>
      <w:proofErr w:type="spellEnd"/>
      <w:r w:rsidRPr="00461C8A">
        <w:rPr>
          <w:rFonts w:eastAsia="Times New Roman"/>
          <w:u w:val="single"/>
          <w:lang w:val="en-GB" w:eastAsia="fr-FR"/>
        </w:rPr>
        <w:t xml:space="preserve"> situation:</w:t>
      </w:r>
      <w:r w:rsidRPr="00B46F19">
        <w:rPr>
          <w:rFonts w:eastAsia="Times New Roman"/>
          <w:lang w:val="en-GB" w:eastAsia="fr-FR"/>
        </w:rPr>
        <w:t xml:space="preserve"> in view of the forthcoming withdrawal of the U</w:t>
      </w:r>
      <w:r w:rsidR="00B46F19">
        <w:rPr>
          <w:rFonts w:eastAsia="Times New Roman"/>
          <w:lang w:val="en-GB" w:eastAsia="fr-FR"/>
        </w:rPr>
        <w:t xml:space="preserve">nited </w:t>
      </w:r>
      <w:r w:rsidRPr="00B46F19">
        <w:rPr>
          <w:rFonts w:eastAsia="Times New Roman"/>
          <w:lang w:val="en-GB" w:eastAsia="fr-FR"/>
        </w:rPr>
        <w:t>K</w:t>
      </w:r>
      <w:r w:rsidR="00B46F19">
        <w:rPr>
          <w:rFonts w:eastAsia="Times New Roman"/>
          <w:lang w:val="en-GB" w:eastAsia="fr-FR"/>
        </w:rPr>
        <w:t>ingdom</w:t>
      </w:r>
      <w:r w:rsidRPr="00B46F19">
        <w:rPr>
          <w:rFonts w:eastAsia="Times New Roman"/>
          <w:lang w:val="en-GB" w:eastAsia="fr-FR"/>
        </w:rPr>
        <w:t xml:space="preserve"> from the E</w:t>
      </w:r>
      <w:r w:rsidR="00B46F19">
        <w:rPr>
          <w:rFonts w:eastAsia="Times New Roman"/>
          <w:lang w:val="en-GB" w:eastAsia="fr-FR"/>
        </w:rPr>
        <w:t xml:space="preserve">uropean </w:t>
      </w:r>
      <w:r w:rsidRPr="00B46F19">
        <w:rPr>
          <w:rFonts w:eastAsia="Times New Roman"/>
          <w:lang w:val="en-GB" w:eastAsia="fr-FR"/>
        </w:rPr>
        <w:t>U</w:t>
      </w:r>
      <w:r w:rsidR="00B46F19">
        <w:rPr>
          <w:rFonts w:eastAsia="Times New Roman"/>
          <w:lang w:val="en-GB" w:eastAsia="fr-FR"/>
        </w:rPr>
        <w:t>nion</w:t>
      </w:r>
      <w:r w:rsidRPr="00B46F19">
        <w:rPr>
          <w:rFonts w:eastAsia="Times New Roman"/>
          <w:lang w:val="en-GB" w:eastAsia="fr-FR"/>
        </w:rPr>
        <w:t>, the CPVO had to stop organizing new DUS examinations in examination offices in the U</w:t>
      </w:r>
      <w:r w:rsidR="00B46F19">
        <w:rPr>
          <w:rFonts w:eastAsia="Times New Roman"/>
          <w:lang w:val="en-GB" w:eastAsia="fr-FR"/>
        </w:rPr>
        <w:t xml:space="preserve">nited </w:t>
      </w:r>
      <w:r w:rsidRPr="00B46F19">
        <w:rPr>
          <w:rFonts w:eastAsia="Times New Roman"/>
          <w:lang w:val="en-GB" w:eastAsia="fr-FR"/>
        </w:rPr>
        <w:t>K</w:t>
      </w:r>
      <w:r w:rsidR="00B46F19">
        <w:rPr>
          <w:rFonts w:eastAsia="Times New Roman"/>
          <w:lang w:val="en-GB" w:eastAsia="fr-FR"/>
        </w:rPr>
        <w:t>ingdom</w:t>
      </w:r>
      <w:r w:rsidRPr="00B46F19">
        <w:rPr>
          <w:rFonts w:eastAsia="Times New Roman"/>
          <w:lang w:val="en-GB" w:eastAsia="fr-FR"/>
        </w:rPr>
        <w:t xml:space="preserve">; all species entrusted to these offices for testing and where there was a pending application </w:t>
      </w:r>
      <w:proofErr w:type="gramStart"/>
      <w:r w:rsidRPr="00B46F19">
        <w:rPr>
          <w:rFonts w:eastAsia="Times New Roman"/>
          <w:lang w:val="en-GB" w:eastAsia="fr-FR"/>
        </w:rPr>
        <w:t>have been reattributed</w:t>
      </w:r>
      <w:proofErr w:type="gramEnd"/>
      <w:r w:rsidRPr="00B46F19">
        <w:rPr>
          <w:rFonts w:eastAsia="Times New Roman"/>
          <w:lang w:val="en-GB" w:eastAsia="fr-FR"/>
        </w:rPr>
        <w:t xml:space="preserve"> to other EU-based examination offices. </w:t>
      </w:r>
      <w:proofErr w:type="gramStart"/>
      <w:r w:rsidRPr="00B46F19">
        <w:rPr>
          <w:rFonts w:eastAsia="Times New Roman"/>
          <w:lang w:val="en-GB" w:eastAsia="fr-FR"/>
        </w:rPr>
        <w:t>However</w:t>
      </w:r>
      <w:proofErr w:type="gramEnd"/>
      <w:r w:rsidRPr="00B46F19">
        <w:rPr>
          <w:rFonts w:eastAsia="Times New Roman"/>
          <w:lang w:val="en-GB" w:eastAsia="fr-FR"/>
        </w:rPr>
        <w:t xml:space="preserve"> it is still possible for the CPVO to take over available DUS reports from U</w:t>
      </w:r>
      <w:r w:rsidR="00B46F19">
        <w:rPr>
          <w:rFonts w:eastAsia="Times New Roman"/>
          <w:lang w:val="en-GB" w:eastAsia="fr-FR"/>
        </w:rPr>
        <w:t xml:space="preserve">nited </w:t>
      </w:r>
      <w:r w:rsidRPr="00B46F19">
        <w:rPr>
          <w:rFonts w:eastAsia="Times New Roman"/>
          <w:lang w:val="en-GB" w:eastAsia="fr-FR"/>
        </w:rPr>
        <w:t>K</w:t>
      </w:r>
      <w:r w:rsidR="00B46F19">
        <w:rPr>
          <w:rFonts w:eastAsia="Times New Roman"/>
          <w:lang w:val="en-GB" w:eastAsia="fr-FR"/>
        </w:rPr>
        <w:t>ingdom</w:t>
      </w:r>
      <w:r w:rsidRPr="00B46F19">
        <w:rPr>
          <w:rFonts w:eastAsia="Times New Roman"/>
          <w:lang w:val="en-GB" w:eastAsia="fr-FR"/>
        </w:rPr>
        <w:t xml:space="preserve"> examination offices until </w:t>
      </w:r>
      <w:proofErr w:type="spellStart"/>
      <w:r w:rsidRPr="00B46F19">
        <w:rPr>
          <w:rFonts w:eastAsia="Times New Roman"/>
          <w:lang w:val="en-GB" w:eastAsia="fr-FR"/>
        </w:rPr>
        <w:t>Brexit</w:t>
      </w:r>
      <w:proofErr w:type="spellEnd"/>
      <w:r w:rsidRPr="00B46F19">
        <w:rPr>
          <w:rFonts w:eastAsia="Times New Roman"/>
          <w:lang w:val="en-GB" w:eastAsia="fr-FR"/>
        </w:rPr>
        <w:t xml:space="preserve"> becomes reality.</w:t>
      </w:r>
    </w:p>
    <w:p w:rsidR="001746EF" w:rsidRPr="00B46F19" w:rsidRDefault="001746EF" w:rsidP="001746EF">
      <w:pPr>
        <w:rPr>
          <w:rFonts w:eastAsia="Calibri"/>
          <w:lang w:val="en-GB"/>
        </w:rPr>
      </w:pPr>
    </w:p>
    <w:p w:rsidR="001746EF" w:rsidRPr="00B46F19" w:rsidRDefault="001746EF" w:rsidP="001746EF">
      <w:pPr>
        <w:rPr>
          <w:rFonts w:eastAsia="Times New Roman"/>
          <w:lang w:val="en-GB" w:eastAsia="fr-FR"/>
        </w:rPr>
      </w:pPr>
      <w:r w:rsidRPr="00461C8A">
        <w:rPr>
          <w:rFonts w:eastAsia="Times New Roman"/>
          <w:u w:val="single"/>
          <w:lang w:val="en-GB" w:eastAsia="fr-FR"/>
        </w:rPr>
        <w:t xml:space="preserve">R&amp;D: </w:t>
      </w:r>
      <w:r w:rsidRPr="00B46F19">
        <w:rPr>
          <w:rFonts w:eastAsia="Times New Roman"/>
          <w:lang w:val="en-GB" w:eastAsia="fr-FR"/>
        </w:rPr>
        <w:t xml:space="preserve">The CPVO participates in the </w:t>
      </w:r>
      <w:r w:rsidRPr="00B46F19">
        <w:rPr>
          <w:rFonts w:eastAsia="Times New Roman"/>
          <w:u w:val="single"/>
          <w:lang w:val="en-GB" w:eastAsia="fr-FR"/>
        </w:rPr>
        <w:t>‘Invite’ consortium</w:t>
      </w:r>
      <w:r w:rsidRPr="00B46F19">
        <w:rPr>
          <w:rFonts w:eastAsia="Times New Roman"/>
          <w:lang w:val="en-GB" w:eastAsia="fr-FR"/>
        </w:rPr>
        <w:t>, which submitted a successful bid in 2018 under the Horizon 2020 project financed by the European Commission. The proposal aims at improving variety testing in the EU with the help of molecular techniques and image analysis. A kick off meeting of the project partners took place in Angers (FR) in July 2019.</w:t>
      </w:r>
    </w:p>
    <w:p w:rsidR="001746EF" w:rsidRPr="00B46F19" w:rsidRDefault="001746EF" w:rsidP="001746EF">
      <w:pPr>
        <w:rPr>
          <w:rFonts w:eastAsia="Times New Roman"/>
          <w:lang w:val="en-GB" w:eastAsia="fr-FR"/>
        </w:rPr>
      </w:pPr>
      <w:r w:rsidRPr="00B46F19">
        <w:rPr>
          <w:rFonts w:eastAsia="Times New Roman"/>
          <w:lang w:val="en-GB" w:eastAsia="fr-FR"/>
        </w:rPr>
        <w:t xml:space="preserve"> </w:t>
      </w:r>
    </w:p>
    <w:p w:rsidR="001746EF" w:rsidRPr="00B46F19" w:rsidRDefault="001746EF" w:rsidP="001746EF">
      <w:pPr>
        <w:rPr>
          <w:rFonts w:eastAsia="Times New Roman"/>
          <w:lang w:val="en-GB" w:eastAsia="fr-FR"/>
        </w:rPr>
      </w:pPr>
      <w:r w:rsidRPr="00B46F19">
        <w:rPr>
          <w:u w:val="single"/>
          <w:lang w:val="en-GB"/>
        </w:rPr>
        <w:t>“DURDUS: Integration of molecular data into DUS testing in Durum wheat”:</w:t>
      </w:r>
      <w:r w:rsidRPr="00B46F19">
        <w:rPr>
          <w:lang w:val="en-GB"/>
        </w:rPr>
        <w:t xml:space="preserve"> The project started in 2018 with AGES (AT) as project coordinator and CREA-DC (IT), INIA (ES), GEVES (FR) and NEBIH (HU) as project partners. The objective is to combine genotypic and phenotypic data to optimise the reference collection management by investigating the use of SNP markers of a commercial DNA chip. A first meeting took place in June 2018 in Vienna and in June </w:t>
      </w:r>
      <w:proofErr w:type="gramStart"/>
      <w:r w:rsidRPr="00B46F19">
        <w:rPr>
          <w:lang w:val="en-GB"/>
        </w:rPr>
        <w:t>2019</w:t>
      </w:r>
      <w:proofErr w:type="gramEnd"/>
      <w:r w:rsidRPr="00B46F19">
        <w:rPr>
          <w:lang w:val="en-GB"/>
        </w:rPr>
        <w:t xml:space="preserve"> the ring trial was visited and discussed close to Milano (IT). </w:t>
      </w:r>
      <w:r w:rsidRPr="00B46F19">
        <w:rPr>
          <w:rFonts w:eastAsia="Times New Roman"/>
          <w:lang w:val="en-GB" w:eastAsia="fr-FR"/>
        </w:rPr>
        <w:t xml:space="preserve">The final report </w:t>
      </w:r>
      <w:proofErr w:type="gramStart"/>
      <w:r w:rsidRPr="00B46F19">
        <w:rPr>
          <w:rFonts w:eastAsia="Times New Roman"/>
          <w:lang w:val="en-GB" w:eastAsia="fr-FR"/>
        </w:rPr>
        <w:t>is expected</w:t>
      </w:r>
      <w:proofErr w:type="gramEnd"/>
      <w:r w:rsidRPr="00B46F19">
        <w:rPr>
          <w:rFonts w:eastAsia="Times New Roman"/>
          <w:lang w:val="en-GB" w:eastAsia="fr-FR"/>
        </w:rPr>
        <w:t xml:space="preserve"> for December 2020.</w:t>
      </w:r>
    </w:p>
    <w:p w:rsidR="001746EF" w:rsidRPr="00B46F19" w:rsidRDefault="001746EF" w:rsidP="001746EF">
      <w:pPr>
        <w:rPr>
          <w:rFonts w:eastAsia="Times New Roman"/>
          <w:lang w:val="en-GB" w:eastAsia="fr-FR"/>
        </w:rPr>
      </w:pPr>
    </w:p>
    <w:p w:rsidR="001746EF" w:rsidRPr="00B46F19" w:rsidRDefault="001746EF" w:rsidP="001746EF">
      <w:pPr>
        <w:rPr>
          <w:lang w:val="en-GB" w:eastAsia="fr-FR"/>
        </w:rPr>
      </w:pPr>
      <w:r w:rsidRPr="00B46F19">
        <w:rPr>
          <w:u w:val="single"/>
          <w:lang w:val="en-GB" w:eastAsia="fr-FR"/>
        </w:rPr>
        <w:t xml:space="preserve">“Developing a strategy to apply SNP molecular markers in the framework of winter oilseed rape </w:t>
      </w:r>
      <w:r w:rsidR="00461C8A">
        <w:rPr>
          <w:u w:val="single"/>
          <w:lang w:val="en-GB" w:eastAsia="fr-FR"/>
        </w:rPr>
        <w:t xml:space="preserve">(WOSR) </w:t>
      </w:r>
      <w:r w:rsidRPr="00B46F19">
        <w:rPr>
          <w:u w:val="single"/>
          <w:lang w:val="en-GB" w:eastAsia="fr-FR"/>
        </w:rPr>
        <w:t>DUS testing</w:t>
      </w:r>
      <w:r w:rsidRPr="00B46F19">
        <w:rPr>
          <w:lang w:val="en-GB" w:eastAsia="fr-FR"/>
        </w:rPr>
        <w:t xml:space="preserve">”: The project started in 2019 and will last 24 months. Project coordinator is GEVES, project partners are </w:t>
      </w:r>
      <w:proofErr w:type="spellStart"/>
      <w:r w:rsidRPr="00B46F19">
        <w:rPr>
          <w:lang w:val="en-GB" w:eastAsia="fr-FR"/>
        </w:rPr>
        <w:t>Bundessortenamt</w:t>
      </w:r>
      <w:proofErr w:type="spellEnd"/>
      <w:r w:rsidRPr="00B46F19">
        <w:rPr>
          <w:lang w:val="en-GB" w:eastAsia="fr-FR"/>
        </w:rPr>
        <w:t xml:space="preserve"> (DE) and NIAB (</w:t>
      </w:r>
      <w:r w:rsidR="00B46F19">
        <w:rPr>
          <w:lang w:val="en-GB" w:eastAsia="fr-FR"/>
        </w:rPr>
        <w:t>GB</w:t>
      </w:r>
      <w:r w:rsidRPr="00B46F19">
        <w:rPr>
          <w:lang w:val="en-GB" w:eastAsia="fr-FR"/>
        </w:rPr>
        <w:t xml:space="preserve">). </w:t>
      </w:r>
      <w:proofErr w:type="gramStart"/>
      <w:r w:rsidRPr="00B46F19">
        <w:rPr>
          <w:lang w:val="en-GB" w:eastAsia="fr-FR"/>
        </w:rPr>
        <w:t>This project is a first follow up project (after the identification of a suitable SNP marker set and the adequate bulking sample size)</w:t>
      </w:r>
      <w:r w:rsidRPr="00064BC8">
        <w:rPr>
          <w:szCs w:val="24"/>
          <w:lang w:eastAsia="fr-FR"/>
        </w:rPr>
        <w:t xml:space="preserve"> and will </w:t>
      </w:r>
      <w:r w:rsidRPr="00B46F19">
        <w:rPr>
          <w:lang w:val="en-GB" w:eastAsia="fr-FR"/>
        </w:rPr>
        <w:t>focus on 2 main issues: 1. To produce large and consistent molecular data on a wide number of WOSR varieties and reach an optimized SNP set</w:t>
      </w:r>
      <w:r w:rsidR="00461C8A" w:rsidRPr="00461C8A">
        <w:rPr>
          <w:lang w:val="en-GB" w:eastAsia="fr-FR"/>
        </w:rPr>
        <w:t>;</w:t>
      </w:r>
      <w:r w:rsidRPr="00B46F19">
        <w:rPr>
          <w:lang w:val="en-GB" w:eastAsia="fr-FR"/>
        </w:rPr>
        <w:t xml:space="preserve"> and 2. To develop a method to use these genetic data by testing existing UPOV model and by developing new ones well-adapted for this species, both from historical field data.</w:t>
      </w:r>
      <w:proofErr w:type="gramEnd"/>
      <w:r w:rsidRPr="00B46F19">
        <w:rPr>
          <w:lang w:val="en-GB" w:eastAsia="fr-FR"/>
        </w:rPr>
        <w:t xml:space="preserve"> The project will work on the two existing methods for DUS on WOSR (COY and COY+GAIA) on their reference collections.</w:t>
      </w:r>
    </w:p>
    <w:p w:rsidR="001746EF" w:rsidRPr="00B46F19" w:rsidRDefault="001746EF" w:rsidP="001746EF">
      <w:pPr>
        <w:rPr>
          <w:lang w:val="en-GB" w:eastAsia="fr-FR"/>
        </w:rPr>
      </w:pPr>
    </w:p>
    <w:p w:rsidR="001746EF" w:rsidRPr="001746EF" w:rsidRDefault="001746EF" w:rsidP="001746EF">
      <w:pPr>
        <w:rPr>
          <w:lang w:val="en-GB" w:eastAsia="fr-FR"/>
        </w:rPr>
      </w:pPr>
      <w:r w:rsidRPr="00461C8A">
        <w:rPr>
          <w:u w:val="single"/>
          <w:lang w:val="en-GB" w:eastAsia="fr-FR"/>
        </w:rPr>
        <w:t xml:space="preserve">Agricultural experts’ meeting: </w:t>
      </w:r>
      <w:r w:rsidRPr="00B46F19">
        <w:rPr>
          <w:lang w:val="en-GB" w:eastAsia="fr-FR"/>
        </w:rPr>
        <w:t xml:space="preserve">The agricultural experts meeting (AEM) took place in September 2018 in Milan (Italy). With 41 </w:t>
      </w:r>
      <w:proofErr w:type="gramStart"/>
      <w:r w:rsidRPr="00B46F19">
        <w:rPr>
          <w:lang w:val="en-GB" w:eastAsia="fr-FR"/>
        </w:rPr>
        <w:t>participants</w:t>
      </w:r>
      <w:proofErr w:type="gramEnd"/>
      <w:r w:rsidRPr="00B46F19">
        <w:rPr>
          <w:lang w:val="en-GB" w:eastAsia="fr-FR"/>
        </w:rPr>
        <w:t xml:space="preserve"> the usually high attendance was even higher than in 2017 and attended by</w:t>
      </w:r>
      <w:r w:rsidRPr="001746EF">
        <w:rPr>
          <w:lang w:val="en-GB" w:eastAsia="fr-FR"/>
        </w:rPr>
        <w:t xml:space="preserve"> representatives of the CPVO’s entrusted examination offices and ESA. The meeting hosted by the Italian examination office included a technical visit to the DUS testing in </w:t>
      </w:r>
      <w:proofErr w:type="spellStart"/>
      <w:r w:rsidRPr="001746EF">
        <w:rPr>
          <w:lang w:val="en-GB" w:eastAsia="fr-FR"/>
        </w:rPr>
        <w:t>Tvazzano</w:t>
      </w:r>
      <w:proofErr w:type="spellEnd"/>
      <w:r w:rsidRPr="001746EF">
        <w:rPr>
          <w:lang w:val="en-GB" w:eastAsia="fr-FR"/>
        </w:rPr>
        <w:t xml:space="preserve"> in order to discuss DUS questions on maize.</w:t>
      </w:r>
    </w:p>
    <w:p w:rsidR="001746EF" w:rsidRPr="001746EF" w:rsidRDefault="001746EF" w:rsidP="001746EF">
      <w:pPr>
        <w:rPr>
          <w:lang w:val="en-GB" w:eastAsia="fr-FR"/>
        </w:rPr>
      </w:pPr>
    </w:p>
    <w:p w:rsidR="001746EF" w:rsidRPr="001746EF" w:rsidRDefault="001746EF" w:rsidP="001746EF">
      <w:pPr>
        <w:rPr>
          <w:lang w:val="en-GB" w:eastAsia="fr-FR"/>
        </w:rPr>
      </w:pPr>
      <w:r w:rsidRPr="001746EF">
        <w:rPr>
          <w:lang w:val="en-GB" w:eastAsia="fr-FR"/>
        </w:rPr>
        <w:lastRenderedPageBreak/>
        <w:t xml:space="preserve">For up-to-date information on the CPVO’s activities, please visit the CPVO website, read its </w:t>
      </w:r>
      <w:proofErr w:type="gramStart"/>
      <w:r w:rsidRPr="001746EF">
        <w:rPr>
          <w:lang w:val="en-GB" w:eastAsia="fr-FR"/>
        </w:rPr>
        <w:t>newsletter and follow</w:t>
      </w:r>
      <w:proofErr w:type="gramEnd"/>
      <w:r w:rsidRPr="001746EF">
        <w:rPr>
          <w:lang w:val="en-GB" w:eastAsia="fr-FR"/>
        </w:rPr>
        <w:t xml:space="preserve"> and engage with the CPVO on Twitter: @</w:t>
      </w:r>
      <w:proofErr w:type="spellStart"/>
      <w:r w:rsidRPr="001746EF">
        <w:rPr>
          <w:lang w:val="en-GB" w:eastAsia="fr-FR"/>
        </w:rPr>
        <w:t>CPVOTweets</w:t>
      </w:r>
      <w:proofErr w:type="spellEnd"/>
    </w:p>
    <w:p w:rsidR="00AB109D" w:rsidRPr="007947FE" w:rsidRDefault="00AB109D" w:rsidP="00AB109D"/>
    <w:p w:rsidR="00AB109D" w:rsidRPr="007947FE" w:rsidRDefault="00AB109D" w:rsidP="00AB109D"/>
    <w:p w:rsidR="00AB109D" w:rsidRPr="007947FE" w:rsidRDefault="00AB109D" w:rsidP="00AB109D"/>
    <w:p w:rsidR="00AB109D" w:rsidRDefault="00AB109D" w:rsidP="00AB109D">
      <w:pPr>
        <w:jc w:val="right"/>
      </w:pPr>
      <w:r>
        <w:t>[Annex I</w:t>
      </w:r>
      <w:r w:rsidR="00775A84">
        <w:t>V</w:t>
      </w:r>
      <w:r>
        <w:t xml:space="preserve"> follows]</w:t>
      </w:r>
    </w:p>
    <w:p w:rsidR="007947FE" w:rsidRDefault="007947FE" w:rsidP="007947FE"/>
    <w:p w:rsidR="00AB109D" w:rsidRDefault="00AB109D" w:rsidP="007947FE">
      <w:pPr>
        <w:sectPr w:rsidR="00AB109D" w:rsidSect="00B46F19">
          <w:headerReference w:type="first" r:id="rId13"/>
          <w:pgSz w:w="11907" w:h="16840" w:code="9"/>
          <w:pgMar w:top="510" w:right="1134" w:bottom="1134" w:left="1134" w:header="510" w:footer="680" w:gutter="0"/>
          <w:pgNumType w:start="1"/>
          <w:cols w:space="720"/>
          <w:titlePg/>
        </w:sectPr>
      </w:pPr>
    </w:p>
    <w:p w:rsidR="007947FE" w:rsidRDefault="007947FE" w:rsidP="007947FE"/>
    <w:p w:rsidR="00FC1450" w:rsidRDefault="00FC1450" w:rsidP="00FC1450">
      <w:pPr>
        <w:jc w:val="center"/>
      </w:pPr>
      <w:r>
        <w:t>JAPAN</w:t>
      </w:r>
    </w:p>
    <w:p w:rsidR="00FC1450" w:rsidRDefault="00FC1450" w:rsidP="007947FE"/>
    <w:p w:rsidR="00FC1450" w:rsidRDefault="00FC1450" w:rsidP="00FC1450"/>
    <w:p w:rsidR="00FC1450" w:rsidRPr="00395078" w:rsidRDefault="00FC1450" w:rsidP="00FC1450">
      <w:pPr>
        <w:pStyle w:val="ListParagraph"/>
        <w:widowControl w:val="0"/>
        <w:numPr>
          <w:ilvl w:val="0"/>
          <w:numId w:val="7"/>
        </w:numPr>
        <w:autoSpaceDE w:val="0"/>
        <w:autoSpaceDN w:val="0"/>
        <w:adjustRightInd w:val="0"/>
        <w:ind w:left="0" w:firstLine="0"/>
        <w:rPr>
          <w:rFonts w:cs="Arial"/>
          <w:lang w:eastAsia="ja-JP"/>
        </w:rPr>
      </w:pPr>
      <w:r w:rsidRPr="00395078">
        <w:rPr>
          <w:rFonts w:cs="Arial"/>
          <w:lang w:eastAsia="ja-JP"/>
        </w:rPr>
        <w:t>Number of applications in 2018</w:t>
      </w:r>
    </w:p>
    <w:p w:rsidR="00FC1450" w:rsidRPr="00395078" w:rsidRDefault="00FC1450" w:rsidP="00FC1450">
      <w:pPr>
        <w:pStyle w:val="ListParagraph"/>
        <w:widowControl w:val="0"/>
        <w:autoSpaceDE w:val="0"/>
        <w:autoSpaceDN w:val="0"/>
        <w:adjustRightInd w:val="0"/>
        <w:ind w:left="0"/>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FC1450" w:rsidRPr="00E0219E" w:rsidTr="001A7336">
        <w:trPr>
          <w:trHeight w:val="285"/>
        </w:trPr>
        <w:tc>
          <w:tcPr>
            <w:tcW w:w="1560" w:type="dxa"/>
          </w:tcPr>
          <w:p w:rsidR="00FC1450" w:rsidRPr="00E0219E" w:rsidRDefault="00FC1450" w:rsidP="001A7336">
            <w:pPr>
              <w:widowControl w:val="0"/>
              <w:autoSpaceDE w:val="0"/>
              <w:autoSpaceDN w:val="0"/>
              <w:adjustRightInd w:val="0"/>
              <w:ind w:left="-31"/>
              <w:jc w:val="center"/>
              <w:rPr>
                <w:rFonts w:cs="Arial"/>
                <w:lang w:eastAsia="ja-JP"/>
              </w:rPr>
            </w:pPr>
            <w:r w:rsidRPr="00E0219E">
              <w:rPr>
                <w:rFonts w:cs="Arial" w:hint="eastAsia"/>
                <w:lang w:eastAsia="ja-JP"/>
              </w:rPr>
              <w:t>Y</w:t>
            </w:r>
            <w:r w:rsidRPr="00E0219E">
              <w:rPr>
                <w:rFonts w:cs="Arial"/>
                <w:lang w:eastAsia="ja-JP"/>
              </w:rPr>
              <w:t>ear</w:t>
            </w:r>
          </w:p>
        </w:tc>
        <w:tc>
          <w:tcPr>
            <w:tcW w:w="1417" w:type="dxa"/>
            <w:tcBorders>
              <w:right w:val="dashed" w:sz="4" w:space="0" w:color="auto"/>
            </w:tcBorders>
          </w:tcPr>
          <w:p w:rsidR="00FC1450" w:rsidRPr="00E0219E" w:rsidRDefault="00FC1450" w:rsidP="001A7336">
            <w:pPr>
              <w:widowControl w:val="0"/>
              <w:autoSpaceDE w:val="0"/>
              <w:autoSpaceDN w:val="0"/>
              <w:adjustRightInd w:val="0"/>
              <w:ind w:left="-31"/>
              <w:jc w:val="center"/>
              <w:rPr>
                <w:rFonts w:cs="Arial"/>
                <w:lang w:eastAsia="ja-JP"/>
              </w:rPr>
            </w:pPr>
            <w:r w:rsidRPr="00E0219E">
              <w:rPr>
                <w:rFonts w:cs="Arial" w:hint="eastAsia"/>
                <w:lang w:eastAsia="ja-JP"/>
              </w:rPr>
              <w:t>N</w:t>
            </w:r>
            <w:r w:rsidRPr="00E0219E">
              <w:rPr>
                <w:rFonts w:cs="Arial"/>
                <w:lang w:eastAsia="ja-JP"/>
              </w:rPr>
              <w:t>umber</w:t>
            </w:r>
          </w:p>
        </w:tc>
        <w:tc>
          <w:tcPr>
            <w:tcW w:w="1559" w:type="dxa"/>
            <w:tcBorders>
              <w:left w:val="dashed" w:sz="4" w:space="0" w:color="auto"/>
              <w:right w:val="single" w:sz="4" w:space="0" w:color="auto"/>
            </w:tcBorders>
          </w:tcPr>
          <w:p w:rsidR="00FC1450" w:rsidRPr="00E0219E" w:rsidRDefault="00FC1450" w:rsidP="001A7336">
            <w:pPr>
              <w:widowControl w:val="0"/>
              <w:autoSpaceDE w:val="0"/>
              <w:autoSpaceDN w:val="0"/>
              <w:adjustRightInd w:val="0"/>
              <w:jc w:val="center"/>
              <w:rPr>
                <w:rFonts w:cs="Arial"/>
                <w:lang w:eastAsia="ja-JP"/>
              </w:rPr>
            </w:pPr>
            <w:r w:rsidRPr="00E0219E">
              <w:rPr>
                <w:rFonts w:cs="Arial"/>
                <w:lang w:eastAsia="ja-JP"/>
              </w:rPr>
              <w:t>(2018/2017)</w:t>
            </w:r>
          </w:p>
        </w:tc>
        <w:tc>
          <w:tcPr>
            <w:tcW w:w="2552" w:type="dxa"/>
            <w:tcBorders>
              <w:left w:val="single" w:sz="4" w:space="0" w:color="auto"/>
              <w:right w:val="dashed" w:sz="4" w:space="0" w:color="auto"/>
            </w:tcBorders>
          </w:tcPr>
          <w:p w:rsidR="00FC1450" w:rsidRPr="00E0219E" w:rsidRDefault="00FC1450" w:rsidP="001A7336">
            <w:pPr>
              <w:widowControl w:val="0"/>
              <w:autoSpaceDE w:val="0"/>
              <w:autoSpaceDN w:val="0"/>
              <w:adjustRightInd w:val="0"/>
              <w:ind w:left="-31"/>
              <w:jc w:val="center"/>
              <w:rPr>
                <w:rFonts w:cs="Arial"/>
                <w:lang w:eastAsia="ja-JP"/>
              </w:rPr>
            </w:pPr>
            <w:r w:rsidRPr="00E94452">
              <w:rPr>
                <w:rFonts w:cs="Arial"/>
                <w:lang w:eastAsia="ja-JP"/>
              </w:rPr>
              <w:t>Agricultural crops</w:t>
            </w:r>
          </w:p>
        </w:tc>
        <w:tc>
          <w:tcPr>
            <w:tcW w:w="1417" w:type="dxa"/>
            <w:tcBorders>
              <w:left w:val="dashed" w:sz="4" w:space="0" w:color="auto"/>
            </w:tcBorders>
          </w:tcPr>
          <w:p w:rsidR="00FC1450" w:rsidRPr="00E0219E" w:rsidRDefault="00FC1450" w:rsidP="001A7336">
            <w:pPr>
              <w:widowControl w:val="0"/>
              <w:autoSpaceDE w:val="0"/>
              <w:autoSpaceDN w:val="0"/>
              <w:adjustRightInd w:val="0"/>
              <w:ind w:left="-31"/>
              <w:jc w:val="center"/>
              <w:rPr>
                <w:rFonts w:cs="Arial"/>
                <w:lang w:eastAsia="ja-JP"/>
              </w:rPr>
            </w:pPr>
            <w:r w:rsidRPr="00E0219E">
              <w:rPr>
                <w:rFonts w:cs="Arial"/>
                <w:lang w:eastAsia="ja-JP"/>
              </w:rPr>
              <w:t xml:space="preserve">(2018/2017) </w:t>
            </w:r>
          </w:p>
        </w:tc>
      </w:tr>
      <w:tr w:rsidR="00FC1450" w:rsidRPr="008D7902" w:rsidTr="001A7336">
        <w:trPr>
          <w:trHeight w:val="70"/>
        </w:trPr>
        <w:tc>
          <w:tcPr>
            <w:tcW w:w="1560" w:type="dxa"/>
            <w:tcBorders>
              <w:top w:val="single" w:sz="4" w:space="0" w:color="auto"/>
              <w:left w:val="single"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1978 to 2018</w:t>
            </w:r>
          </w:p>
        </w:tc>
        <w:tc>
          <w:tcPr>
            <w:tcW w:w="1417" w:type="dxa"/>
            <w:tcBorders>
              <w:top w:val="single" w:sz="4" w:space="0" w:color="auto"/>
              <w:left w:val="single" w:sz="4" w:space="0" w:color="auto"/>
              <w:bottom w:val="single" w:sz="4" w:space="0" w:color="auto"/>
              <w:right w:val="dashed" w:sz="4" w:space="0" w:color="auto"/>
            </w:tcBorders>
          </w:tcPr>
          <w:p w:rsidR="00FC1450" w:rsidRPr="008D7902" w:rsidRDefault="00FC1450" w:rsidP="001A7336">
            <w:pPr>
              <w:widowControl w:val="0"/>
              <w:autoSpaceDE w:val="0"/>
              <w:autoSpaceDN w:val="0"/>
              <w:adjustRightInd w:val="0"/>
              <w:ind w:left="-31"/>
              <w:jc w:val="center"/>
              <w:rPr>
                <w:rFonts w:cs="Arial"/>
                <w:highlight w:val="yellow"/>
                <w:lang w:eastAsia="ja-JP"/>
              </w:rPr>
            </w:pPr>
            <w:r w:rsidRPr="008D7902">
              <w:rPr>
                <w:rFonts w:cs="Arial" w:hint="eastAsia"/>
                <w:lang w:eastAsia="ja-JP"/>
              </w:rPr>
              <w:t>3</w:t>
            </w:r>
            <w:r w:rsidRPr="008D7902">
              <w:rPr>
                <w:rFonts w:cs="Arial"/>
                <w:lang w:eastAsia="ja-JP"/>
              </w:rPr>
              <w:t>3,786</w:t>
            </w:r>
          </w:p>
        </w:tc>
        <w:tc>
          <w:tcPr>
            <w:tcW w:w="1559" w:type="dxa"/>
            <w:tcBorders>
              <w:top w:val="single" w:sz="4" w:space="0" w:color="auto"/>
              <w:left w:val="dashed"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jc w:val="center"/>
              <w:rPr>
                <w:rFonts w:cs="Arial"/>
                <w:lang w:eastAsia="ja-JP"/>
              </w:rPr>
            </w:pPr>
            <w:r w:rsidRPr="008D7902">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hint="eastAsia"/>
                <w:lang w:eastAsia="ja-JP"/>
              </w:rPr>
              <w:t>2</w:t>
            </w:r>
            <w:r w:rsidRPr="008D7902">
              <w:rPr>
                <w:rFonts w:cs="Arial"/>
                <w:lang w:eastAsia="ja-JP"/>
              </w:rPr>
              <w:t>,</w:t>
            </w:r>
            <w:r w:rsidRPr="008D7902">
              <w:rPr>
                <w:rFonts w:cs="Arial" w:hint="eastAsia"/>
                <w:lang w:eastAsia="ja-JP"/>
              </w:rPr>
              <w:t>455</w:t>
            </w:r>
          </w:p>
        </w:tc>
        <w:tc>
          <w:tcPr>
            <w:tcW w:w="1417" w:type="dxa"/>
            <w:tcBorders>
              <w:top w:val="single" w:sz="4" w:space="0" w:color="auto"/>
              <w:left w:val="dashed"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w:t>
            </w:r>
          </w:p>
        </w:tc>
      </w:tr>
      <w:tr w:rsidR="00FC1450" w:rsidRPr="008D7902" w:rsidTr="001A7336">
        <w:trPr>
          <w:trHeight w:val="368"/>
        </w:trPr>
        <w:tc>
          <w:tcPr>
            <w:tcW w:w="1560" w:type="dxa"/>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2017</w:t>
            </w:r>
          </w:p>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hint="eastAsia"/>
                <w:lang w:eastAsia="ja-JP"/>
              </w:rPr>
              <w:t>201</w:t>
            </w:r>
            <w:r w:rsidRPr="008D7902">
              <w:rPr>
                <w:rFonts w:cs="Arial"/>
                <w:lang w:eastAsia="ja-JP"/>
              </w:rPr>
              <w:t>8</w:t>
            </w:r>
          </w:p>
        </w:tc>
        <w:tc>
          <w:tcPr>
            <w:tcW w:w="1417" w:type="dxa"/>
            <w:tcBorders>
              <w:right w:val="dashed" w:sz="4" w:space="0" w:color="auto"/>
            </w:tcBorders>
          </w:tcPr>
          <w:p w:rsidR="00FC1450" w:rsidRPr="008D7902" w:rsidRDefault="00FC1450" w:rsidP="001A7336">
            <w:pPr>
              <w:widowControl w:val="0"/>
              <w:autoSpaceDE w:val="0"/>
              <w:autoSpaceDN w:val="0"/>
              <w:adjustRightInd w:val="0"/>
              <w:ind w:left="-31"/>
              <w:jc w:val="center"/>
              <w:rPr>
                <w:lang w:eastAsia="ja-JP"/>
              </w:rPr>
            </w:pPr>
            <w:r w:rsidRPr="008D7902">
              <w:rPr>
                <w:lang w:eastAsia="ja-JP"/>
              </w:rPr>
              <w:t>1,019</w:t>
            </w:r>
          </w:p>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hint="eastAsia"/>
                <w:lang w:eastAsia="ja-JP"/>
              </w:rPr>
              <w:t>8</w:t>
            </w:r>
            <w:r w:rsidRPr="008D7902">
              <w:rPr>
                <w:rFonts w:cs="Arial"/>
                <w:lang w:eastAsia="ja-JP"/>
              </w:rPr>
              <w:t>83</w:t>
            </w:r>
          </w:p>
        </w:tc>
        <w:tc>
          <w:tcPr>
            <w:tcW w:w="1559" w:type="dxa"/>
            <w:tcBorders>
              <w:left w:val="dashed" w:sz="4" w:space="0" w:color="auto"/>
              <w:right w:val="single" w:sz="4" w:space="0" w:color="auto"/>
            </w:tcBorders>
          </w:tcPr>
          <w:p w:rsidR="00FC1450" w:rsidRPr="008D7902" w:rsidRDefault="00FC1450" w:rsidP="001A7336">
            <w:pPr>
              <w:widowControl w:val="0"/>
              <w:autoSpaceDE w:val="0"/>
              <w:autoSpaceDN w:val="0"/>
              <w:adjustRightInd w:val="0"/>
              <w:jc w:val="center"/>
              <w:rPr>
                <w:rFonts w:cs="Arial"/>
                <w:lang w:eastAsia="ja-JP"/>
              </w:rPr>
            </w:pPr>
          </w:p>
          <w:p w:rsidR="00FC1450" w:rsidRPr="008D7902" w:rsidRDefault="00FC1450" w:rsidP="001A7336">
            <w:pPr>
              <w:widowControl w:val="0"/>
              <w:autoSpaceDE w:val="0"/>
              <w:autoSpaceDN w:val="0"/>
              <w:adjustRightInd w:val="0"/>
              <w:jc w:val="center"/>
              <w:rPr>
                <w:rFonts w:cs="Arial"/>
                <w:lang w:eastAsia="ja-JP"/>
              </w:rPr>
            </w:pPr>
            <w:r w:rsidRPr="008D7902">
              <w:rPr>
                <w:rFonts w:cs="Arial"/>
                <w:lang w:eastAsia="ja-JP"/>
              </w:rPr>
              <w:t>(86.7%)</w:t>
            </w:r>
          </w:p>
        </w:tc>
        <w:tc>
          <w:tcPr>
            <w:tcW w:w="2552" w:type="dxa"/>
            <w:tcBorders>
              <w:left w:val="single" w:sz="4" w:space="0" w:color="auto"/>
              <w:right w:val="dashed" w:sz="4" w:space="0" w:color="auto"/>
            </w:tcBorders>
          </w:tcPr>
          <w:p w:rsidR="00FC1450" w:rsidRPr="008D7902" w:rsidRDefault="00FC1450" w:rsidP="001A7336">
            <w:pPr>
              <w:widowControl w:val="0"/>
              <w:autoSpaceDE w:val="0"/>
              <w:autoSpaceDN w:val="0"/>
              <w:adjustRightInd w:val="0"/>
              <w:jc w:val="center"/>
              <w:rPr>
                <w:rFonts w:cs="Arial"/>
                <w:lang w:eastAsia="ja-JP"/>
              </w:rPr>
            </w:pPr>
            <w:r w:rsidRPr="008D7902">
              <w:rPr>
                <w:rFonts w:cs="Arial" w:hint="eastAsia"/>
                <w:lang w:eastAsia="ja-JP"/>
              </w:rPr>
              <w:t>68</w:t>
            </w:r>
          </w:p>
          <w:p w:rsidR="00FC1450" w:rsidRPr="008D7902" w:rsidRDefault="00FC1450" w:rsidP="001A7336">
            <w:pPr>
              <w:widowControl w:val="0"/>
              <w:autoSpaceDE w:val="0"/>
              <w:autoSpaceDN w:val="0"/>
              <w:adjustRightInd w:val="0"/>
              <w:jc w:val="center"/>
              <w:rPr>
                <w:rFonts w:cs="Arial"/>
                <w:lang w:eastAsia="ja-JP"/>
              </w:rPr>
            </w:pPr>
            <w:r w:rsidRPr="008D7902">
              <w:rPr>
                <w:rFonts w:cs="Arial" w:hint="eastAsia"/>
                <w:lang w:eastAsia="ja-JP"/>
              </w:rPr>
              <w:t>87</w:t>
            </w:r>
          </w:p>
        </w:tc>
        <w:tc>
          <w:tcPr>
            <w:tcW w:w="1417" w:type="dxa"/>
            <w:tcBorders>
              <w:left w:val="dashed"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p>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hint="eastAsia"/>
                <w:lang w:eastAsia="ja-JP"/>
              </w:rPr>
              <w:t xml:space="preserve"> (127.9</w:t>
            </w:r>
            <w:r w:rsidRPr="008D7902">
              <w:rPr>
                <w:rFonts w:cs="Arial"/>
                <w:lang w:eastAsia="ja-JP"/>
              </w:rPr>
              <w:t>%</w:t>
            </w:r>
            <w:r w:rsidRPr="008D7902">
              <w:rPr>
                <w:rFonts w:cs="Arial" w:hint="eastAsia"/>
                <w:lang w:eastAsia="ja-JP"/>
              </w:rPr>
              <w:t>)</w:t>
            </w:r>
          </w:p>
        </w:tc>
      </w:tr>
    </w:tbl>
    <w:p w:rsidR="00FC1450" w:rsidRPr="008D7902" w:rsidRDefault="00FC1450" w:rsidP="00FC1450">
      <w:pPr>
        <w:widowControl w:val="0"/>
        <w:autoSpaceDE w:val="0"/>
        <w:autoSpaceDN w:val="0"/>
        <w:adjustRightInd w:val="0"/>
        <w:ind w:leftChars="-200" w:left="-400" w:firstLineChars="352" w:firstLine="704"/>
        <w:rPr>
          <w:rFonts w:cs="Arial"/>
          <w:i/>
          <w:u w:val="single"/>
          <w:lang w:eastAsia="ja-JP"/>
        </w:rPr>
      </w:pPr>
    </w:p>
    <w:p w:rsidR="00FC1450" w:rsidRPr="008D7902" w:rsidRDefault="00FC1450" w:rsidP="00FC1450">
      <w:pPr>
        <w:widowControl w:val="0"/>
        <w:autoSpaceDE w:val="0"/>
        <w:autoSpaceDN w:val="0"/>
        <w:adjustRightInd w:val="0"/>
        <w:ind w:leftChars="213" w:left="426"/>
        <w:rPr>
          <w:rFonts w:cs="Arial"/>
          <w:szCs w:val="24"/>
          <w:lang w:eastAsia="ja-JP"/>
        </w:rPr>
      </w:pPr>
      <w:r w:rsidRPr="008D7902">
        <w:rPr>
          <w:rFonts w:cs="Arial" w:hint="eastAsia"/>
          <w:i/>
          <w:szCs w:val="24"/>
          <w:u w:val="single"/>
          <w:lang w:eastAsia="ja-JP"/>
        </w:rPr>
        <w:t xml:space="preserve">Top </w:t>
      </w:r>
      <w:proofErr w:type="gramStart"/>
      <w:r w:rsidRPr="008D7902">
        <w:rPr>
          <w:rFonts w:cs="Arial" w:hint="eastAsia"/>
          <w:i/>
          <w:szCs w:val="24"/>
          <w:u w:val="single"/>
          <w:lang w:eastAsia="ja-JP"/>
        </w:rPr>
        <w:t>5</w:t>
      </w:r>
      <w:proofErr w:type="gramEnd"/>
      <w:r w:rsidRPr="008D7902">
        <w:rPr>
          <w:rFonts w:cs="Arial" w:hint="eastAsia"/>
          <w:i/>
          <w:szCs w:val="24"/>
          <w:u w:val="single"/>
          <w:lang w:eastAsia="ja-JP"/>
        </w:rPr>
        <w:t xml:space="preserve"> of application for</w:t>
      </w:r>
      <w:r w:rsidRPr="008D7902">
        <w:rPr>
          <w:rFonts w:cs="Arial"/>
          <w:i/>
          <w:szCs w:val="24"/>
          <w:u w:val="single"/>
          <w:lang w:eastAsia="ja-JP"/>
        </w:rPr>
        <w:t xml:space="preserve"> Agricultural crops in 2018</w:t>
      </w:r>
    </w:p>
    <w:p w:rsidR="00FC1450" w:rsidRPr="008D7902" w:rsidRDefault="00FC1450" w:rsidP="00FC1450">
      <w:pPr>
        <w:widowControl w:val="0"/>
        <w:autoSpaceDE w:val="0"/>
        <w:autoSpaceDN w:val="0"/>
        <w:adjustRightInd w:val="0"/>
        <w:ind w:leftChars="213" w:left="426"/>
        <w:rPr>
          <w:rFonts w:cs="Arial"/>
          <w:szCs w:val="24"/>
          <w:lang w:eastAsia="ja-JP"/>
        </w:rPr>
      </w:pPr>
      <w:bookmarkStart w:id="4" w:name="_Hlk17731672"/>
      <w:r w:rsidRPr="008D7902">
        <w:rPr>
          <w:rFonts w:cs="Arial"/>
          <w:szCs w:val="24"/>
          <w:lang w:eastAsia="ja-JP"/>
        </w:rPr>
        <w:t xml:space="preserve">Rice </w:t>
      </w:r>
      <w:r w:rsidRPr="008D7902">
        <w:rPr>
          <w:rFonts w:cs="Arial" w:hint="eastAsia"/>
          <w:szCs w:val="24"/>
          <w:lang w:eastAsia="ja-JP"/>
        </w:rPr>
        <w:t>44</w:t>
      </w:r>
      <w:r w:rsidRPr="008D7902">
        <w:rPr>
          <w:rFonts w:cs="Arial"/>
          <w:szCs w:val="24"/>
          <w:lang w:eastAsia="ja-JP"/>
        </w:rPr>
        <w:t>, Sorghum 7</w:t>
      </w:r>
      <w:r w:rsidRPr="008D7902">
        <w:rPr>
          <w:rFonts w:cs="Arial" w:hint="eastAsia"/>
          <w:szCs w:val="24"/>
          <w:lang w:eastAsia="ja-JP"/>
        </w:rPr>
        <w:t>,</w:t>
      </w:r>
      <w:r w:rsidRPr="008D7902">
        <w:rPr>
          <w:rFonts w:cs="Arial"/>
          <w:szCs w:val="24"/>
          <w:lang w:eastAsia="ja-JP"/>
        </w:rPr>
        <w:t xml:space="preserve"> Wheat 7, Barley 5, Sweet Potato 5</w:t>
      </w:r>
      <w:bookmarkEnd w:id="4"/>
      <w:r w:rsidRPr="008D7902">
        <w:rPr>
          <w:rFonts w:cs="Arial"/>
          <w:szCs w:val="24"/>
          <w:lang w:eastAsia="ja-JP"/>
        </w:rPr>
        <w:t xml:space="preserve"> </w:t>
      </w:r>
    </w:p>
    <w:p w:rsidR="00FC1450" w:rsidRPr="008D7902" w:rsidRDefault="00FC1450" w:rsidP="00FC1450">
      <w:pPr>
        <w:widowControl w:val="0"/>
        <w:autoSpaceDE w:val="0"/>
        <w:autoSpaceDN w:val="0"/>
        <w:adjustRightInd w:val="0"/>
        <w:jc w:val="left"/>
        <w:rPr>
          <w:rFonts w:cs="Arial"/>
          <w:lang w:eastAsia="ja-JP"/>
        </w:rPr>
      </w:pPr>
    </w:p>
    <w:p w:rsidR="00FC1450" w:rsidRPr="008D7902" w:rsidRDefault="00FC1450" w:rsidP="00FC1450">
      <w:pPr>
        <w:widowControl w:val="0"/>
        <w:autoSpaceDE w:val="0"/>
        <w:autoSpaceDN w:val="0"/>
        <w:adjustRightInd w:val="0"/>
        <w:jc w:val="left"/>
        <w:rPr>
          <w:rFonts w:cs="Arial"/>
          <w:lang w:eastAsia="ja-JP"/>
        </w:rPr>
      </w:pPr>
    </w:p>
    <w:p w:rsidR="00FC1450" w:rsidRPr="008D7902" w:rsidRDefault="00FC1450" w:rsidP="00FC1450">
      <w:pPr>
        <w:pStyle w:val="ListParagraph"/>
        <w:widowControl w:val="0"/>
        <w:numPr>
          <w:ilvl w:val="0"/>
          <w:numId w:val="7"/>
        </w:numPr>
        <w:autoSpaceDE w:val="0"/>
        <w:autoSpaceDN w:val="0"/>
        <w:adjustRightInd w:val="0"/>
        <w:ind w:left="0" w:firstLine="0"/>
        <w:rPr>
          <w:rFonts w:cs="Arial"/>
          <w:lang w:eastAsia="ja-JP"/>
        </w:rPr>
      </w:pPr>
      <w:r w:rsidRPr="008D7902">
        <w:rPr>
          <w:rFonts w:cs="Arial"/>
          <w:lang w:eastAsia="ja-JP"/>
        </w:rPr>
        <w:t>Number of granted in 2018</w:t>
      </w:r>
      <w:r w:rsidRPr="008D7902">
        <w:rPr>
          <w:rFonts w:cs="Arial" w:hint="eastAsia"/>
          <w:lang w:eastAsia="ja-JP"/>
        </w:rPr>
        <w:t xml:space="preserve"> </w:t>
      </w:r>
    </w:p>
    <w:p w:rsidR="00FC1450" w:rsidRPr="008D7902" w:rsidRDefault="00FC1450" w:rsidP="00FC1450">
      <w:pPr>
        <w:widowControl w:val="0"/>
        <w:autoSpaceDE w:val="0"/>
        <w:autoSpaceDN w:val="0"/>
        <w:adjustRightInd w:val="0"/>
        <w:jc w:val="left"/>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FC1450" w:rsidRPr="008D7902" w:rsidTr="001A7336">
        <w:trPr>
          <w:trHeight w:val="375"/>
        </w:trPr>
        <w:tc>
          <w:tcPr>
            <w:tcW w:w="1560" w:type="dxa"/>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Year</w:t>
            </w:r>
          </w:p>
        </w:tc>
        <w:tc>
          <w:tcPr>
            <w:tcW w:w="1559" w:type="dxa"/>
            <w:tcBorders>
              <w:right w:val="dashed"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Number</w:t>
            </w:r>
          </w:p>
        </w:tc>
        <w:tc>
          <w:tcPr>
            <w:tcW w:w="1417" w:type="dxa"/>
            <w:tcBorders>
              <w:left w:val="dashed" w:sz="4" w:space="0" w:color="auto"/>
              <w:right w:val="single" w:sz="4" w:space="0" w:color="auto"/>
            </w:tcBorders>
          </w:tcPr>
          <w:p w:rsidR="00FC1450" w:rsidRPr="008D7902" w:rsidRDefault="00FC1450" w:rsidP="001A7336">
            <w:pPr>
              <w:widowControl w:val="0"/>
              <w:autoSpaceDE w:val="0"/>
              <w:autoSpaceDN w:val="0"/>
              <w:adjustRightInd w:val="0"/>
              <w:jc w:val="center"/>
              <w:rPr>
                <w:rFonts w:cs="Arial"/>
                <w:lang w:eastAsia="ja-JP"/>
              </w:rPr>
            </w:pPr>
            <w:r w:rsidRPr="008D7902">
              <w:rPr>
                <w:rFonts w:cs="Arial"/>
                <w:lang w:eastAsia="ja-JP"/>
              </w:rPr>
              <w:t>(2018/2017)</w:t>
            </w:r>
          </w:p>
        </w:tc>
        <w:tc>
          <w:tcPr>
            <w:tcW w:w="2552" w:type="dxa"/>
            <w:tcBorders>
              <w:left w:val="single" w:sz="4" w:space="0" w:color="auto"/>
              <w:right w:val="dashed"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Agricultural crops</w:t>
            </w:r>
          </w:p>
        </w:tc>
        <w:tc>
          <w:tcPr>
            <w:tcW w:w="1417" w:type="dxa"/>
            <w:tcBorders>
              <w:left w:val="dashed" w:sz="4" w:space="0" w:color="auto"/>
            </w:tcBorders>
          </w:tcPr>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lang w:eastAsia="ja-JP"/>
              </w:rPr>
              <w:t>(2018/2017</w:t>
            </w:r>
            <w:r w:rsidRPr="008D7902">
              <w:rPr>
                <w:rFonts w:cs="Arial" w:hint="eastAsia"/>
                <w:lang w:eastAsia="ja-JP"/>
              </w:rPr>
              <w:t>)</w:t>
            </w:r>
          </w:p>
        </w:tc>
      </w:tr>
      <w:tr w:rsidR="00FC1450" w:rsidRPr="008D7902" w:rsidTr="001A7336">
        <w:trPr>
          <w:trHeight w:val="371"/>
        </w:trPr>
        <w:tc>
          <w:tcPr>
            <w:tcW w:w="1560" w:type="dxa"/>
            <w:tcBorders>
              <w:top w:val="single" w:sz="4" w:space="0" w:color="auto"/>
              <w:left w:val="single"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1978 to 2018</w:t>
            </w:r>
          </w:p>
        </w:tc>
        <w:tc>
          <w:tcPr>
            <w:tcW w:w="1559" w:type="dxa"/>
            <w:tcBorders>
              <w:top w:val="single" w:sz="4" w:space="0" w:color="auto"/>
              <w:left w:val="single" w:sz="4" w:space="0" w:color="auto"/>
              <w:bottom w:val="single" w:sz="4" w:space="0" w:color="auto"/>
              <w:right w:val="dashed" w:sz="4" w:space="0" w:color="auto"/>
            </w:tcBorders>
          </w:tcPr>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hint="eastAsia"/>
                <w:lang w:eastAsia="ja-JP"/>
              </w:rPr>
              <w:t>2</w:t>
            </w:r>
            <w:r w:rsidRPr="008D7902">
              <w:rPr>
                <w:rFonts w:cs="Arial"/>
                <w:lang w:eastAsia="ja-JP"/>
              </w:rPr>
              <w:t>7,140</w:t>
            </w:r>
          </w:p>
        </w:tc>
        <w:tc>
          <w:tcPr>
            <w:tcW w:w="1417" w:type="dxa"/>
            <w:tcBorders>
              <w:top w:val="single" w:sz="4" w:space="0" w:color="auto"/>
              <w:left w:val="dashed"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jc w:val="center"/>
              <w:rPr>
                <w:rFonts w:cs="Arial"/>
                <w:lang w:eastAsia="ja-JP"/>
              </w:rPr>
            </w:pPr>
            <w:r w:rsidRPr="008D7902">
              <w:rPr>
                <w:rFonts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lang w:eastAsia="ja-JP"/>
              </w:rPr>
              <w:t>2,081</w:t>
            </w:r>
          </w:p>
        </w:tc>
        <w:tc>
          <w:tcPr>
            <w:tcW w:w="1417" w:type="dxa"/>
            <w:tcBorders>
              <w:top w:val="single" w:sz="4" w:space="0" w:color="auto"/>
              <w:left w:val="dashed" w:sz="4" w:space="0" w:color="auto"/>
              <w:bottom w:val="single" w:sz="4" w:space="0" w:color="auto"/>
              <w:right w:val="single" w:sz="4" w:space="0" w:color="auto"/>
            </w:tcBorders>
          </w:tcPr>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lang w:eastAsia="ja-JP"/>
              </w:rPr>
              <w:t>-</w:t>
            </w:r>
          </w:p>
        </w:tc>
      </w:tr>
      <w:tr w:rsidR="00FC1450" w:rsidRPr="008D7902" w:rsidTr="001A7336">
        <w:trPr>
          <w:trHeight w:val="615"/>
        </w:trPr>
        <w:tc>
          <w:tcPr>
            <w:tcW w:w="1560" w:type="dxa"/>
          </w:tcPr>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lang w:eastAsia="ja-JP"/>
              </w:rPr>
              <w:t>2017</w:t>
            </w:r>
          </w:p>
          <w:p w:rsidR="00FC1450" w:rsidRPr="008D7902" w:rsidRDefault="00FC1450" w:rsidP="001A7336">
            <w:pPr>
              <w:widowControl w:val="0"/>
              <w:autoSpaceDE w:val="0"/>
              <w:autoSpaceDN w:val="0"/>
              <w:adjustRightInd w:val="0"/>
              <w:ind w:left="-31"/>
              <w:jc w:val="center"/>
              <w:rPr>
                <w:rFonts w:cs="Arial"/>
                <w:lang w:eastAsia="ja-JP"/>
              </w:rPr>
            </w:pPr>
            <w:r w:rsidRPr="008D7902">
              <w:rPr>
                <w:rFonts w:cs="Arial" w:hint="eastAsia"/>
                <w:lang w:eastAsia="ja-JP"/>
              </w:rPr>
              <w:t>201</w:t>
            </w:r>
            <w:r w:rsidRPr="008D7902">
              <w:rPr>
                <w:rFonts w:cs="Arial"/>
                <w:lang w:eastAsia="ja-JP"/>
              </w:rPr>
              <w:t>8</w:t>
            </w:r>
          </w:p>
        </w:tc>
        <w:tc>
          <w:tcPr>
            <w:tcW w:w="1559" w:type="dxa"/>
            <w:tcBorders>
              <w:right w:val="dashed" w:sz="4" w:space="0" w:color="auto"/>
            </w:tcBorders>
          </w:tcPr>
          <w:p w:rsidR="00FC1450" w:rsidRPr="008D7902" w:rsidRDefault="00FC1450" w:rsidP="001A7336">
            <w:pPr>
              <w:widowControl w:val="0"/>
              <w:tabs>
                <w:tab w:val="left" w:pos="435"/>
                <w:tab w:val="center" w:pos="680"/>
              </w:tabs>
              <w:autoSpaceDE w:val="0"/>
              <w:autoSpaceDN w:val="0"/>
              <w:adjustRightInd w:val="0"/>
              <w:ind w:left="-1"/>
              <w:jc w:val="center"/>
              <w:rPr>
                <w:rFonts w:cs="Arial"/>
                <w:lang w:eastAsia="ja-JP"/>
              </w:rPr>
            </w:pPr>
            <w:r w:rsidRPr="008D7902">
              <w:rPr>
                <w:rFonts w:cs="Arial"/>
                <w:lang w:eastAsia="ja-JP"/>
              </w:rPr>
              <w:t>811</w:t>
            </w:r>
          </w:p>
          <w:p w:rsidR="00FC1450" w:rsidRPr="008D7902" w:rsidRDefault="00FC1450" w:rsidP="001A7336">
            <w:pPr>
              <w:widowControl w:val="0"/>
              <w:tabs>
                <w:tab w:val="left" w:pos="435"/>
                <w:tab w:val="center" w:pos="680"/>
              </w:tabs>
              <w:autoSpaceDE w:val="0"/>
              <w:autoSpaceDN w:val="0"/>
              <w:adjustRightInd w:val="0"/>
              <w:ind w:left="-1"/>
              <w:jc w:val="center"/>
              <w:rPr>
                <w:rFonts w:cs="Arial"/>
                <w:lang w:eastAsia="ja-JP"/>
              </w:rPr>
            </w:pPr>
            <w:r w:rsidRPr="008D7902">
              <w:rPr>
                <w:rFonts w:cs="Arial" w:hint="eastAsia"/>
                <w:lang w:eastAsia="ja-JP"/>
              </w:rPr>
              <w:t>7</w:t>
            </w:r>
            <w:r w:rsidRPr="008D7902">
              <w:rPr>
                <w:rFonts w:cs="Arial"/>
                <w:lang w:eastAsia="ja-JP"/>
              </w:rPr>
              <w:t>58</w:t>
            </w:r>
          </w:p>
        </w:tc>
        <w:tc>
          <w:tcPr>
            <w:tcW w:w="1417" w:type="dxa"/>
            <w:tcBorders>
              <w:left w:val="dashed" w:sz="4" w:space="0" w:color="auto"/>
              <w:right w:val="single" w:sz="4" w:space="0" w:color="auto"/>
            </w:tcBorders>
          </w:tcPr>
          <w:p w:rsidR="00FC1450" w:rsidRPr="008D7902" w:rsidRDefault="00FC1450" w:rsidP="001A7336">
            <w:pPr>
              <w:widowControl w:val="0"/>
              <w:autoSpaceDE w:val="0"/>
              <w:autoSpaceDN w:val="0"/>
              <w:adjustRightInd w:val="0"/>
              <w:jc w:val="center"/>
              <w:rPr>
                <w:rFonts w:cs="Arial"/>
                <w:lang w:eastAsia="ja-JP"/>
              </w:rPr>
            </w:pPr>
          </w:p>
          <w:p w:rsidR="00FC1450" w:rsidRPr="008D7902" w:rsidRDefault="00FC1450" w:rsidP="001A7336">
            <w:pPr>
              <w:widowControl w:val="0"/>
              <w:autoSpaceDE w:val="0"/>
              <w:autoSpaceDN w:val="0"/>
              <w:adjustRightInd w:val="0"/>
              <w:jc w:val="center"/>
              <w:rPr>
                <w:rFonts w:cs="Arial"/>
                <w:lang w:eastAsia="ja-JP"/>
              </w:rPr>
            </w:pPr>
            <w:r w:rsidRPr="008D7902">
              <w:rPr>
                <w:rFonts w:cs="Arial" w:hint="eastAsia"/>
                <w:lang w:eastAsia="ja-JP"/>
              </w:rPr>
              <w:t>(</w:t>
            </w:r>
            <w:r w:rsidRPr="008D7902">
              <w:rPr>
                <w:rFonts w:cs="Arial"/>
                <w:lang w:eastAsia="ja-JP"/>
              </w:rPr>
              <w:t>93.5%</w:t>
            </w:r>
            <w:r w:rsidRPr="008D7902">
              <w:rPr>
                <w:rFonts w:cs="Arial" w:hint="eastAsia"/>
                <w:lang w:eastAsia="ja-JP"/>
              </w:rPr>
              <w:t>)</w:t>
            </w:r>
          </w:p>
        </w:tc>
        <w:tc>
          <w:tcPr>
            <w:tcW w:w="2552" w:type="dxa"/>
            <w:tcBorders>
              <w:left w:val="single" w:sz="4" w:space="0" w:color="auto"/>
              <w:right w:val="dashed" w:sz="4" w:space="0" w:color="auto"/>
            </w:tcBorders>
          </w:tcPr>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lang w:eastAsia="ja-JP"/>
              </w:rPr>
              <w:t>40</w:t>
            </w:r>
          </w:p>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lang w:eastAsia="ja-JP"/>
              </w:rPr>
              <w:t>44</w:t>
            </w:r>
          </w:p>
        </w:tc>
        <w:tc>
          <w:tcPr>
            <w:tcW w:w="1417" w:type="dxa"/>
            <w:tcBorders>
              <w:left w:val="dashed" w:sz="4" w:space="0" w:color="auto"/>
            </w:tcBorders>
          </w:tcPr>
          <w:p w:rsidR="00FC1450" w:rsidRPr="008D7902" w:rsidRDefault="00FC1450" w:rsidP="001A7336">
            <w:pPr>
              <w:widowControl w:val="0"/>
              <w:autoSpaceDE w:val="0"/>
              <w:autoSpaceDN w:val="0"/>
              <w:adjustRightInd w:val="0"/>
              <w:ind w:left="-1"/>
              <w:jc w:val="center"/>
              <w:rPr>
                <w:rFonts w:cs="Arial"/>
                <w:lang w:eastAsia="ja-JP"/>
              </w:rPr>
            </w:pPr>
          </w:p>
          <w:p w:rsidR="00FC1450" w:rsidRPr="008D7902" w:rsidRDefault="00FC1450" w:rsidP="001A7336">
            <w:pPr>
              <w:widowControl w:val="0"/>
              <w:autoSpaceDE w:val="0"/>
              <w:autoSpaceDN w:val="0"/>
              <w:adjustRightInd w:val="0"/>
              <w:ind w:left="-1"/>
              <w:jc w:val="center"/>
              <w:rPr>
                <w:rFonts w:cs="Arial"/>
                <w:lang w:eastAsia="ja-JP"/>
              </w:rPr>
            </w:pPr>
            <w:r w:rsidRPr="008D7902">
              <w:rPr>
                <w:rFonts w:cs="Arial" w:hint="eastAsia"/>
                <w:lang w:eastAsia="ja-JP"/>
              </w:rPr>
              <w:t xml:space="preserve"> (</w:t>
            </w:r>
            <w:r w:rsidRPr="008D7902">
              <w:rPr>
                <w:rFonts w:cs="Arial"/>
                <w:lang w:eastAsia="ja-JP"/>
              </w:rPr>
              <w:t>110.0%</w:t>
            </w:r>
            <w:r w:rsidRPr="008D7902">
              <w:rPr>
                <w:rFonts w:cs="Arial" w:hint="eastAsia"/>
                <w:lang w:eastAsia="ja-JP"/>
              </w:rPr>
              <w:t>)</w:t>
            </w:r>
          </w:p>
        </w:tc>
      </w:tr>
    </w:tbl>
    <w:p w:rsidR="00FC1450" w:rsidRPr="008D7902" w:rsidRDefault="00FC1450" w:rsidP="00FC1450">
      <w:pPr>
        <w:widowControl w:val="0"/>
        <w:autoSpaceDE w:val="0"/>
        <w:autoSpaceDN w:val="0"/>
        <w:adjustRightInd w:val="0"/>
        <w:ind w:firstLineChars="250" w:firstLine="500"/>
        <w:jc w:val="left"/>
        <w:rPr>
          <w:rFonts w:cs="Arial"/>
          <w:i/>
          <w:u w:val="single"/>
          <w:lang w:eastAsia="ja-JP"/>
        </w:rPr>
      </w:pPr>
    </w:p>
    <w:p w:rsidR="00FC1450" w:rsidRPr="008D7902" w:rsidRDefault="00FC1450" w:rsidP="00FC1450">
      <w:pPr>
        <w:widowControl w:val="0"/>
        <w:autoSpaceDE w:val="0"/>
        <w:autoSpaceDN w:val="0"/>
        <w:adjustRightInd w:val="0"/>
        <w:ind w:leftChars="213" w:left="426"/>
        <w:rPr>
          <w:rFonts w:cs="Arial"/>
          <w:i/>
          <w:u w:val="single"/>
          <w:lang w:eastAsia="ja-JP"/>
        </w:rPr>
      </w:pPr>
      <w:r w:rsidRPr="008D7902">
        <w:rPr>
          <w:rFonts w:cs="Arial" w:hint="eastAsia"/>
          <w:i/>
          <w:u w:val="single"/>
          <w:lang w:eastAsia="ja-JP"/>
        </w:rPr>
        <w:t>Top 5 of granted for</w:t>
      </w:r>
      <w:r w:rsidRPr="008D7902">
        <w:rPr>
          <w:rFonts w:cs="Arial"/>
          <w:i/>
          <w:szCs w:val="24"/>
          <w:u w:val="single"/>
          <w:lang w:eastAsia="ja-JP"/>
        </w:rPr>
        <w:t xml:space="preserve"> Agricultural crops</w:t>
      </w:r>
      <w:r w:rsidRPr="008D7902">
        <w:rPr>
          <w:rFonts w:cs="Arial"/>
          <w:i/>
          <w:u w:val="single"/>
          <w:lang w:eastAsia="ja-JP"/>
        </w:rPr>
        <w:t xml:space="preserve"> in 2018</w:t>
      </w:r>
    </w:p>
    <w:p w:rsidR="00FC1450" w:rsidRPr="008D7902" w:rsidRDefault="00FC1450" w:rsidP="00FC1450">
      <w:pPr>
        <w:widowControl w:val="0"/>
        <w:autoSpaceDE w:val="0"/>
        <w:autoSpaceDN w:val="0"/>
        <w:adjustRightInd w:val="0"/>
        <w:ind w:leftChars="213" w:left="426"/>
        <w:rPr>
          <w:rFonts w:cs="Arial"/>
          <w:szCs w:val="24"/>
          <w:lang w:eastAsia="ja-JP"/>
        </w:rPr>
      </w:pPr>
      <w:r w:rsidRPr="008D7902">
        <w:rPr>
          <w:rFonts w:cs="Arial"/>
          <w:szCs w:val="24"/>
          <w:lang w:eastAsia="ja-JP"/>
        </w:rPr>
        <w:t>Rice 17, Barley 7, Sweet Potato 3, Soya Bean 2</w:t>
      </w:r>
      <w:r w:rsidRPr="008D7902">
        <w:rPr>
          <w:rFonts w:cs="Arial" w:hint="eastAsia"/>
          <w:szCs w:val="24"/>
          <w:lang w:eastAsia="ja-JP"/>
        </w:rPr>
        <w:t>,</w:t>
      </w:r>
      <w:r w:rsidRPr="008D7902">
        <w:rPr>
          <w:rFonts w:cs="Arial"/>
          <w:szCs w:val="24"/>
          <w:lang w:eastAsia="ja-JP"/>
        </w:rPr>
        <w:t xml:space="preserve"> Italian ryegrass 2, Sugarcane 2, Wheat 2, </w:t>
      </w:r>
    </w:p>
    <w:p w:rsidR="00FC1450" w:rsidRPr="008D7902" w:rsidRDefault="00FC1450" w:rsidP="00FC1450">
      <w:pPr>
        <w:widowControl w:val="0"/>
        <w:autoSpaceDE w:val="0"/>
        <w:autoSpaceDN w:val="0"/>
        <w:adjustRightInd w:val="0"/>
        <w:ind w:leftChars="213" w:left="426"/>
        <w:rPr>
          <w:rFonts w:cs="Arial"/>
          <w:lang w:eastAsia="ja-JP"/>
        </w:rPr>
      </w:pPr>
      <w:r w:rsidRPr="008D7902">
        <w:rPr>
          <w:rFonts w:cs="Arial"/>
          <w:szCs w:val="24"/>
          <w:lang w:eastAsia="ja-JP"/>
        </w:rPr>
        <w:t>Japanese lawn grass 2</w:t>
      </w:r>
    </w:p>
    <w:p w:rsidR="00FC1450" w:rsidRPr="008D7902" w:rsidRDefault="00FC1450" w:rsidP="00FC1450">
      <w:pPr>
        <w:widowControl w:val="0"/>
        <w:autoSpaceDE w:val="0"/>
        <w:autoSpaceDN w:val="0"/>
        <w:adjustRightInd w:val="0"/>
        <w:rPr>
          <w:rFonts w:cs="Arial"/>
          <w:lang w:eastAsia="ja-JP"/>
        </w:rPr>
      </w:pPr>
    </w:p>
    <w:p w:rsidR="00FC1450" w:rsidRPr="008D7902" w:rsidRDefault="00FC1450" w:rsidP="00FC1450">
      <w:pPr>
        <w:widowControl w:val="0"/>
        <w:autoSpaceDE w:val="0"/>
        <w:autoSpaceDN w:val="0"/>
        <w:adjustRightInd w:val="0"/>
        <w:rPr>
          <w:rFonts w:cs="Arial"/>
          <w:lang w:eastAsia="ja-JP"/>
        </w:rPr>
      </w:pPr>
    </w:p>
    <w:p w:rsidR="00FC1450" w:rsidRDefault="00FC1450" w:rsidP="00FC1450">
      <w:pPr>
        <w:pStyle w:val="ListParagraph"/>
        <w:widowControl w:val="0"/>
        <w:numPr>
          <w:ilvl w:val="0"/>
          <w:numId w:val="7"/>
        </w:numPr>
        <w:autoSpaceDE w:val="0"/>
        <w:autoSpaceDN w:val="0"/>
        <w:adjustRightInd w:val="0"/>
        <w:ind w:left="0" w:firstLine="0"/>
        <w:rPr>
          <w:rFonts w:cs="Arial"/>
          <w:szCs w:val="24"/>
          <w:lang w:eastAsia="ja-JP"/>
        </w:rPr>
      </w:pPr>
      <w:r w:rsidRPr="00E0219E">
        <w:rPr>
          <w:rFonts w:cs="Arial"/>
          <w:szCs w:val="24"/>
          <w:lang w:eastAsia="ja-JP"/>
        </w:rPr>
        <w:t xml:space="preserve">National test guidelines </w:t>
      </w:r>
      <w:r w:rsidRPr="00E0219E">
        <w:rPr>
          <w:rFonts w:cs="Arial" w:hint="eastAsia"/>
          <w:szCs w:val="24"/>
          <w:lang w:eastAsia="ja-JP"/>
        </w:rPr>
        <w:t xml:space="preserve">harmonized with UPOV TGs </w:t>
      </w:r>
      <w:r w:rsidRPr="00E0219E">
        <w:rPr>
          <w:rFonts w:cs="Arial"/>
          <w:szCs w:val="24"/>
          <w:lang w:eastAsia="ja-JP"/>
        </w:rPr>
        <w:t>in 2018</w:t>
      </w:r>
    </w:p>
    <w:p w:rsidR="00FC1450" w:rsidRPr="00E0219E" w:rsidRDefault="00FC1450" w:rsidP="00FC1450">
      <w:pPr>
        <w:pStyle w:val="ListParagraph"/>
        <w:widowControl w:val="0"/>
        <w:autoSpaceDE w:val="0"/>
        <w:autoSpaceDN w:val="0"/>
        <w:adjustRightInd w:val="0"/>
        <w:ind w:left="0"/>
        <w:rPr>
          <w:rFonts w:cs="Arial"/>
          <w:szCs w:val="24"/>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FC1450" w:rsidRPr="00E0219E" w:rsidTr="001A7336">
        <w:trPr>
          <w:trHeight w:val="160"/>
        </w:trPr>
        <w:tc>
          <w:tcPr>
            <w:tcW w:w="8830" w:type="dxa"/>
          </w:tcPr>
          <w:p w:rsidR="00FC1450" w:rsidRPr="00E0219E" w:rsidRDefault="00FC1450" w:rsidP="001A7336">
            <w:pPr>
              <w:widowControl w:val="0"/>
              <w:autoSpaceDE w:val="0"/>
              <w:autoSpaceDN w:val="0"/>
              <w:adjustRightInd w:val="0"/>
              <w:jc w:val="center"/>
              <w:rPr>
                <w:rFonts w:cs="Arial"/>
                <w:szCs w:val="24"/>
                <w:lang w:eastAsia="ja-JP"/>
              </w:rPr>
            </w:pPr>
            <w:r w:rsidRPr="00E0219E">
              <w:rPr>
                <w:rFonts w:cs="Arial" w:hint="eastAsia"/>
                <w:szCs w:val="24"/>
                <w:lang w:eastAsia="ja-JP"/>
              </w:rPr>
              <w:t>G</w:t>
            </w:r>
            <w:r w:rsidRPr="00E0219E">
              <w:rPr>
                <w:rFonts w:cs="Arial"/>
                <w:szCs w:val="24"/>
                <w:lang w:eastAsia="ja-JP"/>
              </w:rPr>
              <w:t xml:space="preserve">enera and </w:t>
            </w:r>
            <w:r w:rsidRPr="00E0219E">
              <w:rPr>
                <w:rFonts w:cs="Arial" w:hint="eastAsia"/>
                <w:szCs w:val="24"/>
                <w:lang w:eastAsia="ja-JP"/>
              </w:rPr>
              <w:t>S</w:t>
            </w:r>
            <w:r w:rsidRPr="00E0219E">
              <w:rPr>
                <w:rFonts w:cs="Arial"/>
                <w:szCs w:val="24"/>
                <w:lang w:eastAsia="ja-JP"/>
              </w:rPr>
              <w:t>pecies</w:t>
            </w:r>
            <w:r w:rsidRPr="00E0219E">
              <w:rPr>
                <w:rFonts w:cs="Arial" w:hint="eastAsia"/>
                <w:szCs w:val="24"/>
                <w:lang w:eastAsia="ja-JP"/>
              </w:rPr>
              <w:t xml:space="preserve"> (</w:t>
            </w:r>
            <w:r w:rsidRPr="00E0219E">
              <w:rPr>
                <w:rFonts w:cs="Arial"/>
                <w:szCs w:val="24"/>
                <w:lang w:eastAsia="ja-JP"/>
              </w:rPr>
              <w:t>3</w:t>
            </w:r>
            <w:r w:rsidRPr="00E0219E">
              <w:rPr>
                <w:rFonts w:cs="Arial" w:hint="eastAsia"/>
                <w:szCs w:val="24"/>
                <w:lang w:eastAsia="ja-JP"/>
              </w:rPr>
              <w:t>)</w:t>
            </w:r>
          </w:p>
        </w:tc>
      </w:tr>
      <w:tr w:rsidR="00FC1450" w:rsidRPr="00E0219E" w:rsidTr="001A7336">
        <w:trPr>
          <w:trHeight w:val="80"/>
        </w:trPr>
        <w:tc>
          <w:tcPr>
            <w:tcW w:w="8830" w:type="dxa"/>
          </w:tcPr>
          <w:p w:rsidR="00FC1450" w:rsidRPr="00E0219E" w:rsidRDefault="00FC1450" w:rsidP="001A7336">
            <w:pPr>
              <w:widowControl w:val="0"/>
              <w:autoSpaceDE w:val="0"/>
              <w:autoSpaceDN w:val="0"/>
              <w:adjustRightInd w:val="0"/>
              <w:jc w:val="left"/>
              <w:rPr>
                <w:rFonts w:cs="Arial"/>
                <w:szCs w:val="24"/>
                <w:highlight w:val="yellow"/>
                <w:lang w:eastAsia="ja-JP"/>
              </w:rPr>
            </w:pPr>
            <w:r w:rsidRPr="00E0219E">
              <w:rPr>
                <w:rFonts w:cs="Arial"/>
                <w:szCs w:val="24"/>
                <w:lang w:eastAsia="ja-JP"/>
              </w:rPr>
              <w:t xml:space="preserve">Rose of </w:t>
            </w:r>
            <w:proofErr w:type="spellStart"/>
            <w:r w:rsidRPr="00E0219E">
              <w:rPr>
                <w:rFonts w:cs="Arial"/>
                <w:szCs w:val="24"/>
                <w:lang w:eastAsia="ja-JP"/>
              </w:rPr>
              <w:t>sharon</w:t>
            </w:r>
            <w:proofErr w:type="spellEnd"/>
            <w:r w:rsidRPr="00E0219E">
              <w:rPr>
                <w:rFonts w:cs="Arial"/>
                <w:szCs w:val="24"/>
                <w:lang w:eastAsia="ja-JP"/>
              </w:rPr>
              <w:t>, Lobelia, Petunia</w:t>
            </w:r>
          </w:p>
        </w:tc>
      </w:tr>
    </w:tbl>
    <w:p w:rsidR="00FC1450" w:rsidRDefault="00FC1450" w:rsidP="00FC1450">
      <w:pPr>
        <w:rPr>
          <w:lang w:eastAsia="ja-JP"/>
        </w:rPr>
      </w:pPr>
    </w:p>
    <w:p w:rsidR="00FC1450" w:rsidRPr="00E0219E" w:rsidRDefault="00FC1450" w:rsidP="00FC1450">
      <w:pPr>
        <w:rPr>
          <w:lang w:eastAsia="ja-JP"/>
        </w:rPr>
      </w:pPr>
    </w:p>
    <w:p w:rsidR="00FC1450" w:rsidRDefault="00FC1450" w:rsidP="00FC1450">
      <w:pPr>
        <w:pStyle w:val="ListParagraph"/>
        <w:widowControl w:val="0"/>
        <w:numPr>
          <w:ilvl w:val="0"/>
          <w:numId w:val="7"/>
        </w:numPr>
        <w:autoSpaceDE w:val="0"/>
        <w:autoSpaceDN w:val="0"/>
        <w:adjustRightInd w:val="0"/>
        <w:ind w:left="0" w:firstLine="0"/>
        <w:rPr>
          <w:rFonts w:cs="Arial"/>
          <w:lang w:eastAsia="ja-JP"/>
        </w:rPr>
      </w:pPr>
      <w:r w:rsidRPr="00E0219E">
        <w:rPr>
          <w:rFonts w:cs="Arial"/>
          <w:lang w:eastAsia="ja-JP"/>
        </w:rPr>
        <w:t xml:space="preserve">National test guidelines </w:t>
      </w:r>
      <w:r w:rsidRPr="00E0219E">
        <w:rPr>
          <w:rFonts w:cs="Arial" w:hint="eastAsia"/>
          <w:lang w:eastAsia="ja-JP"/>
        </w:rPr>
        <w:t xml:space="preserve">developed for new </w:t>
      </w:r>
      <w:r w:rsidRPr="00E0219E">
        <w:rPr>
          <w:rFonts w:cs="Arial"/>
          <w:lang w:eastAsia="ja-JP"/>
        </w:rPr>
        <w:t>genera and</w:t>
      </w:r>
      <w:r w:rsidRPr="00E0219E">
        <w:rPr>
          <w:rFonts w:cs="Arial" w:hint="eastAsia"/>
          <w:lang w:eastAsia="ja-JP"/>
        </w:rPr>
        <w:t xml:space="preserve"> species </w:t>
      </w:r>
      <w:r w:rsidRPr="00E0219E">
        <w:rPr>
          <w:rFonts w:cs="Arial"/>
          <w:lang w:eastAsia="ja-JP"/>
        </w:rPr>
        <w:t>in 2018</w:t>
      </w:r>
    </w:p>
    <w:p w:rsidR="00FC1450" w:rsidRPr="00E0219E" w:rsidRDefault="00FC1450" w:rsidP="00FC1450">
      <w:pPr>
        <w:pStyle w:val="ListParagraph"/>
        <w:widowControl w:val="0"/>
        <w:autoSpaceDE w:val="0"/>
        <w:autoSpaceDN w:val="0"/>
        <w:adjustRightInd w:val="0"/>
        <w:ind w:left="0"/>
        <w:rPr>
          <w:rFonts w:cs="Arial"/>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FC1450" w:rsidRPr="00E0219E" w:rsidTr="001A7336">
        <w:trPr>
          <w:trHeight w:val="70"/>
        </w:trPr>
        <w:tc>
          <w:tcPr>
            <w:tcW w:w="8826" w:type="dxa"/>
          </w:tcPr>
          <w:p w:rsidR="00FC1450" w:rsidRPr="00E0219E" w:rsidRDefault="00FC1450" w:rsidP="001A7336">
            <w:pPr>
              <w:widowControl w:val="0"/>
              <w:autoSpaceDE w:val="0"/>
              <w:autoSpaceDN w:val="0"/>
              <w:adjustRightInd w:val="0"/>
              <w:jc w:val="center"/>
              <w:rPr>
                <w:rFonts w:cs="Arial"/>
                <w:lang w:eastAsia="ja-JP"/>
              </w:rPr>
            </w:pPr>
            <w:r w:rsidRPr="00E0219E">
              <w:rPr>
                <w:rFonts w:cs="Arial" w:hint="eastAsia"/>
                <w:lang w:eastAsia="ja-JP"/>
              </w:rPr>
              <w:t>G</w:t>
            </w:r>
            <w:r w:rsidRPr="00E0219E">
              <w:rPr>
                <w:rFonts w:cs="Arial"/>
                <w:lang w:eastAsia="ja-JP"/>
              </w:rPr>
              <w:t xml:space="preserve">enera and </w:t>
            </w:r>
            <w:r w:rsidRPr="00E0219E">
              <w:rPr>
                <w:rFonts w:cs="Arial" w:hint="eastAsia"/>
                <w:lang w:eastAsia="ja-JP"/>
              </w:rPr>
              <w:t>S</w:t>
            </w:r>
            <w:r w:rsidRPr="00E0219E">
              <w:rPr>
                <w:rFonts w:cs="Arial"/>
                <w:lang w:eastAsia="ja-JP"/>
              </w:rPr>
              <w:t>pecies</w:t>
            </w:r>
            <w:r w:rsidRPr="00E0219E">
              <w:rPr>
                <w:rFonts w:cs="Arial" w:hint="eastAsia"/>
                <w:lang w:eastAsia="ja-JP"/>
              </w:rPr>
              <w:t xml:space="preserve"> (1</w:t>
            </w:r>
            <w:r w:rsidRPr="00E0219E">
              <w:rPr>
                <w:rFonts w:cs="Arial"/>
                <w:lang w:eastAsia="ja-JP"/>
              </w:rPr>
              <w:t>4</w:t>
            </w:r>
            <w:r w:rsidRPr="00E0219E">
              <w:rPr>
                <w:rFonts w:cs="Arial" w:hint="eastAsia"/>
                <w:lang w:eastAsia="ja-JP"/>
              </w:rPr>
              <w:t>)</w:t>
            </w:r>
          </w:p>
        </w:tc>
      </w:tr>
      <w:tr w:rsidR="00FC1450" w:rsidRPr="002C00BC" w:rsidTr="001A7336">
        <w:trPr>
          <w:trHeight w:val="547"/>
        </w:trPr>
        <w:tc>
          <w:tcPr>
            <w:tcW w:w="8826" w:type="dxa"/>
            <w:tcBorders>
              <w:bottom w:val="single" w:sz="4" w:space="0" w:color="auto"/>
            </w:tcBorders>
          </w:tcPr>
          <w:p w:rsidR="00FC1450" w:rsidRPr="0077452D" w:rsidRDefault="00FC1450" w:rsidP="001A7336">
            <w:pPr>
              <w:widowControl w:val="0"/>
              <w:autoSpaceDE w:val="0"/>
              <w:autoSpaceDN w:val="0"/>
              <w:adjustRightInd w:val="0"/>
              <w:jc w:val="left"/>
              <w:rPr>
                <w:rFonts w:cs="Arial"/>
                <w:kern w:val="2"/>
                <w:lang w:val="pt-BR" w:eastAsia="ja-JP"/>
              </w:rPr>
            </w:pPr>
            <w:proofErr w:type="spellStart"/>
            <w:r w:rsidRPr="00E0219E">
              <w:rPr>
                <w:rFonts w:cs="Arial"/>
                <w:i/>
                <w:kern w:val="2"/>
                <w:lang w:eastAsia="ja-JP"/>
              </w:rPr>
              <w:t>Callicarpa</w:t>
            </w:r>
            <w:proofErr w:type="spellEnd"/>
            <w:r w:rsidRPr="00E0219E">
              <w:rPr>
                <w:rFonts w:cs="Arial"/>
                <w:kern w:val="2"/>
                <w:lang w:eastAsia="ja-JP"/>
              </w:rPr>
              <w:t xml:space="preserve"> L., </w:t>
            </w:r>
            <w:proofErr w:type="spellStart"/>
            <w:r w:rsidRPr="00E0219E">
              <w:rPr>
                <w:rFonts w:cs="Arial"/>
                <w:i/>
                <w:kern w:val="2"/>
                <w:lang w:eastAsia="ja-JP"/>
              </w:rPr>
              <w:t>Cuphea</w:t>
            </w:r>
            <w:proofErr w:type="spellEnd"/>
            <w:r w:rsidRPr="00E0219E">
              <w:rPr>
                <w:rFonts w:cs="Arial"/>
                <w:i/>
                <w:kern w:val="2"/>
                <w:lang w:eastAsia="ja-JP"/>
              </w:rPr>
              <w:t xml:space="preserve"> </w:t>
            </w:r>
            <w:proofErr w:type="spellStart"/>
            <w:r w:rsidRPr="00E0219E">
              <w:rPr>
                <w:rFonts w:cs="Arial"/>
                <w:i/>
                <w:kern w:val="2"/>
                <w:lang w:eastAsia="ja-JP"/>
              </w:rPr>
              <w:t>ramosissima</w:t>
            </w:r>
            <w:proofErr w:type="spellEnd"/>
            <w:r w:rsidRPr="00E0219E">
              <w:rPr>
                <w:rFonts w:cs="Arial"/>
                <w:kern w:val="2"/>
                <w:lang w:eastAsia="ja-JP"/>
              </w:rPr>
              <w:t xml:space="preserve"> Pohl ex </w:t>
            </w:r>
            <w:proofErr w:type="spellStart"/>
            <w:r w:rsidRPr="00E0219E">
              <w:rPr>
                <w:rFonts w:cs="Arial"/>
                <w:kern w:val="2"/>
                <w:lang w:eastAsia="ja-JP"/>
              </w:rPr>
              <w:t>Koehne</w:t>
            </w:r>
            <w:proofErr w:type="spellEnd"/>
            <w:r w:rsidRPr="00E0219E">
              <w:rPr>
                <w:rFonts w:cs="Arial"/>
                <w:kern w:val="2"/>
                <w:lang w:eastAsia="ja-JP"/>
              </w:rPr>
              <w:t xml:space="preserve">, </w:t>
            </w:r>
            <w:proofErr w:type="spellStart"/>
            <w:r w:rsidRPr="00E0219E">
              <w:rPr>
                <w:rFonts w:cs="Arial"/>
                <w:i/>
                <w:kern w:val="2"/>
                <w:lang w:eastAsia="ja-JP"/>
              </w:rPr>
              <w:t>Cynodon</w:t>
            </w:r>
            <w:proofErr w:type="spellEnd"/>
            <w:r w:rsidRPr="00E0219E">
              <w:rPr>
                <w:rFonts w:cs="Arial"/>
                <w:kern w:val="2"/>
                <w:lang w:eastAsia="ja-JP"/>
              </w:rPr>
              <w:t xml:space="preserve"> Rich., </w:t>
            </w:r>
            <w:proofErr w:type="spellStart"/>
            <w:r w:rsidRPr="00E0219E">
              <w:rPr>
                <w:rFonts w:cs="Arial"/>
                <w:i/>
                <w:kern w:val="2"/>
                <w:lang w:eastAsia="ja-JP"/>
              </w:rPr>
              <w:t>Diervilla</w:t>
            </w:r>
            <w:proofErr w:type="spellEnd"/>
            <w:r w:rsidRPr="00E0219E">
              <w:rPr>
                <w:rFonts w:cs="Arial"/>
                <w:kern w:val="2"/>
                <w:lang w:eastAsia="ja-JP"/>
              </w:rPr>
              <w:t xml:space="preserve"> Mill., </w:t>
            </w:r>
            <w:proofErr w:type="spellStart"/>
            <w:r w:rsidRPr="00E0219E">
              <w:rPr>
                <w:rFonts w:cs="Arial"/>
                <w:i/>
                <w:kern w:val="2"/>
                <w:lang w:eastAsia="ja-JP"/>
              </w:rPr>
              <w:t>Erianthus</w:t>
            </w:r>
            <w:proofErr w:type="spellEnd"/>
            <w:r w:rsidRPr="00E0219E">
              <w:rPr>
                <w:rFonts w:cs="Arial"/>
                <w:i/>
                <w:kern w:val="2"/>
                <w:lang w:eastAsia="ja-JP"/>
              </w:rPr>
              <w:t xml:space="preserve"> </w:t>
            </w:r>
            <w:proofErr w:type="spellStart"/>
            <w:r w:rsidRPr="00E0219E">
              <w:rPr>
                <w:rFonts w:cs="Arial"/>
                <w:i/>
                <w:kern w:val="2"/>
                <w:lang w:eastAsia="ja-JP"/>
              </w:rPr>
              <w:t>arundinaceus</w:t>
            </w:r>
            <w:proofErr w:type="spellEnd"/>
            <w:r w:rsidRPr="00E0219E">
              <w:rPr>
                <w:rFonts w:cs="Arial"/>
                <w:kern w:val="2"/>
                <w:lang w:eastAsia="ja-JP"/>
              </w:rPr>
              <w:t xml:space="preserve"> (Retz.) </w:t>
            </w:r>
            <w:r w:rsidRPr="0077452D">
              <w:rPr>
                <w:rFonts w:cs="Arial"/>
                <w:kern w:val="2"/>
                <w:lang w:val="pt-BR" w:eastAsia="ja-JP"/>
              </w:rPr>
              <w:t xml:space="preserve">Jeswiet, </w:t>
            </w:r>
            <w:r w:rsidRPr="0077452D">
              <w:rPr>
                <w:rFonts w:cs="Arial"/>
                <w:i/>
                <w:kern w:val="2"/>
                <w:lang w:val="pt-BR" w:eastAsia="ja-JP"/>
              </w:rPr>
              <w:t>Ficus rubiginosa</w:t>
            </w:r>
            <w:r w:rsidRPr="0077452D">
              <w:rPr>
                <w:rFonts w:cs="Arial"/>
                <w:kern w:val="2"/>
                <w:lang w:val="pt-BR" w:eastAsia="ja-JP"/>
              </w:rPr>
              <w:t xml:space="preserve"> Desf. ex Vent., </w:t>
            </w:r>
            <w:r w:rsidRPr="0077452D">
              <w:rPr>
                <w:rFonts w:cs="Arial"/>
                <w:i/>
                <w:kern w:val="2"/>
                <w:lang w:val="pt-BR" w:eastAsia="ja-JP"/>
              </w:rPr>
              <w:t>Ilex crenata</w:t>
            </w:r>
            <w:r w:rsidRPr="0077452D">
              <w:rPr>
                <w:rFonts w:cs="Arial"/>
                <w:kern w:val="2"/>
                <w:lang w:val="pt-BR" w:eastAsia="ja-JP"/>
              </w:rPr>
              <w:t xml:space="preserve"> Thunb., </w:t>
            </w:r>
            <w:r w:rsidRPr="0077452D">
              <w:rPr>
                <w:rFonts w:cs="Arial"/>
                <w:i/>
                <w:kern w:val="2"/>
                <w:lang w:val="pt-BR" w:eastAsia="ja-JP"/>
              </w:rPr>
              <w:t xml:space="preserve">Lindernia cleistandra </w:t>
            </w:r>
            <w:r w:rsidRPr="0077452D">
              <w:rPr>
                <w:rFonts w:cs="Arial"/>
                <w:kern w:val="2"/>
                <w:lang w:val="pt-BR" w:eastAsia="ja-JP"/>
              </w:rPr>
              <w:t xml:space="preserve">W. R. Barker, </w:t>
            </w:r>
            <w:r w:rsidRPr="0077452D">
              <w:rPr>
                <w:rFonts w:cs="Arial"/>
                <w:i/>
                <w:kern w:val="2"/>
                <w:lang w:val="pt-BR" w:eastAsia="ja-JP"/>
              </w:rPr>
              <w:t>Lomandora</w:t>
            </w:r>
            <w:r w:rsidRPr="0077452D">
              <w:rPr>
                <w:rFonts w:cs="Arial"/>
                <w:kern w:val="2"/>
                <w:lang w:val="pt-BR" w:eastAsia="ja-JP"/>
              </w:rPr>
              <w:t xml:space="preserve"> Labill., </w:t>
            </w:r>
            <w:r w:rsidRPr="0077452D">
              <w:rPr>
                <w:rFonts w:cs="Arial"/>
                <w:i/>
                <w:kern w:val="2"/>
                <w:lang w:val="pt-BR" w:eastAsia="ja-JP"/>
              </w:rPr>
              <w:t>Loropetalum chinense</w:t>
            </w:r>
            <w:r w:rsidRPr="0077452D">
              <w:rPr>
                <w:rFonts w:cs="Arial"/>
                <w:kern w:val="2"/>
                <w:lang w:val="pt-BR" w:eastAsia="ja-JP"/>
              </w:rPr>
              <w:t xml:space="preserve"> (R. Br.) Oliv., </w:t>
            </w:r>
            <w:r w:rsidRPr="0077452D">
              <w:rPr>
                <w:rFonts w:cs="Arial"/>
                <w:i/>
                <w:kern w:val="2"/>
                <w:lang w:val="pt-BR" w:eastAsia="ja-JP"/>
              </w:rPr>
              <w:t>Nemophila</w:t>
            </w:r>
            <w:r w:rsidRPr="0077452D">
              <w:rPr>
                <w:rFonts w:cs="Arial"/>
                <w:kern w:val="2"/>
                <w:lang w:val="pt-BR" w:eastAsia="ja-JP"/>
              </w:rPr>
              <w:t xml:space="preserve"> Nutt., </w:t>
            </w:r>
            <w:r w:rsidRPr="0077452D">
              <w:rPr>
                <w:rFonts w:cs="Arial"/>
                <w:i/>
                <w:kern w:val="2"/>
                <w:lang w:val="pt-BR" w:eastAsia="ja-JP"/>
              </w:rPr>
              <w:t>Ribes sanguineum</w:t>
            </w:r>
            <w:r w:rsidRPr="0077452D">
              <w:rPr>
                <w:rFonts w:cs="Arial"/>
                <w:kern w:val="2"/>
                <w:lang w:val="pt-BR" w:eastAsia="ja-JP"/>
              </w:rPr>
              <w:t xml:space="preserve"> Pursh, </w:t>
            </w:r>
            <w:r w:rsidRPr="0077452D">
              <w:rPr>
                <w:rFonts w:cs="Arial"/>
                <w:i/>
                <w:kern w:val="2"/>
                <w:lang w:val="pt-BR" w:eastAsia="ja-JP"/>
              </w:rPr>
              <w:t>Senecio Candidans</w:t>
            </w:r>
            <w:r w:rsidRPr="0077452D">
              <w:rPr>
                <w:rFonts w:cs="Arial"/>
                <w:kern w:val="2"/>
                <w:lang w:val="pt-BR" w:eastAsia="ja-JP"/>
              </w:rPr>
              <w:t xml:space="preserve"> DC., </w:t>
            </w:r>
            <w:r w:rsidRPr="0077452D">
              <w:rPr>
                <w:rFonts w:cs="Arial"/>
                <w:i/>
                <w:kern w:val="2"/>
                <w:lang w:val="pt-BR" w:eastAsia="ja-JP"/>
              </w:rPr>
              <w:t>Trachymene coerulea</w:t>
            </w:r>
            <w:r w:rsidRPr="0077452D">
              <w:rPr>
                <w:rFonts w:cs="Arial"/>
                <w:kern w:val="2"/>
                <w:lang w:val="pt-BR" w:eastAsia="ja-JP"/>
              </w:rPr>
              <w:t xml:space="preserve"> Graham</w:t>
            </w:r>
          </w:p>
        </w:tc>
      </w:tr>
    </w:tbl>
    <w:p w:rsidR="00FC1450" w:rsidRPr="00E0219E" w:rsidRDefault="00FC1450" w:rsidP="00FC1450">
      <w:pPr>
        <w:widowControl w:val="0"/>
        <w:autoSpaceDE w:val="0"/>
        <w:autoSpaceDN w:val="0"/>
        <w:adjustRightInd w:val="0"/>
        <w:ind w:left="709"/>
        <w:rPr>
          <w:rFonts w:cs="Arial"/>
          <w:szCs w:val="24"/>
          <w:lang w:eastAsia="ja-JP"/>
        </w:rPr>
      </w:pPr>
      <w:proofErr w:type="gramStart"/>
      <w:r w:rsidRPr="00E0219E">
        <w:rPr>
          <w:rFonts w:cs="Arial"/>
          <w:bCs/>
          <w:szCs w:val="24"/>
          <w:lang w:eastAsia="ja-JP"/>
        </w:rPr>
        <w:t>Web-site</w:t>
      </w:r>
      <w:proofErr w:type="gramEnd"/>
      <w:r w:rsidRPr="00E0219E">
        <w:rPr>
          <w:rFonts w:cs="Arial"/>
          <w:bCs/>
          <w:szCs w:val="24"/>
          <w:lang w:eastAsia="ja-JP"/>
        </w:rPr>
        <w:t xml:space="preserve">: </w:t>
      </w:r>
      <w:r w:rsidRPr="00E0219E">
        <w:rPr>
          <w:rFonts w:cs="Arial"/>
          <w:szCs w:val="24"/>
          <w:lang w:eastAsia="ja-JP"/>
        </w:rPr>
        <w:t>http://www.hinshu2.maff.go.jp/info/sinsakijun/botanical_taxon_e.html</w:t>
      </w:r>
    </w:p>
    <w:p w:rsidR="00FC1450" w:rsidRDefault="00FC1450" w:rsidP="00FC1450">
      <w:pPr>
        <w:rPr>
          <w:lang w:eastAsia="ja-JP"/>
        </w:rPr>
      </w:pPr>
    </w:p>
    <w:p w:rsidR="00FC1450" w:rsidRPr="00E0219E" w:rsidRDefault="00FC1450" w:rsidP="00FC1450">
      <w:pPr>
        <w:rPr>
          <w:lang w:eastAsia="ja-JP"/>
        </w:rPr>
      </w:pPr>
    </w:p>
    <w:p w:rsidR="00FC1450" w:rsidRDefault="00FC1450" w:rsidP="00FC1450">
      <w:pPr>
        <w:pStyle w:val="ListParagraph"/>
        <w:widowControl w:val="0"/>
        <w:numPr>
          <w:ilvl w:val="0"/>
          <w:numId w:val="7"/>
        </w:numPr>
        <w:autoSpaceDE w:val="0"/>
        <w:autoSpaceDN w:val="0"/>
        <w:adjustRightInd w:val="0"/>
        <w:ind w:left="0" w:firstLine="0"/>
        <w:rPr>
          <w:rFonts w:cs="Arial"/>
          <w:lang w:eastAsia="ja-JP"/>
        </w:rPr>
      </w:pPr>
      <w:r w:rsidRPr="00E0219E">
        <w:rPr>
          <w:rFonts w:cs="Arial"/>
          <w:lang w:eastAsia="ja-JP"/>
        </w:rPr>
        <w:t>Other reports</w:t>
      </w:r>
    </w:p>
    <w:p w:rsidR="00FC1450" w:rsidRPr="00E0219E" w:rsidRDefault="00FC1450" w:rsidP="00FC1450">
      <w:pPr>
        <w:pStyle w:val="ListParagraph"/>
        <w:widowControl w:val="0"/>
        <w:autoSpaceDE w:val="0"/>
        <w:autoSpaceDN w:val="0"/>
        <w:adjustRightInd w:val="0"/>
        <w:ind w:left="0"/>
        <w:rPr>
          <w:rFonts w:cs="Arial"/>
          <w:lang w:eastAsia="ja-JP"/>
        </w:rPr>
      </w:pPr>
    </w:p>
    <w:p w:rsidR="00FC1450" w:rsidRPr="001A66E4" w:rsidRDefault="00FC1450" w:rsidP="00461C8A">
      <w:pPr>
        <w:widowControl w:val="0"/>
        <w:numPr>
          <w:ilvl w:val="0"/>
          <w:numId w:val="6"/>
        </w:numPr>
        <w:autoSpaceDE w:val="0"/>
        <w:autoSpaceDN w:val="0"/>
        <w:adjustRightInd w:val="0"/>
        <w:rPr>
          <w:rFonts w:cs="Arial"/>
          <w:kern w:val="2"/>
          <w:lang w:eastAsia="ja-JP"/>
        </w:rPr>
      </w:pPr>
      <w:r w:rsidRPr="001A66E4">
        <w:rPr>
          <w:rFonts w:cs="Arial"/>
          <w:lang w:eastAsia="ja-JP"/>
        </w:rPr>
        <w:t>Japan continuously provides other UPOV members with examination reports at no charge under the Memorandum of Cooperation (MOC).</w:t>
      </w:r>
      <w:r w:rsidRPr="001A66E4">
        <w:rPr>
          <w:rFonts w:cs="Arial"/>
          <w:kern w:val="2"/>
          <w:lang w:eastAsia="ja-JP"/>
        </w:rPr>
        <w:t xml:space="preserve"> We have agreed the MOC</w:t>
      </w:r>
      <w:r>
        <w:rPr>
          <w:rFonts w:cs="Arial"/>
          <w:kern w:val="2"/>
          <w:lang w:eastAsia="ja-JP"/>
        </w:rPr>
        <w:t xml:space="preserve"> </w:t>
      </w:r>
      <w:r w:rsidRPr="001A66E4">
        <w:rPr>
          <w:rFonts w:cs="Arial"/>
          <w:kern w:val="2"/>
          <w:lang w:eastAsia="ja-JP"/>
        </w:rPr>
        <w:t xml:space="preserve">with 15 members at </w:t>
      </w:r>
      <w:r>
        <w:rPr>
          <w:rFonts w:cs="Arial"/>
          <w:kern w:val="2"/>
          <w:lang w:eastAsia="ja-JP"/>
        </w:rPr>
        <w:t>July</w:t>
      </w:r>
      <w:r w:rsidRPr="001A66E4">
        <w:rPr>
          <w:rFonts w:cs="Arial"/>
          <w:kern w:val="2"/>
          <w:lang w:eastAsia="ja-JP"/>
        </w:rPr>
        <w:t xml:space="preserve"> 2019.</w:t>
      </w:r>
    </w:p>
    <w:p w:rsidR="00FC1450" w:rsidRPr="00E0219E" w:rsidRDefault="00FC1450" w:rsidP="00461C8A">
      <w:pPr>
        <w:widowControl w:val="0"/>
        <w:autoSpaceDE w:val="0"/>
        <w:autoSpaceDN w:val="0"/>
        <w:adjustRightInd w:val="0"/>
        <w:ind w:left="420"/>
        <w:rPr>
          <w:rFonts w:cs="Arial"/>
          <w:lang w:eastAsia="ja-JP"/>
        </w:rPr>
      </w:pPr>
    </w:p>
    <w:p w:rsidR="00FC1450" w:rsidRPr="00E0219E" w:rsidRDefault="00FC1450" w:rsidP="00461C8A">
      <w:pPr>
        <w:widowControl w:val="0"/>
        <w:numPr>
          <w:ilvl w:val="0"/>
          <w:numId w:val="6"/>
        </w:numPr>
        <w:autoSpaceDE w:val="0"/>
        <w:autoSpaceDN w:val="0"/>
        <w:adjustRightInd w:val="0"/>
        <w:rPr>
          <w:rFonts w:cs="Arial"/>
          <w:lang w:eastAsia="ja-JP"/>
        </w:rPr>
      </w:pPr>
      <w:r w:rsidRPr="00E0219E">
        <w:rPr>
          <w:rFonts w:cs="Arial"/>
          <w:lang w:eastAsia="ja-JP"/>
        </w:rPr>
        <w:t>Japan launched MAFF electr</w:t>
      </w:r>
      <w:r>
        <w:rPr>
          <w:rFonts w:cs="Arial"/>
          <w:lang w:eastAsia="ja-JP"/>
        </w:rPr>
        <w:t>on</w:t>
      </w:r>
      <w:r w:rsidRPr="00E0219E">
        <w:rPr>
          <w:rFonts w:cs="Arial"/>
          <w:lang w:eastAsia="ja-JP"/>
        </w:rPr>
        <w:t>ic application system (national electr</w:t>
      </w:r>
      <w:r>
        <w:rPr>
          <w:rFonts w:cs="Arial"/>
          <w:lang w:eastAsia="ja-JP"/>
        </w:rPr>
        <w:t>on</w:t>
      </w:r>
      <w:r w:rsidRPr="00E0219E">
        <w:rPr>
          <w:rFonts w:cs="Arial"/>
          <w:lang w:eastAsia="ja-JP"/>
        </w:rPr>
        <w:t>ic application system) on March</w:t>
      </w:r>
      <w:r>
        <w:rPr>
          <w:rFonts w:cs="Arial"/>
          <w:lang w:eastAsia="ja-JP"/>
        </w:rPr>
        <w:t> 26</w:t>
      </w:r>
      <w:r w:rsidRPr="00E0219E">
        <w:rPr>
          <w:rFonts w:cs="Arial"/>
          <w:lang w:eastAsia="ja-JP"/>
        </w:rPr>
        <w:t>, 2018</w:t>
      </w:r>
      <w:r w:rsidR="00461C8A">
        <w:rPr>
          <w:rFonts w:cs="Arial"/>
          <w:lang w:eastAsia="ja-JP"/>
        </w:rPr>
        <w:t>,</w:t>
      </w:r>
      <w:r w:rsidRPr="00E0219E">
        <w:rPr>
          <w:rFonts w:cs="Arial"/>
          <w:lang w:eastAsia="ja-JP"/>
        </w:rPr>
        <w:t xml:space="preserve"> for convenience of applicants and for improving effective PVP proceedings in Japan. This system allows users to send application form by electr</w:t>
      </w:r>
      <w:r>
        <w:rPr>
          <w:rFonts w:cs="Arial"/>
          <w:lang w:eastAsia="ja-JP"/>
        </w:rPr>
        <w:t>on</w:t>
      </w:r>
      <w:r w:rsidRPr="00E0219E">
        <w:rPr>
          <w:rFonts w:cs="Arial"/>
          <w:lang w:eastAsia="ja-JP"/>
        </w:rPr>
        <w:t xml:space="preserve">ic system. Users </w:t>
      </w:r>
      <w:proofErr w:type="gramStart"/>
      <w:r w:rsidRPr="00E0219E">
        <w:rPr>
          <w:rFonts w:cs="Arial"/>
          <w:lang w:eastAsia="ja-JP"/>
        </w:rPr>
        <w:t>are requested</w:t>
      </w:r>
      <w:proofErr w:type="gramEnd"/>
      <w:r w:rsidRPr="00E0219E">
        <w:rPr>
          <w:rFonts w:cs="Arial"/>
          <w:lang w:eastAsia="ja-JP"/>
        </w:rPr>
        <w:t xml:space="preserve"> to send a Request Form by postal mail to PVPO for obtaining user ID and password in advance. The system accepts Japanese language only. The PVPO accepts paper application. More information is available at MAFF’s website.  ”http://www.hinshu2.maff.go.jp/”</w:t>
      </w:r>
    </w:p>
    <w:p w:rsidR="00FC1450" w:rsidRPr="00E0219E" w:rsidRDefault="00FC1450" w:rsidP="00FC1450">
      <w:pPr>
        <w:widowControl w:val="0"/>
        <w:autoSpaceDE w:val="0"/>
        <w:autoSpaceDN w:val="0"/>
        <w:adjustRightInd w:val="0"/>
        <w:jc w:val="left"/>
        <w:rPr>
          <w:rFonts w:cs="Arial"/>
          <w:lang w:eastAsia="ja-JP"/>
        </w:rPr>
      </w:pPr>
    </w:p>
    <w:p w:rsidR="00FC1450" w:rsidRPr="008D7902" w:rsidRDefault="00FC1450" w:rsidP="00461C8A">
      <w:pPr>
        <w:keepNext/>
        <w:keepLines/>
        <w:widowControl w:val="0"/>
        <w:numPr>
          <w:ilvl w:val="0"/>
          <w:numId w:val="6"/>
        </w:numPr>
        <w:autoSpaceDE w:val="0"/>
        <w:autoSpaceDN w:val="0"/>
        <w:adjustRightInd w:val="0"/>
        <w:rPr>
          <w:rFonts w:cs="Arial"/>
          <w:lang w:eastAsia="ja-JP"/>
        </w:rPr>
      </w:pPr>
      <w:r w:rsidRPr="00E0219E">
        <w:rPr>
          <w:rFonts w:cs="Arial"/>
          <w:lang w:eastAsia="ja-JP"/>
        </w:rPr>
        <w:lastRenderedPageBreak/>
        <w:t>Since establishment of the East Asia Plant Variety Protection Forum in 2008, Japan has continuously supported Forum member’s activities. We will enhance support to establish effective PVP system consistent with the UPOV Convention, by strengthening national PVP system and by facilitating harmonization of application/examination procedures to enhance efficient PVP cooperation under the 10</w:t>
      </w:r>
      <w:r w:rsidR="00461C8A">
        <w:rPr>
          <w:rFonts w:cs="Arial"/>
          <w:lang w:eastAsia="ja-JP"/>
        </w:rPr>
        <w:noBreakHyphen/>
      </w:r>
      <w:r w:rsidRPr="00E0219E">
        <w:rPr>
          <w:rFonts w:cs="Arial"/>
          <w:lang w:eastAsia="ja-JP"/>
        </w:rPr>
        <w:t>Year Strategic Plan of the Forum.</w:t>
      </w:r>
    </w:p>
    <w:p w:rsidR="00FC1450" w:rsidRDefault="00FC1450" w:rsidP="007947FE"/>
    <w:p w:rsidR="00FC1450" w:rsidRDefault="00FC1450" w:rsidP="007947FE"/>
    <w:p w:rsidR="00FC1450" w:rsidRDefault="00FC1450" w:rsidP="007947FE"/>
    <w:p w:rsidR="00FC1450" w:rsidRDefault="00FC1450" w:rsidP="00FC1450">
      <w:pPr>
        <w:jc w:val="right"/>
      </w:pPr>
      <w:r>
        <w:t>[Annex V follows]</w:t>
      </w:r>
    </w:p>
    <w:p w:rsidR="00FC1450" w:rsidRDefault="00FC1450" w:rsidP="007947FE">
      <w:pPr>
        <w:sectPr w:rsidR="00FC1450" w:rsidSect="00B97087">
          <w:headerReference w:type="default" r:id="rId14"/>
          <w:headerReference w:type="first" r:id="rId15"/>
          <w:pgSz w:w="11907" w:h="16840" w:code="9"/>
          <w:pgMar w:top="510" w:right="1134" w:bottom="1134" w:left="1134" w:header="510" w:footer="680" w:gutter="0"/>
          <w:pgNumType w:start="1"/>
          <w:cols w:space="720"/>
          <w:titlePg/>
        </w:sectPr>
      </w:pPr>
    </w:p>
    <w:p w:rsidR="00FC1450" w:rsidRDefault="00FC1450" w:rsidP="007947FE"/>
    <w:p w:rsidR="007664B1" w:rsidRDefault="007664B1" w:rsidP="007664B1">
      <w:pPr>
        <w:jc w:val="center"/>
      </w:pPr>
      <w:r>
        <w:t>NETHERLANDS</w:t>
      </w:r>
    </w:p>
    <w:p w:rsidR="007664B1" w:rsidRDefault="007664B1" w:rsidP="007664B1"/>
    <w:p w:rsidR="007664B1" w:rsidRPr="005F4ECE" w:rsidRDefault="007664B1" w:rsidP="007664B1">
      <w:pPr>
        <w:rPr>
          <w:lang w:val="en-GB"/>
        </w:rPr>
      </w:pPr>
      <w:r w:rsidRPr="005F4ECE">
        <w:rPr>
          <w:lang w:val="en-GB"/>
        </w:rPr>
        <w:t>Naktuinbouw Variety Testing developments</w:t>
      </w:r>
    </w:p>
    <w:p w:rsidR="007664B1" w:rsidRPr="005F4ECE" w:rsidRDefault="007664B1" w:rsidP="007664B1">
      <w:pPr>
        <w:rPr>
          <w:lang w:val="en-GB"/>
        </w:rPr>
      </w:pPr>
    </w:p>
    <w:p w:rsidR="007664B1" w:rsidRPr="007B0D62" w:rsidRDefault="007664B1" w:rsidP="007664B1">
      <w:pPr>
        <w:rPr>
          <w:lang w:val="en-GB"/>
        </w:rPr>
      </w:pPr>
      <w:r w:rsidRPr="007B0D62">
        <w:rPr>
          <w:lang w:val="nl-NL"/>
        </w:rPr>
        <w:t>At the beginning of 2018</w:t>
      </w:r>
      <w:r w:rsidRPr="007B0D62">
        <w:rPr>
          <w:lang w:val="en-GB"/>
        </w:rPr>
        <w:t xml:space="preserve"> the 3 DUS teams Ornamentals, Vegetables and Agricultural crops integrated into one large DUS team. Many of the team members now work in Vegetables as well as Ornamentals. </w:t>
      </w:r>
      <w:proofErr w:type="gramStart"/>
      <w:r w:rsidRPr="007B0D62">
        <w:rPr>
          <w:lang w:val="en-GB"/>
        </w:rPr>
        <w:t>In  2019</w:t>
      </w:r>
      <w:proofErr w:type="gramEnd"/>
      <w:r w:rsidRPr="007B0D62">
        <w:rPr>
          <w:lang w:val="en-GB"/>
        </w:rPr>
        <w:t xml:space="preserve"> the team was enlarged with 4 more and now consists of 39 employees, 2 of them are managers.</w:t>
      </w:r>
    </w:p>
    <w:p w:rsidR="007664B1" w:rsidRPr="007B0D62" w:rsidRDefault="007664B1" w:rsidP="007664B1">
      <w:pPr>
        <w:rPr>
          <w:lang w:val="en-GB"/>
        </w:rPr>
      </w:pPr>
    </w:p>
    <w:p w:rsidR="007664B1" w:rsidRPr="007B0D62" w:rsidRDefault="007664B1" w:rsidP="007664B1">
      <w:pPr>
        <w:rPr>
          <w:lang w:val="en-GB"/>
        </w:rPr>
      </w:pPr>
      <w:r w:rsidRPr="007B0D62">
        <w:rPr>
          <w:lang w:val="en-GB"/>
        </w:rPr>
        <w:t xml:space="preserve">A Training Course on DNA </w:t>
      </w:r>
      <w:proofErr w:type="gramStart"/>
      <w:r w:rsidRPr="007B0D62">
        <w:rPr>
          <w:lang w:val="en-GB"/>
        </w:rPr>
        <w:t>Techniques which</w:t>
      </w:r>
      <w:proofErr w:type="gramEnd"/>
      <w:r w:rsidRPr="007B0D62">
        <w:rPr>
          <w:lang w:val="en-GB"/>
        </w:rPr>
        <w:t xml:space="preserve"> was developed in 2017 by the Research and Development team for external use, was in 2018 adapted to the needs of the DUS team in an internal course. The focus is on the interest and the use at present and in future of those techniques in DUS testing. In </w:t>
      </w:r>
      <w:proofErr w:type="gramStart"/>
      <w:r w:rsidRPr="007B0D62">
        <w:rPr>
          <w:lang w:val="en-GB"/>
        </w:rPr>
        <w:t>return</w:t>
      </w:r>
      <w:proofErr w:type="gramEnd"/>
      <w:r w:rsidRPr="007B0D62">
        <w:rPr>
          <w:lang w:val="en-GB"/>
        </w:rPr>
        <w:t xml:space="preserve"> a condensed DUS course was developed and offered to the R&amp;D team. The mutual conclusion was that both teams have a lot more in common than realized in the daily routine: searching for distinctness and similarity; collecting data; building and managing databases, etc</w:t>
      </w:r>
      <w:proofErr w:type="gramStart"/>
      <w:r w:rsidRPr="007B0D62">
        <w:rPr>
          <w:lang w:val="en-GB"/>
        </w:rPr>
        <w:t>..</w:t>
      </w:r>
      <w:proofErr w:type="gramEnd"/>
    </w:p>
    <w:p w:rsidR="007664B1" w:rsidRPr="007B0D62" w:rsidRDefault="007664B1" w:rsidP="007664B1">
      <w:pPr>
        <w:rPr>
          <w:lang w:val="en-GB"/>
        </w:rPr>
      </w:pPr>
    </w:p>
    <w:p w:rsidR="007664B1" w:rsidRPr="007B0D62" w:rsidRDefault="007664B1" w:rsidP="007664B1">
      <w:pPr>
        <w:rPr>
          <w:lang w:val="en-GB"/>
        </w:rPr>
      </w:pPr>
      <w:r w:rsidRPr="007B0D62">
        <w:rPr>
          <w:lang w:val="en-GB"/>
        </w:rPr>
        <w:t>The Variety Testing Department yearly offers a number of courses around Plant Breeders’ Rights and/or Listing.</w:t>
      </w:r>
      <w:r w:rsidR="00461C8A">
        <w:rPr>
          <w:lang w:val="en-GB"/>
        </w:rPr>
        <w:t xml:space="preserve"> </w:t>
      </w:r>
      <w:proofErr w:type="gramStart"/>
      <w:r w:rsidRPr="007B0D62">
        <w:rPr>
          <w:lang w:val="en-GB"/>
        </w:rPr>
        <w:t>Firstly</w:t>
      </w:r>
      <w:proofErr w:type="gramEnd"/>
      <w:r w:rsidRPr="007B0D62">
        <w:rPr>
          <w:lang w:val="en-GB"/>
        </w:rPr>
        <w:t xml:space="preserve"> the department cooperates with the Centre for Development Innovation </w:t>
      </w:r>
      <w:proofErr w:type="spellStart"/>
      <w:r w:rsidRPr="007B0D62">
        <w:rPr>
          <w:lang w:val="en-GB"/>
        </w:rPr>
        <w:t>Wageningen</w:t>
      </w:r>
      <w:proofErr w:type="spellEnd"/>
      <w:r w:rsidRPr="007B0D62">
        <w:rPr>
          <w:lang w:val="en-GB"/>
        </w:rPr>
        <w:t xml:space="preserve"> in the 2 weeks international course about Plant breeders’ rights for food security and economic development.</w:t>
      </w:r>
      <w:r w:rsidR="00461C8A">
        <w:rPr>
          <w:lang w:val="en-GB"/>
        </w:rPr>
        <w:t xml:space="preserve">  </w:t>
      </w:r>
      <w:r w:rsidRPr="007B0D62">
        <w:rPr>
          <w:lang w:val="en-GB"/>
        </w:rPr>
        <w:t xml:space="preserve">Short 1 or </w:t>
      </w:r>
      <w:proofErr w:type="gramStart"/>
      <w:r w:rsidRPr="007B0D62">
        <w:rPr>
          <w:lang w:val="en-GB"/>
        </w:rPr>
        <w:t>2 day</w:t>
      </w:r>
      <w:proofErr w:type="gramEnd"/>
      <w:r w:rsidRPr="007B0D62">
        <w:rPr>
          <w:lang w:val="en-GB"/>
        </w:rPr>
        <w:t xml:space="preserve"> introduction courses in Dutch are offered on Plant Breeders’ rights and Listing. </w:t>
      </w:r>
      <w:proofErr w:type="gramStart"/>
      <w:r w:rsidRPr="007B0D62">
        <w:rPr>
          <w:lang w:val="en-GB"/>
        </w:rPr>
        <w:t>But also</w:t>
      </w:r>
      <w:proofErr w:type="gramEnd"/>
      <w:r w:rsidRPr="007B0D62">
        <w:rPr>
          <w:lang w:val="en-GB"/>
        </w:rPr>
        <w:t xml:space="preserve"> a very practical training on the description of vegetable varieties, with focus on the TQ </w:t>
      </w:r>
      <w:proofErr w:type="spellStart"/>
      <w:r w:rsidRPr="007B0D62">
        <w:rPr>
          <w:lang w:val="en-GB"/>
        </w:rPr>
        <w:t>characterics</w:t>
      </w:r>
      <w:proofErr w:type="spellEnd"/>
      <w:r w:rsidRPr="007B0D62">
        <w:rPr>
          <w:lang w:val="en-GB"/>
        </w:rPr>
        <w:t xml:space="preserve"> is available.</w:t>
      </w:r>
    </w:p>
    <w:p w:rsidR="007664B1" w:rsidRPr="007B0D62" w:rsidRDefault="007664B1" w:rsidP="007664B1">
      <w:pPr>
        <w:rPr>
          <w:bCs/>
          <w:lang w:val="nl-NL"/>
        </w:rPr>
      </w:pPr>
    </w:p>
    <w:p w:rsidR="007664B1" w:rsidRDefault="007664B1" w:rsidP="007664B1">
      <w:pPr>
        <w:rPr>
          <w:bCs/>
          <w:lang w:val="nl-NL"/>
        </w:rPr>
      </w:pPr>
      <w:r w:rsidRPr="007B0D62">
        <w:rPr>
          <w:bCs/>
          <w:lang w:val="nl-NL"/>
        </w:rPr>
        <w:t>The information about and forms for application for PBR and Listing is transferred from the Naktuinbouw website to the Raad voor plantenrassen’ (Board for Plant Varieties) website, as the Board is the official Body reponsible for Granting PBR and Listing in the Netherlands.</w:t>
      </w:r>
    </w:p>
    <w:p w:rsidR="00461C8A" w:rsidRPr="007B0D62" w:rsidRDefault="00461C8A" w:rsidP="007664B1">
      <w:pPr>
        <w:rPr>
          <w:bCs/>
          <w:lang w:val="nl-NL"/>
        </w:rPr>
      </w:pPr>
    </w:p>
    <w:p w:rsidR="007664B1" w:rsidRDefault="007664B1" w:rsidP="007664B1">
      <w:pPr>
        <w:rPr>
          <w:lang w:val="en-GB"/>
        </w:rPr>
      </w:pPr>
      <w:r w:rsidRPr="007B0D62">
        <w:rPr>
          <w:bCs/>
          <w:lang w:val="nl-NL"/>
        </w:rPr>
        <w:t xml:space="preserve">Applicants may nowadays also make use of the online E-filing service of CPVO which enables users to apply for a Community plant variety right, Dutch PVP or Listing online, for the most important vegetable, agricultural and ornamental crops. </w:t>
      </w:r>
      <w:proofErr w:type="gramStart"/>
      <w:r w:rsidRPr="007B0D62">
        <w:rPr>
          <w:lang w:val="en-GB"/>
        </w:rPr>
        <w:t>100</w:t>
      </w:r>
      <w:proofErr w:type="gramEnd"/>
      <w:r w:rsidRPr="007B0D62">
        <w:rPr>
          <w:lang w:val="en-GB"/>
        </w:rPr>
        <w:t xml:space="preserve"> online applications have been received through “applyforplantvarieties.eu</w:t>
      </w:r>
      <w:r>
        <w:rPr>
          <w:lang w:val="en-GB"/>
        </w:rPr>
        <w:t>”</w:t>
      </w:r>
      <w:r w:rsidRPr="007B0D62">
        <w:rPr>
          <w:lang w:val="en-GB"/>
        </w:rPr>
        <w:t xml:space="preserve"> (the shared CPVO online system).</w:t>
      </w:r>
    </w:p>
    <w:p w:rsidR="00461C8A" w:rsidRPr="007B0D62" w:rsidRDefault="00461C8A" w:rsidP="007664B1">
      <w:pPr>
        <w:rPr>
          <w:lang w:val="en-GB"/>
        </w:rPr>
      </w:pPr>
    </w:p>
    <w:p w:rsidR="007664B1" w:rsidRPr="007B0D62" w:rsidRDefault="007664B1" w:rsidP="007664B1">
      <w:pPr>
        <w:rPr>
          <w:bCs/>
          <w:lang w:val="nl-NL"/>
        </w:rPr>
      </w:pPr>
      <w:r w:rsidRPr="007B0D62">
        <w:rPr>
          <w:bCs/>
          <w:lang w:val="nl-NL"/>
        </w:rPr>
        <w:t xml:space="preserve">It is also possible to use the UPOV PRISMA module for </w:t>
      </w:r>
      <w:r>
        <w:rPr>
          <w:bCs/>
          <w:lang w:val="nl-NL"/>
        </w:rPr>
        <w:t>PVP applications. Until now 9 online applications have been received through UPOV PRISMA for Netherlands.</w:t>
      </w:r>
    </w:p>
    <w:p w:rsidR="007664B1" w:rsidRPr="007B0D62" w:rsidRDefault="007664B1" w:rsidP="007664B1"/>
    <w:p w:rsidR="007664B1" w:rsidRPr="007B0D62" w:rsidRDefault="007664B1" w:rsidP="007664B1">
      <w:r w:rsidRPr="007B0D62">
        <w:t xml:space="preserve">European regulations for environment and hygiene demand action for Naktuinbouw as well as for the applicants. In </w:t>
      </w:r>
      <w:proofErr w:type="gramStart"/>
      <w:r w:rsidRPr="007B0D62">
        <w:t>2020</w:t>
      </w:r>
      <w:proofErr w:type="gramEnd"/>
      <w:r w:rsidRPr="007B0D62">
        <w:t xml:space="preserve"> it will be forbidden to use </w:t>
      </w:r>
      <w:proofErr w:type="spellStart"/>
      <w:r w:rsidRPr="007B0D62">
        <w:t>thiram</w:t>
      </w:r>
      <w:proofErr w:type="spellEnd"/>
      <w:r w:rsidRPr="007B0D62">
        <w:t xml:space="preserve"> treated seeds. </w:t>
      </w:r>
      <w:proofErr w:type="spellStart"/>
      <w:r w:rsidRPr="007B0D62">
        <w:t>Thiram</w:t>
      </w:r>
      <w:proofErr w:type="spellEnd"/>
      <w:r w:rsidRPr="007B0D62">
        <w:t xml:space="preserve"> is a fungicide.</w:t>
      </w:r>
    </w:p>
    <w:p w:rsidR="007664B1" w:rsidRPr="007B0D62" w:rsidRDefault="007664B1" w:rsidP="007664B1">
      <w:r w:rsidRPr="007B0D62">
        <w:t xml:space="preserve">Another European regulation considers drain water from greenhouses to </w:t>
      </w:r>
      <w:proofErr w:type="gramStart"/>
      <w:r w:rsidRPr="007B0D62">
        <w:t>be polluted</w:t>
      </w:r>
      <w:proofErr w:type="gramEnd"/>
      <w:r w:rsidRPr="007B0D62">
        <w:t xml:space="preserve">. It </w:t>
      </w:r>
      <w:proofErr w:type="gramStart"/>
      <w:r w:rsidRPr="007B0D62">
        <w:t>may not be brought</w:t>
      </w:r>
      <w:proofErr w:type="gramEnd"/>
      <w:r w:rsidRPr="007B0D62">
        <w:t xml:space="preserve"> in the environment without cleaning it. Naktuinbouw on one hand invests in cleaning systems, on the other hand has done investments in the greenhouses to be able to perform the trials on substrate. Before starting with substrate, for each crop the influence on the growing and morphology of the plants and varieties is thoroughly studied.</w:t>
      </w:r>
    </w:p>
    <w:p w:rsidR="007664B1" w:rsidRPr="005F4ECE" w:rsidRDefault="007664B1" w:rsidP="007664B1"/>
    <w:p w:rsidR="007664B1" w:rsidRPr="005F4ECE" w:rsidRDefault="007664B1" w:rsidP="007664B1">
      <w:pPr>
        <w:rPr>
          <w:lang w:val="en-GB"/>
        </w:rPr>
      </w:pPr>
      <w:r w:rsidRPr="005F4ECE">
        <w:rPr>
          <w:lang w:val="en-GB"/>
        </w:rPr>
        <w:t>Number of applications received</w:t>
      </w:r>
    </w:p>
    <w:p w:rsidR="007664B1" w:rsidRPr="005F4ECE" w:rsidRDefault="007664B1" w:rsidP="007664B1">
      <w:pPr>
        <w:rPr>
          <w:lang w:val="en-GB"/>
        </w:rPr>
      </w:pPr>
    </w:p>
    <w:p w:rsidR="007664B1" w:rsidRPr="007B0D62" w:rsidRDefault="007664B1" w:rsidP="007664B1">
      <w:pPr>
        <w:rPr>
          <w:lang w:val="en-GB"/>
        </w:rPr>
      </w:pPr>
      <w:r w:rsidRPr="005F4ECE">
        <w:rPr>
          <w:lang w:val="en-GB"/>
        </w:rPr>
        <w:t xml:space="preserve">In 2018, 2766 applications </w:t>
      </w:r>
      <w:proofErr w:type="gramStart"/>
      <w:r w:rsidRPr="005F4ECE">
        <w:rPr>
          <w:lang w:val="en-GB"/>
        </w:rPr>
        <w:t>were received</w:t>
      </w:r>
      <w:proofErr w:type="gramEnd"/>
      <w:r w:rsidRPr="005F4ECE">
        <w:rPr>
          <w:lang w:val="en-GB"/>
        </w:rPr>
        <w:t xml:space="preserve"> for testing</w:t>
      </w:r>
      <w:r w:rsidRPr="007B0D62">
        <w:rPr>
          <w:lang w:val="en-GB"/>
        </w:rPr>
        <w:t xml:space="preserve"> for the first year for National listing, and for National or European Plant Breeders’ Rights. Applications of the same variety for </w:t>
      </w:r>
      <w:proofErr w:type="gramStart"/>
      <w:r w:rsidRPr="007B0D62">
        <w:rPr>
          <w:lang w:val="en-GB"/>
        </w:rPr>
        <w:t>Listing</w:t>
      </w:r>
      <w:proofErr w:type="gramEnd"/>
      <w:r w:rsidRPr="007B0D62">
        <w:rPr>
          <w:lang w:val="en-GB"/>
        </w:rPr>
        <w:t xml:space="preserve"> as well PBR, in vegetables and in agricultural crops are </w:t>
      </w:r>
      <w:proofErr w:type="spellStart"/>
      <w:r w:rsidRPr="007B0D62">
        <w:rPr>
          <w:lang w:val="en-GB"/>
        </w:rPr>
        <w:t>splitted</w:t>
      </w:r>
      <w:proofErr w:type="spellEnd"/>
      <w:r w:rsidRPr="007B0D62">
        <w:rPr>
          <w:lang w:val="en-GB"/>
        </w:rPr>
        <w:t xml:space="preserve"> in this table.</w:t>
      </w:r>
    </w:p>
    <w:p w:rsidR="007664B1" w:rsidRPr="007B0D62" w:rsidRDefault="007664B1" w:rsidP="007664B1">
      <w:pPr>
        <w:rPr>
          <w:lang w:val="en-GB"/>
        </w:rPr>
      </w:pPr>
    </w:p>
    <w:p w:rsidR="007664B1" w:rsidRPr="007B0D62" w:rsidRDefault="007664B1" w:rsidP="007664B1">
      <w:pPr>
        <w:rPr>
          <w:lang w:val="en-GB"/>
        </w:rPr>
      </w:pPr>
      <w:r w:rsidRPr="007B0D62">
        <w:rPr>
          <w:noProof/>
        </w:rPr>
        <w:drawing>
          <wp:inline distT="0" distB="0" distL="0" distR="0" wp14:anchorId="1D0C4B6F" wp14:editId="7BB6989E">
            <wp:extent cx="3033355" cy="1917510"/>
            <wp:effectExtent l="0" t="0" r="0" b="698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431" t="41879" r="46752" b="7360"/>
                    <a:stretch/>
                  </pic:blipFill>
                  <pic:spPr bwMode="auto">
                    <a:xfrm>
                      <a:off x="0" y="0"/>
                      <a:ext cx="3070858" cy="1941218"/>
                    </a:xfrm>
                    <a:prstGeom prst="rect">
                      <a:avLst/>
                    </a:prstGeom>
                    <a:ln>
                      <a:noFill/>
                    </a:ln>
                    <a:extLst>
                      <a:ext uri="{53640926-AAD7-44D8-BBD7-CCE9431645EC}">
                        <a14:shadowObscured xmlns:a14="http://schemas.microsoft.com/office/drawing/2010/main"/>
                      </a:ext>
                    </a:extLst>
                  </pic:spPr>
                </pic:pic>
              </a:graphicData>
            </a:graphic>
          </wp:inline>
        </w:drawing>
      </w:r>
    </w:p>
    <w:p w:rsidR="007664B1" w:rsidRPr="005F4ECE" w:rsidRDefault="007664B1" w:rsidP="007664B1">
      <w:pPr>
        <w:rPr>
          <w:lang w:val="en-GB"/>
        </w:rPr>
      </w:pPr>
      <w:r w:rsidRPr="005F4ECE">
        <w:rPr>
          <w:lang w:val="en-GB"/>
        </w:rPr>
        <w:lastRenderedPageBreak/>
        <w:t>DUS projects</w:t>
      </w:r>
    </w:p>
    <w:p w:rsidR="007664B1" w:rsidRPr="005F4ECE" w:rsidRDefault="007664B1" w:rsidP="007664B1">
      <w:pPr>
        <w:rPr>
          <w:lang w:val="en-GB"/>
        </w:rPr>
      </w:pPr>
    </w:p>
    <w:p w:rsidR="007664B1" w:rsidRPr="005F4ECE" w:rsidRDefault="007664B1" w:rsidP="007664B1">
      <w:pPr>
        <w:numPr>
          <w:ilvl w:val="0"/>
          <w:numId w:val="4"/>
        </w:numPr>
        <w:ind w:left="567" w:hanging="567"/>
      </w:pPr>
      <w:r w:rsidRPr="005F4ECE">
        <w:t>Minimum variety distances in Tulip</w:t>
      </w:r>
    </w:p>
    <w:p w:rsidR="007664B1" w:rsidRPr="005F4ECE" w:rsidRDefault="007664B1" w:rsidP="007664B1">
      <w:r w:rsidRPr="005F4ECE">
        <w:t xml:space="preserve">Due to commotion in the Tulip </w:t>
      </w:r>
      <w:proofErr w:type="gramStart"/>
      <w:r w:rsidRPr="005F4ECE">
        <w:t>sector</w:t>
      </w:r>
      <w:proofErr w:type="gramEnd"/>
      <w:r w:rsidRPr="005F4ECE">
        <w:t xml:space="preserve"> the question has been raised if the used variety distance is sufficient. With this </w:t>
      </w:r>
      <w:proofErr w:type="gramStart"/>
      <w:r w:rsidRPr="005F4ECE">
        <w:t>project</w:t>
      </w:r>
      <w:proofErr w:type="gramEnd"/>
      <w:r w:rsidRPr="005F4ECE">
        <w:t xml:space="preserve"> clarity has been given about the current variety distance. More research </w:t>
      </w:r>
      <w:proofErr w:type="gramStart"/>
      <w:r w:rsidRPr="005F4ECE">
        <w:t>is needed</w:t>
      </w:r>
      <w:proofErr w:type="gramEnd"/>
      <w:r w:rsidRPr="005F4ECE">
        <w:t xml:space="preserve"> for further guidance to observe/determine distinctness.</w:t>
      </w:r>
    </w:p>
    <w:p w:rsidR="007664B1" w:rsidRPr="005F4ECE" w:rsidRDefault="007664B1" w:rsidP="007664B1">
      <w:pPr>
        <w:numPr>
          <w:ilvl w:val="0"/>
          <w:numId w:val="4"/>
        </w:numPr>
        <w:ind w:left="567" w:hanging="567"/>
      </w:pPr>
      <w:r w:rsidRPr="005F4ECE">
        <w:t>Database Melon</w:t>
      </w:r>
    </w:p>
    <w:p w:rsidR="007664B1" w:rsidRPr="005F4ECE" w:rsidRDefault="007664B1" w:rsidP="007664B1">
      <w:r w:rsidRPr="005F4ECE">
        <w:t xml:space="preserve">A database for melon varieties </w:t>
      </w:r>
      <w:proofErr w:type="gramStart"/>
      <w:r w:rsidRPr="005F4ECE">
        <w:t>is developed</w:t>
      </w:r>
      <w:proofErr w:type="gramEnd"/>
      <w:r w:rsidRPr="005F4ECE">
        <w:t xml:space="preserve"> by cooperation between France, Spain, Portugal, Slovakia and the Netherlands. The development </w:t>
      </w:r>
      <w:proofErr w:type="gramStart"/>
      <w:r w:rsidRPr="005F4ECE">
        <w:t>is funded</w:t>
      </w:r>
      <w:proofErr w:type="gramEnd"/>
      <w:r w:rsidRPr="005F4ECE">
        <w:t xml:space="preserve"> by CPVO.</w:t>
      </w:r>
    </w:p>
    <w:p w:rsidR="007664B1" w:rsidRPr="005F4ECE" w:rsidRDefault="007664B1" w:rsidP="007664B1">
      <w:pPr>
        <w:numPr>
          <w:ilvl w:val="0"/>
          <w:numId w:val="4"/>
        </w:numPr>
        <w:ind w:left="567" w:hanging="567"/>
      </w:pPr>
      <w:r w:rsidRPr="005F4ECE">
        <w:t>Database development Lettuce</w:t>
      </w:r>
    </w:p>
    <w:p w:rsidR="007664B1" w:rsidRPr="005F4ECE" w:rsidRDefault="007664B1" w:rsidP="007664B1">
      <w:r w:rsidRPr="005F4ECE">
        <w:t xml:space="preserve">All new applications in lettuce </w:t>
      </w:r>
      <w:proofErr w:type="gramStart"/>
      <w:r w:rsidRPr="005F4ECE">
        <w:t>will be tested</w:t>
      </w:r>
      <w:proofErr w:type="gramEnd"/>
      <w:r w:rsidRPr="005F4ECE">
        <w:t xml:space="preserve">, besides the bio-tests, with a marker for LMV resistance. The aim is to get more experienced with this marker and to replace the bio-test in the near future (TGP/15). With the collected DNA also the development of a new DNA-database for lettuce </w:t>
      </w:r>
      <w:proofErr w:type="gramStart"/>
      <w:r w:rsidRPr="005F4ECE">
        <w:t>is started</w:t>
      </w:r>
      <w:proofErr w:type="gramEnd"/>
      <w:r w:rsidRPr="005F4ECE">
        <w:t>. The DNA of varieties of common knowledge (included in the DUS-trials) will also be included in this database.</w:t>
      </w:r>
    </w:p>
    <w:p w:rsidR="007664B1" w:rsidRPr="005F4ECE" w:rsidRDefault="007664B1" w:rsidP="007664B1">
      <w:pPr>
        <w:numPr>
          <w:ilvl w:val="0"/>
          <w:numId w:val="4"/>
        </w:numPr>
        <w:ind w:left="567" w:hanging="567"/>
      </w:pPr>
      <w:r w:rsidRPr="005F4ECE">
        <w:t>SNP database Onion</w:t>
      </w:r>
    </w:p>
    <w:p w:rsidR="007664B1" w:rsidRPr="007B0D62" w:rsidRDefault="007664B1" w:rsidP="007664B1">
      <w:r w:rsidRPr="005F4ECE">
        <w:t>In 2014 a project started in which a number of onion and shallot varieties where analyzed using 93 SNP markers in order to confirm the morphological types used to group the variety collection. The markers confirmed the distinct morphological types. However, this analysis was</w:t>
      </w:r>
      <w:r w:rsidRPr="007B0D62">
        <w:t xml:space="preserve"> quite general and the wish was to be able to analyze within the groups the distinctness between varieties. This will be subject in a follow up, while the search for the best distinctive SNP’s continues.</w:t>
      </w:r>
    </w:p>
    <w:p w:rsidR="007664B1" w:rsidRPr="007B0D62" w:rsidRDefault="007664B1" w:rsidP="007664B1"/>
    <w:p w:rsidR="007664B1" w:rsidRPr="007B0D62" w:rsidRDefault="007664B1" w:rsidP="007664B1">
      <w:pPr>
        <w:rPr>
          <w:lang w:val="en-GB"/>
        </w:rPr>
      </w:pPr>
      <w:r w:rsidRPr="007B0D62">
        <w:rPr>
          <w:lang w:val="en-GB"/>
        </w:rPr>
        <w:t>International cooperation</w:t>
      </w:r>
    </w:p>
    <w:p w:rsidR="007664B1" w:rsidRPr="007B0D62" w:rsidRDefault="007664B1" w:rsidP="007664B1">
      <w:pPr>
        <w:rPr>
          <w:lang w:val="en-GB"/>
        </w:rPr>
      </w:pPr>
    </w:p>
    <w:p w:rsidR="007664B1" w:rsidRPr="007B0D62" w:rsidRDefault="007664B1" w:rsidP="007664B1">
      <w:pPr>
        <w:rPr>
          <w:lang w:val="en-GB"/>
        </w:rPr>
      </w:pPr>
      <w:r w:rsidRPr="007B0D62">
        <w:rPr>
          <w:lang w:val="en-GB"/>
        </w:rPr>
        <w:t xml:space="preserve">Around 25 projects </w:t>
      </w:r>
      <w:proofErr w:type="gramStart"/>
      <w:r w:rsidRPr="007B0D62">
        <w:rPr>
          <w:lang w:val="en-GB"/>
        </w:rPr>
        <w:t>were carried out</w:t>
      </w:r>
      <w:proofErr w:type="gramEnd"/>
      <w:r w:rsidRPr="007B0D62">
        <w:rPr>
          <w:lang w:val="en-GB"/>
        </w:rPr>
        <w:t xml:space="preserve"> with focus on PVP development. In </w:t>
      </w:r>
      <w:proofErr w:type="gramStart"/>
      <w:r w:rsidRPr="007B0D62">
        <w:rPr>
          <w:lang w:val="en-GB"/>
        </w:rPr>
        <w:t>2018</w:t>
      </w:r>
      <w:proofErr w:type="gramEnd"/>
      <w:r w:rsidRPr="007B0D62">
        <w:rPr>
          <w:lang w:val="en-GB"/>
        </w:rPr>
        <w:t xml:space="preserve"> there was focus on countries in central and eastern Europe as well as to some middle Eastern and Asiatic countries like Myanmar. In cooperation with CPVO</w:t>
      </w:r>
      <w:r w:rsidR="00461C8A">
        <w:rPr>
          <w:lang w:val="en-GB"/>
        </w:rPr>
        <w:t>,</w:t>
      </w:r>
      <w:r w:rsidRPr="007B0D62">
        <w:rPr>
          <w:lang w:val="en-GB"/>
        </w:rPr>
        <w:t xml:space="preserve"> Naktuinbouw also joined IP</w:t>
      </w:r>
      <w:r w:rsidR="00461C8A">
        <w:rPr>
          <w:lang w:val="en-GB"/>
        </w:rPr>
        <w:t xml:space="preserve"> </w:t>
      </w:r>
      <w:r w:rsidRPr="007B0D62">
        <w:rPr>
          <w:lang w:val="en-GB"/>
        </w:rPr>
        <w:t>Key</w:t>
      </w:r>
      <w:r w:rsidR="00461C8A">
        <w:rPr>
          <w:lang w:val="en-GB"/>
        </w:rPr>
        <w:t xml:space="preserve"> </w:t>
      </w:r>
      <w:r w:rsidRPr="007B0D62">
        <w:rPr>
          <w:lang w:val="en-GB"/>
        </w:rPr>
        <w:t>projects like IP</w:t>
      </w:r>
      <w:r w:rsidR="00461C8A">
        <w:rPr>
          <w:lang w:val="en-GB"/>
        </w:rPr>
        <w:t xml:space="preserve"> </w:t>
      </w:r>
      <w:r w:rsidRPr="007B0D62">
        <w:rPr>
          <w:lang w:val="en-GB"/>
        </w:rPr>
        <w:t>Key – China.</w:t>
      </w:r>
    </w:p>
    <w:p w:rsidR="007664B1" w:rsidRPr="007B0D62" w:rsidRDefault="007664B1" w:rsidP="007664B1">
      <w:pPr>
        <w:rPr>
          <w:b/>
          <w:lang w:val="en-GB"/>
        </w:rPr>
      </w:pPr>
    </w:p>
    <w:p w:rsidR="007664B1" w:rsidRPr="007B0D62" w:rsidRDefault="007664B1" w:rsidP="007664B1">
      <w:pPr>
        <w:numPr>
          <w:ilvl w:val="0"/>
          <w:numId w:val="5"/>
        </w:numPr>
        <w:rPr>
          <w:lang w:val="en-GB"/>
        </w:rPr>
      </w:pPr>
      <w:r w:rsidRPr="007B0D62">
        <w:rPr>
          <w:lang w:val="en-GB"/>
        </w:rPr>
        <w:t xml:space="preserve">Naktuinbouw cooperates since 2016 with NCSS Japan on the harmonisation of Dutch Calibration Books and Japanese Testing Manuals in a 5 years working plan. In 2018, Eggplant and </w:t>
      </w:r>
      <w:proofErr w:type="spellStart"/>
      <w:r w:rsidRPr="007B0D62">
        <w:rPr>
          <w:lang w:val="en-GB"/>
        </w:rPr>
        <w:t>Anthurium</w:t>
      </w:r>
      <w:proofErr w:type="spellEnd"/>
      <w:r w:rsidRPr="007B0D62">
        <w:rPr>
          <w:lang w:val="en-GB"/>
        </w:rPr>
        <w:t xml:space="preserve"> </w:t>
      </w:r>
      <w:proofErr w:type="gramStart"/>
      <w:r w:rsidRPr="007B0D62">
        <w:rPr>
          <w:lang w:val="en-GB"/>
        </w:rPr>
        <w:t>were discussed</w:t>
      </w:r>
      <w:proofErr w:type="gramEnd"/>
      <w:r w:rsidRPr="007B0D62">
        <w:rPr>
          <w:lang w:val="en-GB"/>
        </w:rPr>
        <w:t xml:space="preserve">. In </w:t>
      </w:r>
      <w:proofErr w:type="gramStart"/>
      <w:r w:rsidRPr="007B0D62">
        <w:rPr>
          <w:lang w:val="en-GB"/>
        </w:rPr>
        <w:t>2019</w:t>
      </w:r>
      <w:proofErr w:type="gramEnd"/>
      <w:r w:rsidRPr="007B0D62">
        <w:rPr>
          <w:lang w:val="en-GB"/>
        </w:rPr>
        <w:t xml:space="preserve"> Gerbera and tomato are planned, in 2020 tulip.</w:t>
      </w:r>
    </w:p>
    <w:p w:rsidR="007664B1" w:rsidRPr="007B0D62" w:rsidRDefault="007664B1" w:rsidP="007664B1">
      <w:pPr>
        <w:rPr>
          <w:lang w:val="en-GB"/>
        </w:rPr>
      </w:pPr>
    </w:p>
    <w:p w:rsidR="007664B1" w:rsidRPr="007B0D62" w:rsidRDefault="007664B1" w:rsidP="007664B1">
      <w:pPr>
        <w:numPr>
          <w:ilvl w:val="0"/>
          <w:numId w:val="5"/>
        </w:numPr>
        <w:rPr>
          <w:lang w:val="en-GB"/>
        </w:rPr>
      </w:pPr>
      <w:r w:rsidRPr="007B0D62">
        <w:rPr>
          <w:lang w:val="en-GB"/>
        </w:rPr>
        <w:t xml:space="preserve">Colleagues from Myanmar and from Turkey did an internship at Naktuinbouw. </w:t>
      </w:r>
      <w:proofErr w:type="gramStart"/>
      <w:r w:rsidRPr="007B0D62">
        <w:rPr>
          <w:lang w:val="en-GB"/>
        </w:rPr>
        <w:t>And</w:t>
      </w:r>
      <w:proofErr w:type="gramEnd"/>
      <w:r w:rsidRPr="007B0D62">
        <w:rPr>
          <w:lang w:val="en-GB"/>
        </w:rPr>
        <w:t xml:space="preserve"> colleagues from Guatemala, Jordan, Indonesia and Mala</w:t>
      </w:r>
      <w:r>
        <w:rPr>
          <w:lang w:val="en-GB"/>
        </w:rPr>
        <w:t>y</w:t>
      </w:r>
      <w:r w:rsidRPr="007B0D62">
        <w:rPr>
          <w:lang w:val="en-GB"/>
        </w:rPr>
        <w:t>s</w:t>
      </w:r>
      <w:r>
        <w:rPr>
          <w:lang w:val="en-GB"/>
        </w:rPr>
        <w:t>ia</w:t>
      </w:r>
      <w:r w:rsidRPr="007B0D62">
        <w:rPr>
          <w:lang w:val="en-GB"/>
        </w:rPr>
        <w:t xml:space="preserve"> attended the Plant Breeder’s Rights’ training course organized in </w:t>
      </w:r>
      <w:proofErr w:type="spellStart"/>
      <w:r w:rsidRPr="007B0D62">
        <w:rPr>
          <w:lang w:val="en-GB"/>
        </w:rPr>
        <w:t>Wageningen</w:t>
      </w:r>
      <w:proofErr w:type="spellEnd"/>
      <w:r w:rsidRPr="007B0D62">
        <w:rPr>
          <w:lang w:val="en-GB"/>
        </w:rPr>
        <w:t>.</w:t>
      </w:r>
    </w:p>
    <w:p w:rsidR="007664B1" w:rsidRPr="007B0D62" w:rsidRDefault="007664B1" w:rsidP="007664B1">
      <w:pPr>
        <w:rPr>
          <w:lang w:val="en-GB"/>
        </w:rPr>
      </w:pPr>
    </w:p>
    <w:p w:rsidR="007664B1" w:rsidRPr="007B0D62" w:rsidRDefault="007664B1" w:rsidP="007664B1">
      <w:pPr>
        <w:numPr>
          <w:ilvl w:val="0"/>
          <w:numId w:val="5"/>
        </w:numPr>
        <w:rPr>
          <w:lang w:val="en-GB"/>
        </w:rPr>
      </w:pPr>
      <w:r w:rsidRPr="007B0D62">
        <w:rPr>
          <w:lang w:val="en-GB"/>
        </w:rPr>
        <w:t xml:space="preserve">In 2018 several activities were organised by Naktuinbouw Variety Testing Department and the Department of Agricultural Research (DAR) of Myanmar in the framework of a three years project </w:t>
      </w:r>
      <w:proofErr w:type="gramStart"/>
      <w:r w:rsidRPr="007B0D62">
        <w:rPr>
          <w:lang w:val="en-GB"/>
        </w:rPr>
        <w:t>“ Strengthening</w:t>
      </w:r>
      <w:proofErr w:type="gramEnd"/>
      <w:r w:rsidRPr="007B0D62">
        <w:rPr>
          <w:lang w:val="en-GB"/>
        </w:rPr>
        <w:t xml:space="preserve"> Myanmar Seed Sector”. In </w:t>
      </w:r>
      <w:proofErr w:type="gramStart"/>
      <w:r w:rsidRPr="007B0D62">
        <w:rPr>
          <w:lang w:val="en-GB"/>
        </w:rPr>
        <w:t>2018</w:t>
      </w:r>
      <w:proofErr w:type="gramEnd"/>
      <w:r w:rsidRPr="007B0D62">
        <w:rPr>
          <w:lang w:val="en-GB"/>
        </w:rPr>
        <w:t xml:space="preserve"> Naktuinbouw received a delegation of Myanmar experts with the aim to show them how a UPOV 91 PVP system works. </w:t>
      </w:r>
      <w:r>
        <w:rPr>
          <w:lang w:val="en-GB"/>
        </w:rPr>
        <w:t>A</w:t>
      </w:r>
      <w:r w:rsidRPr="007B0D62">
        <w:t xml:space="preserve"> World Seed Partnership (WSP) (OECD, UPOV, ISTA, ISF and WFO) </w:t>
      </w:r>
      <w:r>
        <w:t>event</w:t>
      </w:r>
      <w:r w:rsidRPr="007B0D62">
        <w:t xml:space="preserve"> </w:t>
      </w:r>
      <w:proofErr w:type="gramStart"/>
      <w:r w:rsidRPr="007B0D62">
        <w:t>was organized</w:t>
      </w:r>
      <w:proofErr w:type="gramEnd"/>
      <w:r w:rsidRPr="007B0D62">
        <w:t xml:space="preserve"> in Myanmar by the </w:t>
      </w:r>
      <w:r w:rsidRPr="00C674A0">
        <w:t>Department of Agricultural Research (DAR), and the Department of Agriculture (DOA) Myanmar Ministry of Agriculture, Livestock and Irrigation (</w:t>
      </w:r>
      <w:proofErr w:type="spellStart"/>
      <w:r w:rsidRPr="00C674A0">
        <w:t>MoALI</w:t>
      </w:r>
      <w:proofErr w:type="spellEnd"/>
      <w:r w:rsidRPr="00C674A0">
        <w:t>)</w:t>
      </w:r>
      <w:r w:rsidRPr="007B0D62">
        <w:t xml:space="preserve"> and </w:t>
      </w:r>
      <w:proofErr w:type="spellStart"/>
      <w:r w:rsidRPr="007B0D62">
        <w:t>Naktuinbouw</w:t>
      </w:r>
      <w:proofErr w:type="spellEnd"/>
      <w:r w:rsidRPr="007B0D62">
        <w:t>.</w:t>
      </w:r>
    </w:p>
    <w:p w:rsidR="007664B1" w:rsidRPr="007B0D62" w:rsidRDefault="007664B1" w:rsidP="007664B1">
      <w:pPr>
        <w:rPr>
          <w:b/>
          <w:lang w:val="en-GB"/>
        </w:rPr>
      </w:pPr>
    </w:p>
    <w:p w:rsidR="007664B1" w:rsidRPr="005F4ECE" w:rsidRDefault="007664B1" w:rsidP="007664B1">
      <w:pPr>
        <w:keepNext/>
        <w:rPr>
          <w:lang w:val="en-GB"/>
        </w:rPr>
      </w:pPr>
      <w:r w:rsidRPr="005F4ECE">
        <w:rPr>
          <w:lang w:val="en-GB"/>
        </w:rPr>
        <w:t>PVP Development Program (Toolbox)</w:t>
      </w:r>
    </w:p>
    <w:p w:rsidR="007664B1" w:rsidRPr="005F4ECE" w:rsidRDefault="007664B1" w:rsidP="007664B1">
      <w:pPr>
        <w:keepNext/>
        <w:rPr>
          <w:lang w:val="en-GB"/>
        </w:rPr>
      </w:pPr>
    </w:p>
    <w:p w:rsidR="007664B1" w:rsidRPr="005F4ECE" w:rsidRDefault="007664B1" w:rsidP="007664B1">
      <w:pPr>
        <w:keepNext/>
        <w:rPr>
          <w:lang w:val="en-GB"/>
        </w:rPr>
      </w:pPr>
      <w:r w:rsidRPr="005F4ECE">
        <w:rPr>
          <w:lang w:val="en-GB"/>
        </w:rPr>
        <w:t xml:space="preserve">This is a tool to help countries to develop their Plant Breeders’ Rights system. The Dutch Ministry makes funds available for the implementation of this program. Naktuinbouw </w:t>
      </w:r>
      <w:proofErr w:type="gramStart"/>
      <w:r w:rsidRPr="005F4ECE">
        <w:rPr>
          <w:lang w:val="en-GB"/>
        </w:rPr>
        <w:t>is charged</w:t>
      </w:r>
      <w:proofErr w:type="gramEnd"/>
      <w:r w:rsidRPr="005F4ECE">
        <w:rPr>
          <w:lang w:val="en-GB"/>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5F4ECE">
        <w:rPr>
          <w:lang w:val="en-GB"/>
        </w:rPr>
        <w:t>for</w:t>
      </w:r>
      <w:proofErr w:type="gramEnd"/>
      <w:r w:rsidRPr="005F4ECE">
        <w:rPr>
          <w:lang w:val="en-GB"/>
        </w:rPr>
        <w:t>.</w:t>
      </w:r>
    </w:p>
    <w:p w:rsidR="007664B1" w:rsidRPr="005F4ECE" w:rsidRDefault="007664B1" w:rsidP="007664B1">
      <w:pPr>
        <w:rPr>
          <w:lang w:val="en-GB"/>
        </w:rPr>
      </w:pPr>
    </w:p>
    <w:p w:rsidR="007664B1" w:rsidRPr="005F4ECE" w:rsidRDefault="007664B1" w:rsidP="007664B1">
      <w:pPr>
        <w:rPr>
          <w:lang w:val="en-GB"/>
        </w:rPr>
      </w:pPr>
      <w:r w:rsidRPr="005F4ECE">
        <w:rPr>
          <w:lang w:val="en-GB"/>
        </w:rPr>
        <w:t xml:space="preserve">In </w:t>
      </w:r>
      <w:proofErr w:type="gramStart"/>
      <w:r w:rsidRPr="005F4ECE">
        <w:rPr>
          <w:lang w:val="en-GB"/>
        </w:rPr>
        <w:t>2018</w:t>
      </w:r>
      <w:proofErr w:type="gramEnd"/>
      <w:r w:rsidRPr="005F4ECE">
        <w:rPr>
          <w:lang w:val="en-GB"/>
        </w:rPr>
        <w:t xml:space="preserve"> 15 projects were carried out. Some highlights:</w:t>
      </w:r>
    </w:p>
    <w:p w:rsidR="007664B1" w:rsidRPr="005F4ECE" w:rsidRDefault="007664B1" w:rsidP="007664B1">
      <w:pPr>
        <w:rPr>
          <w:lang w:val="en-GB"/>
        </w:rPr>
      </w:pPr>
    </w:p>
    <w:p w:rsidR="007664B1" w:rsidRPr="005F4ECE" w:rsidRDefault="007664B1" w:rsidP="007664B1">
      <w:pPr>
        <w:numPr>
          <w:ilvl w:val="0"/>
          <w:numId w:val="4"/>
        </w:numPr>
        <w:ind w:left="567" w:hanging="567"/>
        <w:rPr>
          <w:lang w:val="en-GB"/>
        </w:rPr>
      </w:pPr>
      <w:r w:rsidRPr="005F4ECE">
        <w:rPr>
          <w:lang w:val="en-GB"/>
        </w:rPr>
        <w:t>China: International training on cooperation in improving PVP system  (3 days)</w:t>
      </w:r>
    </w:p>
    <w:p w:rsidR="007664B1" w:rsidRPr="005F4ECE" w:rsidRDefault="007664B1" w:rsidP="007664B1">
      <w:pPr>
        <w:rPr>
          <w:lang w:val="en-GB"/>
        </w:rPr>
      </w:pPr>
      <w:r w:rsidRPr="005F4ECE">
        <w:rPr>
          <w:lang w:val="en-GB"/>
        </w:rPr>
        <w:t xml:space="preserve">From </w:t>
      </w:r>
      <w:proofErr w:type="gramStart"/>
      <w:r w:rsidRPr="005F4ECE">
        <w:rPr>
          <w:lang w:val="en-GB"/>
        </w:rPr>
        <w:t>8</w:t>
      </w:r>
      <w:proofErr w:type="gramEnd"/>
      <w:r w:rsidRPr="005F4ECE">
        <w:rPr>
          <w:lang w:val="en-GB"/>
        </w:rPr>
        <w:t xml:space="preserve"> to 10 January</w:t>
      </w:r>
      <w:r w:rsidR="00461C8A">
        <w:rPr>
          <w:lang w:val="en-GB"/>
        </w:rPr>
        <w:t>,</w:t>
      </w:r>
      <w:r w:rsidRPr="005F4ECE">
        <w:rPr>
          <w:lang w:val="en-GB"/>
        </w:rPr>
        <w:t xml:space="preserve"> 2018</w:t>
      </w:r>
      <w:r w:rsidR="00461C8A">
        <w:rPr>
          <w:lang w:val="en-GB"/>
        </w:rPr>
        <w:t>,</w:t>
      </w:r>
      <w:r w:rsidRPr="005F4ECE">
        <w:rPr>
          <w:lang w:val="en-GB"/>
        </w:rPr>
        <w:t xml:space="preserve"> the State Forestry Administration, China</w:t>
      </w:r>
      <w:r w:rsidR="00461C8A">
        <w:rPr>
          <w:lang w:val="en-GB"/>
        </w:rPr>
        <w:t>,</w:t>
      </w:r>
      <w:r w:rsidRPr="005F4ECE">
        <w:rPr>
          <w:lang w:val="en-GB"/>
        </w:rPr>
        <w:t xml:space="preserve"> organized a seminar on PVP in China. A seminar attended by 120 interested participants.</w:t>
      </w:r>
    </w:p>
    <w:p w:rsidR="007664B1" w:rsidRPr="005F4ECE" w:rsidRDefault="007664B1" w:rsidP="007664B1">
      <w:pPr>
        <w:numPr>
          <w:ilvl w:val="0"/>
          <w:numId w:val="4"/>
        </w:numPr>
        <w:ind w:left="567" w:hanging="567"/>
        <w:rPr>
          <w:lang w:val="en-GB"/>
        </w:rPr>
      </w:pPr>
      <w:r w:rsidRPr="005F4ECE">
        <w:rPr>
          <w:lang w:val="en-GB"/>
        </w:rPr>
        <w:t>Study trip to Canada sponsoring a delegation of  3/4 (days)</w:t>
      </w:r>
    </w:p>
    <w:p w:rsidR="007664B1" w:rsidRDefault="007664B1" w:rsidP="007664B1">
      <w:pPr>
        <w:rPr>
          <w:lang w:val="en-GB"/>
        </w:rPr>
      </w:pPr>
      <w:r w:rsidRPr="005F4ECE">
        <w:rPr>
          <w:lang w:val="en-GB"/>
        </w:rPr>
        <w:t>This was a study visit for policy makers of South and central American countries (</w:t>
      </w:r>
      <w:r w:rsidR="00461C8A" w:rsidRPr="005F4ECE">
        <w:rPr>
          <w:lang w:val="en-GB"/>
        </w:rPr>
        <w:t>Argentina</w:t>
      </w:r>
      <w:r w:rsidR="00461C8A">
        <w:rPr>
          <w:lang w:val="en-GB"/>
        </w:rPr>
        <w:t>,</w:t>
      </w:r>
      <w:r w:rsidR="00461C8A" w:rsidRPr="005F4ECE">
        <w:rPr>
          <w:lang w:val="en-GB"/>
        </w:rPr>
        <w:t xml:space="preserve"> </w:t>
      </w:r>
      <w:r w:rsidRPr="005F4ECE">
        <w:rPr>
          <w:lang w:val="en-GB"/>
        </w:rPr>
        <w:t>Bra</w:t>
      </w:r>
      <w:r>
        <w:rPr>
          <w:lang w:val="en-GB"/>
        </w:rPr>
        <w:t>z</w:t>
      </w:r>
      <w:r w:rsidRPr="005F4ECE">
        <w:rPr>
          <w:lang w:val="en-GB"/>
        </w:rPr>
        <w:t>il, Mexico) to the U</w:t>
      </w:r>
      <w:r>
        <w:rPr>
          <w:lang w:val="en-GB"/>
        </w:rPr>
        <w:t xml:space="preserve">nited </w:t>
      </w:r>
      <w:r w:rsidRPr="005F4ECE">
        <w:rPr>
          <w:lang w:val="en-GB"/>
        </w:rPr>
        <w:t>S</w:t>
      </w:r>
      <w:r>
        <w:rPr>
          <w:lang w:val="en-GB"/>
        </w:rPr>
        <w:t>tates of America</w:t>
      </w:r>
      <w:r w:rsidRPr="005F4ECE">
        <w:rPr>
          <w:lang w:val="en-GB"/>
        </w:rPr>
        <w:t xml:space="preserve"> and </w:t>
      </w:r>
      <w:proofErr w:type="gramStart"/>
      <w:r w:rsidRPr="005F4ECE">
        <w:rPr>
          <w:lang w:val="en-GB"/>
        </w:rPr>
        <w:t>Canada  to</w:t>
      </w:r>
      <w:proofErr w:type="gramEnd"/>
      <w:r w:rsidRPr="005F4ECE">
        <w:rPr>
          <w:lang w:val="en-GB"/>
        </w:rPr>
        <w:t xml:space="preserve"> experience what it means to become UPOV member under the </w:t>
      </w:r>
      <w:r w:rsidR="00461C8A">
        <w:rPr>
          <w:lang w:val="en-GB"/>
        </w:rPr>
        <w:t>19</w:t>
      </w:r>
      <w:r w:rsidRPr="005F4ECE">
        <w:rPr>
          <w:lang w:val="en-GB"/>
        </w:rPr>
        <w:t xml:space="preserve">91 </w:t>
      </w:r>
      <w:r w:rsidR="00461C8A">
        <w:rPr>
          <w:lang w:val="en-GB"/>
        </w:rPr>
        <w:t xml:space="preserve">Act of the UPOV </w:t>
      </w:r>
      <w:r w:rsidRPr="005F4ECE">
        <w:rPr>
          <w:lang w:val="en-GB"/>
        </w:rPr>
        <w:t>Convention. The trip gave the policy makers an overview of items to be dealt with in upgrading their legislation to UPOV91, including how to organise necessary societal support.</w:t>
      </w:r>
    </w:p>
    <w:p w:rsidR="00461C8A" w:rsidRDefault="00461C8A" w:rsidP="007664B1">
      <w:pPr>
        <w:rPr>
          <w:lang w:val="en-GB"/>
        </w:rPr>
      </w:pPr>
    </w:p>
    <w:p w:rsidR="00461C8A" w:rsidRPr="005F4ECE" w:rsidRDefault="00461C8A" w:rsidP="007664B1">
      <w:pPr>
        <w:rPr>
          <w:lang w:val="en-GB"/>
        </w:rPr>
      </w:pPr>
    </w:p>
    <w:p w:rsidR="007664B1" w:rsidRPr="005F4ECE" w:rsidRDefault="007664B1" w:rsidP="007664B1">
      <w:pPr>
        <w:numPr>
          <w:ilvl w:val="0"/>
          <w:numId w:val="4"/>
        </w:numPr>
        <w:ind w:left="567" w:hanging="567"/>
      </w:pPr>
      <w:r w:rsidRPr="005F4ECE">
        <w:lastRenderedPageBreak/>
        <w:t>Follow up Oxfam Novib /</w:t>
      </w:r>
      <w:proofErr w:type="spellStart"/>
      <w:r w:rsidRPr="005F4ECE">
        <w:t>Plantum</w:t>
      </w:r>
      <w:proofErr w:type="spellEnd"/>
    </w:p>
    <w:p w:rsidR="007664B1" w:rsidRPr="005F4ECE" w:rsidRDefault="007664B1" w:rsidP="007664B1">
      <w:proofErr w:type="gramStart"/>
      <w:r w:rsidRPr="005F4ECE">
        <w:t xml:space="preserve">Oxfam Novib, nonprofit organization against poverty and </w:t>
      </w:r>
      <w:proofErr w:type="spellStart"/>
      <w:r w:rsidRPr="005F4ECE">
        <w:t>Plantum</w:t>
      </w:r>
      <w:proofErr w:type="spellEnd"/>
      <w:r w:rsidRPr="005F4ECE">
        <w:t>,  the Dutch association for the plant reproduction material sector are working together in this program to increase clarity and, if possible, reach mutual agreement on the scope of the ‘private and non-commercial use’ exemption as included in the UPOV 1991 Convention (Article 15.1.i) amongst key stakeholders, building upon the stakeholder consultations held in 2017 and 2018.</w:t>
      </w:r>
      <w:proofErr w:type="gramEnd"/>
    </w:p>
    <w:p w:rsidR="007664B1" w:rsidRPr="005F4ECE" w:rsidRDefault="007664B1" w:rsidP="007664B1">
      <w:pPr>
        <w:numPr>
          <w:ilvl w:val="0"/>
          <w:numId w:val="4"/>
        </w:numPr>
        <w:ind w:left="567" w:hanging="567"/>
      </w:pPr>
      <w:r w:rsidRPr="005F4ECE">
        <w:t>Turkey Further improvement UPOV PVP and market access</w:t>
      </w:r>
    </w:p>
    <w:p w:rsidR="007664B1" w:rsidRPr="005F4ECE" w:rsidRDefault="007664B1" w:rsidP="007664B1">
      <w:r w:rsidRPr="005F4ECE">
        <w:t>Two Dutch experts together with Turkish experts compared both systems and discussed the quality of the administrative and technical procedures to study the possibilities of taking over reports from the local authorities.</w:t>
      </w:r>
    </w:p>
    <w:p w:rsidR="007664B1" w:rsidRPr="005F4ECE" w:rsidRDefault="007664B1" w:rsidP="007664B1">
      <w:pPr>
        <w:numPr>
          <w:ilvl w:val="0"/>
          <w:numId w:val="4"/>
        </w:numPr>
        <w:ind w:left="567" w:hanging="567"/>
      </w:pPr>
      <w:r w:rsidRPr="005F4ECE">
        <w:t>Belarus study visit  to the NL</w:t>
      </w:r>
    </w:p>
    <w:p w:rsidR="007664B1" w:rsidRPr="007B0D62" w:rsidRDefault="007664B1" w:rsidP="007664B1">
      <w:r w:rsidRPr="007B0D62">
        <w:t xml:space="preserve">A delegation from Belarus visited the NL to exchange knowledge and experiences. During the </w:t>
      </w:r>
      <w:proofErr w:type="gramStart"/>
      <w:r w:rsidRPr="007B0D62">
        <w:t>visit</w:t>
      </w:r>
      <w:proofErr w:type="gramEnd"/>
      <w:r w:rsidRPr="007B0D62">
        <w:t xml:space="preserve"> also a discussion on the Belarus seed law took place. The main breeders in Belarus are public institutions. Belarus is in the process of introducing a royalty system to make investments in new varieties more attractive, also for foreign companies.</w:t>
      </w:r>
    </w:p>
    <w:p w:rsidR="007664B1" w:rsidRPr="005F4ECE" w:rsidRDefault="007664B1" w:rsidP="007664B1"/>
    <w:p w:rsidR="007664B1" w:rsidRPr="005F4ECE" w:rsidRDefault="007664B1" w:rsidP="007664B1"/>
    <w:p w:rsidR="007664B1" w:rsidRPr="007B0D62" w:rsidRDefault="007664B1" w:rsidP="007664B1">
      <w:r w:rsidRPr="007B0D62">
        <w:t>Naktuinbouw, May 2019</w:t>
      </w:r>
    </w:p>
    <w:p w:rsidR="007664B1" w:rsidRDefault="007664B1" w:rsidP="007664B1"/>
    <w:p w:rsidR="009B2E10" w:rsidRDefault="009B2E10" w:rsidP="007664B1"/>
    <w:p w:rsidR="007664B1" w:rsidRDefault="007664B1" w:rsidP="007664B1"/>
    <w:p w:rsidR="009B2E10" w:rsidRDefault="009B2E10" w:rsidP="009B2E10">
      <w:pPr>
        <w:jc w:val="right"/>
      </w:pPr>
      <w:r w:rsidRPr="008479C6">
        <w:t xml:space="preserve">[Annex </w:t>
      </w:r>
      <w:r>
        <w:t>VI</w:t>
      </w:r>
      <w:r w:rsidRPr="008479C6">
        <w:t xml:space="preserve"> </w:t>
      </w:r>
      <w:r>
        <w:t>follows</w:t>
      </w:r>
      <w:r w:rsidRPr="008479C6">
        <w:t>]</w:t>
      </w:r>
    </w:p>
    <w:p w:rsidR="009B2E10" w:rsidRDefault="009B2E10" w:rsidP="00E0219E">
      <w:pPr>
        <w:sectPr w:rsidR="009B2E10" w:rsidSect="00B97087">
          <w:headerReference w:type="default" r:id="rId17"/>
          <w:headerReference w:type="first" r:id="rId18"/>
          <w:pgSz w:w="11907" w:h="16840" w:code="9"/>
          <w:pgMar w:top="510" w:right="1134" w:bottom="1134" w:left="1134" w:header="510" w:footer="680" w:gutter="0"/>
          <w:pgNumType w:start="1"/>
          <w:cols w:space="720"/>
          <w:titlePg/>
        </w:sectPr>
      </w:pPr>
    </w:p>
    <w:p w:rsidR="00E0219E" w:rsidRPr="009B2E10" w:rsidRDefault="00E0219E" w:rsidP="00E0219E"/>
    <w:p w:rsidR="00E0219E" w:rsidRDefault="009B2E10" w:rsidP="009B2E10">
      <w:pPr>
        <w:jc w:val="center"/>
        <w:rPr>
          <w:lang w:val="en-GB"/>
        </w:rPr>
      </w:pPr>
      <w:r>
        <w:rPr>
          <w:lang w:val="en-GB"/>
        </w:rPr>
        <w:t>UNITED KINGDOM</w:t>
      </w:r>
    </w:p>
    <w:p w:rsidR="009B2E10" w:rsidRDefault="009B2E10" w:rsidP="007947FE">
      <w:pPr>
        <w:rPr>
          <w:lang w:val="en-GB"/>
        </w:rPr>
      </w:pPr>
    </w:p>
    <w:p w:rsidR="009B2E10" w:rsidRDefault="009B2E10" w:rsidP="007947FE">
      <w:pPr>
        <w:rPr>
          <w:lang w:val="en-GB"/>
        </w:rPr>
      </w:pPr>
    </w:p>
    <w:p w:rsidR="009B2E10" w:rsidRPr="009B2E10" w:rsidRDefault="009B2E10" w:rsidP="006519C0">
      <w:pPr>
        <w:rPr>
          <w:lang w:val="en-GB" w:eastAsia="en-GB"/>
        </w:rPr>
      </w:pPr>
      <w:r w:rsidRPr="009B2E10">
        <w:rPr>
          <w:lang w:val="en-GB" w:eastAsia="en-GB"/>
        </w:rPr>
        <w:t>Report on the activity of the United Kingdom Plant Varieties and Seeds Office in Cambridge and the regional examination centres of NIAB, SASA and AFBI.</w:t>
      </w:r>
    </w:p>
    <w:p w:rsidR="009B2E10" w:rsidRPr="009B2E10" w:rsidRDefault="009B2E10" w:rsidP="006519C0">
      <w:pPr>
        <w:rPr>
          <w:lang w:val="en-GB" w:eastAsia="en-GB"/>
        </w:rPr>
      </w:pPr>
    </w:p>
    <w:p w:rsidR="009B2E10" w:rsidRPr="006519C0" w:rsidRDefault="009B2E10" w:rsidP="006519C0">
      <w:pPr>
        <w:rPr>
          <w:lang w:val="en-GB" w:eastAsia="en-GB"/>
        </w:rPr>
      </w:pPr>
      <w:r w:rsidRPr="009B2E10">
        <w:rPr>
          <w:lang w:val="en-GB" w:eastAsia="en-GB"/>
        </w:rPr>
        <w:t>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 site details</w:t>
      </w:r>
      <w:r w:rsidRPr="006519C0">
        <w:rPr>
          <w:lang w:val="en-GB" w:eastAsia="en-GB"/>
        </w:rPr>
        <w:t>. www.gov.uk</w:t>
      </w:r>
    </w:p>
    <w:p w:rsidR="009B2E10" w:rsidRPr="009B2E10" w:rsidRDefault="009B2E10" w:rsidP="006519C0">
      <w:pPr>
        <w:rPr>
          <w:lang w:val="en-GB" w:eastAsia="en-GB"/>
        </w:rPr>
      </w:pPr>
    </w:p>
    <w:p w:rsidR="009B2E10" w:rsidRPr="009B2E10" w:rsidRDefault="009B2E10" w:rsidP="006519C0">
      <w:pPr>
        <w:rPr>
          <w:lang w:val="en-GB"/>
        </w:rPr>
      </w:pPr>
      <w:r w:rsidRPr="009B2E10">
        <w:rPr>
          <w:lang w:val="en-GB" w:eastAsia="en-GB"/>
        </w:rPr>
        <w:t>The U</w:t>
      </w:r>
      <w:r w:rsidR="006519C0">
        <w:rPr>
          <w:lang w:val="en-GB" w:eastAsia="en-GB"/>
        </w:rPr>
        <w:t xml:space="preserve">nited </w:t>
      </w:r>
      <w:r w:rsidRPr="009B2E10">
        <w:rPr>
          <w:lang w:val="en-GB" w:eastAsia="en-GB"/>
        </w:rPr>
        <w:t>K</w:t>
      </w:r>
      <w:r w:rsidR="006519C0">
        <w:rPr>
          <w:lang w:val="en-GB" w:eastAsia="en-GB"/>
        </w:rPr>
        <w:t>ingdom</w:t>
      </w:r>
      <w:r w:rsidRPr="009B2E10">
        <w:rPr>
          <w:lang w:val="en-GB" w:eastAsia="en-GB"/>
        </w:rPr>
        <w:t xml:space="preserve"> is testing a wide range of crops. Across all the United Kingdom trial stations,</w:t>
      </w:r>
      <w:r w:rsidRPr="009B2E10">
        <w:rPr>
          <w:color w:val="FF0000"/>
          <w:lang w:val="en-GB" w:eastAsia="en-GB"/>
        </w:rPr>
        <w:t xml:space="preserve"> </w:t>
      </w:r>
      <w:r w:rsidRPr="009B2E10">
        <w:rPr>
          <w:lang w:val="en-GB" w:eastAsia="en-GB"/>
        </w:rPr>
        <w:t>over 1000 candidate varieties were under test for Listing and/or PVR in 2019, including over 300 winter oilseed rape, over 300 cereals, 220 herbage and fodder, over 100 sugar beet and the rem</w:t>
      </w:r>
      <w:r w:rsidR="006519C0">
        <w:rPr>
          <w:lang w:val="en-GB" w:eastAsia="en-GB"/>
        </w:rPr>
        <w:t xml:space="preserve">ainder potatoes, field beans, </w:t>
      </w:r>
      <w:r w:rsidRPr="009B2E10">
        <w:rPr>
          <w:lang w:val="en-GB" w:eastAsia="en-GB"/>
        </w:rPr>
        <w:t xml:space="preserve">vegetables, ornamentals and fodder kale. </w:t>
      </w:r>
      <w:r w:rsidRPr="009B2E10">
        <w:rPr>
          <w:lang w:val="en-GB"/>
        </w:rPr>
        <w:t>Applications in the agricultural sector for the coming season remain stable.</w:t>
      </w:r>
    </w:p>
    <w:p w:rsidR="009B2E10" w:rsidRPr="009B2E10" w:rsidRDefault="009B2E10" w:rsidP="006519C0">
      <w:pPr>
        <w:rPr>
          <w:lang w:val="en-GB" w:eastAsia="en-GB"/>
        </w:rPr>
      </w:pPr>
    </w:p>
    <w:p w:rsidR="009B2E10" w:rsidRPr="009B2E10" w:rsidRDefault="009B2E10" w:rsidP="006519C0">
      <w:pPr>
        <w:rPr>
          <w:lang w:val="en-GB" w:eastAsia="en-GB"/>
        </w:rPr>
      </w:pPr>
      <w:r w:rsidRPr="009B2E10">
        <w:rPr>
          <w:lang w:val="en-GB" w:eastAsia="en-GB"/>
        </w:rPr>
        <w:t>United Kingdom DUS testing complies with CPVO’s quality requirements.  APHA and its TQB’s NIAB, SASA and AFBI achieved its Entrustment from CPVO for designated species in October 2016 for the third audit running from 2010.</w:t>
      </w:r>
    </w:p>
    <w:p w:rsidR="009B2E10" w:rsidRPr="009B2E10" w:rsidRDefault="009B2E10" w:rsidP="006519C0">
      <w:pPr>
        <w:rPr>
          <w:lang w:val="en-GB" w:eastAsia="en-GB"/>
        </w:rPr>
      </w:pPr>
    </w:p>
    <w:p w:rsidR="009B2E10" w:rsidRPr="009B2E10" w:rsidRDefault="009B2E10" w:rsidP="006519C0">
      <w:pPr>
        <w:rPr>
          <w:lang w:val="en-GB" w:eastAsia="en-GB"/>
        </w:rPr>
      </w:pPr>
      <w:r w:rsidRPr="009B2E10">
        <w:rPr>
          <w:lang w:val="en-GB" w:eastAsia="en-GB"/>
        </w:rPr>
        <w:t>R&amp;D: The U</w:t>
      </w:r>
      <w:r w:rsidR="006519C0">
        <w:rPr>
          <w:lang w:val="en-GB" w:eastAsia="en-GB"/>
        </w:rPr>
        <w:t xml:space="preserve">nited </w:t>
      </w:r>
      <w:r w:rsidRPr="009B2E10">
        <w:rPr>
          <w:lang w:val="en-GB" w:eastAsia="en-GB"/>
        </w:rPr>
        <w:t>K</w:t>
      </w:r>
      <w:r w:rsidR="006519C0">
        <w:rPr>
          <w:lang w:val="en-GB" w:eastAsia="en-GB"/>
        </w:rPr>
        <w:t>ingdom</w:t>
      </w:r>
      <w:r w:rsidRPr="009B2E10">
        <w:rPr>
          <w:lang w:val="en-GB" w:eastAsia="en-GB"/>
        </w:rPr>
        <w:t xml:space="preserve"> is involved in two major E</w:t>
      </w:r>
      <w:r w:rsidR="006519C0">
        <w:rPr>
          <w:lang w:val="en-GB" w:eastAsia="en-GB"/>
        </w:rPr>
        <w:t xml:space="preserve">uropean </w:t>
      </w:r>
      <w:r w:rsidRPr="009B2E10">
        <w:rPr>
          <w:lang w:val="en-GB" w:eastAsia="en-GB"/>
        </w:rPr>
        <w:t>U</w:t>
      </w:r>
      <w:r w:rsidR="006519C0">
        <w:rPr>
          <w:lang w:val="en-GB" w:eastAsia="en-GB"/>
        </w:rPr>
        <w:t>nion</w:t>
      </w:r>
      <w:r w:rsidRPr="009B2E10">
        <w:rPr>
          <w:lang w:val="en-GB" w:eastAsia="en-GB"/>
        </w:rPr>
        <w:t xml:space="preserve"> funded research projects from the call SFS-29 under the Horizon 2020 programme financed by the European Commission. AFBI is coordinating the ‘</w:t>
      </w:r>
      <w:proofErr w:type="spellStart"/>
      <w:r w:rsidRPr="009B2E10">
        <w:rPr>
          <w:lang w:val="en-GB" w:eastAsia="en-GB"/>
        </w:rPr>
        <w:t>InnoVar</w:t>
      </w:r>
      <w:proofErr w:type="spellEnd"/>
      <w:r w:rsidRPr="009B2E10">
        <w:rPr>
          <w:lang w:val="en-GB" w:eastAsia="en-GB"/>
        </w:rPr>
        <w:t xml:space="preserve">’ consortium with APHA as a partner while </w:t>
      </w:r>
      <w:proofErr w:type="spellStart"/>
      <w:r w:rsidRPr="009B2E10">
        <w:rPr>
          <w:lang w:val="en-GB" w:eastAsia="en-GB"/>
        </w:rPr>
        <w:t>BioSS</w:t>
      </w:r>
      <w:proofErr w:type="spellEnd"/>
      <w:r w:rsidRPr="009B2E10">
        <w:rPr>
          <w:lang w:val="en-GB" w:eastAsia="en-GB"/>
        </w:rPr>
        <w:t xml:space="preserve">, NIAB and SASA are participating in the ‘Invite’ consortium. Both projects will run separately but will share knowledge, data and results where possible. </w:t>
      </w:r>
      <w:r w:rsidR="006519C0">
        <w:rPr>
          <w:lang w:val="en-GB" w:eastAsia="en-GB"/>
        </w:rPr>
        <w:t>A kick</w:t>
      </w:r>
      <w:r w:rsidR="006519C0">
        <w:rPr>
          <w:lang w:val="en-GB" w:eastAsia="en-GB"/>
        </w:rPr>
        <w:noBreakHyphen/>
      </w:r>
      <w:r w:rsidRPr="009B2E10">
        <w:rPr>
          <w:lang w:val="en-GB" w:eastAsia="en-GB"/>
        </w:rPr>
        <w:t>off meeting for ‘Invite’ took place July 2019 in Angers, France with representatives attending from ‘</w:t>
      </w:r>
      <w:proofErr w:type="spellStart"/>
      <w:r w:rsidRPr="009B2E10">
        <w:rPr>
          <w:lang w:val="en-GB" w:eastAsia="en-GB"/>
        </w:rPr>
        <w:t>InnoVar</w:t>
      </w:r>
      <w:proofErr w:type="spellEnd"/>
      <w:r w:rsidRPr="009B2E10">
        <w:rPr>
          <w:lang w:val="en-GB" w:eastAsia="en-GB"/>
        </w:rPr>
        <w:t>’. The proposal aims at improving variety testing (both DUS and VCU) in the E</w:t>
      </w:r>
      <w:r w:rsidR="006519C0">
        <w:rPr>
          <w:lang w:val="en-GB" w:eastAsia="en-GB"/>
        </w:rPr>
        <w:t xml:space="preserve">uropean </w:t>
      </w:r>
      <w:r w:rsidRPr="009B2E10">
        <w:rPr>
          <w:lang w:val="en-GB" w:eastAsia="en-GB"/>
        </w:rPr>
        <w:t>U</w:t>
      </w:r>
      <w:r w:rsidR="006519C0">
        <w:rPr>
          <w:lang w:val="en-GB" w:eastAsia="en-GB"/>
        </w:rPr>
        <w:t>nion</w:t>
      </w:r>
      <w:r w:rsidRPr="009B2E10">
        <w:rPr>
          <w:lang w:val="en-GB" w:eastAsia="en-GB"/>
        </w:rPr>
        <w:t xml:space="preserve"> with the help of genotyping, modelling and phenotyping tools. </w:t>
      </w:r>
    </w:p>
    <w:p w:rsidR="009B2E10" w:rsidRPr="009B2E10" w:rsidRDefault="009B2E10" w:rsidP="006519C0">
      <w:pPr>
        <w:rPr>
          <w:lang w:val="en-GB" w:eastAsia="en-GB"/>
        </w:rPr>
      </w:pPr>
    </w:p>
    <w:p w:rsidR="009B2E10" w:rsidRPr="006519C0" w:rsidRDefault="009B2E10" w:rsidP="006519C0">
      <w:r w:rsidRPr="009B2E10">
        <w:rPr>
          <w:lang w:val="en-GB" w:eastAsia="en-GB"/>
        </w:rPr>
        <w:t xml:space="preserve">NIAB is assisting in the CPVO co-funded research project “Developing a strategy to apply SNP molecular markers in the framework of winter oilseed rape DUS </w:t>
      </w:r>
      <w:proofErr w:type="gramStart"/>
      <w:r w:rsidRPr="009B2E10">
        <w:rPr>
          <w:lang w:val="en-GB" w:eastAsia="en-GB"/>
        </w:rPr>
        <w:t>testing</w:t>
      </w:r>
      <w:proofErr w:type="gramEnd"/>
      <w:r w:rsidRPr="009B2E10">
        <w:rPr>
          <w:lang w:val="en-GB" w:eastAsia="en-GB"/>
        </w:rPr>
        <w:t xml:space="preserve">” continuing from the success of the project “Test of the Potential Use of SNP markers on Oilseed Rape Varieties”.  </w:t>
      </w:r>
    </w:p>
    <w:p w:rsidR="009B2E10" w:rsidRPr="009B2E10" w:rsidRDefault="009B2E10" w:rsidP="006519C0">
      <w:pPr>
        <w:rPr>
          <w:lang w:val="en-GB" w:eastAsia="en-GB"/>
        </w:rPr>
      </w:pPr>
    </w:p>
    <w:p w:rsidR="009B2E10" w:rsidRPr="009B2E10" w:rsidRDefault="009B2E10" w:rsidP="006519C0">
      <w:pPr>
        <w:rPr>
          <w:lang w:val="en-GB" w:eastAsia="en-GB"/>
        </w:rPr>
      </w:pPr>
      <w:r w:rsidRPr="009B2E10">
        <w:rPr>
          <w:lang w:val="en-GB" w:eastAsia="en-GB"/>
        </w:rPr>
        <w:t xml:space="preserve">NIAB have recently celebrated their centenary with a visit from their Patron, Her Majesty Queen Elizabeth II, to the site of the new facilities in </w:t>
      </w:r>
      <w:proofErr w:type="spellStart"/>
      <w:r w:rsidRPr="009B2E10">
        <w:rPr>
          <w:lang w:val="en-GB" w:eastAsia="en-GB"/>
        </w:rPr>
        <w:t>Impington</w:t>
      </w:r>
      <w:proofErr w:type="spellEnd"/>
      <w:r w:rsidRPr="009B2E10">
        <w:rPr>
          <w:lang w:val="en-GB" w:eastAsia="en-GB"/>
        </w:rPr>
        <w:t xml:space="preserve">, Cambridge.  These purpose built facilities now house the DUS Testing, Seed Certification and Seed Testing Groups.   </w:t>
      </w:r>
    </w:p>
    <w:p w:rsidR="009B2E10" w:rsidRPr="009B2E10" w:rsidRDefault="009B2E10" w:rsidP="006519C0">
      <w:pPr>
        <w:rPr>
          <w:lang w:val="en-GB"/>
        </w:rPr>
      </w:pPr>
    </w:p>
    <w:p w:rsidR="009B2E10" w:rsidRDefault="009B2E10" w:rsidP="007947FE">
      <w:pPr>
        <w:rPr>
          <w:lang w:val="en-GB"/>
        </w:rPr>
      </w:pPr>
    </w:p>
    <w:p w:rsidR="009B2E10" w:rsidRDefault="009B2E10" w:rsidP="007947FE">
      <w:pPr>
        <w:rPr>
          <w:lang w:val="en-GB"/>
        </w:rPr>
      </w:pPr>
    </w:p>
    <w:p w:rsidR="007664B1" w:rsidRDefault="007664B1" w:rsidP="007664B1">
      <w:pPr>
        <w:jc w:val="right"/>
      </w:pPr>
      <w:r w:rsidRPr="008479C6">
        <w:t xml:space="preserve">[End of Annex </w:t>
      </w:r>
      <w:r w:rsidR="00E80EB2">
        <w:t>V</w:t>
      </w:r>
      <w:r w:rsidR="009B2E10">
        <w:t>I</w:t>
      </w:r>
      <w:r w:rsidRPr="008479C6">
        <w:t xml:space="preserve"> and of document]</w:t>
      </w:r>
    </w:p>
    <w:p w:rsidR="005F1E5C" w:rsidRPr="007664B1" w:rsidRDefault="005F1E5C" w:rsidP="005F1E5C"/>
    <w:sectPr w:rsidR="005F1E5C" w:rsidRPr="007664B1" w:rsidSect="00B97087">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A0" w:rsidRDefault="00C674A0" w:rsidP="006655D3">
      <w:r>
        <w:separator/>
      </w:r>
    </w:p>
    <w:p w:rsidR="00C674A0" w:rsidRDefault="00C674A0" w:rsidP="006655D3"/>
    <w:p w:rsidR="00C674A0" w:rsidRDefault="00C674A0" w:rsidP="006655D3"/>
  </w:endnote>
  <w:endnote w:type="continuationSeparator" w:id="0">
    <w:p w:rsidR="00C674A0" w:rsidRDefault="00C674A0" w:rsidP="006655D3">
      <w:r>
        <w:separator/>
      </w:r>
    </w:p>
    <w:p w:rsidR="00C674A0" w:rsidRPr="00294751" w:rsidRDefault="00C674A0">
      <w:pPr>
        <w:pStyle w:val="Footer"/>
        <w:spacing w:after="60"/>
        <w:rPr>
          <w:sz w:val="18"/>
          <w:lang w:val="fr-FR"/>
        </w:rPr>
      </w:pPr>
      <w:r w:rsidRPr="00294751">
        <w:rPr>
          <w:sz w:val="18"/>
          <w:lang w:val="fr-FR"/>
        </w:rPr>
        <w:t>[Suite de la note de la page précédente]</w:t>
      </w:r>
    </w:p>
    <w:p w:rsidR="00C674A0" w:rsidRPr="00294751" w:rsidRDefault="00C674A0" w:rsidP="006655D3">
      <w:pPr>
        <w:rPr>
          <w:lang w:val="fr-FR"/>
        </w:rPr>
      </w:pPr>
    </w:p>
    <w:p w:rsidR="00C674A0" w:rsidRPr="00294751" w:rsidRDefault="00C674A0" w:rsidP="006655D3">
      <w:pPr>
        <w:rPr>
          <w:lang w:val="fr-FR"/>
        </w:rPr>
      </w:pPr>
    </w:p>
  </w:endnote>
  <w:endnote w:type="continuationNotice" w:id="1">
    <w:p w:rsidR="00C674A0" w:rsidRPr="00294751" w:rsidRDefault="00C674A0" w:rsidP="006655D3">
      <w:pPr>
        <w:rPr>
          <w:lang w:val="fr-FR"/>
        </w:rPr>
      </w:pPr>
      <w:r w:rsidRPr="00294751">
        <w:rPr>
          <w:lang w:val="fr-FR"/>
        </w:rPr>
        <w:t>[Suite de la note page suivante]</w:t>
      </w:r>
    </w:p>
    <w:p w:rsidR="00C674A0" w:rsidRPr="00294751" w:rsidRDefault="00C674A0" w:rsidP="006655D3">
      <w:pPr>
        <w:rPr>
          <w:lang w:val="fr-FR"/>
        </w:rPr>
      </w:pPr>
    </w:p>
    <w:p w:rsidR="00C674A0" w:rsidRPr="00294751" w:rsidRDefault="00C674A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A0" w:rsidRDefault="00C674A0" w:rsidP="006655D3">
      <w:r>
        <w:separator/>
      </w:r>
    </w:p>
  </w:footnote>
  <w:footnote w:type="continuationSeparator" w:id="0">
    <w:p w:rsidR="00C674A0" w:rsidRDefault="00C674A0" w:rsidP="006655D3">
      <w:r>
        <w:separator/>
      </w:r>
    </w:p>
  </w:footnote>
  <w:footnote w:type="continuationNotice" w:id="1">
    <w:p w:rsidR="00C674A0" w:rsidRPr="00AB530F" w:rsidRDefault="00C674A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Pr="00C5280D" w:rsidRDefault="00C674A0" w:rsidP="00EB048E">
    <w:pPr>
      <w:pStyle w:val="Header"/>
      <w:rPr>
        <w:rStyle w:val="PageNumber"/>
        <w:lang w:val="en-US"/>
      </w:rPr>
    </w:pPr>
    <w:r>
      <w:rPr>
        <w:rStyle w:val="PageNumber"/>
        <w:lang w:val="en-US"/>
      </w:rPr>
      <w:t>TWF/48/</w:t>
    </w:r>
  </w:p>
  <w:p w:rsidR="00C674A0" w:rsidRPr="00C5280D" w:rsidRDefault="00C674A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6F19">
      <w:rPr>
        <w:rStyle w:val="PageNumber"/>
        <w:noProof/>
        <w:lang w:val="en-US"/>
      </w:rPr>
      <w:t>4</w:t>
    </w:r>
    <w:r w:rsidRPr="00C5280D">
      <w:rPr>
        <w:rStyle w:val="PageNumber"/>
        <w:lang w:val="en-US"/>
      </w:rPr>
      <w:fldChar w:fldCharType="end"/>
    </w:r>
  </w:p>
  <w:p w:rsidR="00C674A0" w:rsidRPr="00C5280D" w:rsidRDefault="00C674A0"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E10" w:rsidRDefault="009B2E10">
    <w:pPr>
      <w:pStyle w:val="Header"/>
    </w:pPr>
    <w:r>
      <w:t>TWA/48/3</w:t>
    </w:r>
  </w:p>
  <w:p w:rsidR="009B2E10" w:rsidRDefault="009B2E10">
    <w:pPr>
      <w:pStyle w:val="Header"/>
    </w:pPr>
  </w:p>
  <w:p w:rsidR="009B2E10" w:rsidRDefault="009B2E10">
    <w:pPr>
      <w:pStyle w:val="Header"/>
    </w:pPr>
    <w:r>
      <w:t>ANNEX VI</w:t>
    </w:r>
  </w:p>
  <w:p w:rsidR="009B2E10" w:rsidRDefault="009B2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w:t>
    </w:r>
    <w:r w:rsidR="007664B1">
      <w:t>A</w:t>
    </w:r>
    <w:r>
      <w:t>/</w:t>
    </w:r>
    <w:r w:rsidR="007664B1">
      <w:t>48</w:t>
    </w:r>
    <w:r w:rsidR="009B2E10">
      <w:t>/3</w:t>
    </w:r>
  </w:p>
  <w:p w:rsidR="00C674A0" w:rsidRDefault="00C674A0">
    <w:pPr>
      <w:pStyle w:val="Header"/>
    </w:pPr>
  </w:p>
  <w:p w:rsidR="00C674A0" w:rsidRDefault="00C674A0">
    <w:pPr>
      <w:pStyle w:val="Header"/>
    </w:pPr>
    <w:r>
      <w:t>ANNEX I</w:t>
    </w:r>
  </w:p>
  <w:p w:rsidR="00C674A0" w:rsidRDefault="00C67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F19" w:rsidRPr="00B46F19" w:rsidRDefault="009B2E10" w:rsidP="00EB048E">
    <w:pPr>
      <w:pStyle w:val="Header"/>
      <w:rPr>
        <w:rStyle w:val="PageNumber"/>
        <w:lang w:val="fr-CH"/>
      </w:rPr>
    </w:pPr>
    <w:r>
      <w:rPr>
        <w:rStyle w:val="PageNumber"/>
        <w:lang w:val="fr-CH"/>
      </w:rPr>
      <w:t>TWF/48/3</w:t>
    </w:r>
  </w:p>
  <w:p w:rsidR="00B46F19" w:rsidRPr="00B46F19" w:rsidRDefault="00B46F19" w:rsidP="00EB048E">
    <w:pPr>
      <w:pStyle w:val="Header"/>
      <w:rPr>
        <w:lang w:val="fr-CH"/>
      </w:rPr>
    </w:pPr>
    <w:proofErr w:type="spellStart"/>
    <w:r w:rsidRPr="00B46F19">
      <w:rPr>
        <w:lang w:val="fr-CH"/>
      </w:rPr>
      <w:t>Annex</w:t>
    </w:r>
    <w:proofErr w:type="spellEnd"/>
    <w:r w:rsidRPr="00B46F19">
      <w:rPr>
        <w:lang w:val="fr-CH"/>
      </w:rPr>
      <w:t xml:space="preserve"> I</w:t>
    </w:r>
    <w:r w:rsidR="00775A84">
      <w:rPr>
        <w:lang w:val="fr-CH"/>
      </w:rPr>
      <w:t>I</w:t>
    </w:r>
    <w:r w:rsidRPr="00B46F19">
      <w:rPr>
        <w:lang w:val="fr-CH"/>
      </w:rPr>
      <w:t xml:space="preserve">I, page </w:t>
    </w:r>
    <w:r w:rsidRPr="00B46F19">
      <w:rPr>
        <w:lang w:val="fr-CH"/>
      </w:rPr>
      <w:fldChar w:fldCharType="begin"/>
    </w:r>
    <w:r w:rsidRPr="00B46F19">
      <w:rPr>
        <w:lang w:val="fr-CH"/>
      </w:rPr>
      <w:instrText xml:space="preserve"> PAGE   \* MERGEFORMAT </w:instrText>
    </w:r>
    <w:r w:rsidRPr="00B46F19">
      <w:rPr>
        <w:lang w:val="fr-CH"/>
      </w:rPr>
      <w:fldChar w:fldCharType="separate"/>
    </w:r>
    <w:r w:rsidR="00710036">
      <w:rPr>
        <w:noProof/>
        <w:lang w:val="fr-CH"/>
      </w:rPr>
      <w:t>2</w:t>
    </w:r>
    <w:r w:rsidRPr="00B46F19">
      <w:rPr>
        <w:noProof/>
        <w:lang w:val="fr-CH"/>
      </w:rPr>
      <w:fldChar w:fldCharType="end"/>
    </w:r>
  </w:p>
  <w:p w:rsidR="00B46F19" w:rsidRPr="00B46F19" w:rsidRDefault="00B46F19"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w:t>
    </w:r>
    <w:r w:rsidR="007664B1">
      <w:t>A</w:t>
    </w:r>
    <w:r>
      <w:t>/</w:t>
    </w:r>
    <w:r w:rsidR="007664B1">
      <w:t>48</w:t>
    </w:r>
    <w:r w:rsidR="009B2E10">
      <w:t>/3</w:t>
    </w:r>
  </w:p>
  <w:p w:rsidR="00C674A0" w:rsidRDefault="00C674A0">
    <w:pPr>
      <w:pStyle w:val="Header"/>
    </w:pPr>
  </w:p>
  <w:p w:rsidR="00C674A0" w:rsidRDefault="00C674A0">
    <w:pPr>
      <w:pStyle w:val="Header"/>
    </w:pPr>
    <w:r>
      <w:t>ANNEX II</w:t>
    </w:r>
  </w:p>
  <w:p w:rsidR="00C674A0" w:rsidRDefault="00C674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84" w:rsidRDefault="009B2E10">
    <w:pPr>
      <w:pStyle w:val="Header"/>
    </w:pPr>
    <w:r>
      <w:t>TWA/48/3</w:t>
    </w:r>
  </w:p>
  <w:p w:rsidR="00775A84" w:rsidRDefault="00775A84">
    <w:pPr>
      <w:pStyle w:val="Header"/>
    </w:pPr>
  </w:p>
  <w:p w:rsidR="00775A84" w:rsidRDefault="00775A84">
    <w:pPr>
      <w:pStyle w:val="Header"/>
    </w:pPr>
    <w:r>
      <w:t>ANNEX III</w:t>
    </w:r>
  </w:p>
  <w:p w:rsidR="00775A84" w:rsidRDefault="00775A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B1" w:rsidRPr="00DA2D46" w:rsidRDefault="009B2E10" w:rsidP="00EB048E">
    <w:pPr>
      <w:pStyle w:val="Header"/>
      <w:rPr>
        <w:rStyle w:val="PageNumber"/>
        <w:lang w:val="fr-CH"/>
      </w:rPr>
    </w:pPr>
    <w:r>
      <w:rPr>
        <w:rStyle w:val="PageNumber"/>
        <w:lang w:val="fr-CH"/>
      </w:rPr>
      <w:t>TWA/48/3</w:t>
    </w:r>
  </w:p>
  <w:p w:rsidR="007664B1" w:rsidRPr="00DA2D46" w:rsidRDefault="00775A84" w:rsidP="00EB048E">
    <w:pPr>
      <w:pStyle w:val="Header"/>
      <w:rPr>
        <w:lang w:val="fr-CH"/>
      </w:rPr>
    </w:pPr>
    <w:proofErr w:type="spellStart"/>
    <w:r>
      <w:rPr>
        <w:lang w:val="fr-CH"/>
      </w:rPr>
      <w:t>Annex</w:t>
    </w:r>
    <w:proofErr w:type="spellEnd"/>
    <w:r>
      <w:rPr>
        <w:lang w:val="fr-CH"/>
      </w:rPr>
      <w:t xml:space="preserve"> IV</w:t>
    </w:r>
    <w:r w:rsidR="00DA2D46" w:rsidRPr="00DA2D46">
      <w:rPr>
        <w:lang w:val="fr-CH"/>
      </w:rPr>
      <w:t xml:space="preserve">, </w:t>
    </w:r>
    <w:r w:rsidR="007664B1" w:rsidRPr="00DA2D46">
      <w:rPr>
        <w:lang w:val="fr-CH"/>
      </w:rPr>
      <w:t xml:space="preserve">page </w:t>
    </w:r>
    <w:r w:rsidR="007664B1" w:rsidRPr="00C5280D">
      <w:rPr>
        <w:rStyle w:val="PageNumber"/>
        <w:lang w:val="en-US"/>
      </w:rPr>
      <w:fldChar w:fldCharType="begin"/>
    </w:r>
    <w:r w:rsidR="007664B1" w:rsidRPr="00DA2D46">
      <w:rPr>
        <w:rStyle w:val="PageNumber"/>
        <w:lang w:val="fr-CH"/>
      </w:rPr>
      <w:instrText xml:space="preserve"> PAGE </w:instrText>
    </w:r>
    <w:r w:rsidR="007664B1" w:rsidRPr="00C5280D">
      <w:rPr>
        <w:rStyle w:val="PageNumber"/>
        <w:lang w:val="en-US"/>
      </w:rPr>
      <w:fldChar w:fldCharType="separate"/>
    </w:r>
    <w:r w:rsidR="00710036">
      <w:rPr>
        <w:rStyle w:val="PageNumber"/>
        <w:noProof/>
        <w:lang w:val="fr-CH"/>
      </w:rPr>
      <w:t>2</w:t>
    </w:r>
    <w:r w:rsidR="007664B1" w:rsidRPr="00C5280D">
      <w:rPr>
        <w:rStyle w:val="PageNumber"/>
        <w:lang w:val="en-US"/>
      </w:rPr>
      <w:fldChar w:fldCharType="end"/>
    </w:r>
  </w:p>
  <w:p w:rsidR="007664B1" w:rsidRPr="00DA2D46" w:rsidRDefault="007664B1"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4A0" w:rsidRDefault="00C674A0">
    <w:pPr>
      <w:pStyle w:val="Header"/>
    </w:pPr>
    <w:r>
      <w:t>TW</w:t>
    </w:r>
    <w:r w:rsidR="007664B1">
      <w:t>A</w:t>
    </w:r>
    <w:r>
      <w:t>/</w:t>
    </w:r>
    <w:r w:rsidR="007664B1">
      <w:t>48</w:t>
    </w:r>
    <w:r w:rsidR="009B2E10">
      <w:t>/3</w:t>
    </w:r>
  </w:p>
  <w:p w:rsidR="00C674A0" w:rsidRDefault="00C674A0">
    <w:pPr>
      <w:pStyle w:val="Header"/>
    </w:pPr>
  </w:p>
  <w:p w:rsidR="00C674A0" w:rsidRDefault="00775A84">
    <w:pPr>
      <w:pStyle w:val="Header"/>
    </w:pPr>
    <w:r>
      <w:t>ANNEX IV</w:t>
    </w:r>
  </w:p>
  <w:p w:rsidR="00C674A0" w:rsidRDefault="00C674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50" w:rsidRPr="00DA2D46" w:rsidRDefault="009B2E10" w:rsidP="00EB048E">
    <w:pPr>
      <w:pStyle w:val="Header"/>
      <w:rPr>
        <w:rStyle w:val="PageNumber"/>
        <w:lang w:val="fr-CH"/>
      </w:rPr>
    </w:pPr>
    <w:r>
      <w:rPr>
        <w:rStyle w:val="PageNumber"/>
        <w:lang w:val="fr-CH"/>
      </w:rPr>
      <w:t>TWA/48/3</w:t>
    </w:r>
  </w:p>
  <w:p w:rsidR="00FC1450" w:rsidRPr="00DA2D46" w:rsidRDefault="00FC1450" w:rsidP="00EB048E">
    <w:pPr>
      <w:pStyle w:val="Header"/>
      <w:rPr>
        <w:lang w:val="fr-CH"/>
      </w:rPr>
    </w:pPr>
    <w:proofErr w:type="spellStart"/>
    <w:r>
      <w:rPr>
        <w:lang w:val="fr-CH"/>
      </w:rPr>
      <w:t>Annex</w:t>
    </w:r>
    <w:proofErr w:type="spellEnd"/>
    <w:r>
      <w:rPr>
        <w:lang w:val="fr-CH"/>
      </w:rPr>
      <w:t xml:space="preserve"> V</w:t>
    </w:r>
    <w:r w:rsidRPr="00DA2D46">
      <w:rPr>
        <w:lang w:val="fr-CH"/>
      </w:rPr>
      <w:t xml:space="preserve">, page </w:t>
    </w:r>
    <w:r w:rsidRPr="00C5280D">
      <w:rPr>
        <w:rStyle w:val="PageNumber"/>
        <w:lang w:val="en-US"/>
      </w:rPr>
      <w:fldChar w:fldCharType="begin"/>
    </w:r>
    <w:r w:rsidRPr="00DA2D46">
      <w:rPr>
        <w:rStyle w:val="PageNumber"/>
        <w:lang w:val="fr-CH"/>
      </w:rPr>
      <w:instrText xml:space="preserve"> PAGE </w:instrText>
    </w:r>
    <w:r w:rsidRPr="00C5280D">
      <w:rPr>
        <w:rStyle w:val="PageNumber"/>
        <w:lang w:val="en-US"/>
      </w:rPr>
      <w:fldChar w:fldCharType="separate"/>
    </w:r>
    <w:r w:rsidR="002C00BC">
      <w:rPr>
        <w:rStyle w:val="PageNumber"/>
        <w:noProof/>
        <w:lang w:val="fr-CH"/>
      </w:rPr>
      <w:t>3</w:t>
    </w:r>
    <w:r w:rsidRPr="00C5280D">
      <w:rPr>
        <w:rStyle w:val="PageNumber"/>
        <w:lang w:val="en-US"/>
      </w:rPr>
      <w:fldChar w:fldCharType="end"/>
    </w:r>
  </w:p>
  <w:p w:rsidR="00FC1450" w:rsidRPr="00DA2D46" w:rsidRDefault="00FC1450"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50" w:rsidRDefault="009B2E10">
    <w:pPr>
      <w:pStyle w:val="Header"/>
    </w:pPr>
    <w:r>
      <w:t>TWA/48/3</w:t>
    </w:r>
  </w:p>
  <w:p w:rsidR="00FC1450" w:rsidRDefault="00FC1450">
    <w:pPr>
      <w:pStyle w:val="Header"/>
    </w:pPr>
  </w:p>
  <w:p w:rsidR="00FC1450" w:rsidRDefault="00FC1450">
    <w:pPr>
      <w:pStyle w:val="Header"/>
    </w:pPr>
    <w:r>
      <w:t>ANNEX V</w:t>
    </w:r>
  </w:p>
  <w:p w:rsidR="00FC1450" w:rsidRDefault="00FC1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950BA"/>
    <w:multiLevelType w:val="hybridMultilevel"/>
    <w:tmpl w:val="F0440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05694"/>
    <w:multiLevelType w:val="hybridMultilevel"/>
    <w:tmpl w:val="4B22E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0D2339"/>
    <w:multiLevelType w:val="hybridMultilevel"/>
    <w:tmpl w:val="C3D68104"/>
    <w:lvl w:ilvl="0" w:tplc="01CA0F34">
      <w:start w:val="1"/>
      <w:numFmt w:val="decimal"/>
      <w:lvlText w:val="%1."/>
      <w:lvlJc w:val="left"/>
      <w:pPr>
        <w:ind w:left="720" w:hanging="360"/>
      </w:pPr>
      <w:rPr>
        <w:rFonts w:ascii="Arial" w:hAnsi="Arial" w:cs="Arial"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8652B"/>
    <w:multiLevelType w:val="hybridMultilevel"/>
    <w:tmpl w:val="E5081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D85B30"/>
    <w:multiLevelType w:val="hybridMultilevel"/>
    <w:tmpl w:val="A6102538"/>
    <w:lvl w:ilvl="0" w:tplc="2A6AB1B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C0285B"/>
    <w:multiLevelType w:val="hybridMultilevel"/>
    <w:tmpl w:val="88FC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157743"/>
    <w:multiLevelType w:val="hybridMultilevel"/>
    <w:tmpl w:val="10FE3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0"/>
  </w:num>
  <w:num w:numId="2">
    <w:abstractNumId w:val="3"/>
  </w:num>
  <w:num w:numId="3">
    <w:abstractNumId w:val="5"/>
  </w:num>
  <w:num w:numId="4">
    <w:abstractNumId w:val="1"/>
  </w:num>
  <w:num w:numId="5">
    <w:abstractNumId w:val="9"/>
  </w:num>
  <w:num w:numId="6">
    <w:abstractNumId w:val="6"/>
  </w:num>
  <w:num w:numId="7">
    <w:abstractNumId w:val="7"/>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6F"/>
    <w:rsid w:val="00010CF3"/>
    <w:rsid w:val="00011E27"/>
    <w:rsid w:val="000148BC"/>
    <w:rsid w:val="00024AB8"/>
    <w:rsid w:val="00030854"/>
    <w:rsid w:val="000344AC"/>
    <w:rsid w:val="00036028"/>
    <w:rsid w:val="0004137A"/>
    <w:rsid w:val="00044642"/>
    <w:rsid w:val="000446B9"/>
    <w:rsid w:val="00047E21"/>
    <w:rsid w:val="00050E16"/>
    <w:rsid w:val="00051B0C"/>
    <w:rsid w:val="00064BC8"/>
    <w:rsid w:val="00076A8E"/>
    <w:rsid w:val="00085505"/>
    <w:rsid w:val="000A21B3"/>
    <w:rsid w:val="000C4E25"/>
    <w:rsid w:val="000C553A"/>
    <w:rsid w:val="000C7021"/>
    <w:rsid w:val="000D1342"/>
    <w:rsid w:val="000D6BBC"/>
    <w:rsid w:val="000D7780"/>
    <w:rsid w:val="000E636A"/>
    <w:rsid w:val="000F2F11"/>
    <w:rsid w:val="00105929"/>
    <w:rsid w:val="00106F89"/>
    <w:rsid w:val="00110C36"/>
    <w:rsid w:val="001131D5"/>
    <w:rsid w:val="001132F2"/>
    <w:rsid w:val="00116968"/>
    <w:rsid w:val="00121F4A"/>
    <w:rsid w:val="00141DB8"/>
    <w:rsid w:val="00162DA7"/>
    <w:rsid w:val="0016476F"/>
    <w:rsid w:val="00172084"/>
    <w:rsid w:val="001746EF"/>
    <w:rsid w:val="0017474A"/>
    <w:rsid w:val="001758C6"/>
    <w:rsid w:val="00182B99"/>
    <w:rsid w:val="001A66E4"/>
    <w:rsid w:val="001D4494"/>
    <w:rsid w:val="001D6303"/>
    <w:rsid w:val="0021332C"/>
    <w:rsid w:val="00213982"/>
    <w:rsid w:val="00232C43"/>
    <w:rsid w:val="0024416D"/>
    <w:rsid w:val="0025502B"/>
    <w:rsid w:val="00255861"/>
    <w:rsid w:val="00271911"/>
    <w:rsid w:val="002800A0"/>
    <w:rsid w:val="002801B3"/>
    <w:rsid w:val="00281060"/>
    <w:rsid w:val="002876F5"/>
    <w:rsid w:val="002940E8"/>
    <w:rsid w:val="00294751"/>
    <w:rsid w:val="002A6E50"/>
    <w:rsid w:val="002B4298"/>
    <w:rsid w:val="002C00BC"/>
    <w:rsid w:val="002C256A"/>
    <w:rsid w:val="00305A7F"/>
    <w:rsid w:val="003152FE"/>
    <w:rsid w:val="00327436"/>
    <w:rsid w:val="00335389"/>
    <w:rsid w:val="0034025B"/>
    <w:rsid w:val="00344BD6"/>
    <w:rsid w:val="0035528D"/>
    <w:rsid w:val="00361821"/>
    <w:rsid w:val="00361E9E"/>
    <w:rsid w:val="00386398"/>
    <w:rsid w:val="00395078"/>
    <w:rsid w:val="003C7FBE"/>
    <w:rsid w:val="003D227C"/>
    <w:rsid w:val="003D2B4D"/>
    <w:rsid w:val="00444A88"/>
    <w:rsid w:val="00461C8A"/>
    <w:rsid w:val="00474DA4"/>
    <w:rsid w:val="00476B4D"/>
    <w:rsid w:val="004805FA"/>
    <w:rsid w:val="00484BAB"/>
    <w:rsid w:val="004935D2"/>
    <w:rsid w:val="0049744F"/>
    <w:rsid w:val="004B1215"/>
    <w:rsid w:val="004C2E81"/>
    <w:rsid w:val="004D047D"/>
    <w:rsid w:val="004F1E9E"/>
    <w:rsid w:val="004F305A"/>
    <w:rsid w:val="00506717"/>
    <w:rsid w:val="00512164"/>
    <w:rsid w:val="00520297"/>
    <w:rsid w:val="005338F9"/>
    <w:rsid w:val="0054281C"/>
    <w:rsid w:val="00544581"/>
    <w:rsid w:val="0055268D"/>
    <w:rsid w:val="00561E32"/>
    <w:rsid w:val="00576BE4"/>
    <w:rsid w:val="005A400A"/>
    <w:rsid w:val="005A5BF3"/>
    <w:rsid w:val="005E1081"/>
    <w:rsid w:val="005F1E5C"/>
    <w:rsid w:val="005F7B92"/>
    <w:rsid w:val="00605303"/>
    <w:rsid w:val="00606803"/>
    <w:rsid w:val="00612379"/>
    <w:rsid w:val="006153B6"/>
    <w:rsid w:val="0061555F"/>
    <w:rsid w:val="00621302"/>
    <w:rsid w:val="00636CA6"/>
    <w:rsid w:val="00641200"/>
    <w:rsid w:val="006455EC"/>
    <w:rsid w:val="006519C0"/>
    <w:rsid w:val="00662526"/>
    <w:rsid w:val="006655D3"/>
    <w:rsid w:val="00667404"/>
    <w:rsid w:val="00687EB4"/>
    <w:rsid w:val="00695C56"/>
    <w:rsid w:val="006A5CDE"/>
    <w:rsid w:val="006A644A"/>
    <w:rsid w:val="006B17D2"/>
    <w:rsid w:val="006C224E"/>
    <w:rsid w:val="006D780A"/>
    <w:rsid w:val="00710036"/>
    <w:rsid w:val="0071271E"/>
    <w:rsid w:val="00723DAB"/>
    <w:rsid w:val="00732A6C"/>
    <w:rsid w:val="00732DEC"/>
    <w:rsid w:val="00735BD5"/>
    <w:rsid w:val="00751613"/>
    <w:rsid w:val="007556F6"/>
    <w:rsid w:val="007609FA"/>
    <w:rsid w:val="00760EEF"/>
    <w:rsid w:val="007664B1"/>
    <w:rsid w:val="0077452D"/>
    <w:rsid w:val="00775A84"/>
    <w:rsid w:val="00777EE5"/>
    <w:rsid w:val="00784836"/>
    <w:rsid w:val="0079023E"/>
    <w:rsid w:val="007947FE"/>
    <w:rsid w:val="007A2854"/>
    <w:rsid w:val="007B56FF"/>
    <w:rsid w:val="007C1D92"/>
    <w:rsid w:val="007C4CB9"/>
    <w:rsid w:val="007D0B9D"/>
    <w:rsid w:val="007D19B0"/>
    <w:rsid w:val="007F498F"/>
    <w:rsid w:val="0080007B"/>
    <w:rsid w:val="00805E12"/>
    <w:rsid w:val="0080679D"/>
    <w:rsid w:val="008108B0"/>
    <w:rsid w:val="00811B20"/>
    <w:rsid w:val="008211B5"/>
    <w:rsid w:val="0082296E"/>
    <w:rsid w:val="00824099"/>
    <w:rsid w:val="008346EF"/>
    <w:rsid w:val="00846D7C"/>
    <w:rsid w:val="008479C6"/>
    <w:rsid w:val="00860A1D"/>
    <w:rsid w:val="00867AC1"/>
    <w:rsid w:val="00890DF8"/>
    <w:rsid w:val="008A743F"/>
    <w:rsid w:val="008B7A5E"/>
    <w:rsid w:val="008C0970"/>
    <w:rsid w:val="008D0BC5"/>
    <w:rsid w:val="008D2CF7"/>
    <w:rsid w:val="008D548B"/>
    <w:rsid w:val="008E13C5"/>
    <w:rsid w:val="008F276A"/>
    <w:rsid w:val="00900C26"/>
    <w:rsid w:val="0090197F"/>
    <w:rsid w:val="00906DDC"/>
    <w:rsid w:val="00934E09"/>
    <w:rsid w:val="00936253"/>
    <w:rsid w:val="00940D46"/>
    <w:rsid w:val="00946D3B"/>
    <w:rsid w:val="00952DD4"/>
    <w:rsid w:val="00965AE7"/>
    <w:rsid w:val="00970FED"/>
    <w:rsid w:val="009725E8"/>
    <w:rsid w:val="00973E00"/>
    <w:rsid w:val="00975421"/>
    <w:rsid w:val="009835B4"/>
    <w:rsid w:val="00992D82"/>
    <w:rsid w:val="00997029"/>
    <w:rsid w:val="009A1AC6"/>
    <w:rsid w:val="009A7339"/>
    <w:rsid w:val="009B2E10"/>
    <w:rsid w:val="009B440E"/>
    <w:rsid w:val="009D05F6"/>
    <w:rsid w:val="009D690D"/>
    <w:rsid w:val="009E65B6"/>
    <w:rsid w:val="00A12A04"/>
    <w:rsid w:val="00A24C10"/>
    <w:rsid w:val="00A42AC3"/>
    <w:rsid w:val="00A430CF"/>
    <w:rsid w:val="00A54309"/>
    <w:rsid w:val="00A55B2A"/>
    <w:rsid w:val="00A758DA"/>
    <w:rsid w:val="00AB109D"/>
    <w:rsid w:val="00AB1BFD"/>
    <w:rsid w:val="00AB2B93"/>
    <w:rsid w:val="00AB530F"/>
    <w:rsid w:val="00AB7E5B"/>
    <w:rsid w:val="00AC2883"/>
    <w:rsid w:val="00AC2B4E"/>
    <w:rsid w:val="00AE0EF1"/>
    <w:rsid w:val="00AE2937"/>
    <w:rsid w:val="00B07301"/>
    <w:rsid w:val="00B11F3E"/>
    <w:rsid w:val="00B12F5A"/>
    <w:rsid w:val="00B224DE"/>
    <w:rsid w:val="00B324D4"/>
    <w:rsid w:val="00B3795D"/>
    <w:rsid w:val="00B46575"/>
    <w:rsid w:val="00B46F19"/>
    <w:rsid w:val="00B47490"/>
    <w:rsid w:val="00B560B3"/>
    <w:rsid w:val="00B61777"/>
    <w:rsid w:val="00B84BBD"/>
    <w:rsid w:val="00B97087"/>
    <w:rsid w:val="00BA43FB"/>
    <w:rsid w:val="00BB1E7B"/>
    <w:rsid w:val="00BB31C3"/>
    <w:rsid w:val="00BC127D"/>
    <w:rsid w:val="00BC1FE6"/>
    <w:rsid w:val="00C061B6"/>
    <w:rsid w:val="00C11E10"/>
    <w:rsid w:val="00C2446C"/>
    <w:rsid w:val="00C26B25"/>
    <w:rsid w:val="00C36AE5"/>
    <w:rsid w:val="00C41F17"/>
    <w:rsid w:val="00C527FA"/>
    <w:rsid w:val="00C5280D"/>
    <w:rsid w:val="00C53EB3"/>
    <w:rsid w:val="00C57861"/>
    <w:rsid w:val="00C5791C"/>
    <w:rsid w:val="00C66290"/>
    <w:rsid w:val="00C674A0"/>
    <w:rsid w:val="00C72B7A"/>
    <w:rsid w:val="00C973F2"/>
    <w:rsid w:val="00CA304C"/>
    <w:rsid w:val="00CA774A"/>
    <w:rsid w:val="00CC11B0"/>
    <w:rsid w:val="00CC2841"/>
    <w:rsid w:val="00CF1330"/>
    <w:rsid w:val="00CF7E36"/>
    <w:rsid w:val="00D078EE"/>
    <w:rsid w:val="00D24C7E"/>
    <w:rsid w:val="00D3708D"/>
    <w:rsid w:val="00D40426"/>
    <w:rsid w:val="00D57C96"/>
    <w:rsid w:val="00D57D18"/>
    <w:rsid w:val="00D91203"/>
    <w:rsid w:val="00D95174"/>
    <w:rsid w:val="00DA1712"/>
    <w:rsid w:val="00DA2D46"/>
    <w:rsid w:val="00DA4499"/>
    <w:rsid w:val="00DA4973"/>
    <w:rsid w:val="00DA6F36"/>
    <w:rsid w:val="00DB596E"/>
    <w:rsid w:val="00DB7773"/>
    <w:rsid w:val="00DC00EA"/>
    <w:rsid w:val="00DC3802"/>
    <w:rsid w:val="00E0219E"/>
    <w:rsid w:val="00E07D87"/>
    <w:rsid w:val="00E32F7E"/>
    <w:rsid w:val="00E5267B"/>
    <w:rsid w:val="00E56B7F"/>
    <w:rsid w:val="00E70039"/>
    <w:rsid w:val="00E72D49"/>
    <w:rsid w:val="00E7593C"/>
    <w:rsid w:val="00E7678A"/>
    <w:rsid w:val="00E80EB2"/>
    <w:rsid w:val="00E935F1"/>
    <w:rsid w:val="00E94A81"/>
    <w:rsid w:val="00EA1FFB"/>
    <w:rsid w:val="00EB048E"/>
    <w:rsid w:val="00EB4E9C"/>
    <w:rsid w:val="00EC481C"/>
    <w:rsid w:val="00EE1AFA"/>
    <w:rsid w:val="00EE34DF"/>
    <w:rsid w:val="00EE41AF"/>
    <w:rsid w:val="00EF2F89"/>
    <w:rsid w:val="00F03E98"/>
    <w:rsid w:val="00F04AFC"/>
    <w:rsid w:val="00F1237A"/>
    <w:rsid w:val="00F22CBD"/>
    <w:rsid w:val="00F272F1"/>
    <w:rsid w:val="00F415A7"/>
    <w:rsid w:val="00F45372"/>
    <w:rsid w:val="00F560F7"/>
    <w:rsid w:val="00F6334D"/>
    <w:rsid w:val="00F74C5D"/>
    <w:rsid w:val="00F77EA6"/>
    <w:rsid w:val="00F8327C"/>
    <w:rsid w:val="00FA49AB"/>
    <w:rsid w:val="00FB0E94"/>
    <w:rsid w:val="00FC03D0"/>
    <w:rsid w:val="00FC1450"/>
    <w:rsid w:val="00FD1681"/>
    <w:rsid w:val="00FE39C7"/>
    <w:rsid w:val="00FF209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4BDA2185-1294-4972-A21B-57049174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F2092"/>
    <w:pPr>
      <w:ind w:left="720"/>
      <w:contextualSpacing/>
    </w:pPr>
  </w:style>
  <w:style w:type="paragraph" w:customStyle="1" w:styleId="Default">
    <w:name w:val="Default"/>
    <w:rsid w:val="00FF2092"/>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7947FE"/>
    <w:rPr>
      <w:rFonts w:ascii="Arial" w:hAnsi="Arial"/>
      <w:lang w:val="fr-FR"/>
    </w:rPr>
  </w:style>
  <w:style w:type="table" w:styleId="TableGrid">
    <w:name w:val="Table Grid"/>
    <w:basedOn w:val="TableNormal"/>
    <w:uiPriority w:val="59"/>
    <w:rsid w:val="00D24C7E"/>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0\templates\twf_50_partial_revis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011D-A210-4421-A47C-C8A416D3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twf_50_partial_revision_template</Template>
  <TotalTime>0</TotalTime>
  <Pages>11</Pages>
  <Words>3629</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TWF/48</vt:lpstr>
    </vt:vector>
  </TitlesOfParts>
  <Company>UPOV</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TWA/48</dc:title>
  <dc:creator>MAY Jessica</dc:creator>
  <cp:lastModifiedBy>MAY Jessica</cp:lastModifiedBy>
  <cp:revision>12</cp:revision>
  <cp:lastPrinted>2019-06-21T13:46:00Z</cp:lastPrinted>
  <dcterms:created xsi:type="dcterms:W3CDTF">2019-09-23T09:33:00Z</dcterms:created>
  <dcterms:modified xsi:type="dcterms:W3CDTF">2019-10-17T06:39:00Z</dcterms:modified>
</cp:coreProperties>
</file>