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Forty-S</w:t>
            </w:r>
            <w:r w:rsidR="008F3CB1">
              <w:t>even</w:t>
            </w:r>
            <w:r w:rsidRPr="00F875E6">
              <w:t>th Session</w:t>
            </w:r>
          </w:p>
          <w:p w:rsidR="00524CC2" w:rsidRPr="00DC6797" w:rsidRDefault="007472B2" w:rsidP="00485C7F">
            <w:pPr>
              <w:pStyle w:val="Sessiontwpplacedate"/>
            </w:pPr>
            <w:proofErr w:type="spellStart"/>
            <w:r>
              <w:t>N</w:t>
            </w:r>
            <w:r w:rsidRPr="007472B2">
              <w:t>aivasha</w:t>
            </w:r>
            <w:proofErr w:type="spellEnd"/>
            <w:r w:rsidRPr="007472B2">
              <w:t>, Kenya</w:t>
            </w:r>
            <w:r>
              <w:t xml:space="preserve">, </w:t>
            </w:r>
            <w:r w:rsidRPr="007472B2">
              <w:t>M</w:t>
            </w:r>
            <w:r w:rsidR="00C22DEA">
              <w:t>ay</w:t>
            </w:r>
            <w:r w:rsidRPr="007472B2">
              <w:t xml:space="preserve"> 21 to 25</w:t>
            </w:r>
            <w:r w:rsidR="00524CC2" w:rsidRPr="00D01D7C">
              <w:t>, 201</w:t>
            </w:r>
            <w:r>
              <w:t>8</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485C7F"/>
          <w:p w:rsidR="00524CC2" w:rsidRDefault="00524CC2" w:rsidP="00485C7F">
            <w:pPr>
              <w:pStyle w:val="Sessiontwp"/>
            </w:pPr>
            <w:r>
              <w:t>Technical Working Party for Vegetables</w:t>
            </w:r>
          </w:p>
          <w:p w:rsidR="00524CC2" w:rsidRPr="00F66083" w:rsidRDefault="00524CC2" w:rsidP="00485C7F">
            <w:pPr>
              <w:pStyle w:val="Sessiontwpplacedate"/>
            </w:pPr>
            <w:r w:rsidRPr="00F66083">
              <w:t>Fifty-</w:t>
            </w:r>
            <w:r w:rsidR="00C22DEA">
              <w:t>Second</w:t>
            </w:r>
            <w:r w:rsidRPr="00F66083">
              <w:t xml:space="preserve"> Session</w:t>
            </w:r>
          </w:p>
          <w:p w:rsidR="00524CC2" w:rsidRPr="00F66083" w:rsidRDefault="00C22DEA" w:rsidP="00485C7F">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485C7F"/>
          <w:p w:rsidR="00524CC2" w:rsidRDefault="00524CC2" w:rsidP="00485C7F">
            <w:pPr>
              <w:pStyle w:val="Sessiontwp"/>
            </w:pPr>
            <w:r>
              <w:t>Technical Working Party for Fruit Crops</w:t>
            </w:r>
          </w:p>
          <w:p w:rsidR="00524CC2" w:rsidRPr="00F66083" w:rsidRDefault="00524CC2" w:rsidP="00485C7F">
            <w:pPr>
              <w:pStyle w:val="Sessiontwpplacedate"/>
            </w:pPr>
            <w:r w:rsidRPr="00F66083">
              <w:t>Forty-</w:t>
            </w:r>
            <w:r w:rsidR="00C22DEA">
              <w:t>Nin</w:t>
            </w:r>
            <w:r w:rsidRPr="00F66083">
              <w:t>th Session</w:t>
            </w:r>
          </w:p>
          <w:p w:rsidR="00524CC2" w:rsidRDefault="00C22DEA" w:rsidP="00485C7F">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r w:rsidR="00C2427B">
              <w:t xml:space="preserve"> </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304EBA">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485C7F">
            <w:pPr>
              <w:pStyle w:val="Doccode"/>
            </w:pPr>
            <w:r>
              <w:t>TWP</w:t>
            </w:r>
            <w:r w:rsidR="00524CC2" w:rsidRPr="00AC2883">
              <w:t>/</w:t>
            </w:r>
            <w:r w:rsidR="008F3CB1">
              <w:t>2</w:t>
            </w:r>
            <w:r w:rsidR="00524CC2" w:rsidRPr="00AC2883">
              <w:t>/</w:t>
            </w:r>
            <w:r w:rsidR="00806D69">
              <w:t>10</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BE0FA1">
            <w:pPr>
              <w:pStyle w:val="Docoriginal"/>
            </w:pPr>
            <w:r w:rsidRPr="00AC2883">
              <w:t>Date:</w:t>
            </w:r>
            <w:r w:rsidRPr="000E636A">
              <w:rPr>
                <w:b w:val="0"/>
                <w:spacing w:val="0"/>
              </w:rPr>
              <w:t xml:space="preserve">  </w:t>
            </w:r>
            <w:r w:rsidR="0082176B" w:rsidRPr="00BE0FA1">
              <w:rPr>
                <w:b w:val="0"/>
                <w:spacing w:val="0"/>
              </w:rPr>
              <w:t xml:space="preserve">May </w:t>
            </w:r>
            <w:r w:rsidR="00BE0FA1" w:rsidRPr="00BE0FA1">
              <w:rPr>
                <w:b w:val="0"/>
                <w:spacing w:val="0"/>
              </w:rPr>
              <w:t>9</w:t>
            </w:r>
            <w:r w:rsidR="007D7BA0" w:rsidRPr="00BE0FA1">
              <w:rPr>
                <w:b w:val="0"/>
                <w:spacing w:val="0"/>
              </w:rPr>
              <w:t>,</w:t>
            </w:r>
            <w:r w:rsidR="00300EAB" w:rsidRPr="00BE0FA1">
              <w:rPr>
                <w:b w:val="0"/>
                <w:spacing w:val="0"/>
              </w:rPr>
              <w:t xml:space="preserve"> 2018</w:t>
            </w:r>
          </w:p>
        </w:tc>
      </w:tr>
    </w:tbl>
    <w:p w:rsidR="00B3678C" w:rsidRPr="006A644A" w:rsidRDefault="00B3678C" w:rsidP="00B3678C">
      <w:pPr>
        <w:pStyle w:val="Titleofdoc0"/>
      </w:pPr>
      <w:r w:rsidRPr="00981A9A">
        <w:rPr>
          <w:lang w:val="en-GB"/>
        </w:rPr>
        <w:t>uniformity assessment on the basis of off</w:t>
      </w:r>
      <w:r w:rsidRPr="00981A9A">
        <w:rPr>
          <w:lang w:val="en-GB"/>
        </w:rPr>
        <w:noBreakHyphen/>
        <w:t>types</w:t>
      </w:r>
      <w:r>
        <w:t xml:space="preserve">:  </w:t>
      </w:r>
      <w:r w:rsidRPr="00981A9A">
        <w:t>Method for more than one single test (year)</w:t>
      </w:r>
      <w:r w:rsidRPr="00EC2A4F">
        <w:t xml:space="preserve"> </w:t>
      </w:r>
    </w:p>
    <w:p w:rsidR="00B3678C" w:rsidRPr="006A644A" w:rsidRDefault="00B3678C" w:rsidP="00B3678C">
      <w:pPr>
        <w:pStyle w:val="preparedby1"/>
      </w:pPr>
      <w:r w:rsidRPr="000C4E25">
        <w:t>Document prepared by the Office of the Union</w:t>
      </w:r>
    </w:p>
    <w:p w:rsidR="00B3678C" w:rsidRPr="006A644A" w:rsidRDefault="00B3678C" w:rsidP="00B3678C">
      <w:pPr>
        <w:pStyle w:val="Disclaimer"/>
      </w:pPr>
      <w:r w:rsidRPr="006A644A">
        <w:t>Disclaimer:  this document does not represent UPOV policies or guidance</w:t>
      </w:r>
    </w:p>
    <w:p w:rsidR="00B3678C" w:rsidRPr="0021251E" w:rsidRDefault="00B3678C" w:rsidP="00B3678C">
      <w:pPr>
        <w:pStyle w:val="Heading1"/>
      </w:pPr>
      <w:bookmarkStart w:id="2" w:name="_Toc484625146"/>
      <w:bookmarkStart w:id="3" w:name="_Toc503881393"/>
      <w:bookmarkStart w:id="4" w:name="_Toc504464833"/>
      <w:r w:rsidRPr="0021251E">
        <w:t>EXECUTIVE SUMMARY</w:t>
      </w:r>
      <w:bookmarkEnd w:id="2"/>
      <w:bookmarkEnd w:id="3"/>
      <w:bookmarkEnd w:id="4"/>
    </w:p>
    <w:p w:rsidR="00B3678C" w:rsidRPr="0021251E" w:rsidRDefault="00B3678C" w:rsidP="00B3678C">
      <w:pPr>
        <w:autoSpaceDE w:val="0"/>
        <w:autoSpaceDN w:val="0"/>
        <w:adjustRightInd w:val="0"/>
        <w:rPr>
          <w:szCs w:val="24"/>
        </w:rPr>
      </w:pPr>
    </w:p>
    <w:p w:rsidR="00B3678C" w:rsidRPr="0002371E" w:rsidRDefault="00B3678C" w:rsidP="00B3678C">
      <w:pPr>
        <w:autoSpaceDE w:val="0"/>
        <w:autoSpaceDN w:val="0"/>
        <w:adjustRightInd w:val="0"/>
        <w:rPr>
          <w:rFonts w:eastAsia="MS Mincho"/>
          <w:color w:val="000000"/>
          <w:szCs w:val="24"/>
          <w:lang w:eastAsia="ja-JP"/>
        </w:rPr>
      </w:pPr>
      <w:r w:rsidRPr="0002371E">
        <w:rPr>
          <w:szCs w:val="24"/>
        </w:rPr>
        <w:fldChar w:fldCharType="begin"/>
      </w:r>
      <w:r w:rsidRPr="0002371E">
        <w:rPr>
          <w:szCs w:val="24"/>
        </w:rPr>
        <w:instrText xml:space="preserve"> AUTONUM  </w:instrText>
      </w:r>
      <w:r w:rsidRPr="0002371E">
        <w:rPr>
          <w:szCs w:val="24"/>
        </w:rPr>
        <w:fldChar w:fldCharType="end"/>
      </w:r>
      <w:r w:rsidRPr="0002371E">
        <w:rPr>
          <w:szCs w:val="24"/>
        </w:rPr>
        <w:tab/>
      </w:r>
      <w:r w:rsidRPr="0002371E">
        <w:rPr>
          <w:rFonts w:eastAsia="MS Mincho"/>
          <w:color w:val="000000"/>
          <w:szCs w:val="24"/>
          <w:lang w:eastAsia="ja-JP"/>
        </w:rPr>
        <w:t>The purpose of this document is to report on developments concerning the revision of guidance in document TGP/8/2: Part II: Section 8: “The method of uniformity assessment on the basis of off</w:t>
      </w:r>
      <w:r w:rsidRPr="0002371E">
        <w:rPr>
          <w:rFonts w:eastAsia="MS Mincho"/>
          <w:color w:val="000000"/>
          <w:szCs w:val="24"/>
          <w:lang w:eastAsia="ja-JP"/>
        </w:rPr>
        <w:noBreakHyphen/>
        <w:t xml:space="preserve">types” to reflect the practice within members of the Union on the use of methods for more than one single test (year), in conjunction with the revision of document TGP/10 on “Assessing </w:t>
      </w:r>
      <w:r>
        <w:rPr>
          <w:rFonts w:eastAsia="MS Mincho"/>
          <w:color w:val="000000"/>
          <w:szCs w:val="24"/>
          <w:lang w:eastAsia="ja-JP"/>
        </w:rPr>
        <w:t>u</w:t>
      </w:r>
      <w:r w:rsidRPr="0002371E">
        <w:rPr>
          <w:rFonts w:eastAsia="MS Mincho"/>
          <w:color w:val="000000"/>
          <w:szCs w:val="24"/>
          <w:lang w:eastAsia="ja-JP"/>
        </w:rPr>
        <w:t xml:space="preserve">niformity by </w:t>
      </w:r>
      <w:r>
        <w:rPr>
          <w:rFonts w:eastAsia="MS Mincho"/>
          <w:color w:val="000000"/>
          <w:szCs w:val="24"/>
          <w:lang w:eastAsia="ja-JP"/>
        </w:rPr>
        <w:t>o</w:t>
      </w:r>
      <w:r w:rsidRPr="0002371E">
        <w:rPr>
          <w:rFonts w:eastAsia="MS Mincho"/>
          <w:color w:val="000000"/>
          <w:szCs w:val="24"/>
          <w:lang w:eastAsia="ja-JP"/>
        </w:rPr>
        <w:t>ff-</w:t>
      </w:r>
      <w:r>
        <w:rPr>
          <w:rFonts w:eastAsia="MS Mincho"/>
          <w:color w:val="000000"/>
          <w:szCs w:val="24"/>
          <w:lang w:eastAsia="ja-JP"/>
        </w:rPr>
        <w:t>t</w:t>
      </w:r>
      <w:r w:rsidRPr="0002371E">
        <w:rPr>
          <w:rFonts w:eastAsia="MS Mincho"/>
          <w:color w:val="000000"/>
          <w:szCs w:val="24"/>
          <w:lang w:eastAsia="ja-JP"/>
        </w:rPr>
        <w:t xml:space="preserve">ypes on the </w:t>
      </w:r>
      <w:r>
        <w:rPr>
          <w:rFonts w:eastAsia="MS Mincho"/>
          <w:color w:val="000000"/>
          <w:szCs w:val="24"/>
          <w:lang w:eastAsia="ja-JP"/>
        </w:rPr>
        <w:t>b</w:t>
      </w:r>
      <w:r w:rsidRPr="0002371E">
        <w:rPr>
          <w:rFonts w:eastAsia="MS Mincho"/>
          <w:color w:val="000000"/>
          <w:szCs w:val="24"/>
          <w:lang w:eastAsia="ja-JP"/>
        </w:rPr>
        <w:t xml:space="preserve">asis of </w:t>
      </w:r>
      <w:r>
        <w:rPr>
          <w:rFonts w:eastAsia="MS Mincho"/>
          <w:color w:val="000000"/>
          <w:szCs w:val="24"/>
          <w:lang w:eastAsia="ja-JP"/>
        </w:rPr>
        <w:t>m</w:t>
      </w:r>
      <w:r w:rsidRPr="0002371E">
        <w:rPr>
          <w:rFonts w:eastAsia="MS Mincho"/>
          <w:color w:val="000000"/>
          <w:szCs w:val="24"/>
          <w:lang w:eastAsia="ja-JP"/>
        </w:rPr>
        <w:t xml:space="preserve">ore than </w:t>
      </w:r>
      <w:r>
        <w:rPr>
          <w:rFonts w:eastAsia="MS Mincho"/>
          <w:color w:val="000000"/>
          <w:szCs w:val="24"/>
          <w:lang w:eastAsia="ja-JP"/>
        </w:rPr>
        <w:t>o</w:t>
      </w:r>
      <w:r w:rsidRPr="0002371E">
        <w:rPr>
          <w:rFonts w:eastAsia="MS Mincho"/>
          <w:color w:val="000000"/>
          <w:szCs w:val="24"/>
          <w:lang w:eastAsia="ja-JP"/>
        </w:rPr>
        <w:t xml:space="preserve">ne </w:t>
      </w:r>
      <w:r>
        <w:rPr>
          <w:rFonts w:eastAsia="MS Mincho"/>
          <w:color w:val="000000"/>
          <w:szCs w:val="24"/>
          <w:lang w:eastAsia="ja-JP"/>
        </w:rPr>
        <w:t>g</w:t>
      </w:r>
      <w:r w:rsidRPr="0002371E">
        <w:rPr>
          <w:rFonts w:eastAsia="MS Mincho"/>
          <w:color w:val="000000"/>
          <w:szCs w:val="24"/>
          <w:lang w:eastAsia="ja-JP"/>
        </w:rPr>
        <w:t xml:space="preserve">rowing </w:t>
      </w:r>
      <w:r>
        <w:rPr>
          <w:rFonts w:eastAsia="MS Mincho"/>
          <w:color w:val="000000"/>
          <w:szCs w:val="24"/>
          <w:lang w:eastAsia="ja-JP"/>
        </w:rPr>
        <w:t>c</w:t>
      </w:r>
      <w:r w:rsidRPr="0002371E">
        <w:rPr>
          <w:rFonts w:eastAsia="MS Mincho"/>
          <w:color w:val="000000"/>
          <w:szCs w:val="24"/>
          <w:lang w:eastAsia="ja-JP"/>
        </w:rPr>
        <w:t xml:space="preserve">ycle or on the </w:t>
      </w:r>
      <w:r>
        <w:rPr>
          <w:rFonts w:eastAsia="MS Mincho"/>
          <w:color w:val="000000"/>
          <w:szCs w:val="24"/>
          <w:lang w:eastAsia="ja-JP"/>
        </w:rPr>
        <w:t>b</w:t>
      </w:r>
      <w:r w:rsidRPr="0002371E">
        <w:rPr>
          <w:rFonts w:eastAsia="MS Mincho"/>
          <w:color w:val="000000"/>
          <w:szCs w:val="24"/>
          <w:lang w:eastAsia="ja-JP"/>
        </w:rPr>
        <w:t xml:space="preserve">asis of </w:t>
      </w:r>
      <w:r>
        <w:rPr>
          <w:rFonts w:eastAsia="MS Mincho"/>
          <w:color w:val="000000"/>
          <w:szCs w:val="24"/>
          <w:lang w:eastAsia="ja-JP"/>
        </w:rPr>
        <w:t>s</w:t>
      </w:r>
      <w:r w:rsidRPr="0002371E">
        <w:rPr>
          <w:rFonts w:eastAsia="MS Mincho"/>
          <w:color w:val="000000"/>
          <w:szCs w:val="24"/>
          <w:lang w:eastAsia="ja-JP"/>
        </w:rPr>
        <w:t>ub-</w:t>
      </w:r>
      <w:r>
        <w:rPr>
          <w:rFonts w:eastAsia="MS Mincho"/>
          <w:color w:val="000000"/>
          <w:szCs w:val="24"/>
          <w:lang w:eastAsia="ja-JP"/>
        </w:rPr>
        <w:t>s</w:t>
      </w:r>
      <w:r w:rsidRPr="0002371E">
        <w:rPr>
          <w:rFonts w:eastAsia="MS Mincho"/>
          <w:color w:val="000000"/>
          <w:szCs w:val="24"/>
          <w:lang w:eastAsia="ja-JP"/>
        </w:rPr>
        <w:t>amples”.</w:t>
      </w:r>
    </w:p>
    <w:p w:rsidR="00B3678C" w:rsidRPr="0002371E" w:rsidRDefault="00B3678C" w:rsidP="00B3678C"/>
    <w:p w:rsidR="00B3678C" w:rsidRPr="00031017" w:rsidRDefault="00E22148" w:rsidP="00B3678C">
      <w:r w:rsidRPr="00031017">
        <w:fldChar w:fldCharType="begin"/>
      </w:r>
      <w:r w:rsidRPr="00031017">
        <w:instrText xml:space="preserve"> AUTONUM  </w:instrText>
      </w:r>
      <w:r w:rsidRPr="00031017">
        <w:fldChar w:fldCharType="end"/>
      </w:r>
      <w:r w:rsidRPr="00031017">
        <w:tab/>
      </w:r>
      <w:r w:rsidR="008B50F3" w:rsidRPr="00031017">
        <w:t>The TWPs are invited to consider the draft proposal for the revision of guidance in document TGP/8/2: Part II: Section 8: Subsection 8.1.7: “Method for more than one single test (year)” as set out in Annex II to this document</w:t>
      </w:r>
      <w:r w:rsidR="008B50F3" w:rsidRPr="00031017">
        <w:rPr>
          <w:rFonts w:eastAsia="MS Mincho"/>
          <w:color w:val="000000"/>
          <w:szCs w:val="24"/>
          <w:lang w:eastAsia="ja-JP"/>
        </w:rPr>
        <w:t>.</w:t>
      </w:r>
    </w:p>
    <w:p w:rsidR="00E22148" w:rsidRDefault="00E22148" w:rsidP="00B3678C"/>
    <w:p w:rsidR="00B3678C" w:rsidRPr="0021251E" w:rsidRDefault="00B3678C" w:rsidP="00B3678C">
      <w:pPr>
        <w:pStyle w:val="Heading1"/>
        <w:rPr>
          <w:rFonts w:eastAsia="MS Mincho"/>
          <w:lang w:eastAsia="ja-JP"/>
        </w:rPr>
      </w:pPr>
      <w:bookmarkStart w:id="5" w:name="_Toc484625147"/>
      <w:bookmarkStart w:id="6" w:name="_Toc503881394"/>
      <w:bookmarkStart w:id="7" w:name="_Toc504464834"/>
      <w:r w:rsidRPr="0021251E">
        <w:rPr>
          <w:rFonts w:eastAsia="MS Mincho"/>
          <w:lang w:eastAsia="ja-JP"/>
        </w:rPr>
        <w:t>BACKGROUND</w:t>
      </w:r>
      <w:bookmarkEnd w:id="5"/>
      <w:bookmarkEnd w:id="6"/>
      <w:bookmarkEnd w:id="7"/>
    </w:p>
    <w:p w:rsidR="00B3678C" w:rsidRPr="008877B0" w:rsidRDefault="00B3678C" w:rsidP="00B3678C">
      <w:pPr>
        <w:rPr>
          <w:rFonts w:eastAsia="PMingLiU"/>
        </w:rPr>
      </w:pPr>
    </w:p>
    <w:p w:rsidR="00B3678C" w:rsidRPr="00E0395D" w:rsidRDefault="00B3678C" w:rsidP="00B3678C">
      <w:pPr>
        <w:rPr>
          <w:rFonts w:eastAsia="PMingLiU"/>
          <w:lang w:val="en-GB"/>
        </w:rPr>
      </w:pPr>
      <w:r w:rsidRPr="00E0395D">
        <w:rPr>
          <w:rFonts w:eastAsia="PMingLiU"/>
          <w:lang w:val="en-GB"/>
        </w:rPr>
        <w:fldChar w:fldCharType="begin"/>
      </w:r>
      <w:r w:rsidRPr="00E0395D">
        <w:rPr>
          <w:rFonts w:eastAsia="PMingLiU"/>
          <w:lang w:val="en-GB"/>
        </w:rPr>
        <w:instrText xml:space="preserve"> AUTONUM  </w:instrText>
      </w:r>
      <w:r w:rsidRPr="00E0395D">
        <w:rPr>
          <w:rFonts w:eastAsia="PMingLiU"/>
          <w:lang w:val="en-GB"/>
        </w:rPr>
        <w:fldChar w:fldCharType="end"/>
      </w:r>
      <w:r w:rsidRPr="00E0395D">
        <w:rPr>
          <w:rFonts w:eastAsia="PMingLiU"/>
          <w:lang w:val="en-GB"/>
        </w:rPr>
        <w:tab/>
        <w:t xml:space="preserve">The TC, at its fifty-third session, held in Geneva from April 3 to 5, 2017, considered document TC/53/19 </w:t>
      </w:r>
      <w:r w:rsidRPr="00E0395D">
        <w:rPr>
          <w:lang w:val="en-GB"/>
        </w:rPr>
        <w:t xml:space="preserve">“Revision of document TGP/10: New section: </w:t>
      </w:r>
      <w:r w:rsidRPr="00E0395D">
        <w:rPr>
          <w:snapToGrid w:val="0"/>
          <w:lang w:val="en-GB"/>
        </w:rPr>
        <w:t>Assessing uniformity by off-types on basis of more than one growing cycle or on the basis of sub-samples</w:t>
      </w:r>
      <w:r w:rsidRPr="00E0395D">
        <w:rPr>
          <w:lang w:val="en-GB"/>
        </w:rPr>
        <w:t xml:space="preserve">” and </w:t>
      </w:r>
      <w:r w:rsidRPr="00E0395D">
        <w:rPr>
          <w:rFonts w:eastAsia="PMingLiU"/>
          <w:lang w:val="en-GB"/>
        </w:rPr>
        <w:t>agreed that, in conjunction with the revision of document TGP/10, the guidance in document TGP/8/2: Part II: 8: “The method of uniformity assessment on the basis of off</w:t>
      </w:r>
      <w:r w:rsidRPr="00E0395D">
        <w:rPr>
          <w:rFonts w:eastAsia="PMingLiU"/>
          <w:lang w:val="en-GB"/>
        </w:rPr>
        <w:noBreakHyphen/>
        <w:t>types” should be revised to reflect the practice within members of the Union on the use of methods for more than one single test (year) (see document TC/53/31 “Report”, paragraph</w:t>
      </w:r>
      <w:r>
        <w:rPr>
          <w:rFonts w:eastAsia="PMingLiU"/>
          <w:lang w:val="en-GB"/>
        </w:rPr>
        <w:t> </w:t>
      </w:r>
      <w:r w:rsidRPr="00E0395D">
        <w:rPr>
          <w:rFonts w:eastAsia="PMingLiU"/>
          <w:lang w:val="en-GB"/>
        </w:rPr>
        <w:t>125).</w:t>
      </w:r>
    </w:p>
    <w:p w:rsidR="00B3678C" w:rsidRDefault="00B3678C" w:rsidP="00B3678C">
      <w:pPr>
        <w:rPr>
          <w:rFonts w:eastAsia="PMingLiU"/>
          <w:lang w:val="en-GB"/>
        </w:rPr>
      </w:pPr>
    </w:p>
    <w:p w:rsidR="00B3678C" w:rsidRDefault="00B3678C" w:rsidP="00B3678C">
      <w:pPr>
        <w:pStyle w:val="Heading2"/>
        <w:keepLines/>
        <w:rPr>
          <w:rFonts w:eastAsia="PMingLiU"/>
          <w:lang w:val="en-GB"/>
        </w:rPr>
      </w:pPr>
      <w:bookmarkStart w:id="8" w:name="_Toc504464835"/>
      <w:r>
        <w:rPr>
          <w:rFonts w:eastAsia="PMingLiU"/>
          <w:lang w:val="en-GB"/>
        </w:rPr>
        <w:t>Current guidance in document TGP/8</w:t>
      </w:r>
      <w:bookmarkEnd w:id="8"/>
    </w:p>
    <w:p w:rsidR="00B3678C" w:rsidRPr="00E0395D" w:rsidRDefault="00B3678C" w:rsidP="00B3678C">
      <w:pPr>
        <w:keepNext/>
        <w:keepLines/>
        <w:rPr>
          <w:rFonts w:eastAsia="PMingLiU"/>
          <w:lang w:val="en-GB"/>
        </w:rPr>
      </w:pPr>
    </w:p>
    <w:p w:rsidR="00B3678C" w:rsidRPr="00E0395D" w:rsidRDefault="00B3678C" w:rsidP="00B3678C">
      <w:pPr>
        <w:keepNext/>
        <w:keepLines/>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t>The current guidance in d</w:t>
      </w:r>
      <w:r w:rsidRPr="00E0395D">
        <w:rPr>
          <w:snapToGrid w:val="0"/>
          <w:lang w:val="en-GB"/>
        </w:rPr>
        <w:t>ocument TGP/8</w:t>
      </w:r>
      <w:r>
        <w:rPr>
          <w:snapToGrid w:val="0"/>
          <w:lang w:val="en-GB"/>
        </w:rPr>
        <w:t xml:space="preserve">: Part II: Section 8: </w:t>
      </w:r>
      <w:r w:rsidRPr="00E0395D">
        <w:rPr>
          <w:rFonts w:eastAsia="PMingLiU"/>
          <w:lang w:val="en-GB"/>
        </w:rPr>
        <w:t>“The method of uniformity assessment on the basis of off</w:t>
      </w:r>
      <w:r w:rsidRPr="00E0395D">
        <w:rPr>
          <w:rFonts w:eastAsia="PMingLiU"/>
          <w:lang w:val="en-GB"/>
        </w:rPr>
        <w:noBreakHyphen/>
        <w:t>types”</w:t>
      </w:r>
      <w:r>
        <w:rPr>
          <w:rFonts w:eastAsia="PMingLiU"/>
          <w:lang w:val="en-GB"/>
        </w:rPr>
        <w:t xml:space="preserve">, </w:t>
      </w:r>
      <w:r>
        <w:rPr>
          <w:snapToGrid w:val="0"/>
          <w:lang w:val="en-GB"/>
        </w:rPr>
        <w:t>Subsection 8.1.7: “Method for more than one single test (year)”</w:t>
      </w:r>
      <w:r w:rsidRPr="00E0395D">
        <w:rPr>
          <w:snapToGrid w:val="0"/>
          <w:lang w:val="en-GB"/>
        </w:rPr>
        <w:t xml:space="preserve"> </w:t>
      </w:r>
      <w:r>
        <w:rPr>
          <w:snapToGrid w:val="0"/>
          <w:lang w:val="en-GB"/>
        </w:rPr>
        <w:t xml:space="preserve">is reproduced as Annex </w:t>
      </w:r>
      <w:r w:rsidR="00001E18">
        <w:rPr>
          <w:snapToGrid w:val="0"/>
          <w:lang w:val="en-GB"/>
        </w:rPr>
        <w:t xml:space="preserve">I </w:t>
      </w:r>
      <w:r>
        <w:rPr>
          <w:snapToGrid w:val="0"/>
          <w:lang w:val="en-GB"/>
        </w:rPr>
        <w:t>to this document.</w:t>
      </w:r>
      <w:r w:rsidRPr="00E0395D">
        <w:rPr>
          <w:snapToGrid w:val="0"/>
          <w:lang w:val="en-GB"/>
        </w:rPr>
        <w:t xml:space="preserve"> </w:t>
      </w:r>
    </w:p>
    <w:p w:rsidR="00B3678C" w:rsidRDefault="00B3678C" w:rsidP="00B3678C">
      <w:pPr>
        <w:ind w:left="567"/>
      </w:pPr>
    </w:p>
    <w:p w:rsidR="00B3678C" w:rsidRDefault="00B3678C" w:rsidP="00B3678C">
      <w:pPr>
        <w:ind w:left="567"/>
      </w:pPr>
    </w:p>
    <w:p w:rsidR="00B3678C" w:rsidRDefault="00B3678C" w:rsidP="00E22148">
      <w:pPr>
        <w:pStyle w:val="Heading2"/>
      </w:pPr>
      <w:r>
        <w:lastRenderedPageBreak/>
        <w:t>Consideration by the Enlarged Editorial Committee</w:t>
      </w:r>
    </w:p>
    <w:p w:rsidR="00B3678C" w:rsidRPr="00B3678C" w:rsidRDefault="00B3678C" w:rsidP="00B3678C">
      <w:pPr>
        <w:ind w:left="567"/>
        <w:rPr>
          <w:bCs/>
        </w:rPr>
      </w:pPr>
    </w:p>
    <w:p w:rsidR="00B3678C" w:rsidRPr="00B3678C" w:rsidRDefault="00B3678C" w:rsidP="00B3678C">
      <w:pPr>
        <w:rPr>
          <w:bCs/>
        </w:rPr>
      </w:pPr>
      <w:r w:rsidRPr="00B3678C">
        <w:rPr>
          <w:bCs/>
        </w:rPr>
        <w:fldChar w:fldCharType="begin"/>
      </w:r>
      <w:r w:rsidRPr="00B3678C">
        <w:rPr>
          <w:bCs/>
        </w:rPr>
        <w:instrText xml:space="preserve"> AUTONUM  </w:instrText>
      </w:r>
      <w:r w:rsidRPr="00B3678C">
        <w:fldChar w:fldCharType="end"/>
      </w:r>
      <w:r w:rsidRPr="00B3678C">
        <w:rPr>
          <w:bCs/>
        </w:rPr>
        <w:tab/>
        <w:t xml:space="preserve">The TC-EDC considered document TC-EDC/Mar18/16 “Uniformity assessment on the basis of off types: methods for more than one single test (year)”. </w:t>
      </w:r>
    </w:p>
    <w:p w:rsidR="00B3678C" w:rsidRPr="00B3678C" w:rsidRDefault="00B3678C" w:rsidP="00B3678C">
      <w:pPr>
        <w:rPr>
          <w:bCs/>
        </w:rPr>
      </w:pPr>
    </w:p>
    <w:p w:rsidR="00B3678C" w:rsidRPr="00A42C72" w:rsidRDefault="00B3678C" w:rsidP="00B3678C">
      <w:pPr>
        <w:rPr>
          <w:bCs/>
        </w:rPr>
      </w:pPr>
      <w:r w:rsidRPr="00A42C72">
        <w:rPr>
          <w:bCs/>
        </w:rPr>
        <w:fldChar w:fldCharType="begin"/>
      </w:r>
      <w:r w:rsidRPr="00A42C72">
        <w:rPr>
          <w:bCs/>
        </w:rPr>
        <w:instrText xml:space="preserve"> AUTONUM  </w:instrText>
      </w:r>
      <w:r w:rsidRPr="00A42C72">
        <w:fldChar w:fldCharType="end"/>
      </w:r>
      <w:r w:rsidRPr="00A42C72">
        <w:rPr>
          <w:bCs/>
        </w:rPr>
        <w:tab/>
        <w:t>The TC-EDC agreed to invite the expert from the United Kingdom to draft a proposal for the revision of guidance in document TGP/8/2: Part II: Section 8: Subsection 8.1.7: “Method for more than one single test (year)” for consideration by the TWPs, at their sessions in 2018.</w:t>
      </w:r>
    </w:p>
    <w:p w:rsidR="000E29DD" w:rsidRDefault="000E29DD" w:rsidP="00B3678C">
      <w:pPr>
        <w:ind w:left="567"/>
        <w:rPr>
          <w:bCs/>
        </w:rPr>
      </w:pPr>
    </w:p>
    <w:p w:rsidR="000E29DD" w:rsidRPr="00A42C72" w:rsidRDefault="006226A7" w:rsidP="006226A7">
      <w:pPr>
        <w:pStyle w:val="Heading1"/>
      </w:pPr>
      <w:r>
        <w:t>PROPOSAL</w:t>
      </w:r>
    </w:p>
    <w:p w:rsidR="000E29DD" w:rsidRDefault="000E29DD" w:rsidP="00B3678C"/>
    <w:p w:rsidR="006226A7" w:rsidRDefault="00B3678C" w:rsidP="00B3678C">
      <w:r>
        <w:fldChar w:fldCharType="begin"/>
      </w:r>
      <w:r>
        <w:instrText xml:space="preserve"> AUTONUM  </w:instrText>
      </w:r>
      <w:r>
        <w:fldChar w:fldCharType="end"/>
      </w:r>
      <w:r>
        <w:tab/>
      </w:r>
      <w:r w:rsidR="008B50F3">
        <w:t xml:space="preserve">A proposal for the revision of </w:t>
      </w:r>
      <w:r w:rsidR="008B50F3" w:rsidRPr="00A42C72">
        <w:rPr>
          <w:bCs/>
        </w:rPr>
        <w:t>guidance in document TGP/8/2: Part II: Section 8: Subsection 8.1.7: “Method for mo</w:t>
      </w:r>
      <w:r w:rsidR="008B50F3">
        <w:rPr>
          <w:bCs/>
        </w:rPr>
        <w:t xml:space="preserve">re than one single test (year)” prepared by the expert from the United Kingdom is </w:t>
      </w:r>
      <w:r w:rsidR="0082176B">
        <w:rPr>
          <w:bCs/>
        </w:rPr>
        <w:t>provided</w:t>
      </w:r>
      <w:r w:rsidR="008B50F3">
        <w:rPr>
          <w:bCs/>
        </w:rPr>
        <w:t xml:space="preserve"> in </w:t>
      </w:r>
      <w:r w:rsidR="008B50F3">
        <w:t xml:space="preserve">Annex II to this document. </w:t>
      </w:r>
    </w:p>
    <w:p w:rsidR="00B3678C" w:rsidRPr="00DF3B2E" w:rsidRDefault="00B3678C" w:rsidP="00B3678C"/>
    <w:p w:rsidR="00B3678C" w:rsidRPr="000E29DD" w:rsidRDefault="00B3678C" w:rsidP="00B3678C">
      <w:pPr>
        <w:keepNext/>
        <w:keepLines/>
        <w:tabs>
          <w:tab w:val="left" w:pos="5387"/>
        </w:tabs>
        <w:ind w:left="4820"/>
        <w:rPr>
          <w:i/>
        </w:rPr>
      </w:pPr>
      <w:r w:rsidRPr="000E29DD">
        <w:rPr>
          <w:i/>
        </w:rPr>
        <w:fldChar w:fldCharType="begin"/>
      </w:r>
      <w:r w:rsidRPr="000E29DD">
        <w:rPr>
          <w:i/>
        </w:rPr>
        <w:instrText xml:space="preserve"> AUTONUM  </w:instrText>
      </w:r>
      <w:r w:rsidRPr="000E29DD">
        <w:rPr>
          <w:i/>
        </w:rPr>
        <w:fldChar w:fldCharType="end"/>
      </w:r>
      <w:r w:rsidRPr="000E29DD">
        <w:rPr>
          <w:i/>
        </w:rPr>
        <w:tab/>
        <w:t xml:space="preserve">The </w:t>
      </w:r>
      <w:r w:rsidR="000E29DD" w:rsidRPr="000E29DD">
        <w:rPr>
          <w:i/>
        </w:rPr>
        <w:t xml:space="preserve">TWPs are </w:t>
      </w:r>
      <w:r w:rsidRPr="000E29DD">
        <w:rPr>
          <w:i/>
        </w:rPr>
        <w:t xml:space="preserve">invited to </w:t>
      </w:r>
      <w:r w:rsidR="008B50F3">
        <w:rPr>
          <w:i/>
        </w:rPr>
        <w:t>consider</w:t>
      </w:r>
      <w:r w:rsidR="000E29DD" w:rsidRPr="000E29DD">
        <w:rPr>
          <w:i/>
        </w:rPr>
        <w:t xml:space="preserve"> the draft proposal </w:t>
      </w:r>
      <w:r w:rsidRPr="000E29DD">
        <w:rPr>
          <w:i/>
        </w:rPr>
        <w:t>for the revision of guidance in document</w:t>
      </w:r>
      <w:r w:rsidR="00031017">
        <w:rPr>
          <w:i/>
        </w:rPr>
        <w:t> </w:t>
      </w:r>
      <w:r w:rsidRPr="000E29DD">
        <w:rPr>
          <w:i/>
        </w:rPr>
        <w:t xml:space="preserve">TGP/8/2: Part II: Section 8: Subsection 8.1.7: “Method for more than one single test (year)” </w:t>
      </w:r>
      <w:r w:rsidR="008B50F3">
        <w:rPr>
          <w:i/>
        </w:rPr>
        <w:t>as set out in Annex II to this document</w:t>
      </w:r>
      <w:r w:rsidR="000E29DD" w:rsidRPr="000E29DD">
        <w:rPr>
          <w:rFonts w:eastAsia="MS Mincho"/>
          <w:i/>
          <w:color w:val="000000"/>
          <w:szCs w:val="24"/>
          <w:lang w:eastAsia="ja-JP"/>
        </w:rPr>
        <w:t>.</w:t>
      </w:r>
    </w:p>
    <w:p w:rsidR="00B3678C" w:rsidRDefault="00B3678C" w:rsidP="00B3678C"/>
    <w:p w:rsidR="000E29DD" w:rsidRDefault="000E29DD" w:rsidP="00B3678C"/>
    <w:p w:rsidR="000E29DD" w:rsidRDefault="000E29DD" w:rsidP="00B3678C"/>
    <w:p w:rsidR="00B3678C" w:rsidRDefault="00B3678C" w:rsidP="00B3678C">
      <w:pPr>
        <w:jc w:val="right"/>
      </w:pPr>
      <w:r>
        <w:t>[Annex follows]</w:t>
      </w:r>
    </w:p>
    <w:p w:rsidR="00B3678C" w:rsidRDefault="00B3678C" w:rsidP="00B3678C">
      <w:pPr>
        <w:sectPr w:rsidR="00B3678C" w:rsidSect="00906DDC">
          <w:headerReference w:type="default" r:id="rId9"/>
          <w:pgSz w:w="11907" w:h="16840" w:code="9"/>
          <w:pgMar w:top="510" w:right="1134" w:bottom="1134" w:left="1134" w:header="510" w:footer="680" w:gutter="0"/>
          <w:cols w:space="720"/>
          <w:titlePg/>
        </w:sectPr>
      </w:pPr>
    </w:p>
    <w:p w:rsidR="00B3678C" w:rsidRDefault="00B3678C" w:rsidP="00B3678C"/>
    <w:p w:rsidR="00B3678C" w:rsidRPr="00443722" w:rsidRDefault="00B3678C" w:rsidP="00B3678C">
      <w:pPr>
        <w:ind w:left="-567" w:right="-567"/>
        <w:rPr>
          <w:caps/>
        </w:rPr>
      </w:pPr>
      <w:r w:rsidRPr="00443722">
        <w:rPr>
          <w:rFonts w:cs="Arial"/>
          <w:caps/>
          <w:snapToGrid w:val="0"/>
        </w:rPr>
        <w:t>Extract from document TGP/8</w:t>
      </w:r>
      <w:r w:rsidRPr="00443722">
        <w:rPr>
          <w:rFonts w:eastAsia="PMingLiU"/>
          <w:caps/>
          <w:lang w:val="en-GB"/>
        </w:rPr>
        <w:t xml:space="preserve">: Part II: Section </w:t>
      </w:r>
      <w:r>
        <w:rPr>
          <w:rFonts w:eastAsia="PMingLiU"/>
          <w:caps/>
          <w:lang w:val="en-GB"/>
        </w:rPr>
        <w:t>8: “</w:t>
      </w:r>
      <w:r w:rsidRPr="00443722">
        <w:rPr>
          <w:rFonts w:eastAsia="PMingLiU"/>
          <w:caps/>
        </w:rPr>
        <w:t>THE METHOD OF UNIFORMITY ASSESSMENT ON THE BASIS OF OFF</w:t>
      </w:r>
      <w:r w:rsidRPr="00443722">
        <w:rPr>
          <w:rFonts w:eastAsia="PMingLiU"/>
          <w:caps/>
        </w:rPr>
        <w:noBreakHyphen/>
        <w:t>TYPES</w:t>
      </w:r>
      <w:r>
        <w:rPr>
          <w:rFonts w:eastAsia="PMingLiU"/>
          <w:caps/>
        </w:rPr>
        <w:t>”</w:t>
      </w:r>
    </w:p>
    <w:p w:rsidR="00B3678C" w:rsidRDefault="00B3678C" w:rsidP="00B3678C"/>
    <w:p w:rsidR="00B3678C" w:rsidRDefault="00B3678C" w:rsidP="00B3678C"/>
    <w:p w:rsidR="00B3678C" w:rsidRPr="00A53C76" w:rsidRDefault="00B3678C" w:rsidP="00B3678C">
      <w:pPr>
        <w:keepNext/>
        <w:spacing w:after="240"/>
        <w:ind w:left="851" w:hanging="851"/>
        <w:outlineLvl w:val="3"/>
        <w:rPr>
          <w:i/>
        </w:rPr>
      </w:pPr>
      <w:bookmarkStart w:id="9" w:name="_Toc463359621"/>
      <w:r>
        <w:rPr>
          <w:i/>
          <w:szCs w:val="24"/>
        </w:rPr>
        <w:t>“</w:t>
      </w:r>
      <w:r w:rsidRPr="00A53C76">
        <w:rPr>
          <w:i/>
          <w:szCs w:val="24"/>
        </w:rPr>
        <w:t>8.</w:t>
      </w:r>
      <w:r w:rsidRPr="00A53C76">
        <w:rPr>
          <w:i/>
        </w:rPr>
        <w:t>1.7</w:t>
      </w:r>
      <w:r w:rsidRPr="00A53C76">
        <w:rPr>
          <w:i/>
        </w:rPr>
        <w:tab/>
      </w:r>
      <w:r w:rsidRPr="00A53C76">
        <w:rPr>
          <w:i/>
          <w:szCs w:val="24"/>
        </w:rPr>
        <w:t>Method for more than</w:t>
      </w:r>
      <w:r w:rsidRPr="00A53C76">
        <w:rPr>
          <w:i/>
        </w:rPr>
        <w:t xml:space="preserve"> one single test (year)</w:t>
      </w:r>
      <w:bookmarkEnd w:id="9"/>
    </w:p>
    <w:p w:rsidR="00B3678C" w:rsidRPr="00A53C76" w:rsidRDefault="00B3678C" w:rsidP="00B3678C">
      <w:pPr>
        <w:keepNext/>
        <w:spacing w:after="240"/>
        <w:ind w:left="1701" w:hanging="1134"/>
        <w:jc w:val="left"/>
        <w:outlineLvl w:val="4"/>
        <w:rPr>
          <w:i/>
          <w:szCs w:val="18"/>
        </w:rPr>
      </w:pPr>
      <w:bookmarkStart w:id="10" w:name="_Toc463359622"/>
      <w:r>
        <w:rPr>
          <w:i/>
          <w:szCs w:val="24"/>
        </w:rPr>
        <w:t>“</w:t>
      </w:r>
      <w:r w:rsidRPr="00A53C76">
        <w:rPr>
          <w:i/>
          <w:szCs w:val="24"/>
        </w:rPr>
        <w:t>8.</w:t>
      </w:r>
      <w:r w:rsidRPr="00A53C76">
        <w:rPr>
          <w:i/>
          <w:szCs w:val="18"/>
        </w:rPr>
        <w:t>1.7.1</w:t>
      </w:r>
      <w:r w:rsidRPr="00A53C76">
        <w:rPr>
          <w:i/>
          <w:szCs w:val="18"/>
        </w:rPr>
        <w:tab/>
        <w:t>Introduction</w:t>
      </w:r>
      <w:bookmarkEnd w:id="10"/>
    </w:p>
    <w:p w:rsidR="00B3678C" w:rsidRPr="00A53C76" w:rsidRDefault="00B3678C" w:rsidP="00B3678C">
      <w:r>
        <w:rPr>
          <w:i/>
          <w:szCs w:val="24"/>
        </w:rPr>
        <w:t>“</w:t>
      </w:r>
      <w:r w:rsidRPr="00A53C76">
        <w:t>8.1.7.1.1</w:t>
      </w:r>
      <w:r w:rsidRPr="00A53C76">
        <w:tab/>
        <w:t>Often a candidate variety is grown in two (or three years).  The question then arises of how to combine the uniformity information from the individual years.  Two methods will be described:</w:t>
      </w:r>
    </w:p>
    <w:p w:rsidR="00B3678C" w:rsidRPr="00A53C76" w:rsidRDefault="00B3678C" w:rsidP="00B3678C"/>
    <w:p w:rsidR="00B3678C" w:rsidRPr="00A53C76" w:rsidRDefault="00B3678C" w:rsidP="00B3678C">
      <w:pPr>
        <w:tabs>
          <w:tab w:val="left" w:pos="851"/>
        </w:tabs>
        <w:ind w:left="1701" w:hanging="1701"/>
      </w:pPr>
      <w:r w:rsidRPr="00A53C76">
        <w:tab/>
      </w:r>
      <w:r>
        <w:rPr>
          <w:i/>
          <w:szCs w:val="24"/>
        </w:rPr>
        <w:t>“</w:t>
      </w:r>
      <w:r w:rsidRPr="00A53C76">
        <w:t>(</w:t>
      </w:r>
      <w:proofErr w:type="gramStart"/>
      <w:r w:rsidRPr="00A53C76">
        <w:t>a</w:t>
      </w:r>
      <w:proofErr w:type="gramEnd"/>
      <w:r w:rsidRPr="00A53C76">
        <w:t>)</w:t>
      </w:r>
      <w:r w:rsidRPr="00A53C76">
        <w:tab/>
        <w:t xml:space="preserve">Make the decision after two (or three) years based on the total number of plants examined and the total number of off-types recorded.  </w:t>
      </w:r>
      <w:proofErr w:type="gramStart"/>
      <w:r w:rsidRPr="00A53C76">
        <w:t>(A combined test).</w:t>
      </w:r>
      <w:proofErr w:type="gramEnd"/>
    </w:p>
    <w:p w:rsidR="00B3678C" w:rsidRPr="00A53C76" w:rsidRDefault="00B3678C" w:rsidP="00B3678C"/>
    <w:p w:rsidR="00B3678C" w:rsidRPr="00A53C76" w:rsidRDefault="00B3678C" w:rsidP="00B3678C">
      <w:pPr>
        <w:tabs>
          <w:tab w:val="left" w:pos="851"/>
        </w:tabs>
        <w:ind w:left="1701" w:hanging="1701"/>
      </w:pPr>
      <w:r w:rsidRPr="00A53C76">
        <w:tab/>
      </w:r>
      <w:r>
        <w:rPr>
          <w:i/>
          <w:szCs w:val="24"/>
        </w:rPr>
        <w:t>“</w:t>
      </w:r>
      <w:r w:rsidRPr="00A53C76">
        <w:t>(b)</w:t>
      </w:r>
      <w:r w:rsidRPr="00A53C76">
        <w:tab/>
        <w:t xml:space="preserve">Use the result of the first year to see if the data suggests a clear decision (reject or accept).  If the decision is not clear then proceed with the second year and decide after the second year.  </w:t>
      </w:r>
      <w:proofErr w:type="gramStart"/>
      <w:r w:rsidRPr="00A53C76">
        <w:t>(A two-stage test).</w:t>
      </w:r>
      <w:proofErr w:type="gramEnd"/>
      <w:r w:rsidRPr="00A53C76">
        <w:t xml:space="preserve"> </w:t>
      </w:r>
    </w:p>
    <w:p w:rsidR="00B3678C" w:rsidRPr="00A53C76" w:rsidRDefault="00B3678C" w:rsidP="00B3678C"/>
    <w:p w:rsidR="00B3678C" w:rsidRPr="00A53C76" w:rsidRDefault="00B3678C" w:rsidP="00B3678C">
      <w:r>
        <w:rPr>
          <w:i/>
          <w:szCs w:val="24"/>
        </w:rPr>
        <w:t>“</w:t>
      </w:r>
      <w:r w:rsidRPr="00A53C76">
        <w:t>8.1.7.1.2</w:t>
      </w:r>
      <w:r w:rsidRPr="00A53C76">
        <w:tab/>
        <w:t>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B3678C" w:rsidRPr="00A53C76" w:rsidRDefault="00B3678C" w:rsidP="00B3678C">
      <w:pPr>
        <w:ind w:hanging="993"/>
        <w:rPr>
          <w:rFonts w:cs="Angsana New"/>
          <w:szCs w:val="24"/>
          <w:lang w:eastAsia="ja-JP" w:bidi="th-TH"/>
        </w:rPr>
      </w:pPr>
    </w:p>
    <w:p w:rsidR="00B3678C" w:rsidRPr="00A53C76" w:rsidRDefault="00B3678C" w:rsidP="00B3678C">
      <w:pPr>
        <w:keepNext/>
        <w:spacing w:after="240"/>
        <w:ind w:left="1701" w:hanging="1134"/>
        <w:jc w:val="left"/>
        <w:outlineLvl w:val="4"/>
        <w:rPr>
          <w:i/>
          <w:szCs w:val="18"/>
        </w:rPr>
      </w:pPr>
      <w:bookmarkStart w:id="11" w:name="_Toc154368852"/>
      <w:bookmarkStart w:id="12" w:name="_Toc219640839"/>
      <w:bookmarkStart w:id="13" w:name="_Toc463359623"/>
      <w:r>
        <w:rPr>
          <w:i/>
          <w:szCs w:val="24"/>
        </w:rPr>
        <w:t>“</w:t>
      </w:r>
      <w:r w:rsidRPr="00A53C76">
        <w:rPr>
          <w:i/>
          <w:szCs w:val="24"/>
        </w:rPr>
        <w:t>8.</w:t>
      </w:r>
      <w:r w:rsidRPr="00A53C76">
        <w:rPr>
          <w:i/>
          <w:szCs w:val="18"/>
        </w:rPr>
        <w:t>1.7.2</w:t>
      </w:r>
      <w:r w:rsidRPr="00A53C76">
        <w:rPr>
          <w:i/>
          <w:szCs w:val="18"/>
        </w:rPr>
        <w:tab/>
        <w:t>Combined test</w:t>
      </w:r>
      <w:bookmarkEnd w:id="11"/>
      <w:bookmarkEnd w:id="12"/>
      <w:bookmarkEnd w:id="13"/>
    </w:p>
    <w:p w:rsidR="00B3678C" w:rsidRPr="00A53C76" w:rsidRDefault="00B3678C" w:rsidP="00B3678C">
      <w:r>
        <w:rPr>
          <w:i/>
          <w:szCs w:val="24"/>
        </w:rPr>
        <w:t>“</w:t>
      </w:r>
      <w:r w:rsidRPr="00A53C76">
        <w:t xml:space="preserve">The sample size in test i is </w:t>
      </w:r>
      <w:proofErr w:type="spellStart"/>
      <w:proofErr w:type="gramStart"/>
      <w:r w:rsidRPr="00A53C76">
        <w:t>n</w:t>
      </w:r>
      <w:r w:rsidRPr="00A53C76">
        <w:rPr>
          <w:vertAlign w:val="subscript"/>
        </w:rPr>
        <w:t>i</w:t>
      </w:r>
      <w:proofErr w:type="spellEnd"/>
      <w:proofErr w:type="gramEnd"/>
      <w:r w:rsidRPr="00A53C76">
        <w:t>.  So after the last test we have the total sample size n = </w:t>
      </w:r>
      <w:r w:rsidRPr="00A53C76">
        <w:rPr>
          <w:rFonts w:ascii="Symbol" w:hAnsi="Symbol"/>
        </w:rPr>
        <w:t></w:t>
      </w:r>
      <w:proofErr w:type="spellStart"/>
      <w:r w:rsidRPr="00A53C76">
        <w:t>n</w:t>
      </w:r>
      <w:r w:rsidRPr="00A53C76">
        <w:rPr>
          <w:vertAlign w:val="subscript"/>
        </w:rPr>
        <w:t>i</w:t>
      </w:r>
      <w:proofErr w:type="spellEnd"/>
      <w:r w:rsidRPr="00A53C76">
        <w:t>.  A decision scheme is set in exactly the same way as if this total sample size had been obtained in a single test.  Thus, the total number of off-types recorded through the tests is compared with the maximum number of off-types allowed by the chosen decision scheme.</w:t>
      </w:r>
    </w:p>
    <w:p w:rsidR="00B3678C" w:rsidRPr="00A53C76" w:rsidRDefault="00B3678C" w:rsidP="00B3678C"/>
    <w:p w:rsidR="00B3678C" w:rsidRPr="00A53C76" w:rsidRDefault="00B3678C" w:rsidP="00B3678C">
      <w:pPr>
        <w:keepNext/>
        <w:spacing w:after="240"/>
        <w:ind w:left="1701" w:hanging="1134"/>
        <w:jc w:val="left"/>
        <w:outlineLvl w:val="4"/>
        <w:rPr>
          <w:i/>
          <w:szCs w:val="18"/>
        </w:rPr>
      </w:pPr>
      <w:bookmarkStart w:id="14" w:name="_Toc154368853"/>
      <w:bookmarkStart w:id="15" w:name="_Toc219640840"/>
      <w:bookmarkStart w:id="16" w:name="_Toc463359624"/>
      <w:r>
        <w:rPr>
          <w:i/>
          <w:szCs w:val="24"/>
        </w:rPr>
        <w:t>“</w:t>
      </w:r>
      <w:r w:rsidRPr="00A53C76">
        <w:rPr>
          <w:i/>
          <w:szCs w:val="24"/>
        </w:rPr>
        <w:t>8.</w:t>
      </w:r>
      <w:r w:rsidRPr="00A53C76">
        <w:rPr>
          <w:i/>
          <w:szCs w:val="18"/>
        </w:rPr>
        <w:t>1.7.3</w:t>
      </w:r>
      <w:r w:rsidRPr="00A53C76">
        <w:rPr>
          <w:i/>
          <w:szCs w:val="18"/>
        </w:rPr>
        <w:tab/>
      </w:r>
      <w:proofErr w:type="gramStart"/>
      <w:r w:rsidRPr="00A53C76">
        <w:rPr>
          <w:i/>
          <w:szCs w:val="18"/>
        </w:rPr>
        <w:t>Two-</w:t>
      </w:r>
      <w:proofErr w:type="gramEnd"/>
      <w:r w:rsidRPr="00A53C76">
        <w:rPr>
          <w:i/>
          <w:szCs w:val="18"/>
        </w:rPr>
        <w:t>stage test</w:t>
      </w:r>
      <w:bookmarkEnd w:id="14"/>
      <w:bookmarkEnd w:id="15"/>
      <w:bookmarkEnd w:id="16"/>
    </w:p>
    <w:p w:rsidR="00B3678C" w:rsidRPr="00A53C76" w:rsidRDefault="00B3678C" w:rsidP="00B3678C">
      <w:r>
        <w:rPr>
          <w:i/>
          <w:szCs w:val="24"/>
        </w:rPr>
        <w:t>“</w:t>
      </w:r>
      <w:r w:rsidRPr="00A53C76">
        <w:t>8.1.7.3.1</w:t>
      </w:r>
      <w:r w:rsidRPr="00A53C76">
        <w:tab/>
        <w:t>The method for a two-year test may be described as follows: In the first year take a sample of size n.  Reject the candidate variety if more than r</w:t>
      </w:r>
      <w:r w:rsidRPr="00A53C76">
        <w:rPr>
          <w:vertAlign w:val="subscript"/>
        </w:rPr>
        <w:t>1</w:t>
      </w:r>
      <w:r w:rsidRPr="00A53C76">
        <w:t xml:space="preserve"> off-types are recorded and accept the candidate variety if less than a</w:t>
      </w:r>
      <w:r w:rsidRPr="00A53C76">
        <w:rPr>
          <w:vertAlign w:val="subscript"/>
        </w:rPr>
        <w:t>1</w:t>
      </w:r>
      <w:r w:rsidRPr="00A53C76">
        <w:t xml:space="preserve"> off-types are recorded.  Otherwise, proceed to the second year and take a sample of size n (as in the first year) and reject the candidate variety if the total number of off-types recorded in the two years’ test is greater than r.  Otherwise, accept the candidate variety.  The final risks and the expected sample size in such a procedure may be calculated as follows:</w:t>
      </w:r>
    </w:p>
    <w:p w:rsidR="00B3678C" w:rsidRPr="00A53C76" w:rsidRDefault="00B3678C" w:rsidP="00B3678C"/>
    <w:p w:rsidR="00B3678C" w:rsidRPr="00A53C76" w:rsidRDefault="00B3678C" w:rsidP="00B3678C">
      <w:r w:rsidRPr="00A53C76">
        <w:br w:type="page"/>
      </w: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rPr>
          <w:lang w:val="pt-BR"/>
        </w:rPr>
      </w:pPr>
      <w:r w:rsidRPr="002C1613">
        <w:rPr>
          <w:rFonts w:ascii="Greek Symbols" w:hAnsi="Greek Symbols"/>
        </w:rPr>
        <w:lastRenderedPageBreak/>
        <w:br w:type="page"/>
      </w:r>
      <w:r w:rsidRPr="00A53C76">
        <w:t>α</w:t>
      </w:r>
      <w:r w:rsidRPr="00A53C76">
        <w:rPr>
          <w:lang w:val="pt-BR"/>
        </w:rPr>
        <w:tab/>
        <w:t xml:space="preserve">= </w:t>
      </w:r>
      <w:proofErr w:type="gramStart"/>
      <w:r w:rsidRPr="00A53C76">
        <w:rPr>
          <w:lang w:val="pt-BR"/>
        </w:rPr>
        <w:t>P(</w:t>
      </w:r>
      <w:proofErr w:type="gramEnd"/>
      <w:r w:rsidRPr="00A53C76">
        <w:rPr>
          <w:lang w:val="pt-BR"/>
        </w:rPr>
        <w:t>K</w:t>
      </w:r>
      <w:r w:rsidRPr="00A53C76">
        <w:rPr>
          <w:vertAlign w:val="subscript"/>
          <w:lang w:val="pt-BR"/>
        </w:rPr>
        <w:t>1</w:t>
      </w:r>
      <w:r w:rsidRPr="00A53C76">
        <w:rPr>
          <w:lang w:val="pt-BR"/>
        </w:rPr>
        <w:t xml:space="preserve"> &gt; r</w:t>
      </w:r>
      <w:r w:rsidRPr="00A53C76">
        <w:rPr>
          <w:vertAlign w:val="subscript"/>
          <w:lang w:val="pt-BR"/>
        </w:rPr>
        <w:t>1</w:t>
      </w:r>
      <w:r w:rsidRPr="00A53C76">
        <w:rPr>
          <w:lang w:val="pt-BR"/>
        </w:rPr>
        <w:t>) + P(K</w:t>
      </w:r>
      <w:r w:rsidRPr="00A53C76">
        <w:rPr>
          <w:vertAlign w:val="subscript"/>
          <w:lang w:val="pt-BR"/>
        </w:rPr>
        <w:t>1</w:t>
      </w:r>
      <w:r w:rsidRPr="00A53C76">
        <w:rPr>
          <w:lang w:val="pt-BR"/>
        </w:rPr>
        <w:t xml:space="preserve"> + K</w:t>
      </w:r>
      <w:r w:rsidRPr="00A53C76">
        <w:rPr>
          <w:vertAlign w:val="subscript"/>
          <w:lang w:val="pt-BR"/>
        </w:rPr>
        <w:t>2</w:t>
      </w:r>
      <w:r w:rsidRPr="00A53C76">
        <w:rPr>
          <w:lang w:val="pt-BR"/>
        </w:rPr>
        <w:t xml:space="preserve"> &gt; r</w:t>
      </w:r>
      <w:r w:rsidRPr="00A53C76">
        <w:rPr>
          <w:rFonts w:ascii="Symbol" w:hAnsi="Symbol"/>
        </w:rPr>
        <w:t></w:t>
      </w:r>
      <w:r w:rsidRPr="00A53C76">
        <w:rPr>
          <w:lang w:val="pt-BR"/>
        </w:rPr>
        <w:t>K</w:t>
      </w:r>
      <w:r w:rsidRPr="00A53C76">
        <w:rPr>
          <w:vertAlign w:val="subscript"/>
          <w:lang w:val="pt-BR"/>
        </w:rPr>
        <w:t>1</w:t>
      </w:r>
      <w:r w:rsidRPr="00A53C76">
        <w:rPr>
          <w:lang w:val="pt-BR"/>
        </w:rPr>
        <w:t>)</w:t>
      </w: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rPr>
          <w:lang w:val="pt-BR"/>
        </w:rPr>
      </w:pPr>
      <w:r w:rsidRPr="00A53C76">
        <w:rPr>
          <w:lang w:val="pt-BR"/>
        </w:rPr>
        <w:tab/>
        <w:t>= P(K</w:t>
      </w:r>
      <w:r w:rsidRPr="00A53C76">
        <w:rPr>
          <w:vertAlign w:val="subscript"/>
          <w:lang w:val="pt-BR"/>
        </w:rPr>
        <w:t>1</w:t>
      </w:r>
      <w:r w:rsidRPr="00A53C76">
        <w:rPr>
          <w:lang w:val="pt-BR"/>
        </w:rPr>
        <w:t xml:space="preserve"> &gt; r</w:t>
      </w:r>
      <w:r w:rsidRPr="00A53C76">
        <w:rPr>
          <w:vertAlign w:val="subscript"/>
          <w:lang w:val="pt-BR"/>
        </w:rPr>
        <w:t>1</w:t>
      </w:r>
      <w:r w:rsidRPr="00A53C76">
        <w:rPr>
          <w:lang w:val="pt-BR"/>
        </w:rPr>
        <w:t>) + P(K</w:t>
      </w:r>
      <w:r w:rsidRPr="00A53C76">
        <w:rPr>
          <w:vertAlign w:val="subscript"/>
          <w:lang w:val="pt-BR"/>
        </w:rPr>
        <w:t>2</w:t>
      </w:r>
      <w:r w:rsidRPr="00A53C76">
        <w:rPr>
          <w:lang w:val="pt-BR"/>
        </w:rPr>
        <w:t xml:space="preserve"> &gt; r-K</w:t>
      </w:r>
      <w:r w:rsidRPr="00A53C76">
        <w:rPr>
          <w:vertAlign w:val="subscript"/>
          <w:lang w:val="pt-BR"/>
        </w:rPr>
        <w:t>1</w:t>
      </w:r>
      <w:r w:rsidRPr="00A53C76">
        <w:rPr>
          <w:rFonts w:ascii="Symbol" w:hAnsi="Symbol"/>
        </w:rPr>
        <w:t></w:t>
      </w:r>
      <w:r w:rsidRPr="00A53C76">
        <w:rPr>
          <w:lang w:val="pt-BR"/>
        </w:rPr>
        <w:t>K</w:t>
      </w:r>
      <w:r w:rsidRPr="00A53C76">
        <w:rPr>
          <w:vertAlign w:val="subscript"/>
          <w:lang w:val="pt-BR"/>
        </w:rPr>
        <w:t>1</w:t>
      </w:r>
      <w:r w:rsidRPr="00A53C76">
        <w:rPr>
          <w:lang w:val="pt-BR"/>
        </w:rPr>
        <w:t>)</w:t>
      </w: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jc w:val="center"/>
        <w:rPr>
          <w:lang w:val="pt-BR"/>
        </w:rPr>
      </w:pP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pPr>
      <w:r w:rsidRPr="00A53C76">
        <w:rPr>
          <w:position w:val="-32"/>
        </w:rPr>
        <w:object w:dxaOrig="6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5pt" o:ole="" fillcolor="window">
            <v:imagedata r:id="rId10" o:title=""/>
          </v:shape>
          <o:OLEObject Type="Embed" ProgID="Equation.3" ShapeID="_x0000_i1025" DrawAspect="Content" ObjectID="_1587386756" r:id="rId11"/>
        </w:object>
      </w: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jc w:val="center"/>
      </w:pP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pPr>
      <w:proofErr w:type="gramStart"/>
      <w:r w:rsidRPr="00A53C76">
        <w:t>β</w:t>
      </w:r>
      <w:proofErr w:type="gramEnd"/>
      <w:r w:rsidRPr="00A53C76">
        <w:rPr>
          <w:vertAlign w:val="subscript"/>
        </w:rPr>
        <w:t xml:space="preserve"> q</w:t>
      </w:r>
      <w:r w:rsidRPr="00A53C76">
        <w:rPr>
          <w:vertAlign w:val="subscript"/>
        </w:rPr>
        <w:tab/>
      </w:r>
      <w:r w:rsidRPr="00A53C76">
        <w:t>= P(K</w:t>
      </w:r>
      <w:r w:rsidRPr="00A53C76">
        <w:rPr>
          <w:vertAlign w:val="subscript"/>
        </w:rPr>
        <w:t>1</w:t>
      </w:r>
      <w:r w:rsidRPr="00A53C76">
        <w:t xml:space="preserve"> &lt; α</w:t>
      </w:r>
      <w:r w:rsidRPr="00A53C76">
        <w:rPr>
          <w:vertAlign w:val="subscript"/>
        </w:rPr>
        <w:t xml:space="preserve"> 1</w:t>
      </w:r>
      <w:r w:rsidRPr="00A53C76">
        <w:t>) + P(K</w:t>
      </w:r>
      <w:r w:rsidRPr="00A53C76">
        <w:rPr>
          <w:vertAlign w:val="subscript"/>
        </w:rPr>
        <w:t>1</w:t>
      </w:r>
      <w:r w:rsidRPr="00A53C76">
        <w:t xml:space="preserve"> + K</w:t>
      </w:r>
      <w:r w:rsidRPr="00A53C76">
        <w:rPr>
          <w:vertAlign w:val="subscript"/>
        </w:rPr>
        <w:t>2</w:t>
      </w:r>
      <w:r w:rsidRPr="00A53C76">
        <w:t xml:space="preserve"> </w:t>
      </w:r>
      <w:r w:rsidRPr="00A53C76">
        <w:rPr>
          <w:rFonts w:ascii="Symbol" w:hAnsi="Symbol"/>
        </w:rPr>
        <w:t></w:t>
      </w:r>
      <w:r w:rsidRPr="00A53C76">
        <w:t xml:space="preserve"> r</w:t>
      </w:r>
      <w:r w:rsidRPr="00A53C76">
        <w:rPr>
          <w:rFonts w:ascii="Symbol" w:hAnsi="Symbol"/>
        </w:rPr>
        <w:t></w:t>
      </w:r>
      <w:r w:rsidRPr="00A53C76">
        <w:t>K</w:t>
      </w:r>
      <w:r w:rsidRPr="00A53C76">
        <w:rPr>
          <w:vertAlign w:val="subscript"/>
        </w:rPr>
        <w:t>1</w:t>
      </w:r>
      <w:r w:rsidRPr="00A53C76">
        <w:t xml:space="preserve">)  </w:t>
      </w: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ind w:firstLine="339"/>
      </w:pPr>
      <w:r w:rsidRPr="00A53C76">
        <w:t xml:space="preserve">= </w:t>
      </w:r>
      <w:proofErr w:type="gramStart"/>
      <w:r w:rsidRPr="00A53C76">
        <w:t>P(</w:t>
      </w:r>
      <w:proofErr w:type="gramEnd"/>
      <w:r w:rsidRPr="00A53C76">
        <w:t>K</w:t>
      </w:r>
      <w:r w:rsidRPr="00A53C76">
        <w:rPr>
          <w:vertAlign w:val="subscript"/>
        </w:rPr>
        <w:t>1</w:t>
      </w:r>
      <w:r w:rsidRPr="00A53C76">
        <w:t xml:space="preserve"> &lt; α</w:t>
      </w:r>
      <w:r w:rsidRPr="00A53C76">
        <w:rPr>
          <w:vertAlign w:val="subscript"/>
        </w:rPr>
        <w:t xml:space="preserve"> 1</w:t>
      </w:r>
      <w:r w:rsidRPr="00A53C76">
        <w:t>) + P(K</w:t>
      </w:r>
      <w:r w:rsidRPr="00A53C76">
        <w:rPr>
          <w:vertAlign w:val="subscript"/>
        </w:rPr>
        <w:t>2</w:t>
      </w:r>
      <w:r w:rsidRPr="00A53C76">
        <w:t xml:space="preserve"> </w:t>
      </w:r>
      <w:r w:rsidRPr="00A53C76">
        <w:rPr>
          <w:rFonts w:ascii="Symbol" w:hAnsi="Symbol"/>
        </w:rPr>
        <w:t></w:t>
      </w:r>
      <w:r w:rsidRPr="00A53C76">
        <w:t xml:space="preserve"> r-K</w:t>
      </w:r>
      <w:r w:rsidRPr="00A53C76">
        <w:rPr>
          <w:vertAlign w:val="subscript"/>
        </w:rPr>
        <w:t>1</w:t>
      </w:r>
      <w:r w:rsidRPr="00A53C76">
        <w:rPr>
          <w:rFonts w:ascii="Symbol" w:hAnsi="Symbol"/>
        </w:rPr>
        <w:t></w:t>
      </w:r>
      <w:r w:rsidRPr="00A53C76">
        <w:t>K</w:t>
      </w:r>
      <w:r w:rsidRPr="00A53C76">
        <w:rPr>
          <w:vertAlign w:val="subscript"/>
        </w:rPr>
        <w:t>1</w:t>
      </w:r>
      <w:r w:rsidRPr="00A53C76">
        <w:t>)</w:t>
      </w: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jc w:val="center"/>
      </w:pPr>
    </w:p>
    <w:p w:rsidR="00B3678C" w:rsidRPr="00A53C76" w:rsidRDefault="00B3678C" w:rsidP="00B3678C">
      <w:pPr>
        <w:framePr w:w="8835" w:hSpace="240" w:vSpace="240" w:wrap="auto" w:vAnchor="text" w:hAnchor="page" w:x="1725" w:y="-74"/>
        <w:pBdr>
          <w:top w:val="single" w:sz="6" w:space="5" w:color="FFFFFF"/>
          <w:left w:val="single" w:sz="6" w:space="5" w:color="FFFFFF"/>
          <w:bottom w:val="single" w:sz="6" w:space="5" w:color="FFFFFF"/>
          <w:right w:val="single" w:sz="6" w:space="5" w:color="FFFFFF"/>
        </w:pBdr>
      </w:pPr>
      <w:r w:rsidRPr="00A53C76">
        <w:rPr>
          <w:position w:val="-32"/>
        </w:rPr>
        <w:object w:dxaOrig="6540" w:dyaOrig="740">
          <v:shape id="_x0000_i1026" type="#_x0000_t75" style="width:327pt;height:36.5pt" o:ole="" fillcolor="window">
            <v:imagedata r:id="rId12" o:title=""/>
          </v:shape>
          <o:OLEObject Type="Embed" ProgID="Equation.3" ShapeID="_x0000_i1026" DrawAspect="Content" ObjectID="_1587386757" r:id="rId13"/>
        </w:object>
      </w:r>
    </w:p>
    <w:p w:rsidR="00B3678C" w:rsidRPr="00A53C76" w:rsidRDefault="00B3678C" w:rsidP="00B3678C">
      <w:pPr>
        <w:rPr>
          <w:sz w:val="16"/>
        </w:rPr>
      </w:pPr>
    </w:p>
    <w:p w:rsidR="00B3678C" w:rsidRPr="00A53C76" w:rsidRDefault="00B3678C" w:rsidP="00B3678C">
      <w:pPr>
        <w:framePr w:w="8835" w:hSpace="240" w:vSpace="240" w:wrap="auto" w:vAnchor="text" w:hAnchor="margin" w:x="-2" w:y="37"/>
        <w:pBdr>
          <w:top w:val="single" w:sz="6" w:space="5" w:color="FFFFFF"/>
          <w:left w:val="single" w:sz="6" w:space="5" w:color="FFFFFF"/>
          <w:bottom w:val="single" w:sz="6" w:space="5" w:color="FFFFFF"/>
          <w:right w:val="single" w:sz="6" w:space="5" w:color="FFFFFF"/>
        </w:pBdr>
        <w:ind w:left="851"/>
      </w:pPr>
      <w:r w:rsidRPr="00A53C76">
        <w:rPr>
          <w:position w:val="-34"/>
        </w:rPr>
        <w:object w:dxaOrig="6540" w:dyaOrig="800">
          <v:shape id="_x0000_i1027" type="#_x0000_t75" style="width:327pt;height:40pt" o:ole="" fillcolor="window">
            <v:imagedata r:id="rId14" o:title=""/>
          </v:shape>
          <o:OLEObject Type="Embed" ProgID="Equation.3" ShapeID="_x0000_i1027" DrawAspect="Content" ObjectID="_1587386758" r:id="rId15"/>
        </w:object>
      </w:r>
    </w:p>
    <w:p w:rsidR="00B3678C" w:rsidRPr="00A53C76" w:rsidRDefault="00B3678C" w:rsidP="00B3678C"/>
    <w:p w:rsidR="00B3678C" w:rsidRPr="00A53C76" w:rsidRDefault="00B3678C" w:rsidP="00B3678C">
      <w:r>
        <w:rPr>
          <w:i/>
          <w:szCs w:val="24"/>
        </w:rPr>
        <w:t>“</w:t>
      </w:r>
      <w:proofErr w:type="gramStart"/>
      <w:r w:rsidRPr="00A53C76">
        <w:t>where</w:t>
      </w:r>
      <w:proofErr w:type="gramEnd"/>
      <w:r w:rsidRPr="00A53C76">
        <w:t xml:space="preserve"> </w:t>
      </w:r>
    </w:p>
    <w:p w:rsidR="00B3678C" w:rsidRPr="00A53C76" w:rsidRDefault="00B3678C" w:rsidP="00B3678C"/>
    <w:p w:rsidR="00B3678C" w:rsidRPr="00A53C76" w:rsidRDefault="00B3678C" w:rsidP="00B3678C">
      <w:r>
        <w:rPr>
          <w:i/>
          <w:szCs w:val="24"/>
        </w:rPr>
        <w:t>“</w:t>
      </w:r>
      <w:r w:rsidRPr="00A53C76">
        <w:t>P</w:t>
      </w:r>
      <w:r w:rsidRPr="00A53C76">
        <w:tab/>
        <w:t>=</w:t>
      </w:r>
      <w:r w:rsidRPr="00A53C76">
        <w:tab/>
        <w:t>population standard</w:t>
      </w:r>
    </w:p>
    <w:p w:rsidR="00B3678C" w:rsidRPr="00A53C76" w:rsidRDefault="00B3678C" w:rsidP="00B3678C">
      <w:r>
        <w:rPr>
          <w:i/>
          <w:szCs w:val="24"/>
        </w:rPr>
        <w:t>“</w:t>
      </w:r>
      <w:r w:rsidRPr="00A53C76">
        <w:t>α</w:t>
      </w:r>
      <w:r w:rsidRPr="00A53C76">
        <w:tab/>
        <w:t>=</w:t>
      </w:r>
      <w:r w:rsidRPr="00A53C76">
        <w:tab/>
        <w:t>probability of actual Type I error for P</w:t>
      </w:r>
    </w:p>
    <w:p w:rsidR="00B3678C" w:rsidRPr="00A53C76" w:rsidRDefault="00B3678C" w:rsidP="00B3678C">
      <w:r>
        <w:rPr>
          <w:i/>
          <w:szCs w:val="24"/>
        </w:rPr>
        <w:t>“</w:t>
      </w:r>
      <w:proofErr w:type="gramStart"/>
      <w:r w:rsidRPr="00A53C76">
        <w:t>β</w:t>
      </w:r>
      <w:r w:rsidRPr="00A53C76">
        <w:rPr>
          <w:vertAlign w:val="subscript"/>
        </w:rPr>
        <w:t>q</w:t>
      </w:r>
      <w:proofErr w:type="gramEnd"/>
      <w:r w:rsidRPr="00A53C76">
        <w:tab/>
        <w:t>=</w:t>
      </w:r>
      <w:r w:rsidRPr="00A53C76">
        <w:tab/>
        <w:t>probability of actual Type II error for q P</w:t>
      </w:r>
    </w:p>
    <w:p w:rsidR="00B3678C" w:rsidRPr="00A53C76" w:rsidRDefault="00B3678C" w:rsidP="00B3678C">
      <w:r>
        <w:rPr>
          <w:i/>
          <w:szCs w:val="24"/>
        </w:rPr>
        <w:t>“</w:t>
      </w:r>
      <w:proofErr w:type="gramStart"/>
      <w:r w:rsidRPr="00A53C76">
        <w:t>n</w:t>
      </w:r>
      <w:r w:rsidRPr="00A53C76">
        <w:rPr>
          <w:vertAlign w:val="subscript"/>
        </w:rPr>
        <w:t>e</w:t>
      </w:r>
      <w:proofErr w:type="gramEnd"/>
      <w:r w:rsidRPr="00A53C76">
        <w:tab/>
        <w:t>=</w:t>
      </w:r>
      <w:r w:rsidRPr="00A53C76">
        <w:tab/>
        <w:t>expected sample size</w:t>
      </w:r>
    </w:p>
    <w:p w:rsidR="00B3678C" w:rsidRPr="00A53C76" w:rsidRDefault="00B3678C" w:rsidP="00B3678C">
      <w:r>
        <w:rPr>
          <w:i/>
          <w:szCs w:val="24"/>
        </w:rPr>
        <w:t>“</w:t>
      </w:r>
      <w:r w:rsidRPr="00A53C76">
        <w:t>r</w:t>
      </w:r>
      <w:r w:rsidRPr="00A53C76">
        <w:rPr>
          <w:vertAlign w:val="subscript"/>
        </w:rPr>
        <w:t>1</w:t>
      </w:r>
      <w:r w:rsidRPr="00A53C76">
        <w:t>, a</w:t>
      </w:r>
      <w:r w:rsidRPr="00A53C76">
        <w:rPr>
          <w:vertAlign w:val="subscript"/>
        </w:rPr>
        <w:t>1</w:t>
      </w:r>
      <w:r w:rsidRPr="00A53C76">
        <w:t xml:space="preserve"> and </w:t>
      </w:r>
      <w:proofErr w:type="spellStart"/>
      <w:r w:rsidRPr="00A53C76">
        <w:t>r are</w:t>
      </w:r>
      <w:proofErr w:type="spellEnd"/>
      <w:r w:rsidRPr="00A53C76">
        <w:t xml:space="preserve"> decision-parameters</w:t>
      </w:r>
    </w:p>
    <w:p w:rsidR="00B3678C" w:rsidRPr="00A53C76" w:rsidRDefault="00B3678C" w:rsidP="00B3678C">
      <w:r>
        <w:rPr>
          <w:i/>
          <w:szCs w:val="24"/>
        </w:rPr>
        <w:t>“</w:t>
      </w:r>
      <w:proofErr w:type="spellStart"/>
      <w:proofErr w:type="gramStart"/>
      <w:r w:rsidRPr="00A53C76">
        <w:t>P</w:t>
      </w:r>
      <w:r w:rsidRPr="00A53C76">
        <w:rPr>
          <w:vertAlign w:val="subscript"/>
        </w:rPr>
        <w:t>q</w:t>
      </w:r>
      <w:proofErr w:type="spellEnd"/>
      <w:proofErr w:type="gramEnd"/>
      <w:r w:rsidRPr="00A53C76">
        <w:tab/>
        <w:t>=</w:t>
      </w:r>
      <w:r w:rsidRPr="00A53C76">
        <w:tab/>
        <w:t>q times population standard = q P</w:t>
      </w:r>
    </w:p>
    <w:p w:rsidR="00B3678C" w:rsidRPr="00A53C76" w:rsidRDefault="00B3678C" w:rsidP="00B3678C">
      <w:r>
        <w:rPr>
          <w:i/>
          <w:szCs w:val="24"/>
        </w:rPr>
        <w:t>“</w:t>
      </w:r>
      <w:r w:rsidRPr="00A53C76">
        <w:t>K</w:t>
      </w:r>
      <w:r w:rsidRPr="00A53C76">
        <w:rPr>
          <w:vertAlign w:val="subscript"/>
        </w:rPr>
        <w:t>1</w:t>
      </w:r>
      <w:r w:rsidRPr="00A53C76">
        <w:t xml:space="preserve"> and K</w:t>
      </w:r>
      <w:r w:rsidRPr="00A53C76">
        <w:rPr>
          <w:vertAlign w:val="subscript"/>
        </w:rPr>
        <w:t>2</w:t>
      </w:r>
      <w:r w:rsidRPr="00A53C76">
        <w:t xml:space="preserve"> are the numbers of off-types found in years 1 and 2 respectively.</w:t>
      </w:r>
    </w:p>
    <w:p w:rsidR="00B3678C" w:rsidRPr="00A53C76" w:rsidRDefault="00B3678C" w:rsidP="00B3678C"/>
    <w:p w:rsidR="00B3678C" w:rsidRPr="00A53C76" w:rsidRDefault="00B3678C" w:rsidP="00B3678C">
      <w:r>
        <w:rPr>
          <w:i/>
          <w:szCs w:val="24"/>
        </w:rPr>
        <w:t>“</w:t>
      </w:r>
      <w:r w:rsidRPr="00A53C76">
        <w:t>The decision parameters, a</w:t>
      </w:r>
      <w:r w:rsidRPr="00A53C76">
        <w:rPr>
          <w:vertAlign w:val="subscript"/>
        </w:rPr>
        <w:t>1</w:t>
      </w:r>
      <w:r w:rsidRPr="00A53C76">
        <w:t>, r</w:t>
      </w:r>
      <w:r w:rsidRPr="00A53C76">
        <w:rPr>
          <w:vertAlign w:val="subscript"/>
        </w:rPr>
        <w:t>1</w:t>
      </w:r>
      <w:r w:rsidRPr="00A53C76">
        <w:t xml:space="preserve"> and r, may be chosen according to the following criteria:</w:t>
      </w:r>
    </w:p>
    <w:p w:rsidR="00B3678C" w:rsidRPr="00A53C76" w:rsidRDefault="00B3678C" w:rsidP="00B3678C">
      <w:pPr>
        <w:ind w:left="339" w:hanging="339"/>
        <w:rPr>
          <w:sz w:val="16"/>
        </w:rPr>
      </w:pPr>
    </w:p>
    <w:p w:rsidR="00B3678C" w:rsidRPr="00A53C76" w:rsidRDefault="00B3678C" w:rsidP="00B3678C">
      <w:pPr>
        <w:numPr>
          <w:ilvl w:val="0"/>
          <w:numId w:val="1"/>
        </w:numPr>
      </w:pPr>
      <w:r w:rsidRPr="00A53C76">
        <w:t>α must be less than α</w:t>
      </w:r>
      <w:r w:rsidRPr="00A53C76">
        <w:rPr>
          <w:vertAlign w:val="subscript"/>
        </w:rPr>
        <w:t>0</w:t>
      </w:r>
      <w:r w:rsidRPr="00A53C76">
        <w:t>, where α</w:t>
      </w:r>
      <w:r w:rsidRPr="00A53C76">
        <w:rPr>
          <w:vertAlign w:val="subscript"/>
        </w:rPr>
        <w:t>0</w:t>
      </w:r>
      <w:r w:rsidRPr="00A53C76">
        <w:t xml:space="preserve"> is the maximum Type I error, i.e. α</w:t>
      </w:r>
      <w:r w:rsidRPr="00A53C76">
        <w:rPr>
          <w:vertAlign w:val="subscript"/>
        </w:rPr>
        <w:t>0</w:t>
      </w:r>
      <w:r w:rsidRPr="00A53C76">
        <w:t xml:space="preserve"> is 100 minus the required acceptance probability</w:t>
      </w:r>
    </w:p>
    <w:p w:rsidR="00B3678C" w:rsidRPr="00A53C76" w:rsidRDefault="00B3678C" w:rsidP="00B3678C">
      <w:pPr>
        <w:numPr>
          <w:ilvl w:val="0"/>
          <w:numId w:val="1"/>
        </w:numPr>
      </w:pPr>
      <w:r w:rsidRPr="00A53C76">
        <w:t>β</w:t>
      </w:r>
      <w:r w:rsidRPr="00A53C76">
        <w:rPr>
          <w:vertAlign w:val="subscript"/>
        </w:rPr>
        <w:t>q</w:t>
      </w:r>
      <w:r w:rsidRPr="00A53C76">
        <w:t xml:space="preserve"> (for q=5) should be as small as possible but not smaller than α</w:t>
      </w:r>
      <w:r w:rsidRPr="00A53C76">
        <w:rPr>
          <w:vertAlign w:val="subscript"/>
        </w:rPr>
        <w:t>0</w:t>
      </w:r>
    </w:p>
    <w:p w:rsidR="00B3678C" w:rsidRPr="00A53C76" w:rsidRDefault="00B3678C" w:rsidP="00B3678C">
      <w:pPr>
        <w:numPr>
          <w:ilvl w:val="0"/>
          <w:numId w:val="1"/>
        </w:numPr>
      </w:pPr>
      <w:r w:rsidRPr="00A53C76">
        <w:t>if β</w:t>
      </w:r>
      <w:r w:rsidRPr="00A53C76">
        <w:rPr>
          <w:vertAlign w:val="subscript"/>
        </w:rPr>
        <w:t>q</w:t>
      </w:r>
      <w:r w:rsidRPr="00A53C76">
        <w:t xml:space="preserve"> (for q=5) &lt; α</w:t>
      </w:r>
      <w:r w:rsidRPr="00A53C76">
        <w:rPr>
          <w:vertAlign w:val="subscript"/>
        </w:rPr>
        <w:t xml:space="preserve">0 </w:t>
      </w:r>
      <w:r w:rsidRPr="00A53C76">
        <w:t>n</w:t>
      </w:r>
      <w:r w:rsidRPr="00A53C76">
        <w:rPr>
          <w:vertAlign w:val="subscript"/>
        </w:rPr>
        <w:t>e</w:t>
      </w:r>
      <w:r w:rsidRPr="00A53C76">
        <w:t xml:space="preserve"> should be as small as possible</w:t>
      </w:r>
      <w:r w:rsidRPr="00A53C76">
        <w:rPr>
          <w:rFonts w:ascii="Greek Symbols" w:hAnsi="Greek Symbols"/>
        </w:rPr>
        <w:t></w:t>
      </w:r>
    </w:p>
    <w:p w:rsidR="00B3678C" w:rsidRPr="00A53C76" w:rsidRDefault="00B3678C" w:rsidP="00B3678C"/>
    <w:p w:rsidR="00B3678C" w:rsidRPr="00A53C76" w:rsidRDefault="00B3678C" w:rsidP="00B3678C">
      <w:r>
        <w:rPr>
          <w:i/>
          <w:szCs w:val="24"/>
        </w:rPr>
        <w:t>“</w:t>
      </w:r>
      <w:r w:rsidRPr="00A53C76">
        <w:t>8.1.7.3.2</w:t>
      </w:r>
      <w:r w:rsidRPr="00A53C76">
        <w:tab/>
        <w:t>However, other strategies are available.  No tables/figures are produced here as there may be several different decision schemes that satisfy a certain set of risks.  It is suggested that a statistician should be consulted if a 2-stage test (or any other sequential tests) is required.</w:t>
      </w:r>
    </w:p>
    <w:p w:rsidR="00B3678C" w:rsidRPr="00A53C76" w:rsidRDefault="00B3678C" w:rsidP="00B3678C"/>
    <w:p w:rsidR="00B3678C" w:rsidRPr="00A53C76" w:rsidRDefault="00B3678C" w:rsidP="00B3678C">
      <w:pPr>
        <w:keepNext/>
        <w:spacing w:after="240"/>
        <w:ind w:left="1701" w:hanging="1134"/>
        <w:jc w:val="left"/>
        <w:outlineLvl w:val="4"/>
        <w:rPr>
          <w:i/>
          <w:szCs w:val="18"/>
        </w:rPr>
      </w:pPr>
      <w:bookmarkStart w:id="17" w:name="_Toc154368854"/>
      <w:bookmarkStart w:id="18" w:name="_Toc219640841"/>
      <w:bookmarkStart w:id="19" w:name="_Toc463359625"/>
      <w:r>
        <w:rPr>
          <w:i/>
          <w:szCs w:val="24"/>
        </w:rPr>
        <w:t>“</w:t>
      </w:r>
      <w:r w:rsidRPr="00A53C76">
        <w:rPr>
          <w:i/>
          <w:szCs w:val="18"/>
        </w:rPr>
        <w:t>8.1.7.4</w:t>
      </w:r>
      <w:r w:rsidRPr="00A53C76">
        <w:rPr>
          <w:i/>
          <w:szCs w:val="18"/>
        </w:rPr>
        <w:tab/>
        <w:t>Sequential tests</w:t>
      </w:r>
      <w:bookmarkEnd w:id="17"/>
      <w:bookmarkEnd w:id="18"/>
      <w:bookmarkEnd w:id="19"/>
    </w:p>
    <w:p w:rsidR="00B3678C" w:rsidRPr="00A53C76" w:rsidRDefault="00B3678C" w:rsidP="00B3678C">
      <w:r>
        <w:rPr>
          <w:i/>
          <w:szCs w:val="24"/>
        </w:rPr>
        <w:t>“</w:t>
      </w:r>
      <w:r w:rsidRPr="00A53C76">
        <w:t>The two-stage test mentioned above is a type of sequential test where the result of the first stage determines whether the test needs to be continued for a second stage.  Other types of sequential tests may also be applicable.  It may be relevant to consider such tests when the practical work allows analyses of off-types to be carried out at certain stages of the examination.  The decision schemes for such methods can be set up in many different ways and it is suggested that a statistician should be consulted when sequential methods are to be used.</w:t>
      </w:r>
      <w:r>
        <w:t>”</w:t>
      </w:r>
    </w:p>
    <w:p w:rsidR="00B3678C" w:rsidRPr="00A53C76" w:rsidRDefault="00B3678C" w:rsidP="00B3678C"/>
    <w:p w:rsidR="00B3678C" w:rsidRDefault="00B3678C" w:rsidP="00B3678C"/>
    <w:p w:rsidR="00B3678C" w:rsidRPr="00A53C76" w:rsidRDefault="00B3678C" w:rsidP="00B3678C">
      <w:pPr>
        <w:pStyle w:val="Heading4"/>
        <w:rPr>
          <w:lang w:val="en-US"/>
        </w:rPr>
      </w:pPr>
    </w:p>
    <w:p w:rsidR="00B3678C" w:rsidRDefault="00B3678C" w:rsidP="00B3678C">
      <w:pPr>
        <w:ind w:right="-567"/>
        <w:jc w:val="right"/>
      </w:pPr>
      <w:r>
        <w:t xml:space="preserve"> [End of Annex</w:t>
      </w:r>
      <w:r w:rsidR="008B50F3">
        <w:t xml:space="preserve"> I, Annex II follows</w:t>
      </w:r>
      <w:r>
        <w:t>]</w:t>
      </w:r>
    </w:p>
    <w:p w:rsidR="002C1613" w:rsidRDefault="002C1613" w:rsidP="00B3678C">
      <w:pPr>
        <w:ind w:right="-567"/>
        <w:jc w:val="right"/>
        <w:sectPr w:rsidR="002C1613" w:rsidSect="00E22148">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pPr>
    </w:p>
    <w:p w:rsidR="008B50F3" w:rsidRDefault="008B50F3" w:rsidP="008B50F3">
      <w:pPr>
        <w:ind w:left="-567" w:right="-567"/>
        <w:rPr>
          <w:rFonts w:cs="Arial"/>
          <w:caps/>
          <w:snapToGrid w:val="0"/>
        </w:rPr>
      </w:pPr>
    </w:p>
    <w:p w:rsidR="008B50F3" w:rsidRDefault="008B50F3" w:rsidP="008B50F3">
      <w:pPr>
        <w:ind w:left="-567" w:right="-567"/>
        <w:rPr>
          <w:rFonts w:cs="Arial"/>
          <w:caps/>
          <w:snapToGrid w:val="0"/>
        </w:rPr>
      </w:pPr>
    </w:p>
    <w:p w:rsidR="008B50F3" w:rsidRPr="00443722" w:rsidRDefault="008B50F3" w:rsidP="008B50F3">
      <w:pPr>
        <w:rPr>
          <w:caps/>
        </w:rPr>
      </w:pPr>
      <w:r>
        <w:rPr>
          <w:rFonts w:cs="Arial"/>
          <w:caps/>
          <w:snapToGrid w:val="0"/>
        </w:rPr>
        <w:t>draft proposal</w:t>
      </w:r>
      <w:r w:rsidRPr="00443722">
        <w:rPr>
          <w:rFonts w:cs="Arial"/>
          <w:caps/>
          <w:snapToGrid w:val="0"/>
        </w:rPr>
        <w:t xml:space="preserve"> </w:t>
      </w:r>
      <w:r>
        <w:rPr>
          <w:rFonts w:cs="Arial"/>
          <w:caps/>
          <w:snapToGrid w:val="0"/>
        </w:rPr>
        <w:t xml:space="preserve">for the revision of </w:t>
      </w:r>
      <w:r w:rsidRPr="00443722">
        <w:rPr>
          <w:rFonts w:cs="Arial"/>
          <w:caps/>
          <w:snapToGrid w:val="0"/>
        </w:rPr>
        <w:t>document TGP/8</w:t>
      </w:r>
      <w:r w:rsidRPr="00443722">
        <w:rPr>
          <w:rFonts w:eastAsia="PMingLiU"/>
          <w:caps/>
          <w:lang w:val="en-GB"/>
        </w:rPr>
        <w:t xml:space="preserve">: Part II: Section </w:t>
      </w:r>
      <w:r>
        <w:rPr>
          <w:rFonts w:eastAsia="PMingLiU"/>
          <w:caps/>
          <w:lang w:val="en-GB"/>
        </w:rPr>
        <w:t>8: “</w:t>
      </w:r>
      <w:r w:rsidRPr="00443722">
        <w:rPr>
          <w:rFonts w:eastAsia="PMingLiU"/>
          <w:caps/>
        </w:rPr>
        <w:t>THE METHOD OF UNIFORMITY ASSESSMENT ON THE BASIS OF OFF</w:t>
      </w:r>
      <w:r w:rsidRPr="00443722">
        <w:rPr>
          <w:rFonts w:eastAsia="PMingLiU"/>
          <w:caps/>
        </w:rPr>
        <w:noBreakHyphen/>
        <w:t>TYPES</w:t>
      </w:r>
      <w:r>
        <w:rPr>
          <w:rFonts w:eastAsia="PMingLiU"/>
          <w:caps/>
        </w:rPr>
        <w:t>”</w:t>
      </w:r>
    </w:p>
    <w:p w:rsidR="002C1613" w:rsidRPr="008B50F3" w:rsidRDefault="002C1613" w:rsidP="008B50F3">
      <w:pPr>
        <w:rPr>
          <w:rFonts w:eastAsia="Calibri"/>
        </w:rPr>
      </w:pPr>
    </w:p>
    <w:p w:rsidR="008B50F3" w:rsidRPr="00881395" w:rsidRDefault="008B50F3" w:rsidP="009211E7">
      <w:pPr>
        <w:tabs>
          <w:tab w:val="left" w:pos="1134"/>
        </w:tabs>
        <w:rPr>
          <w:rFonts w:cs="Arial"/>
          <w:i/>
        </w:rPr>
      </w:pPr>
      <w:r w:rsidRPr="008B50F3">
        <w:rPr>
          <w:rFonts w:cs="Arial"/>
        </w:rPr>
        <w:t>8.1.7</w:t>
      </w:r>
      <w:r w:rsidRPr="008B50F3">
        <w:rPr>
          <w:rFonts w:cs="Arial"/>
        </w:rPr>
        <w:tab/>
      </w:r>
      <w:r w:rsidRPr="00881395">
        <w:rPr>
          <w:rFonts w:cs="Arial"/>
          <w:i/>
        </w:rPr>
        <w:t>Method for more than one single growing cycle</w:t>
      </w:r>
    </w:p>
    <w:p w:rsidR="008B50F3" w:rsidRPr="008B50F3" w:rsidRDefault="008B50F3" w:rsidP="008B50F3">
      <w:pPr>
        <w:rPr>
          <w:rFonts w:cs="Arial"/>
        </w:rPr>
      </w:pPr>
    </w:p>
    <w:p w:rsidR="008B50F3" w:rsidRPr="008B50F3" w:rsidRDefault="008B50F3" w:rsidP="008B50F3">
      <w:pPr>
        <w:rPr>
          <w:rFonts w:eastAsia="Calibri" w:cs="Arial"/>
          <w:lang w:val="en-GB"/>
        </w:rPr>
      </w:pPr>
      <w:r w:rsidRPr="008B50F3">
        <w:rPr>
          <w:rFonts w:eastAsia="Calibri" w:cs="Arial"/>
          <w:lang w:val="en-GB"/>
        </w:rPr>
        <w:t>8.1.7.1.</w:t>
      </w:r>
      <w:r w:rsidRPr="008B50F3">
        <w:rPr>
          <w:rFonts w:eastAsia="Calibri" w:cs="Arial"/>
          <w:lang w:val="en-GB"/>
        </w:rPr>
        <w:tab/>
        <w:t>Often a candidate variety is assessed in two growing cycles.  The question then arises of how to combine the information from the individual cycles in order to make a decision on uniformity.  Three approaches are described:</w:t>
      </w:r>
    </w:p>
    <w:p w:rsidR="008B50F3" w:rsidRPr="008B50F3" w:rsidRDefault="008B50F3" w:rsidP="008B50F3">
      <w:pPr>
        <w:rPr>
          <w:rFonts w:cs="Arial"/>
        </w:rPr>
      </w:pPr>
    </w:p>
    <w:p w:rsidR="008B50F3" w:rsidRPr="008B50F3" w:rsidRDefault="008B50F3" w:rsidP="009211E7">
      <w:pPr>
        <w:ind w:left="567"/>
        <w:rPr>
          <w:rFonts w:eastAsia="Calibri" w:cs="Arial"/>
          <w:lang w:val="en-GB"/>
        </w:rPr>
      </w:pPr>
      <w:r w:rsidRPr="008B50F3">
        <w:rPr>
          <w:rFonts w:eastAsia="Calibri" w:cs="Arial"/>
          <w:lang w:val="en-GB"/>
        </w:rPr>
        <w:tab/>
        <w:t>(a)</w:t>
      </w:r>
      <w:r w:rsidRPr="008B50F3">
        <w:rPr>
          <w:rFonts w:eastAsia="Calibri" w:cs="Arial"/>
          <w:lang w:val="en-GB"/>
        </w:rPr>
        <w:tab/>
        <w:t>The uniformity for a variety is considered separately in each cycle. If the verdicts are the same, then the overall decision is based on this common result. However, if the variety is within the uniformity standard in one growing cycle but is not within the uniformity standard in the other growing cycle, then uniformity is assessed in a third growing cycle. In this case, the overall decision is based on the uniformity assessment for the third cycle.</w:t>
      </w:r>
    </w:p>
    <w:p w:rsidR="008B50F3" w:rsidRPr="008B50F3" w:rsidRDefault="008B50F3" w:rsidP="009211E7">
      <w:pPr>
        <w:ind w:left="567"/>
        <w:rPr>
          <w:rFonts w:eastAsia="Calibri" w:cs="Arial"/>
          <w:lang w:val="en-GB"/>
        </w:rPr>
      </w:pPr>
    </w:p>
    <w:p w:rsidR="008B50F3" w:rsidRPr="008B50F3" w:rsidRDefault="008B50F3" w:rsidP="005D27BA">
      <w:pPr>
        <w:ind w:left="567"/>
        <w:rPr>
          <w:rFonts w:eastAsia="Calibri" w:cs="Arial"/>
          <w:lang w:val="en-GB"/>
        </w:rPr>
      </w:pPr>
      <w:r w:rsidRPr="008B50F3">
        <w:rPr>
          <w:rFonts w:eastAsia="Calibri" w:cs="Arial"/>
          <w:lang w:val="en-GB"/>
        </w:rPr>
        <w:tab/>
        <w:t>(b)</w:t>
      </w:r>
      <w:r w:rsidRPr="008B50F3">
        <w:rPr>
          <w:rFonts w:eastAsia="Calibri" w:cs="Arial"/>
          <w:lang w:val="en-GB"/>
        </w:rPr>
        <w:tab/>
        <w:t xml:space="preserve">The uniformity for a variety is considered separately in each cycle. If the verdicts are the same, then the overall decision is based on this common result. However, if the variety is within the uniformity standard in one growing cycle but is not within the uniformity standard in the other growing cycle, then the information from the two cycles is combined. In this case, if the total number of </w:t>
      </w:r>
      <w:r w:rsidR="005D27BA" w:rsidRPr="008B50F3">
        <w:rPr>
          <w:rFonts w:eastAsia="Calibri" w:cs="Arial"/>
          <w:lang w:val="en-GB"/>
        </w:rPr>
        <w:t>off-types</w:t>
      </w:r>
      <w:r w:rsidRPr="008B50F3">
        <w:rPr>
          <w:rFonts w:eastAsia="Calibri" w:cs="Arial"/>
          <w:lang w:val="en-GB"/>
        </w:rPr>
        <w:t xml:space="preserve"> at the end of the two growing cycles does not exceed the number of allowed off-types for the combined sample size then the variety is considered uniform.</w:t>
      </w:r>
    </w:p>
    <w:p w:rsidR="008B50F3" w:rsidRPr="008B50F3" w:rsidRDefault="008B50F3" w:rsidP="009211E7">
      <w:pPr>
        <w:ind w:left="567"/>
        <w:rPr>
          <w:rFonts w:eastAsia="Calibri" w:cs="Arial"/>
          <w:lang w:val="en-GB"/>
        </w:rPr>
      </w:pPr>
    </w:p>
    <w:p w:rsidR="008B50F3" w:rsidRPr="008B50F3" w:rsidRDefault="008B50F3" w:rsidP="009211E7">
      <w:pPr>
        <w:ind w:left="567"/>
        <w:rPr>
          <w:rFonts w:eastAsia="Calibri" w:cs="Arial"/>
          <w:lang w:val="en-GB"/>
        </w:rPr>
      </w:pPr>
      <w:r w:rsidRPr="008B50F3">
        <w:rPr>
          <w:rFonts w:eastAsia="Calibri" w:cs="Arial"/>
          <w:lang w:val="en-GB"/>
        </w:rPr>
        <w:tab/>
        <w:t>(c)</w:t>
      </w:r>
      <w:r w:rsidRPr="008B50F3">
        <w:rPr>
          <w:rFonts w:eastAsia="Calibri" w:cs="Arial"/>
          <w:lang w:val="en-GB"/>
        </w:rPr>
        <w:tab/>
        <w:t>The information on uniformity for a variety is combined over the two cycles.  If the total number of off types at the end of the two growing cycles does not exceed the number of allowed off-types for the combined sample size then the variety is considered uniform.</w:t>
      </w:r>
    </w:p>
    <w:p w:rsidR="008B50F3" w:rsidRPr="008B50F3" w:rsidRDefault="008B50F3" w:rsidP="008B50F3">
      <w:pPr>
        <w:rPr>
          <w:rFonts w:eastAsia="Calibri" w:cs="Arial"/>
          <w:lang w:val="en-GB"/>
        </w:rPr>
      </w:pPr>
    </w:p>
    <w:p w:rsidR="008B50F3" w:rsidRPr="008B50F3" w:rsidRDefault="008B50F3" w:rsidP="008B50F3">
      <w:pPr>
        <w:rPr>
          <w:rFonts w:eastAsia="Calibri" w:cs="Arial"/>
          <w:lang w:val="en-GB"/>
        </w:rPr>
      </w:pPr>
      <w:r w:rsidRPr="008B50F3">
        <w:rPr>
          <w:rFonts w:eastAsia="Calibri" w:cs="Arial"/>
          <w:lang w:val="en-GB"/>
        </w:rPr>
        <w:t>For all three approaches, if in the first growing cycle a variety exceeds a predefined upper limit of off-types the variety may be rejected after a single growing cycle.</w:t>
      </w:r>
    </w:p>
    <w:p w:rsidR="008B50F3" w:rsidRPr="008B50F3" w:rsidRDefault="008B50F3" w:rsidP="008B50F3">
      <w:pPr>
        <w:rPr>
          <w:rFonts w:eastAsia="Calibri" w:cs="Arial"/>
          <w:lang w:val="en-GB"/>
        </w:rPr>
      </w:pPr>
    </w:p>
    <w:p w:rsidR="008B50F3" w:rsidRPr="008B50F3" w:rsidRDefault="008B50F3" w:rsidP="008B50F3">
      <w:pPr>
        <w:rPr>
          <w:rFonts w:eastAsia="Calibri" w:cs="Arial"/>
          <w:lang w:val="en-GB"/>
        </w:rPr>
      </w:pPr>
      <w:r w:rsidRPr="00881395">
        <w:rPr>
          <w:rFonts w:eastAsia="Calibri" w:cs="Arial"/>
          <w:lang w:val="en-GB"/>
        </w:rPr>
        <w:t>8.1.7.2</w:t>
      </w:r>
      <w:r w:rsidRPr="00881395">
        <w:rPr>
          <w:rFonts w:eastAsia="Calibri" w:cs="Arial"/>
          <w:lang w:val="en-GB"/>
        </w:rPr>
        <w:tab/>
        <w:t xml:space="preserve">These three approaches are described in greater detail in </w:t>
      </w:r>
      <w:r w:rsidR="00881395" w:rsidRPr="00881395">
        <w:rPr>
          <w:rFonts w:eastAsia="Calibri" w:cs="Arial"/>
          <w:lang w:val="en-GB"/>
        </w:rPr>
        <w:t xml:space="preserve">document </w:t>
      </w:r>
      <w:r w:rsidRPr="00881395">
        <w:rPr>
          <w:rFonts w:eastAsia="Calibri" w:cs="Arial"/>
          <w:lang w:val="en-GB"/>
        </w:rPr>
        <w:t xml:space="preserve">TGP/10 </w:t>
      </w:r>
      <w:r w:rsidR="00881395" w:rsidRPr="00881395">
        <w:rPr>
          <w:rFonts w:eastAsia="Calibri" w:cs="Arial"/>
          <w:lang w:val="en-GB"/>
        </w:rPr>
        <w:t>“Examining Uniformity”</w:t>
      </w:r>
      <w:r w:rsidRPr="00881395">
        <w:rPr>
          <w:rFonts w:eastAsia="Calibri" w:cs="Arial"/>
          <w:lang w:val="en-GB"/>
        </w:rPr>
        <w:t xml:space="preserve">.  The risks associated with different approaches can be calculated according to the principles described in this </w:t>
      </w:r>
      <w:r w:rsidR="00881395" w:rsidRPr="00881395">
        <w:rPr>
          <w:rFonts w:eastAsia="Calibri" w:cs="Arial"/>
          <w:lang w:val="en-GB"/>
        </w:rPr>
        <w:t>Section</w:t>
      </w:r>
      <w:r w:rsidRPr="00881395">
        <w:rPr>
          <w:rFonts w:eastAsia="Calibri" w:cs="Arial"/>
          <w:lang w:val="en-GB"/>
        </w:rPr>
        <w:t>. Calculations of risks can be complex</w:t>
      </w:r>
      <w:r w:rsidRPr="00881395">
        <w:rPr>
          <w:rFonts w:eastAsia="Calibri" w:cs="Arial"/>
        </w:rPr>
        <w:t xml:space="preserve"> and it is advisable to consult a statistician.</w:t>
      </w:r>
      <w:r w:rsidRPr="008B50F3">
        <w:rPr>
          <w:rFonts w:eastAsia="Calibri" w:cs="Arial"/>
        </w:rPr>
        <w:t xml:space="preserve"> </w:t>
      </w:r>
    </w:p>
    <w:p w:rsidR="008B50F3" w:rsidRDefault="008B50F3" w:rsidP="008B50F3">
      <w:pPr>
        <w:rPr>
          <w:rFonts w:cs="Arial"/>
          <w:lang w:eastAsia="ja-JP" w:bidi="th-TH"/>
        </w:rPr>
      </w:pPr>
    </w:p>
    <w:p w:rsidR="00881395" w:rsidRPr="008B50F3" w:rsidRDefault="00881395" w:rsidP="008B50F3">
      <w:pPr>
        <w:rPr>
          <w:rFonts w:cs="Arial"/>
          <w:lang w:eastAsia="ja-JP" w:bidi="th-TH"/>
        </w:rPr>
      </w:pPr>
    </w:p>
    <w:p w:rsidR="008B50F3" w:rsidRDefault="008B50F3" w:rsidP="009211E7">
      <w:pPr>
        <w:tabs>
          <w:tab w:val="left" w:pos="1134"/>
        </w:tabs>
        <w:rPr>
          <w:rFonts w:eastAsia="Calibri" w:cs="Arial"/>
          <w:lang w:val="en-GB"/>
        </w:rPr>
      </w:pPr>
      <w:r w:rsidRPr="008B50F3">
        <w:rPr>
          <w:rFonts w:eastAsia="Calibri" w:cs="Arial"/>
          <w:lang w:val="en-GB"/>
        </w:rPr>
        <w:t>8.1.8</w:t>
      </w:r>
      <w:r w:rsidRPr="008B50F3">
        <w:rPr>
          <w:rFonts w:eastAsia="Calibri" w:cs="Arial"/>
          <w:lang w:val="en-GB"/>
        </w:rPr>
        <w:tab/>
      </w:r>
      <w:r w:rsidRPr="00881395">
        <w:rPr>
          <w:rFonts w:eastAsia="Calibri" w:cs="Arial"/>
          <w:i/>
          <w:lang w:val="en-GB"/>
        </w:rPr>
        <w:t>Assessing uniformity on the basis of subsamples within a single test or tria</w:t>
      </w:r>
      <w:r w:rsidRPr="008B50F3">
        <w:rPr>
          <w:rFonts w:eastAsia="Calibri" w:cs="Arial"/>
          <w:lang w:val="en-GB"/>
        </w:rPr>
        <w:t>l</w:t>
      </w:r>
    </w:p>
    <w:p w:rsidR="009211E7" w:rsidRPr="008B50F3" w:rsidRDefault="009211E7" w:rsidP="009211E7">
      <w:pPr>
        <w:tabs>
          <w:tab w:val="left" w:pos="1134"/>
        </w:tabs>
        <w:rPr>
          <w:rFonts w:eastAsia="Calibri" w:cs="Arial"/>
          <w:lang w:val="en-GB"/>
        </w:rPr>
      </w:pPr>
    </w:p>
    <w:p w:rsidR="008B50F3" w:rsidRDefault="008B50F3" w:rsidP="008B50F3">
      <w:pPr>
        <w:rPr>
          <w:rFonts w:eastAsia="Calibri" w:cs="Arial"/>
        </w:rPr>
      </w:pPr>
      <w:r w:rsidRPr="008B50F3">
        <w:rPr>
          <w:rFonts w:eastAsia="Calibri" w:cs="Arial"/>
          <w:lang w:val="en-GB"/>
        </w:rPr>
        <w:t>8.1.8.1</w:t>
      </w:r>
      <w:r w:rsidRPr="008B50F3">
        <w:rPr>
          <w:rFonts w:eastAsia="Calibri" w:cs="Arial"/>
        </w:rPr>
        <w:tab/>
        <w:t>Sometimes it may be possible to reduce the costs of off-type assessment by carrying it out in two stages. First a sub-sample of plants is examined. Based on the number of off-types in the sub-sample, either a verdict on uniformity is reached or (secondly) the whole sample of plants is examined.</w:t>
      </w:r>
    </w:p>
    <w:p w:rsidR="009211E7" w:rsidRPr="008B50F3" w:rsidRDefault="009211E7" w:rsidP="008B50F3">
      <w:pPr>
        <w:rPr>
          <w:rFonts w:eastAsia="Calibri" w:cs="Arial"/>
          <w:lang w:val="en-GB"/>
        </w:rPr>
      </w:pPr>
    </w:p>
    <w:p w:rsidR="008B50F3" w:rsidRDefault="008B50F3" w:rsidP="008B50F3">
      <w:pPr>
        <w:rPr>
          <w:rFonts w:eastAsia="Calibri" w:cs="Arial"/>
        </w:rPr>
      </w:pPr>
      <w:r w:rsidRPr="008B50F3">
        <w:rPr>
          <w:rFonts w:eastAsia="Calibri" w:cs="Arial"/>
        </w:rPr>
        <w:t xml:space="preserve">8.1.8.2 </w:t>
      </w:r>
      <w:r w:rsidRPr="008B50F3">
        <w:rPr>
          <w:rFonts w:eastAsia="Calibri" w:cs="Arial"/>
        </w:rPr>
        <w:tab/>
        <w:t>A variety is considered uniform if the number of off-types does not exceed a predefined lower limit in the sub sample.</w:t>
      </w:r>
    </w:p>
    <w:p w:rsidR="009211E7" w:rsidRPr="008B50F3" w:rsidRDefault="009211E7" w:rsidP="008B50F3">
      <w:pPr>
        <w:rPr>
          <w:rFonts w:eastAsia="Calibri" w:cs="Arial"/>
        </w:rPr>
      </w:pPr>
    </w:p>
    <w:p w:rsidR="008B50F3" w:rsidRDefault="008B50F3" w:rsidP="008B50F3">
      <w:pPr>
        <w:rPr>
          <w:rFonts w:eastAsia="Calibri" w:cs="Arial"/>
        </w:rPr>
      </w:pPr>
      <w:r w:rsidRPr="008B50F3">
        <w:rPr>
          <w:rFonts w:eastAsia="Calibri" w:cs="Arial"/>
        </w:rPr>
        <w:t>8.1.8.3</w:t>
      </w:r>
      <w:r w:rsidRPr="008B50F3">
        <w:rPr>
          <w:rFonts w:eastAsia="Calibri" w:cs="Arial"/>
        </w:rPr>
        <w:tab/>
        <w:t>A variety is considered non–uniform if the number of off-types exceeds a predefined upper limit in the sub sample.</w:t>
      </w:r>
    </w:p>
    <w:p w:rsidR="009211E7" w:rsidRPr="008B50F3" w:rsidRDefault="009211E7" w:rsidP="008B50F3">
      <w:pPr>
        <w:rPr>
          <w:rFonts w:eastAsia="Calibri" w:cs="Arial"/>
        </w:rPr>
      </w:pPr>
    </w:p>
    <w:p w:rsidR="008B50F3" w:rsidRDefault="008B50F3" w:rsidP="008B50F3">
      <w:pPr>
        <w:rPr>
          <w:rFonts w:eastAsia="Calibri" w:cs="Arial"/>
        </w:rPr>
      </w:pPr>
      <w:r w:rsidRPr="008B50F3">
        <w:rPr>
          <w:rFonts w:eastAsia="Calibri" w:cs="Arial"/>
        </w:rPr>
        <w:t>8.1.8.4</w:t>
      </w:r>
      <w:r w:rsidR="009211E7">
        <w:rPr>
          <w:rFonts w:eastAsia="Calibri" w:cs="Arial"/>
        </w:rPr>
        <w:tab/>
      </w:r>
      <w:r w:rsidRPr="008B50F3">
        <w:rPr>
          <w:rFonts w:eastAsia="Calibri" w:cs="Arial"/>
        </w:rPr>
        <w:t xml:space="preserve">If the number of off-types is between the predefined lower and upper limits, the whole sample is assessed. </w:t>
      </w:r>
    </w:p>
    <w:p w:rsidR="009211E7" w:rsidRPr="008B50F3" w:rsidRDefault="009211E7" w:rsidP="008B50F3">
      <w:pPr>
        <w:rPr>
          <w:rFonts w:eastAsia="Calibri" w:cs="Arial"/>
          <w:lang w:val="en-GB"/>
        </w:rPr>
      </w:pPr>
    </w:p>
    <w:p w:rsidR="008B50F3" w:rsidRDefault="008B50F3" w:rsidP="008B50F3">
      <w:pPr>
        <w:rPr>
          <w:rFonts w:eastAsia="Calibri" w:cs="Arial"/>
        </w:rPr>
      </w:pPr>
      <w:r w:rsidRPr="008B50F3">
        <w:rPr>
          <w:rFonts w:eastAsia="Calibri" w:cs="Arial"/>
        </w:rPr>
        <w:t>8.1.8.5</w:t>
      </w:r>
      <w:r w:rsidR="009211E7">
        <w:rPr>
          <w:rFonts w:eastAsia="Calibri" w:cs="Arial"/>
        </w:rPr>
        <w:tab/>
      </w:r>
      <w:r w:rsidRPr="008B50F3">
        <w:rPr>
          <w:rFonts w:eastAsia="Calibri" w:cs="Arial"/>
        </w:rPr>
        <w:t xml:space="preserve">The predefined lower upper limits should be set considering comparable Type I and Type II errors in the sub sample and the whole sample. Setting up such two-stage tests is complex, and it is advisable to consult a statistician. </w:t>
      </w:r>
    </w:p>
    <w:p w:rsidR="009211E7" w:rsidRDefault="009211E7" w:rsidP="008B50F3">
      <w:pPr>
        <w:rPr>
          <w:rFonts w:eastAsia="Calibri" w:cs="Arial"/>
        </w:rPr>
      </w:pPr>
    </w:p>
    <w:p w:rsidR="009211E7" w:rsidRDefault="009211E7" w:rsidP="008B50F3">
      <w:pPr>
        <w:rPr>
          <w:rFonts w:eastAsia="Calibri" w:cs="Arial"/>
        </w:rPr>
      </w:pPr>
    </w:p>
    <w:p w:rsidR="009211E7" w:rsidRDefault="009211E7" w:rsidP="008B50F3">
      <w:pPr>
        <w:rPr>
          <w:rFonts w:eastAsia="Calibri" w:cs="Arial"/>
        </w:rPr>
      </w:pPr>
    </w:p>
    <w:p w:rsidR="009211E7" w:rsidRPr="008B50F3" w:rsidRDefault="009211E7" w:rsidP="009211E7">
      <w:pPr>
        <w:jc w:val="right"/>
        <w:rPr>
          <w:rFonts w:eastAsia="Calibri" w:cs="Arial"/>
          <w:lang w:val="en-GB"/>
        </w:rPr>
      </w:pPr>
      <w:r>
        <w:rPr>
          <w:rFonts w:eastAsia="Calibri" w:cs="Arial"/>
        </w:rPr>
        <w:t>[End of Annex II and of document]</w:t>
      </w:r>
    </w:p>
    <w:sectPr w:rsidR="009211E7" w:rsidRPr="008B50F3" w:rsidSect="00E22148">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69" w:rsidRDefault="00806D69" w:rsidP="006655D3">
      <w:r>
        <w:separator/>
      </w:r>
    </w:p>
    <w:p w:rsidR="00806D69" w:rsidRDefault="00806D69" w:rsidP="006655D3"/>
    <w:p w:rsidR="00806D69" w:rsidRDefault="00806D69" w:rsidP="006655D3"/>
  </w:endnote>
  <w:endnote w:type="continuationSeparator" w:id="0">
    <w:p w:rsidR="00806D69" w:rsidRDefault="00806D69" w:rsidP="006655D3">
      <w:r>
        <w:separator/>
      </w:r>
    </w:p>
    <w:p w:rsidR="00806D69" w:rsidRPr="00294751" w:rsidRDefault="00806D69">
      <w:pPr>
        <w:pStyle w:val="Footer"/>
        <w:spacing w:after="60"/>
        <w:rPr>
          <w:sz w:val="18"/>
          <w:lang w:val="fr-FR"/>
        </w:rPr>
      </w:pPr>
      <w:r w:rsidRPr="00294751">
        <w:rPr>
          <w:sz w:val="18"/>
          <w:lang w:val="fr-FR"/>
        </w:rPr>
        <w:t>[Suite de la note de la page précédente]</w:t>
      </w:r>
    </w:p>
    <w:p w:rsidR="00806D69" w:rsidRPr="00294751" w:rsidRDefault="00806D69" w:rsidP="006655D3">
      <w:pPr>
        <w:rPr>
          <w:lang w:val="fr-FR"/>
        </w:rPr>
      </w:pPr>
    </w:p>
    <w:p w:rsidR="00806D69" w:rsidRPr="00294751" w:rsidRDefault="00806D69" w:rsidP="006655D3">
      <w:pPr>
        <w:rPr>
          <w:lang w:val="fr-FR"/>
        </w:rPr>
      </w:pPr>
    </w:p>
  </w:endnote>
  <w:endnote w:type="continuationNotice" w:id="1">
    <w:p w:rsidR="00806D69" w:rsidRPr="00294751" w:rsidRDefault="00806D69" w:rsidP="006655D3">
      <w:pPr>
        <w:rPr>
          <w:lang w:val="fr-FR"/>
        </w:rPr>
      </w:pPr>
      <w:r w:rsidRPr="00294751">
        <w:rPr>
          <w:lang w:val="fr-FR"/>
        </w:rPr>
        <w:t>[Suite de la note page suivante]</w:t>
      </w:r>
    </w:p>
    <w:p w:rsidR="00806D69" w:rsidRPr="00294751" w:rsidRDefault="00806D69" w:rsidP="006655D3">
      <w:pPr>
        <w:rPr>
          <w:lang w:val="fr-FR"/>
        </w:rPr>
      </w:pPr>
    </w:p>
    <w:p w:rsidR="00806D69" w:rsidRPr="00294751" w:rsidRDefault="00806D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Greek Symbols">
    <w:panose1 w:val="00000000000000000000"/>
    <w:charset w:val="02"/>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69" w:rsidRDefault="00806D69" w:rsidP="006655D3">
      <w:r>
        <w:separator/>
      </w:r>
    </w:p>
  </w:footnote>
  <w:footnote w:type="continuationSeparator" w:id="0">
    <w:p w:rsidR="00806D69" w:rsidRDefault="00806D69" w:rsidP="006655D3">
      <w:r>
        <w:separator/>
      </w:r>
    </w:p>
  </w:footnote>
  <w:footnote w:type="continuationNotice" w:id="1">
    <w:p w:rsidR="00806D69" w:rsidRPr="00AB530F" w:rsidRDefault="00806D6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Pr="00C5280D" w:rsidRDefault="00E22148" w:rsidP="00EB048E">
    <w:pPr>
      <w:pStyle w:val="Header"/>
      <w:rPr>
        <w:rStyle w:val="PageNumber"/>
        <w:lang w:val="en-US"/>
      </w:rPr>
    </w:pPr>
    <w:r>
      <w:rPr>
        <w:rStyle w:val="PageNumber"/>
        <w:lang w:val="en-US"/>
      </w:rPr>
      <w:t>TWP/2/10</w:t>
    </w:r>
  </w:p>
  <w:p w:rsidR="00B3678C" w:rsidRPr="00C5280D" w:rsidRDefault="00B3678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62583">
      <w:rPr>
        <w:rStyle w:val="PageNumber"/>
        <w:noProof/>
        <w:lang w:val="en-US"/>
      </w:rPr>
      <w:t>2</w:t>
    </w:r>
    <w:r w:rsidRPr="00C5280D">
      <w:rPr>
        <w:rStyle w:val="PageNumber"/>
        <w:lang w:val="en-US"/>
      </w:rPr>
      <w:fldChar w:fldCharType="end"/>
    </w:r>
  </w:p>
  <w:p w:rsidR="00B3678C" w:rsidRPr="00C5280D" w:rsidRDefault="00B3678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41C43" w:rsidP="00EB048E">
    <w:pPr>
      <w:pStyle w:val="Header"/>
      <w:rPr>
        <w:rStyle w:val="PageNumber"/>
        <w:lang w:val="en-US"/>
      </w:rPr>
    </w:pPr>
    <w:r>
      <w:rPr>
        <w:rStyle w:val="PageNumber"/>
        <w:lang w:val="en-US"/>
      </w:rPr>
      <w:t>TWP</w:t>
    </w:r>
    <w:r w:rsidR="00C53EB3">
      <w:rPr>
        <w:rStyle w:val="PageNumber"/>
        <w:lang w:val="en-US"/>
      </w:rPr>
      <w:t>/</w:t>
    </w:r>
    <w:r w:rsidR="007D7BA0">
      <w:rPr>
        <w:rStyle w:val="PageNumber"/>
        <w:lang w:val="en-US"/>
      </w:rPr>
      <w:t>2</w:t>
    </w:r>
    <w:r w:rsidR="00667404">
      <w:rPr>
        <w:rStyle w:val="PageNumber"/>
        <w:lang w:val="en-US"/>
      </w:rPr>
      <w:t>/</w:t>
    </w:r>
    <w:r w:rsidR="00E22148">
      <w:rPr>
        <w:rStyle w:val="PageNumber"/>
        <w:lang w:val="en-US"/>
      </w:rPr>
      <w:t>10</w:t>
    </w:r>
  </w:p>
  <w:p w:rsidR="00182B99" w:rsidRPr="00C5280D" w:rsidRDefault="006226A7" w:rsidP="00EB048E">
    <w:pPr>
      <w:pStyle w:val="Header"/>
      <w:rPr>
        <w:lang w:val="en-US"/>
      </w:rPr>
    </w:pPr>
    <w:r>
      <w:rPr>
        <w:lang w:val="en-US"/>
      </w:rPr>
      <w:t xml:space="preserve">Annex I,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762583">
      <w:rPr>
        <w:rStyle w:val="PageNumber"/>
        <w:noProof/>
        <w:lang w:val="en-US"/>
      </w:rPr>
      <w:t>2</w:t>
    </w:r>
    <w:r w:rsidR="00182B99"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E22148">
    <w:pPr>
      <w:pStyle w:val="Header"/>
      <w:rPr>
        <w:lang w:val="en-US"/>
      </w:rPr>
    </w:pPr>
    <w:r>
      <w:rPr>
        <w:lang w:val="en-US"/>
      </w:rPr>
      <w:t>TWP/2/10</w:t>
    </w:r>
  </w:p>
  <w:p w:rsidR="00E22148" w:rsidRDefault="00E22148">
    <w:pPr>
      <w:pStyle w:val="Header"/>
      <w:rPr>
        <w:lang w:val="en-US"/>
      </w:rPr>
    </w:pPr>
  </w:p>
  <w:p w:rsidR="00E22148" w:rsidRPr="00E22148" w:rsidRDefault="00E22148">
    <w:pPr>
      <w:pStyle w:val="Header"/>
      <w:rPr>
        <w:lang w:val="en-US"/>
      </w:rPr>
    </w:pPr>
    <w:r>
      <w:rPr>
        <w:lang w:val="en-US"/>
      </w:rPr>
      <w:t>ANNEX</w:t>
    </w:r>
    <w:r w:rsidR="006226A7">
      <w:rPr>
        <w:lang w:val="en-US"/>
      </w:rPr>
      <w:t xml:space="preserve">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A7" w:rsidRPr="00C5280D" w:rsidRDefault="006226A7" w:rsidP="00EB048E">
    <w:pPr>
      <w:pStyle w:val="Header"/>
      <w:rPr>
        <w:rStyle w:val="PageNumber"/>
        <w:lang w:val="en-US"/>
      </w:rPr>
    </w:pPr>
    <w:r>
      <w:rPr>
        <w:rStyle w:val="PageNumber"/>
        <w:lang w:val="en-US"/>
      </w:rPr>
      <w:t>TWP/2/10</w:t>
    </w:r>
  </w:p>
  <w:p w:rsidR="006226A7" w:rsidRPr="00C5280D" w:rsidRDefault="006226A7"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37E4">
      <w:rPr>
        <w:rStyle w:val="PageNumber"/>
        <w:noProof/>
        <w:lang w:val="en-US"/>
      </w:rPr>
      <w:t>1</w:t>
    </w:r>
    <w:r w:rsidRPr="00C5280D">
      <w:rPr>
        <w:rStyle w:val="PageNumber"/>
        <w:lang w:val="en-US"/>
      </w:rPr>
      <w:fldChar w:fldCharType="end"/>
    </w:r>
  </w:p>
  <w:p w:rsidR="006226A7" w:rsidRPr="00C5280D" w:rsidRDefault="006226A7"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A7" w:rsidRDefault="006226A7">
    <w:pPr>
      <w:pStyle w:val="Header"/>
      <w:rPr>
        <w:lang w:val="en-US"/>
      </w:rPr>
    </w:pPr>
    <w:r>
      <w:rPr>
        <w:lang w:val="en-US"/>
      </w:rPr>
      <w:t>TWP/2/10</w:t>
    </w:r>
  </w:p>
  <w:p w:rsidR="006226A7" w:rsidRDefault="006226A7">
    <w:pPr>
      <w:pStyle w:val="Header"/>
      <w:rPr>
        <w:lang w:val="en-US"/>
      </w:rPr>
    </w:pPr>
  </w:p>
  <w:p w:rsidR="006226A7" w:rsidRPr="00E22148" w:rsidRDefault="006226A7">
    <w:pPr>
      <w:pStyle w:val="Header"/>
      <w:rPr>
        <w:lang w:val="en-US"/>
      </w:rPr>
    </w:pPr>
    <w:r>
      <w:rPr>
        <w:lang w:val="en-US"/>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4567A"/>
    <w:multiLevelType w:val="singleLevel"/>
    <w:tmpl w:val="68A61006"/>
    <w:lvl w:ilvl="0">
      <w:start w:val="1"/>
      <w:numFmt w:val="lowerLetter"/>
      <w:lvlText w:val="(%1)"/>
      <w:legacy w:legacy="1" w:legacySpace="0" w:legacyIndent="567"/>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69"/>
    <w:rsid w:val="00001E18"/>
    <w:rsid w:val="00010CF3"/>
    <w:rsid w:val="00011E27"/>
    <w:rsid w:val="000148BC"/>
    <w:rsid w:val="00024AB8"/>
    <w:rsid w:val="00030854"/>
    <w:rsid w:val="00031017"/>
    <w:rsid w:val="00036028"/>
    <w:rsid w:val="00044642"/>
    <w:rsid w:val="000446B9"/>
    <w:rsid w:val="00047E21"/>
    <w:rsid w:val="00050E16"/>
    <w:rsid w:val="00085505"/>
    <w:rsid w:val="000A7AEA"/>
    <w:rsid w:val="000C4E25"/>
    <w:rsid w:val="000C7021"/>
    <w:rsid w:val="000C71FF"/>
    <w:rsid w:val="000D6BBC"/>
    <w:rsid w:val="000D7780"/>
    <w:rsid w:val="000E29DD"/>
    <w:rsid w:val="000E636A"/>
    <w:rsid w:val="000F2F11"/>
    <w:rsid w:val="00105929"/>
    <w:rsid w:val="00110C36"/>
    <w:rsid w:val="001131D5"/>
    <w:rsid w:val="001132F2"/>
    <w:rsid w:val="00120911"/>
    <w:rsid w:val="00141DB8"/>
    <w:rsid w:val="001449AC"/>
    <w:rsid w:val="0017162F"/>
    <w:rsid w:val="00172084"/>
    <w:rsid w:val="0017474A"/>
    <w:rsid w:val="001758C6"/>
    <w:rsid w:val="00182B99"/>
    <w:rsid w:val="001B50FB"/>
    <w:rsid w:val="001D6303"/>
    <w:rsid w:val="0021332C"/>
    <w:rsid w:val="00213982"/>
    <w:rsid w:val="0024416D"/>
    <w:rsid w:val="00266E13"/>
    <w:rsid w:val="00271911"/>
    <w:rsid w:val="002800A0"/>
    <w:rsid w:val="002801B3"/>
    <w:rsid w:val="00281060"/>
    <w:rsid w:val="00284CDF"/>
    <w:rsid w:val="002940E8"/>
    <w:rsid w:val="00294751"/>
    <w:rsid w:val="002A043C"/>
    <w:rsid w:val="002A6E50"/>
    <w:rsid w:val="002B4298"/>
    <w:rsid w:val="002C1613"/>
    <w:rsid w:val="002C256A"/>
    <w:rsid w:val="002E6E41"/>
    <w:rsid w:val="00300EAB"/>
    <w:rsid w:val="00304EBA"/>
    <w:rsid w:val="00305A7F"/>
    <w:rsid w:val="003152FE"/>
    <w:rsid w:val="00327436"/>
    <w:rsid w:val="00335389"/>
    <w:rsid w:val="00344BD6"/>
    <w:rsid w:val="0035528D"/>
    <w:rsid w:val="00361821"/>
    <w:rsid w:val="00361E9E"/>
    <w:rsid w:val="00370BF0"/>
    <w:rsid w:val="00384B59"/>
    <w:rsid w:val="003C7FBE"/>
    <w:rsid w:val="003D227C"/>
    <w:rsid w:val="003D2B4D"/>
    <w:rsid w:val="00444A88"/>
    <w:rsid w:val="0046287C"/>
    <w:rsid w:val="00474DA4"/>
    <w:rsid w:val="00476B4D"/>
    <w:rsid w:val="004805FA"/>
    <w:rsid w:val="004935D2"/>
    <w:rsid w:val="0049744F"/>
    <w:rsid w:val="004B1215"/>
    <w:rsid w:val="004C39C2"/>
    <w:rsid w:val="004D047D"/>
    <w:rsid w:val="004F1E9E"/>
    <w:rsid w:val="004F305A"/>
    <w:rsid w:val="00512164"/>
    <w:rsid w:val="00520297"/>
    <w:rsid w:val="00524CC2"/>
    <w:rsid w:val="005338F9"/>
    <w:rsid w:val="0054281C"/>
    <w:rsid w:val="00544581"/>
    <w:rsid w:val="0055268D"/>
    <w:rsid w:val="00576BE4"/>
    <w:rsid w:val="005A400A"/>
    <w:rsid w:val="005D27BA"/>
    <w:rsid w:val="005F7B92"/>
    <w:rsid w:val="00612379"/>
    <w:rsid w:val="006153B6"/>
    <w:rsid w:val="0061555F"/>
    <w:rsid w:val="00621302"/>
    <w:rsid w:val="006226A7"/>
    <w:rsid w:val="00636CA6"/>
    <w:rsid w:val="00641200"/>
    <w:rsid w:val="00641C43"/>
    <w:rsid w:val="006655D3"/>
    <w:rsid w:val="00667404"/>
    <w:rsid w:val="006756EA"/>
    <w:rsid w:val="00677A17"/>
    <w:rsid w:val="00687EB4"/>
    <w:rsid w:val="00695C56"/>
    <w:rsid w:val="006A5CDE"/>
    <w:rsid w:val="006A644A"/>
    <w:rsid w:val="006B17D2"/>
    <w:rsid w:val="006C224E"/>
    <w:rsid w:val="006D780A"/>
    <w:rsid w:val="0071271E"/>
    <w:rsid w:val="00732DEC"/>
    <w:rsid w:val="00735BD5"/>
    <w:rsid w:val="007472B2"/>
    <w:rsid w:val="00751613"/>
    <w:rsid w:val="007556F6"/>
    <w:rsid w:val="00760EEF"/>
    <w:rsid w:val="00762583"/>
    <w:rsid w:val="00777EE5"/>
    <w:rsid w:val="00784836"/>
    <w:rsid w:val="0079023E"/>
    <w:rsid w:val="007A1A80"/>
    <w:rsid w:val="007A2854"/>
    <w:rsid w:val="007C1D92"/>
    <w:rsid w:val="007C4CB9"/>
    <w:rsid w:val="007D0B9D"/>
    <w:rsid w:val="007D19B0"/>
    <w:rsid w:val="007D7BA0"/>
    <w:rsid w:val="007F498F"/>
    <w:rsid w:val="0080679D"/>
    <w:rsid w:val="00806D69"/>
    <w:rsid w:val="008108B0"/>
    <w:rsid w:val="00811B20"/>
    <w:rsid w:val="008211B5"/>
    <w:rsid w:val="0082176B"/>
    <w:rsid w:val="0082296E"/>
    <w:rsid w:val="00824099"/>
    <w:rsid w:val="00835B95"/>
    <w:rsid w:val="00846D7C"/>
    <w:rsid w:val="00860A1D"/>
    <w:rsid w:val="00867AC1"/>
    <w:rsid w:val="0087152E"/>
    <w:rsid w:val="00881395"/>
    <w:rsid w:val="00890DF8"/>
    <w:rsid w:val="008A743F"/>
    <w:rsid w:val="008B50F3"/>
    <w:rsid w:val="008C0970"/>
    <w:rsid w:val="008D0BC5"/>
    <w:rsid w:val="008D2CF7"/>
    <w:rsid w:val="008F3CB1"/>
    <w:rsid w:val="00900C26"/>
    <w:rsid w:val="0090197F"/>
    <w:rsid w:val="00906DDC"/>
    <w:rsid w:val="009114F0"/>
    <w:rsid w:val="009211E7"/>
    <w:rsid w:val="00934E09"/>
    <w:rsid w:val="00936253"/>
    <w:rsid w:val="00940D46"/>
    <w:rsid w:val="00952DD4"/>
    <w:rsid w:val="00965AE7"/>
    <w:rsid w:val="00970FED"/>
    <w:rsid w:val="00972937"/>
    <w:rsid w:val="00992D82"/>
    <w:rsid w:val="00997029"/>
    <w:rsid w:val="009A7339"/>
    <w:rsid w:val="009B440E"/>
    <w:rsid w:val="009C7A07"/>
    <w:rsid w:val="009D690D"/>
    <w:rsid w:val="009E65B6"/>
    <w:rsid w:val="00A24C10"/>
    <w:rsid w:val="00A42AC3"/>
    <w:rsid w:val="00A42C72"/>
    <w:rsid w:val="00A430CF"/>
    <w:rsid w:val="00A54309"/>
    <w:rsid w:val="00AB2B93"/>
    <w:rsid w:val="00AB530F"/>
    <w:rsid w:val="00AB7E5B"/>
    <w:rsid w:val="00AC2883"/>
    <w:rsid w:val="00AD5FB2"/>
    <w:rsid w:val="00AE0EF1"/>
    <w:rsid w:val="00AE2937"/>
    <w:rsid w:val="00B07301"/>
    <w:rsid w:val="00B11F3E"/>
    <w:rsid w:val="00B224DE"/>
    <w:rsid w:val="00B324D4"/>
    <w:rsid w:val="00B3678C"/>
    <w:rsid w:val="00B3799B"/>
    <w:rsid w:val="00B46575"/>
    <w:rsid w:val="00B61777"/>
    <w:rsid w:val="00B8110E"/>
    <w:rsid w:val="00B84BBD"/>
    <w:rsid w:val="00BA43FB"/>
    <w:rsid w:val="00BC127D"/>
    <w:rsid w:val="00BC1FE6"/>
    <w:rsid w:val="00BE0FA1"/>
    <w:rsid w:val="00C061B6"/>
    <w:rsid w:val="00C22DEA"/>
    <w:rsid w:val="00C2427B"/>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7E36"/>
    <w:rsid w:val="00D01D7C"/>
    <w:rsid w:val="00D02621"/>
    <w:rsid w:val="00D3708D"/>
    <w:rsid w:val="00D40426"/>
    <w:rsid w:val="00D51651"/>
    <w:rsid w:val="00D5702E"/>
    <w:rsid w:val="00D57C96"/>
    <w:rsid w:val="00D57D18"/>
    <w:rsid w:val="00D91203"/>
    <w:rsid w:val="00D95174"/>
    <w:rsid w:val="00DA1712"/>
    <w:rsid w:val="00DA4499"/>
    <w:rsid w:val="00DA4973"/>
    <w:rsid w:val="00DA6F36"/>
    <w:rsid w:val="00DB596E"/>
    <w:rsid w:val="00DB7773"/>
    <w:rsid w:val="00DC00EA"/>
    <w:rsid w:val="00DC3802"/>
    <w:rsid w:val="00E07D87"/>
    <w:rsid w:val="00E22148"/>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3446D"/>
    <w:rsid w:val="00F45372"/>
    <w:rsid w:val="00F560F7"/>
    <w:rsid w:val="00F6334D"/>
    <w:rsid w:val="00F76A11"/>
    <w:rsid w:val="00FA49AB"/>
    <w:rsid w:val="00FD37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B3678C"/>
    <w:rPr>
      <w:rFonts w:ascii="Arial" w:hAnsi="Arial"/>
      <w:u w:val="single"/>
    </w:rPr>
  </w:style>
  <w:style w:type="character" w:customStyle="1" w:styleId="Heading1Char">
    <w:name w:val="Heading 1 Char"/>
    <w:basedOn w:val="DefaultParagraphFont"/>
    <w:link w:val="Heading1"/>
    <w:rsid w:val="00B3678C"/>
    <w:rPr>
      <w:rFonts w:ascii="Arial" w:hAnsi="Arial"/>
      <w:caps/>
    </w:rPr>
  </w:style>
  <w:style w:type="paragraph" w:styleId="CommentText">
    <w:name w:val="annotation text"/>
    <w:basedOn w:val="Normal"/>
    <w:link w:val="CommentTextChar"/>
    <w:rsid w:val="002C1613"/>
  </w:style>
  <w:style w:type="character" w:customStyle="1" w:styleId="CommentTextChar">
    <w:name w:val="Comment Text Char"/>
    <w:basedOn w:val="DefaultParagraphFont"/>
    <w:link w:val="CommentText"/>
    <w:rsid w:val="002C1613"/>
    <w:rPr>
      <w:rFonts w:ascii="Arial" w:hAnsi="Arial"/>
    </w:rPr>
  </w:style>
  <w:style w:type="character" w:styleId="CommentReference">
    <w:name w:val="annotation reference"/>
    <w:basedOn w:val="DefaultParagraphFont"/>
    <w:uiPriority w:val="99"/>
    <w:unhideWhenUsed/>
    <w:rsid w:val="002C161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B3678C"/>
    <w:rPr>
      <w:rFonts w:ascii="Arial" w:hAnsi="Arial"/>
      <w:u w:val="single"/>
    </w:rPr>
  </w:style>
  <w:style w:type="character" w:customStyle="1" w:styleId="Heading1Char">
    <w:name w:val="Heading 1 Char"/>
    <w:basedOn w:val="DefaultParagraphFont"/>
    <w:link w:val="Heading1"/>
    <w:rsid w:val="00B3678C"/>
    <w:rPr>
      <w:rFonts w:ascii="Arial" w:hAnsi="Arial"/>
      <w:caps/>
    </w:rPr>
  </w:style>
  <w:style w:type="paragraph" w:styleId="CommentText">
    <w:name w:val="annotation text"/>
    <w:basedOn w:val="Normal"/>
    <w:link w:val="CommentTextChar"/>
    <w:rsid w:val="002C1613"/>
  </w:style>
  <w:style w:type="character" w:customStyle="1" w:styleId="CommentTextChar">
    <w:name w:val="Comment Text Char"/>
    <w:basedOn w:val="DefaultParagraphFont"/>
    <w:link w:val="CommentText"/>
    <w:rsid w:val="002C1613"/>
    <w:rPr>
      <w:rFonts w:ascii="Arial" w:hAnsi="Arial"/>
    </w:rPr>
  </w:style>
  <w:style w:type="character" w:styleId="CommentReference">
    <w:name w:val="annotation reference"/>
    <w:basedOn w:val="DefaultParagraphFont"/>
    <w:uiPriority w:val="99"/>
    <w:unhideWhenUsed/>
    <w:rsid w:val="002C16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6.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5</Pages>
  <Words>1813</Words>
  <Characters>9026</Characters>
  <Application>Microsoft Office Word</Application>
  <DocSecurity>0</DocSecurity>
  <Lines>311</Lines>
  <Paragraphs>144</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TWP/2/10</dc:title>
  <dc:creator>TAVEIRA Leontino</dc:creator>
  <cp:lastModifiedBy>MAY Jessica</cp:lastModifiedBy>
  <cp:revision>17</cp:revision>
  <cp:lastPrinted>2018-05-07T17:05:00Z</cp:lastPrinted>
  <dcterms:created xsi:type="dcterms:W3CDTF">2018-04-09T08:59:00Z</dcterms:created>
  <dcterms:modified xsi:type="dcterms:W3CDTF">2018-05-09T13:59:00Z</dcterms:modified>
</cp:coreProperties>
</file>