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485C7F">
        <w:tc>
          <w:tcPr>
            <w:tcW w:w="6512" w:type="dxa"/>
          </w:tcPr>
          <w:p w:rsidR="00524CC2" w:rsidRPr="007E765B" w:rsidRDefault="00524CC2" w:rsidP="00485C7F">
            <w:pPr>
              <w:pStyle w:val="Sessiontwp"/>
            </w:pPr>
            <w:r w:rsidRPr="007E765B">
              <w:t>Technical Working Party for Agricultural Crops</w:t>
            </w:r>
          </w:p>
          <w:p w:rsidR="00524CC2" w:rsidRPr="007E765B" w:rsidRDefault="00524CC2" w:rsidP="00485C7F">
            <w:pPr>
              <w:pStyle w:val="Sessiontwpplacedate"/>
            </w:pPr>
            <w:r w:rsidRPr="007E765B">
              <w:t>Forty-Sixth Session</w:t>
            </w:r>
          </w:p>
          <w:p w:rsidR="00524CC2" w:rsidRPr="007E765B" w:rsidRDefault="00524CC2" w:rsidP="00485C7F">
            <w:pPr>
              <w:pStyle w:val="Sessiontwpplacedate"/>
            </w:pPr>
            <w:r w:rsidRPr="007E765B">
              <w:t>Hanover, Germany, June 19 to 23, 2017</w:t>
            </w:r>
          </w:p>
          <w:p w:rsidR="00524CC2" w:rsidRPr="007E765B" w:rsidRDefault="00524CC2" w:rsidP="00485C7F"/>
          <w:p w:rsidR="00524CC2" w:rsidRPr="007E765B" w:rsidRDefault="00524CC2" w:rsidP="00485C7F">
            <w:pPr>
              <w:pStyle w:val="Sessiontwp"/>
            </w:pPr>
            <w:r w:rsidRPr="007E765B">
              <w:t>Technical Working Party for Vegetables</w:t>
            </w:r>
          </w:p>
          <w:p w:rsidR="00524CC2" w:rsidRPr="007E765B" w:rsidRDefault="00524CC2" w:rsidP="00485C7F">
            <w:pPr>
              <w:pStyle w:val="Sessiontwpplacedate"/>
            </w:pPr>
            <w:r w:rsidRPr="007E765B">
              <w:t>Fifty-First Session</w:t>
            </w:r>
          </w:p>
          <w:p w:rsidR="00524CC2" w:rsidRPr="007E765B" w:rsidRDefault="00524CC2" w:rsidP="00485C7F">
            <w:pPr>
              <w:pStyle w:val="Sessiontwpplacedate"/>
            </w:pPr>
            <w:proofErr w:type="spellStart"/>
            <w:r w:rsidRPr="007E765B">
              <w:t>Roelofarendsveen</w:t>
            </w:r>
            <w:proofErr w:type="spellEnd"/>
            <w:r w:rsidRPr="007E765B">
              <w:t xml:space="preserve">, Netherlands, July 3 to 7, 2017 </w:t>
            </w:r>
          </w:p>
          <w:p w:rsidR="00524CC2" w:rsidRPr="007E765B" w:rsidRDefault="00524CC2" w:rsidP="00485C7F"/>
          <w:p w:rsidR="00524CC2" w:rsidRPr="007E765B" w:rsidRDefault="00524CC2" w:rsidP="00485C7F">
            <w:pPr>
              <w:pStyle w:val="Sessiontwp"/>
            </w:pPr>
            <w:r w:rsidRPr="007E765B">
              <w:t xml:space="preserve">Technical Working Party </w:t>
            </w:r>
            <w:r w:rsidR="00AC4419" w:rsidRPr="007E765B">
              <w:t>for</w:t>
            </w:r>
            <w:r w:rsidRPr="007E765B">
              <w:t xml:space="preserve"> Ornamental Plants and Forest Trees</w:t>
            </w:r>
          </w:p>
          <w:p w:rsidR="00524CC2" w:rsidRPr="007E765B" w:rsidRDefault="00524CC2" w:rsidP="00485C7F">
            <w:pPr>
              <w:pStyle w:val="Sessiontwpplacedate"/>
            </w:pPr>
            <w:r w:rsidRPr="007E765B">
              <w:t>Fiftieth Session</w:t>
            </w:r>
          </w:p>
          <w:p w:rsidR="00524CC2" w:rsidRPr="007E765B" w:rsidRDefault="00524CC2" w:rsidP="00485C7F">
            <w:pPr>
              <w:pStyle w:val="Sessiontwpplacedate"/>
            </w:pPr>
            <w:r w:rsidRPr="007E765B">
              <w:t>Victoria, Canada, September 11 to 15, 2017</w:t>
            </w:r>
          </w:p>
          <w:p w:rsidR="00524CC2" w:rsidRPr="007E765B" w:rsidRDefault="00524CC2" w:rsidP="00485C7F"/>
          <w:p w:rsidR="00524CC2" w:rsidRPr="007E765B" w:rsidRDefault="00524CC2" w:rsidP="00485C7F">
            <w:pPr>
              <w:pStyle w:val="Sessiontwp"/>
            </w:pPr>
            <w:r w:rsidRPr="007E765B">
              <w:t>Technical Working Party for Fruit Crops</w:t>
            </w:r>
          </w:p>
          <w:p w:rsidR="00524CC2" w:rsidRPr="007E765B" w:rsidRDefault="00524CC2" w:rsidP="00485C7F">
            <w:pPr>
              <w:pStyle w:val="Sessiontwpplacedate"/>
            </w:pPr>
            <w:r w:rsidRPr="007E765B">
              <w:t>Forty-Eighth Session</w:t>
            </w:r>
          </w:p>
          <w:p w:rsidR="00524CC2" w:rsidRPr="007E765B" w:rsidRDefault="00524CC2" w:rsidP="00485C7F">
            <w:pPr>
              <w:pStyle w:val="Sessiontwpplacedate"/>
            </w:pPr>
            <w:r w:rsidRPr="007E765B">
              <w:t>Kelowna, Canada, September 18 to 22, 2017</w:t>
            </w:r>
          </w:p>
          <w:p w:rsidR="00524CC2" w:rsidRPr="007E765B" w:rsidRDefault="00524CC2" w:rsidP="00485C7F"/>
          <w:p w:rsidR="00524CC2" w:rsidRPr="007E765B" w:rsidRDefault="00524CC2" w:rsidP="00485C7F">
            <w:pPr>
              <w:pStyle w:val="Sessiontwp"/>
            </w:pPr>
            <w:r w:rsidRPr="007E765B">
              <w:t>Technical Working Party on Automation and Computer Programs</w:t>
            </w:r>
          </w:p>
          <w:p w:rsidR="00524CC2" w:rsidRPr="007E765B" w:rsidRDefault="00524CC2" w:rsidP="00485C7F">
            <w:pPr>
              <w:pStyle w:val="Sessiontwpplacedate"/>
            </w:pPr>
            <w:r w:rsidRPr="007E765B">
              <w:t>Thirty-Fifth Session</w:t>
            </w:r>
          </w:p>
          <w:p w:rsidR="00524CC2" w:rsidRPr="007E765B" w:rsidRDefault="00524CC2" w:rsidP="00485C7F">
            <w:pPr>
              <w:pStyle w:val="Sessiontwpplacedate"/>
            </w:pPr>
            <w:r w:rsidRPr="007E765B">
              <w:t>Buenos Aires, Argentina, November 14 to 17, 2017</w:t>
            </w:r>
          </w:p>
        </w:tc>
        <w:tc>
          <w:tcPr>
            <w:tcW w:w="3127" w:type="dxa"/>
          </w:tcPr>
          <w:p w:rsidR="00524CC2" w:rsidRPr="007E765B" w:rsidRDefault="00D012BB" w:rsidP="00485C7F">
            <w:pPr>
              <w:pStyle w:val="Doccode"/>
            </w:pPr>
            <w:r w:rsidRPr="007E765B">
              <w:t>TWP</w:t>
            </w:r>
            <w:r w:rsidR="00EC2A4F" w:rsidRPr="007E765B">
              <w:t>/1/11</w:t>
            </w:r>
          </w:p>
          <w:p w:rsidR="00524CC2" w:rsidRPr="007E765B" w:rsidRDefault="00524CC2" w:rsidP="00485C7F">
            <w:pPr>
              <w:pStyle w:val="Docoriginal"/>
            </w:pPr>
            <w:r w:rsidRPr="007E765B">
              <w:t>Original:</w:t>
            </w:r>
            <w:r w:rsidRPr="007E765B">
              <w:rPr>
                <w:b w:val="0"/>
                <w:spacing w:val="0"/>
              </w:rPr>
              <w:t xml:space="preserve">  English</w:t>
            </w:r>
          </w:p>
          <w:p w:rsidR="00524CC2" w:rsidRPr="007C1D92" w:rsidRDefault="00524CC2" w:rsidP="007E765B">
            <w:pPr>
              <w:pStyle w:val="Docoriginal"/>
            </w:pPr>
            <w:r w:rsidRPr="007E765B">
              <w:t>Date:</w:t>
            </w:r>
            <w:r w:rsidRPr="007E765B">
              <w:rPr>
                <w:b w:val="0"/>
                <w:spacing w:val="0"/>
              </w:rPr>
              <w:t xml:space="preserve">  </w:t>
            </w:r>
            <w:r w:rsidR="00B64575" w:rsidRPr="007E765B">
              <w:rPr>
                <w:b w:val="0"/>
                <w:spacing w:val="0"/>
              </w:rPr>
              <w:t xml:space="preserve">June </w:t>
            </w:r>
            <w:r w:rsidR="00C354BD" w:rsidRPr="007E765B">
              <w:rPr>
                <w:b w:val="0"/>
                <w:spacing w:val="0"/>
              </w:rPr>
              <w:t>1</w:t>
            </w:r>
            <w:r w:rsidR="007E765B" w:rsidRPr="007E765B">
              <w:rPr>
                <w:b w:val="0"/>
                <w:spacing w:val="0"/>
              </w:rPr>
              <w:t>6</w:t>
            </w:r>
            <w:r w:rsidR="007B0C12" w:rsidRPr="007E765B">
              <w:rPr>
                <w:b w:val="0"/>
                <w:spacing w:val="0"/>
              </w:rPr>
              <w:t>, 2017</w:t>
            </w:r>
          </w:p>
        </w:tc>
      </w:tr>
    </w:tbl>
    <w:p w:rsidR="00D51651" w:rsidRPr="006A644A" w:rsidRDefault="00EC2A4F" w:rsidP="00D51651">
      <w:pPr>
        <w:pStyle w:val="Titleofdoc0"/>
      </w:pPr>
      <w:r w:rsidRPr="00EC2A4F">
        <w:t xml:space="preserve">Duration of DUS tests </w:t>
      </w:r>
    </w:p>
    <w:p w:rsidR="00D51651" w:rsidRDefault="00D51651" w:rsidP="00D51651">
      <w:pPr>
        <w:pStyle w:val="preparedby1"/>
      </w:pPr>
      <w:bookmarkStart w:id="1" w:name="Prepared"/>
      <w:bookmarkEnd w:id="1"/>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B64575" w:rsidRPr="0021251E" w:rsidRDefault="00B64575" w:rsidP="00B64575">
      <w:pPr>
        <w:pStyle w:val="Heading1"/>
      </w:pPr>
      <w:bookmarkStart w:id="2" w:name="_Toc484625146"/>
      <w:bookmarkStart w:id="3" w:name="_Toc485133357"/>
      <w:r w:rsidRPr="0021251E">
        <w:t>EXECUTIVE SUMMARY</w:t>
      </w:r>
      <w:bookmarkEnd w:id="2"/>
      <w:bookmarkEnd w:id="3"/>
    </w:p>
    <w:p w:rsidR="00B64575" w:rsidRPr="0021251E" w:rsidRDefault="00B64575" w:rsidP="00B64575">
      <w:pPr>
        <w:autoSpaceDE w:val="0"/>
        <w:autoSpaceDN w:val="0"/>
        <w:adjustRightInd w:val="0"/>
        <w:rPr>
          <w:szCs w:val="24"/>
        </w:rPr>
      </w:pPr>
    </w:p>
    <w:p w:rsidR="00B64575" w:rsidRPr="0021251E" w:rsidRDefault="00B64575" w:rsidP="00B64575">
      <w:pPr>
        <w:autoSpaceDE w:val="0"/>
        <w:autoSpaceDN w:val="0"/>
        <w:adjustRightInd w:val="0"/>
        <w:rPr>
          <w:rFonts w:eastAsia="MS Mincho"/>
          <w:color w:val="000000"/>
          <w:szCs w:val="24"/>
          <w:lang w:eastAsia="ja-JP"/>
        </w:rPr>
      </w:pPr>
      <w:r w:rsidRPr="0021251E">
        <w:rPr>
          <w:szCs w:val="24"/>
        </w:rPr>
        <w:fldChar w:fldCharType="begin"/>
      </w:r>
      <w:r w:rsidRPr="0021251E">
        <w:rPr>
          <w:szCs w:val="24"/>
        </w:rPr>
        <w:instrText xml:space="preserve"> AUTONUM  </w:instrText>
      </w:r>
      <w:r w:rsidRPr="0021251E">
        <w:rPr>
          <w:szCs w:val="24"/>
        </w:rPr>
        <w:fldChar w:fldCharType="end"/>
      </w:r>
      <w:r w:rsidRPr="0021251E">
        <w:rPr>
          <w:szCs w:val="24"/>
        </w:rPr>
        <w:tab/>
      </w:r>
      <w:r w:rsidRPr="0021251E">
        <w:rPr>
          <w:rFonts w:eastAsia="MS Mincho"/>
          <w:color w:val="000000"/>
          <w:szCs w:val="24"/>
          <w:lang w:eastAsia="ja-JP"/>
        </w:rPr>
        <w:t xml:space="preserve">The purpose of this document is to </w:t>
      </w:r>
      <w:r>
        <w:rPr>
          <w:rFonts w:eastAsia="MS Mincho"/>
          <w:color w:val="000000"/>
          <w:szCs w:val="24"/>
          <w:lang w:eastAsia="ja-JP"/>
        </w:rPr>
        <w:t>report on developments concerning the guidance in document TGP/7 on the duration</w:t>
      </w:r>
      <w:r w:rsidR="00502A05">
        <w:rPr>
          <w:rFonts w:eastAsia="MS Mincho"/>
          <w:color w:val="000000"/>
          <w:szCs w:val="24"/>
          <w:lang w:eastAsia="ja-JP"/>
        </w:rPr>
        <w:t xml:space="preserve"> of DUS testing in the fruit sector.</w:t>
      </w:r>
    </w:p>
    <w:p w:rsidR="00B64575" w:rsidRPr="0021251E" w:rsidRDefault="00B64575" w:rsidP="00B64575">
      <w:pPr>
        <w:autoSpaceDE w:val="0"/>
        <w:autoSpaceDN w:val="0"/>
        <w:adjustRightInd w:val="0"/>
        <w:rPr>
          <w:rFonts w:eastAsia="MS Mincho"/>
          <w:color w:val="000000"/>
          <w:szCs w:val="24"/>
          <w:lang w:eastAsia="ja-JP"/>
        </w:rPr>
      </w:pPr>
    </w:p>
    <w:p w:rsidR="00502A05" w:rsidRDefault="00B64575" w:rsidP="00346B23">
      <w:pPr>
        <w:pStyle w:val="DecisionParagraphs"/>
        <w:keepNext/>
        <w:tabs>
          <w:tab w:val="left" w:pos="567"/>
          <w:tab w:val="left" w:pos="1134"/>
        </w:tabs>
        <w:ind w:left="0"/>
      </w:pPr>
      <w:r w:rsidRPr="00B67B68">
        <w:rPr>
          <w:i w:val="0"/>
        </w:rPr>
        <w:fldChar w:fldCharType="begin"/>
      </w:r>
      <w:r w:rsidRPr="00B67B68">
        <w:rPr>
          <w:i w:val="0"/>
        </w:rPr>
        <w:instrText xml:space="preserve"> AUTONUM  </w:instrText>
      </w:r>
      <w:r w:rsidRPr="00B67B68">
        <w:rPr>
          <w:i w:val="0"/>
        </w:rPr>
        <w:fldChar w:fldCharType="end"/>
      </w:r>
      <w:r w:rsidRPr="00B67B68">
        <w:rPr>
          <w:i w:val="0"/>
        </w:rPr>
        <w:tab/>
      </w:r>
      <w:r w:rsidR="00412045" w:rsidRPr="00412045">
        <w:rPr>
          <w:i w:val="0"/>
        </w:rPr>
        <w:t xml:space="preserve">The TWPs are invited to consider the proposed revision of document TGP/7 to clarify the duration of </w:t>
      </w:r>
      <w:r w:rsidR="00412045" w:rsidRPr="007E765B">
        <w:rPr>
          <w:i w:val="0"/>
        </w:rPr>
        <w:t>DUS testing, as set out in paragraph 11 of this document, and possible improvements to the proposed text.</w:t>
      </w:r>
    </w:p>
    <w:p w:rsidR="00CA69B5" w:rsidRPr="00CA69B5" w:rsidRDefault="00CA69B5" w:rsidP="00CA69B5"/>
    <w:p w:rsidR="00CA69B5" w:rsidRPr="00CA69B5" w:rsidRDefault="00CA69B5" w:rsidP="00CA69B5">
      <w:r w:rsidRPr="00CA69B5">
        <w:fldChar w:fldCharType="begin"/>
      </w:r>
      <w:r w:rsidRPr="00CA69B5">
        <w:instrText xml:space="preserve"> AUTONUM  </w:instrText>
      </w:r>
      <w:r w:rsidRPr="00CA69B5">
        <w:fldChar w:fldCharType="end"/>
      </w:r>
      <w:r w:rsidRPr="00CA69B5">
        <w:tab/>
        <w:t>The following abbreviations are used in this document:</w:t>
      </w:r>
    </w:p>
    <w:p w:rsidR="00CA69B5" w:rsidRPr="00CA69B5" w:rsidRDefault="00CA69B5" w:rsidP="00CA69B5"/>
    <w:p w:rsidR="00CA69B5" w:rsidRPr="00CA69B5" w:rsidRDefault="00CA69B5" w:rsidP="00CA69B5">
      <w:r w:rsidRPr="00CA69B5">
        <w:tab/>
        <w:t>TC:</w:t>
      </w:r>
      <w:r w:rsidRPr="00CA69B5">
        <w:tab/>
      </w:r>
      <w:r w:rsidRPr="00CA69B5">
        <w:tab/>
        <w:t>Technical Committee</w:t>
      </w:r>
    </w:p>
    <w:p w:rsidR="00CA69B5" w:rsidRPr="00CA69B5" w:rsidRDefault="00CA69B5" w:rsidP="00CA69B5">
      <w:r w:rsidRPr="00CA69B5">
        <w:tab/>
        <w:t xml:space="preserve">TWF: </w:t>
      </w:r>
      <w:r w:rsidRPr="00CA69B5">
        <w:tab/>
      </w:r>
      <w:r w:rsidRPr="00CA69B5">
        <w:tab/>
        <w:t>Technical Working Party for Fruit Crops</w:t>
      </w:r>
    </w:p>
    <w:p w:rsidR="00CA69B5" w:rsidRPr="00CA69B5" w:rsidRDefault="00CA69B5" w:rsidP="00CA69B5">
      <w:r w:rsidRPr="00CA69B5">
        <w:tab/>
        <w:t>TWPs:</w:t>
      </w:r>
      <w:r w:rsidRPr="00CA69B5">
        <w:tab/>
        <w:t>Technical Working Parties</w:t>
      </w:r>
    </w:p>
    <w:p w:rsidR="00502A05" w:rsidRDefault="00502A05" w:rsidP="00502A05"/>
    <w:p w:rsidR="00097858" w:rsidRDefault="00097858" w:rsidP="00502A05">
      <w:r>
        <w:fldChar w:fldCharType="begin"/>
      </w:r>
      <w:r>
        <w:instrText xml:space="preserve"> AUTONUM  </w:instrText>
      </w:r>
      <w:r>
        <w:fldChar w:fldCharType="end"/>
      </w:r>
      <w:r>
        <w:tab/>
        <w:t>The structure of this document is as follows:</w:t>
      </w:r>
    </w:p>
    <w:p w:rsidR="00097858" w:rsidRDefault="00097858" w:rsidP="00502A05"/>
    <w:p w:rsidR="00B26F5E" w:rsidRDefault="00097858">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485133357" w:history="1">
        <w:r w:rsidR="00B26F5E" w:rsidRPr="00113201">
          <w:rPr>
            <w:rStyle w:val="Hyperlink"/>
            <w:noProof/>
          </w:rPr>
          <w:t>EXECUTIVE SUMMARY</w:t>
        </w:r>
        <w:r w:rsidR="00B26F5E">
          <w:rPr>
            <w:noProof/>
            <w:webHidden/>
          </w:rPr>
          <w:tab/>
        </w:r>
        <w:r w:rsidR="00B26F5E">
          <w:rPr>
            <w:noProof/>
            <w:webHidden/>
          </w:rPr>
          <w:fldChar w:fldCharType="begin"/>
        </w:r>
        <w:r w:rsidR="00B26F5E">
          <w:rPr>
            <w:noProof/>
            <w:webHidden/>
          </w:rPr>
          <w:instrText xml:space="preserve"> PAGEREF _Toc485133357 \h </w:instrText>
        </w:r>
        <w:r w:rsidR="00B26F5E">
          <w:rPr>
            <w:noProof/>
            <w:webHidden/>
          </w:rPr>
        </w:r>
        <w:r w:rsidR="00B26F5E">
          <w:rPr>
            <w:noProof/>
            <w:webHidden/>
          </w:rPr>
          <w:fldChar w:fldCharType="separate"/>
        </w:r>
        <w:r w:rsidR="004E0D92">
          <w:rPr>
            <w:noProof/>
            <w:webHidden/>
          </w:rPr>
          <w:t>1</w:t>
        </w:r>
        <w:r w:rsidR="00B26F5E">
          <w:rPr>
            <w:noProof/>
            <w:webHidden/>
          </w:rPr>
          <w:fldChar w:fldCharType="end"/>
        </w:r>
      </w:hyperlink>
    </w:p>
    <w:p w:rsidR="00B26F5E" w:rsidRDefault="004E0D92">
      <w:pPr>
        <w:pStyle w:val="TOC1"/>
        <w:rPr>
          <w:rFonts w:asciiTheme="minorHAnsi" w:eastAsiaTheme="minorEastAsia" w:hAnsiTheme="minorHAnsi" w:cstheme="minorBidi"/>
          <w:caps w:val="0"/>
          <w:noProof/>
          <w:sz w:val="22"/>
          <w:szCs w:val="22"/>
        </w:rPr>
      </w:pPr>
      <w:hyperlink w:anchor="_Toc485133358" w:history="1">
        <w:r w:rsidR="00B26F5E" w:rsidRPr="00113201">
          <w:rPr>
            <w:rStyle w:val="Hyperlink"/>
            <w:rFonts w:eastAsia="MS Mincho"/>
            <w:noProof/>
            <w:lang w:eastAsia="ja-JP"/>
          </w:rPr>
          <w:t>BACKGROUND</w:t>
        </w:r>
        <w:r w:rsidR="00B26F5E">
          <w:rPr>
            <w:noProof/>
            <w:webHidden/>
          </w:rPr>
          <w:tab/>
        </w:r>
        <w:r w:rsidR="00B26F5E">
          <w:rPr>
            <w:noProof/>
            <w:webHidden/>
          </w:rPr>
          <w:fldChar w:fldCharType="begin"/>
        </w:r>
        <w:r w:rsidR="00B26F5E">
          <w:rPr>
            <w:noProof/>
            <w:webHidden/>
          </w:rPr>
          <w:instrText xml:space="preserve"> PAGEREF _Toc485133358 \h </w:instrText>
        </w:r>
        <w:r w:rsidR="00B26F5E">
          <w:rPr>
            <w:noProof/>
            <w:webHidden/>
          </w:rPr>
        </w:r>
        <w:r w:rsidR="00B26F5E">
          <w:rPr>
            <w:noProof/>
            <w:webHidden/>
          </w:rPr>
          <w:fldChar w:fldCharType="separate"/>
        </w:r>
        <w:r>
          <w:rPr>
            <w:noProof/>
            <w:webHidden/>
          </w:rPr>
          <w:t>2</w:t>
        </w:r>
        <w:r w:rsidR="00B26F5E">
          <w:rPr>
            <w:noProof/>
            <w:webHidden/>
          </w:rPr>
          <w:fldChar w:fldCharType="end"/>
        </w:r>
      </w:hyperlink>
    </w:p>
    <w:p w:rsidR="00B26F5E" w:rsidRDefault="004E0D92">
      <w:pPr>
        <w:pStyle w:val="TOC1"/>
        <w:rPr>
          <w:rFonts w:asciiTheme="minorHAnsi" w:eastAsiaTheme="minorEastAsia" w:hAnsiTheme="minorHAnsi" w:cstheme="minorBidi"/>
          <w:caps w:val="0"/>
          <w:noProof/>
          <w:sz w:val="22"/>
          <w:szCs w:val="22"/>
        </w:rPr>
      </w:pPr>
      <w:hyperlink w:anchor="_Toc485133359" w:history="1">
        <w:r w:rsidR="00B26F5E" w:rsidRPr="00113201">
          <w:rPr>
            <w:rStyle w:val="Hyperlink"/>
            <w:noProof/>
          </w:rPr>
          <w:t>DEVELOPMENTS IN 2017</w:t>
        </w:r>
        <w:r w:rsidR="00B26F5E">
          <w:rPr>
            <w:noProof/>
            <w:webHidden/>
          </w:rPr>
          <w:tab/>
        </w:r>
        <w:r w:rsidR="00B26F5E">
          <w:rPr>
            <w:noProof/>
            <w:webHidden/>
          </w:rPr>
          <w:fldChar w:fldCharType="begin"/>
        </w:r>
        <w:r w:rsidR="00B26F5E">
          <w:rPr>
            <w:noProof/>
            <w:webHidden/>
          </w:rPr>
          <w:instrText xml:space="preserve"> PAGEREF _Toc485133359 \h </w:instrText>
        </w:r>
        <w:r w:rsidR="00B26F5E">
          <w:rPr>
            <w:noProof/>
            <w:webHidden/>
          </w:rPr>
        </w:r>
        <w:r w:rsidR="00B26F5E">
          <w:rPr>
            <w:noProof/>
            <w:webHidden/>
          </w:rPr>
          <w:fldChar w:fldCharType="separate"/>
        </w:r>
        <w:r>
          <w:rPr>
            <w:noProof/>
            <w:webHidden/>
          </w:rPr>
          <w:t>2</w:t>
        </w:r>
        <w:r w:rsidR="00B26F5E">
          <w:rPr>
            <w:noProof/>
            <w:webHidden/>
          </w:rPr>
          <w:fldChar w:fldCharType="end"/>
        </w:r>
      </w:hyperlink>
    </w:p>
    <w:p w:rsidR="00B26F5E" w:rsidRDefault="004E0D92">
      <w:pPr>
        <w:pStyle w:val="TOC1"/>
        <w:rPr>
          <w:rFonts w:asciiTheme="minorHAnsi" w:eastAsiaTheme="minorEastAsia" w:hAnsiTheme="minorHAnsi" w:cstheme="minorBidi"/>
          <w:caps w:val="0"/>
          <w:noProof/>
          <w:sz w:val="22"/>
          <w:szCs w:val="22"/>
        </w:rPr>
      </w:pPr>
      <w:hyperlink w:anchor="_Toc485133360" w:history="1">
        <w:r w:rsidR="00B26F5E" w:rsidRPr="00113201">
          <w:rPr>
            <w:rStyle w:val="Hyperlink"/>
            <w:noProof/>
          </w:rPr>
          <w:t>PROPOSAL</w:t>
        </w:r>
        <w:r w:rsidR="00B26F5E">
          <w:rPr>
            <w:noProof/>
            <w:webHidden/>
          </w:rPr>
          <w:tab/>
        </w:r>
        <w:r w:rsidR="00B26F5E">
          <w:rPr>
            <w:noProof/>
            <w:webHidden/>
          </w:rPr>
          <w:fldChar w:fldCharType="begin"/>
        </w:r>
        <w:r w:rsidR="00B26F5E">
          <w:rPr>
            <w:noProof/>
            <w:webHidden/>
          </w:rPr>
          <w:instrText xml:space="preserve"> PAGEREF _Toc485133360 \h </w:instrText>
        </w:r>
        <w:r w:rsidR="00B26F5E">
          <w:rPr>
            <w:noProof/>
            <w:webHidden/>
          </w:rPr>
        </w:r>
        <w:r w:rsidR="00B26F5E">
          <w:rPr>
            <w:noProof/>
            <w:webHidden/>
          </w:rPr>
          <w:fldChar w:fldCharType="separate"/>
        </w:r>
        <w:r>
          <w:rPr>
            <w:noProof/>
            <w:webHidden/>
          </w:rPr>
          <w:t>3</w:t>
        </w:r>
        <w:r w:rsidR="00B26F5E">
          <w:rPr>
            <w:noProof/>
            <w:webHidden/>
          </w:rPr>
          <w:fldChar w:fldCharType="end"/>
        </w:r>
      </w:hyperlink>
    </w:p>
    <w:p w:rsidR="00B26F5E" w:rsidRDefault="004E0D92">
      <w:pPr>
        <w:pStyle w:val="TOC2"/>
        <w:rPr>
          <w:rFonts w:asciiTheme="minorHAnsi" w:eastAsiaTheme="minorEastAsia" w:hAnsiTheme="minorHAnsi" w:cstheme="minorBidi"/>
          <w:smallCaps w:val="0"/>
          <w:noProof/>
          <w:sz w:val="22"/>
          <w:szCs w:val="22"/>
        </w:rPr>
      </w:pPr>
      <w:hyperlink w:anchor="_Toc485133361" w:history="1">
        <w:r w:rsidR="00B26F5E" w:rsidRPr="00113201">
          <w:rPr>
            <w:rStyle w:val="Hyperlink"/>
            <w:noProof/>
          </w:rPr>
          <w:t>ASW 2(a):</w:t>
        </w:r>
        <w:r w:rsidR="00B26F5E">
          <w:rPr>
            <w:noProof/>
            <w:webHidden/>
          </w:rPr>
          <w:tab/>
        </w:r>
        <w:r w:rsidR="00B26F5E">
          <w:rPr>
            <w:noProof/>
            <w:webHidden/>
          </w:rPr>
          <w:fldChar w:fldCharType="begin"/>
        </w:r>
        <w:r w:rsidR="00B26F5E">
          <w:rPr>
            <w:noProof/>
            <w:webHidden/>
          </w:rPr>
          <w:instrText xml:space="preserve"> PAGEREF _Toc485133361 \h </w:instrText>
        </w:r>
        <w:r w:rsidR="00B26F5E">
          <w:rPr>
            <w:noProof/>
            <w:webHidden/>
          </w:rPr>
        </w:r>
        <w:r w:rsidR="00B26F5E">
          <w:rPr>
            <w:noProof/>
            <w:webHidden/>
          </w:rPr>
          <w:fldChar w:fldCharType="separate"/>
        </w:r>
        <w:r>
          <w:rPr>
            <w:noProof/>
            <w:webHidden/>
          </w:rPr>
          <w:t>3</w:t>
        </w:r>
        <w:r w:rsidR="00B26F5E">
          <w:rPr>
            <w:noProof/>
            <w:webHidden/>
          </w:rPr>
          <w:fldChar w:fldCharType="end"/>
        </w:r>
      </w:hyperlink>
    </w:p>
    <w:p w:rsidR="00B26F5E" w:rsidRDefault="004E0D92">
      <w:pPr>
        <w:pStyle w:val="TOC2"/>
        <w:rPr>
          <w:rFonts w:asciiTheme="minorHAnsi" w:eastAsiaTheme="minorEastAsia" w:hAnsiTheme="minorHAnsi" w:cstheme="minorBidi"/>
          <w:smallCaps w:val="0"/>
          <w:noProof/>
          <w:sz w:val="22"/>
          <w:szCs w:val="22"/>
        </w:rPr>
      </w:pPr>
      <w:hyperlink w:anchor="_Toc485133362" w:history="1">
        <w:r w:rsidR="00B26F5E" w:rsidRPr="00113201">
          <w:rPr>
            <w:rStyle w:val="Hyperlink"/>
            <w:noProof/>
          </w:rPr>
          <w:t>ASW 2(b):</w:t>
        </w:r>
        <w:r w:rsidR="00B26F5E">
          <w:rPr>
            <w:noProof/>
            <w:webHidden/>
          </w:rPr>
          <w:tab/>
        </w:r>
        <w:r w:rsidR="00B26F5E">
          <w:rPr>
            <w:noProof/>
            <w:webHidden/>
          </w:rPr>
          <w:fldChar w:fldCharType="begin"/>
        </w:r>
        <w:r w:rsidR="00B26F5E">
          <w:rPr>
            <w:noProof/>
            <w:webHidden/>
          </w:rPr>
          <w:instrText xml:space="preserve"> PAGEREF _Toc485133362 \h </w:instrText>
        </w:r>
        <w:r w:rsidR="00B26F5E">
          <w:rPr>
            <w:noProof/>
            <w:webHidden/>
          </w:rPr>
        </w:r>
        <w:r w:rsidR="00B26F5E">
          <w:rPr>
            <w:noProof/>
            <w:webHidden/>
          </w:rPr>
          <w:fldChar w:fldCharType="separate"/>
        </w:r>
        <w:r>
          <w:rPr>
            <w:noProof/>
            <w:webHidden/>
          </w:rPr>
          <w:t>4</w:t>
        </w:r>
        <w:r w:rsidR="00B26F5E">
          <w:rPr>
            <w:noProof/>
            <w:webHidden/>
          </w:rPr>
          <w:fldChar w:fldCharType="end"/>
        </w:r>
      </w:hyperlink>
    </w:p>
    <w:p w:rsidR="00097858" w:rsidRDefault="00097858" w:rsidP="00753655">
      <w:pPr>
        <w:ind w:left="1134" w:hanging="1134"/>
        <w:jc w:val="left"/>
      </w:pPr>
      <w:r>
        <w:fldChar w:fldCharType="end"/>
      </w:r>
      <w:r w:rsidR="008525AA">
        <w:t>ANNEX</w:t>
      </w:r>
      <w:r w:rsidR="008525AA">
        <w:tab/>
        <w:t>EXTRACT FROM DOCUMENT TGP/7 “DEVELOPMENT OF TEST GUIDELINES” (ASW 2, ASW 3)</w:t>
      </w:r>
    </w:p>
    <w:p w:rsidR="00097858" w:rsidRDefault="00097858" w:rsidP="00502A05"/>
    <w:p w:rsidR="00097858" w:rsidRDefault="00097858" w:rsidP="00502A05"/>
    <w:p w:rsidR="00502A05" w:rsidRPr="0021251E" w:rsidRDefault="00502A05" w:rsidP="00502A05">
      <w:pPr>
        <w:pStyle w:val="Heading1"/>
        <w:rPr>
          <w:rFonts w:eastAsia="MS Mincho"/>
          <w:lang w:eastAsia="ja-JP"/>
        </w:rPr>
      </w:pPr>
      <w:bookmarkStart w:id="4" w:name="_Toc484625147"/>
      <w:bookmarkStart w:id="5" w:name="_Toc485133358"/>
      <w:r w:rsidRPr="0021251E">
        <w:rPr>
          <w:rFonts w:eastAsia="MS Mincho"/>
          <w:lang w:eastAsia="ja-JP"/>
        </w:rPr>
        <w:lastRenderedPageBreak/>
        <w:t>BACKGROUND</w:t>
      </w:r>
      <w:bookmarkEnd w:id="4"/>
      <w:bookmarkEnd w:id="5"/>
    </w:p>
    <w:p w:rsidR="00682DA4" w:rsidRDefault="00682DA4" w:rsidP="00227BD4">
      <w:pPr>
        <w:pStyle w:val="Heading1"/>
      </w:pPr>
      <w:bookmarkStart w:id="6" w:name="_Toc484625148"/>
    </w:p>
    <w:bookmarkEnd w:id="6"/>
    <w:p w:rsidR="00B64575" w:rsidRDefault="00B64575" w:rsidP="00227BD4">
      <w:r w:rsidRPr="00373D71">
        <w:fldChar w:fldCharType="begin"/>
      </w:r>
      <w:r w:rsidRPr="00373D71">
        <w:instrText xml:space="preserve"> AUTONUM  </w:instrText>
      </w:r>
      <w:r w:rsidRPr="00373D71">
        <w:fldChar w:fldCharType="end"/>
      </w:r>
      <w:r w:rsidRPr="00373D71">
        <w:tab/>
        <w:t xml:space="preserve">The TC, at its fifty-second session, </w:t>
      </w:r>
      <w:r w:rsidR="00971665">
        <w:t xml:space="preserve">held in Geneva, from </w:t>
      </w:r>
      <w:r w:rsidR="00971665" w:rsidRPr="00971665">
        <w:t>March 14 to 16, 2016</w:t>
      </w:r>
      <w:r w:rsidR="00971665">
        <w:t xml:space="preserve">, </w:t>
      </w:r>
      <w:r w:rsidRPr="00373D71">
        <w:t>agreed to consider whether to seek to amend the guidance in document TGP/7 on the duration of DUS testing for fruit crops after further discussions by the TWF, at its session in 2016.  In that regard, it requested the TWF to review whether the existing guidance in TGP</w:t>
      </w:r>
      <w:r>
        <w:t> </w:t>
      </w:r>
      <w:r w:rsidRPr="00373D71">
        <w:t>documents precluded the conclusion of a DUS examination after one growing cycle (see</w:t>
      </w:r>
      <w:r>
        <w:t> </w:t>
      </w:r>
      <w:r w:rsidRPr="00373D71">
        <w:t>document TC/52/29 Rev. “Revised Report”, paragraph 122).</w:t>
      </w:r>
    </w:p>
    <w:p w:rsidR="00B64575" w:rsidRDefault="00B64575" w:rsidP="00227BD4"/>
    <w:p w:rsidR="00B64575" w:rsidRPr="005902C4" w:rsidRDefault="00B64575" w:rsidP="00227BD4">
      <w:r w:rsidRPr="005902C4">
        <w:fldChar w:fldCharType="begin"/>
      </w:r>
      <w:r w:rsidRPr="005902C4">
        <w:instrText xml:space="preserve"> AUTONUM  </w:instrText>
      </w:r>
      <w:r w:rsidRPr="005902C4">
        <w:fldChar w:fldCharType="end"/>
      </w:r>
      <w:r w:rsidRPr="005902C4">
        <w:tab/>
        <w:t>The TWF</w:t>
      </w:r>
      <w:r>
        <w:t>, at its forty-seventh session,</w:t>
      </w:r>
      <w:r w:rsidRPr="005902C4">
        <w:t xml:space="preserve"> </w:t>
      </w:r>
      <w:r>
        <w:t xml:space="preserve">held in Angers, France, </w:t>
      </w:r>
      <w:r w:rsidR="00227BD4">
        <w:t xml:space="preserve">from </w:t>
      </w:r>
      <w:r w:rsidR="00227BD4" w:rsidRPr="00227BD4">
        <w:t>November 14 to 18, 2016</w:t>
      </w:r>
      <w:r w:rsidR="00227BD4">
        <w:t xml:space="preserve">, </w:t>
      </w:r>
      <w:r w:rsidRPr="005902C4">
        <w:t>considered document TWF/47/19</w:t>
      </w:r>
      <w:r>
        <w:t xml:space="preserve"> “</w:t>
      </w:r>
      <w:r w:rsidRPr="005902C4">
        <w:t>Duration of DUS tests in the fruit sector</w:t>
      </w:r>
      <w:r>
        <w:t>” (see document TWF/47/25 “Report”, paragraphs 47 and 48)</w:t>
      </w:r>
      <w:r w:rsidR="00227BD4">
        <w:t>.</w:t>
      </w:r>
    </w:p>
    <w:p w:rsidR="00C354BD" w:rsidRPr="005902C4" w:rsidRDefault="00C354BD" w:rsidP="00C354BD">
      <w:pPr>
        <w:pStyle w:val="Heading2"/>
      </w:pPr>
    </w:p>
    <w:p w:rsidR="00C354BD" w:rsidRPr="00A81FF7" w:rsidRDefault="00C354BD" w:rsidP="00C354BD">
      <w:r w:rsidRPr="005902C4">
        <w:fldChar w:fldCharType="begin"/>
      </w:r>
      <w:r w:rsidRPr="005902C4">
        <w:instrText xml:space="preserve"> AUTONUM  </w:instrText>
      </w:r>
      <w:r w:rsidRPr="005902C4">
        <w:fldChar w:fldCharType="end"/>
      </w:r>
      <w:r w:rsidRPr="005902C4">
        <w:tab/>
        <w:t xml:space="preserve">The TWF considered the proposal from an expert from the European Union and agreed to propose to modify the wording of document TGP/7 as follows, in order to reflect common practice in the fruit sector </w:t>
      </w:r>
      <w:r w:rsidRPr="00A81FF7">
        <w:t>(</w:t>
      </w:r>
      <w:r w:rsidRPr="00A81FF7">
        <w:rPr>
          <w:rFonts w:cs="Arial"/>
          <w:strike/>
          <w:highlight w:val="lightGray"/>
        </w:rPr>
        <w:t>Strikethrough</w:t>
      </w:r>
      <w:r w:rsidRPr="00A81FF7">
        <w:rPr>
          <w:rFonts w:cs="Arial"/>
        </w:rPr>
        <w:t xml:space="preserve"> (highlighted) indicates proposed deletion of text;</w:t>
      </w:r>
      <w:r>
        <w:rPr>
          <w:rFonts w:cs="Arial"/>
        </w:rPr>
        <w:t xml:space="preserve"> </w:t>
      </w:r>
      <w:r w:rsidRPr="00A81FF7">
        <w:rPr>
          <w:rFonts w:cs="Arial"/>
        </w:rPr>
        <w:t xml:space="preserve"> </w:t>
      </w:r>
      <w:r w:rsidRPr="00A81FF7">
        <w:rPr>
          <w:rFonts w:cs="Arial"/>
          <w:highlight w:val="lightGray"/>
          <w:u w:val="single"/>
        </w:rPr>
        <w:t>Underlining</w:t>
      </w:r>
      <w:r w:rsidRPr="00A81FF7">
        <w:rPr>
          <w:rFonts w:cs="Arial"/>
        </w:rPr>
        <w:t xml:space="preserve"> (highlighted) indicates proposed insertion of text</w:t>
      </w:r>
      <w:r w:rsidRPr="00A81FF7">
        <w:t>):</w:t>
      </w:r>
    </w:p>
    <w:p w:rsidR="00C354BD" w:rsidRDefault="00C354BD" w:rsidP="00C354BD"/>
    <w:p w:rsidR="005D602B" w:rsidRDefault="005D602B" w:rsidP="00C354BD"/>
    <w:p w:rsidR="00C354BD" w:rsidRPr="00A81FF7" w:rsidRDefault="00C354BD" w:rsidP="00C354BD">
      <w:pPr>
        <w:numPr>
          <w:ilvl w:val="0"/>
          <w:numId w:val="1"/>
        </w:numPr>
        <w:autoSpaceDE w:val="0"/>
        <w:autoSpaceDN w:val="0"/>
        <w:adjustRightInd w:val="0"/>
        <w:spacing w:after="120"/>
        <w:jc w:val="left"/>
        <w:rPr>
          <w:rFonts w:eastAsia="Cambria" w:cs="Arial"/>
          <w:b/>
          <w:i/>
          <w:szCs w:val="18"/>
        </w:rPr>
      </w:pPr>
      <w:r w:rsidRPr="00A81FF7">
        <w:rPr>
          <w:rFonts w:eastAsia="Cambria" w:cs="Arial"/>
          <w:b/>
          <w:i/>
          <w:szCs w:val="18"/>
        </w:rPr>
        <w:t>Addition of a standard sentence at the point 3 of the UPOV TG Template so that it reads:</w:t>
      </w:r>
    </w:p>
    <w:p w:rsidR="00C354BD" w:rsidRPr="00A81FF7" w:rsidRDefault="00C354BD" w:rsidP="00C354BD">
      <w:pPr>
        <w:autoSpaceDE w:val="0"/>
        <w:autoSpaceDN w:val="0"/>
        <w:adjustRightInd w:val="0"/>
        <w:ind w:right="567" w:firstLine="360"/>
        <w:jc w:val="left"/>
        <w:rPr>
          <w:rFonts w:eastAsia="Cambria" w:cs="Arial"/>
          <w:szCs w:val="18"/>
        </w:rPr>
      </w:pPr>
      <w:r w:rsidRPr="00A81FF7">
        <w:rPr>
          <w:rFonts w:eastAsia="Cambria" w:cs="Arial"/>
          <w:szCs w:val="18"/>
        </w:rPr>
        <w:t>“3. Method of Examination</w:t>
      </w:r>
    </w:p>
    <w:p w:rsidR="00C354BD" w:rsidRPr="00A81FF7" w:rsidRDefault="00C354BD" w:rsidP="00C354BD">
      <w:pPr>
        <w:autoSpaceDE w:val="0"/>
        <w:autoSpaceDN w:val="0"/>
        <w:adjustRightInd w:val="0"/>
        <w:ind w:right="567" w:firstLine="360"/>
        <w:jc w:val="left"/>
        <w:rPr>
          <w:rFonts w:eastAsia="Cambria" w:cs="Arial"/>
          <w:szCs w:val="18"/>
        </w:rPr>
      </w:pPr>
    </w:p>
    <w:p w:rsidR="00C354BD" w:rsidRPr="00A81FF7" w:rsidRDefault="00C354BD" w:rsidP="00C354BD">
      <w:pPr>
        <w:autoSpaceDE w:val="0"/>
        <w:autoSpaceDN w:val="0"/>
        <w:adjustRightInd w:val="0"/>
        <w:ind w:left="567" w:right="567"/>
        <w:jc w:val="left"/>
        <w:rPr>
          <w:rFonts w:eastAsia="Cambria" w:cs="Arial"/>
          <w:i/>
          <w:iCs/>
          <w:szCs w:val="18"/>
        </w:rPr>
      </w:pPr>
      <w:r w:rsidRPr="00A81FF7">
        <w:rPr>
          <w:rFonts w:eastAsia="Cambria" w:cs="Arial"/>
          <w:i/>
          <w:iCs/>
          <w:szCs w:val="18"/>
        </w:rPr>
        <w:t>“3.1 Number of Growing Cycles</w:t>
      </w:r>
    </w:p>
    <w:p w:rsidR="00C354BD" w:rsidRPr="00A81FF7" w:rsidRDefault="00C354BD" w:rsidP="00C354BD">
      <w:pPr>
        <w:autoSpaceDE w:val="0"/>
        <w:autoSpaceDN w:val="0"/>
        <w:adjustRightInd w:val="0"/>
        <w:ind w:left="567" w:right="567"/>
        <w:jc w:val="left"/>
        <w:rPr>
          <w:rFonts w:eastAsia="Cambria" w:cs="Arial"/>
          <w:i/>
          <w:iCs/>
          <w:szCs w:val="18"/>
        </w:rPr>
      </w:pPr>
    </w:p>
    <w:p w:rsidR="00C354BD" w:rsidRPr="00A81FF7" w:rsidRDefault="00C354BD" w:rsidP="00C354BD">
      <w:pPr>
        <w:autoSpaceDE w:val="0"/>
        <w:autoSpaceDN w:val="0"/>
        <w:adjustRightInd w:val="0"/>
        <w:ind w:left="567" w:right="567" w:firstLine="567"/>
        <w:jc w:val="left"/>
        <w:rPr>
          <w:rFonts w:eastAsia="Cambria" w:cs="Arial"/>
          <w:szCs w:val="18"/>
        </w:rPr>
      </w:pPr>
      <w:r w:rsidRPr="00A81FF7">
        <w:rPr>
          <w:rFonts w:eastAsia="Cambria" w:cs="Arial"/>
          <w:szCs w:val="18"/>
        </w:rPr>
        <w:t>“The minimum duration of tests should normally be:</w:t>
      </w:r>
    </w:p>
    <w:p w:rsidR="00C354BD" w:rsidRPr="00A81FF7" w:rsidRDefault="00C354BD" w:rsidP="00C354BD">
      <w:pPr>
        <w:autoSpaceDE w:val="0"/>
        <w:autoSpaceDN w:val="0"/>
        <w:adjustRightInd w:val="0"/>
        <w:ind w:left="567" w:right="567" w:firstLine="567"/>
        <w:jc w:val="left"/>
        <w:rPr>
          <w:rFonts w:eastAsia="Cambria" w:cs="Arial"/>
          <w:szCs w:val="18"/>
        </w:rPr>
      </w:pPr>
    </w:p>
    <w:p w:rsidR="00C354BD" w:rsidRPr="00A81FF7" w:rsidRDefault="00C354BD" w:rsidP="00C354BD">
      <w:pPr>
        <w:autoSpaceDE w:val="0"/>
        <w:autoSpaceDN w:val="0"/>
        <w:adjustRightInd w:val="0"/>
        <w:ind w:left="567" w:right="567" w:firstLine="567"/>
        <w:jc w:val="left"/>
        <w:rPr>
          <w:rFonts w:eastAsia="Cambria" w:cs="Arial"/>
          <w:szCs w:val="18"/>
        </w:rPr>
      </w:pPr>
      <w:r w:rsidRPr="00A81FF7">
        <w:rPr>
          <w:rFonts w:eastAsia="Cambria" w:cs="Arial"/>
          <w:szCs w:val="18"/>
        </w:rPr>
        <w:t>“</w:t>
      </w:r>
      <w:proofErr w:type="gramStart"/>
      <w:r w:rsidRPr="00A81FF7">
        <w:rPr>
          <w:rFonts w:eastAsia="Cambria" w:cs="Arial"/>
          <w:szCs w:val="18"/>
        </w:rPr>
        <w:t xml:space="preserve">{ </w:t>
      </w:r>
      <w:r w:rsidRPr="00A81FF7">
        <w:rPr>
          <w:rFonts w:eastAsia="Cambria" w:cs="Arial"/>
          <w:b/>
          <w:bCs/>
          <w:szCs w:val="18"/>
        </w:rPr>
        <w:t>ASW</w:t>
      </w:r>
      <w:proofErr w:type="gramEnd"/>
      <w:r w:rsidRPr="00A81FF7">
        <w:rPr>
          <w:rFonts w:eastAsia="Cambria" w:cs="Arial"/>
          <w:b/>
          <w:bCs/>
          <w:szCs w:val="18"/>
        </w:rPr>
        <w:t xml:space="preserve"> 2 </w:t>
      </w:r>
      <w:r w:rsidRPr="00A81FF7">
        <w:rPr>
          <w:rFonts w:eastAsia="Cambria" w:cs="Arial"/>
          <w:szCs w:val="18"/>
        </w:rPr>
        <w:t>(Chapter 3.1(.1)) – number of growing cycles }</w:t>
      </w:r>
    </w:p>
    <w:p w:rsidR="00C354BD" w:rsidRPr="00A81FF7" w:rsidRDefault="00C354BD" w:rsidP="00C354BD">
      <w:pPr>
        <w:autoSpaceDE w:val="0"/>
        <w:autoSpaceDN w:val="0"/>
        <w:adjustRightInd w:val="0"/>
        <w:ind w:left="567" w:right="567" w:firstLine="567"/>
        <w:jc w:val="left"/>
        <w:rPr>
          <w:rFonts w:eastAsia="Cambria" w:cs="Arial"/>
          <w:szCs w:val="18"/>
        </w:rPr>
      </w:pPr>
      <w:r w:rsidRPr="00A81FF7">
        <w:rPr>
          <w:rFonts w:eastAsia="Cambria" w:cs="Arial"/>
          <w:szCs w:val="18"/>
        </w:rPr>
        <w:t>“</w:t>
      </w:r>
      <w:proofErr w:type="gramStart"/>
      <w:r w:rsidRPr="00A81FF7">
        <w:rPr>
          <w:rFonts w:eastAsia="Cambria" w:cs="Arial"/>
          <w:szCs w:val="18"/>
        </w:rPr>
        <w:t>{ GN</w:t>
      </w:r>
      <w:proofErr w:type="gramEnd"/>
      <w:r w:rsidRPr="00A81FF7">
        <w:rPr>
          <w:rFonts w:eastAsia="Cambria" w:cs="Arial"/>
          <w:szCs w:val="18"/>
        </w:rPr>
        <w:t xml:space="preserve"> 8 (Chapter 3.1.2) – explanation of the growing cycle }</w:t>
      </w:r>
    </w:p>
    <w:p w:rsidR="00C354BD" w:rsidRPr="00A81FF7" w:rsidRDefault="00C354BD" w:rsidP="00C354BD">
      <w:pPr>
        <w:autoSpaceDE w:val="0"/>
        <w:autoSpaceDN w:val="0"/>
        <w:adjustRightInd w:val="0"/>
        <w:ind w:left="567" w:right="567" w:firstLine="567"/>
        <w:rPr>
          <w:rFonts w:eastAsia="Cambria" w:cs="Arial"/>
          <w:szCs w:val="18"/>
        </w:rPr>
      </w:pPr>
      <w:r w:rsidRPr="00A81FF7">
        <w:rPr>
          <w:rFonts w:eastAsia="Cambria" w:cs="Arial"/>
          <w:szCs w:val="18"/>
        </w:rPr>
        <w:t>“</w:t>
      </w:r>
      <w:proofErr w:type="gramStart"/>
      <w:r w:rsidRPr="00A81FF7">
        <w:rPr>
          <w:rFonts w:eastAsia="Cambria" w:cs="Arial"/>
          <w:szCs w:val="18"/>
        </w:rPr>
        <w:t xml:space="preserve">{ </w:t>
      </w:r>
      <w:r w:rsidRPr="00A81FF7">
        <w:rPr>
          <w:rFonts w:eastAsia="Cambria" w:cs="Arial"/>
          <w:b/>
          <w:bCs/>
          <w:szCs w:val="18"/>
        </w:rPr>
        <w:t>ASW</w:t>
      </w:r>
      <w:proofErr w:type="gramEnd"/>
      <w:r w:rsidRPr="00A81FF7">
        <w:rPr>
          <w:rFonts w:eastAsia="Cambria" w:cs="Arial"/>
          <w:b/>
          <w:bCs/>
          <w:szCs w:val="18"/>
        </w:rPr>
        <w:t xml:space="preserve"> 3 </w:t>
      </w:r>
      <w:r w:rsidRPr="00A81FF7">
        <w:rPr>
          <w:rFonts w:eastAsia="Cambria" w:cs="Arial"/>
          <w:szCs w:val="18"/>
        </w:rPr>
        <w:t>(Chapter 3.1.2) – explanation of the growing cycle }</w:t>
      </w:r>
    </w:p>
    <w:p w:rsidR="00C354BD" w:rsidRPr="00A81FF7" w:rsidRDefault="00C354BD" w:rsidP="00C354BD">
      <w:pPr>
        <w:autoSpaceDE w:val="0"/>
        <w:autoSpaceDN w:val="0"/>
        <w:adjustRightInd w:val="0"/>
        <w:ind w:left="567" w:right="567" w:firstLine="567"/>
        <w:rPr>
          <w:rFonts w:eastAsia="Cambria" w:cs="Arial"/>
          <w:color w:val="000000"/>
          <w:szCs w:val="18"/>
        </w:rPr>
      </w:pPr>
    </w:p>
    <w:p w:rsidR="00C354BD" w:rsidRPr="00A81FF7" w:rsidRDefault="00C354BD" w:rsidP="00C354BD">
      <w:pPr>
        <w:shd w:val="clear" w:color="auto" w:fill="FFFFFF" w:themeFill="background1"/>
        <w:autoSpaceDE w:val="0"/>
        <w:autoSpaceDN w:val="0"/>
        <w:adjustRightInd w:val="0"/>
        <w:ind w:left="567" w:right="567" w:firstLine="567"/>
        <w:rPr>
          <w:rFonts w:eastAsia="Cambria" w:cs="Arial"/>
          <w:szCs w:val="18"/>
          <w:u w:val="single"/>
          <w:lang w:eastAsia="fr-FR"/>
        </w:rPr>
      </w:pPr>
      <w:r w:rsidRPr="00A81FF7">
        <w:rPr>
          <w:rFonts w:eastAsia="Cambria" w:cs="Arial"/>
          <w:szCs w:val="18"/>
          <w:highlight w:val="lightGray"/>
          <w:u w:val="single"/>
          <w:lang w:eastAsia="fr-FR"/>
        </w:rPr>
        <w:t>As soon as it can be established with certainty that the outcome of the DUS test will be negative, it can be stopped independently from the number of growing cycles carried out so far.</w:t>
      </w:r>
    </w:p>
    <w:p w:rsidR="00C354BD" w:rsidRDefault="00C354BD" w:rsidP="00C354BD">
      <w:pPr>
        <w:autoSpaceDE w:val="0"/>
        <w:autoSpaceDN w:val="0"/>
        <w:adjustRightInd w:val="0"/>
        <w:ind w:right="567"/>
        <w:rPr>
          <w:rFonts w:ascii="Tahoma" w:eastAsia="Cambria" w:hAnsi="Tahoma" w:cs="Tahoma"/>
          <w:szCs w:val="18"/>
        </w:rPr>
      </w:pPr>
    </w:p>
    <w:p w:rsidR="005D602B" w:rsidRPr="00A81FF7" w:rsidRDefault="005D602B" w:rsidP="00C354BD">
      <w:pPr>
        <w:autoSpaceDE w:val="0"/>
        <w:autoSpaceDN w:val="0"/>
        <w:adjustRightInd w:val="0"/>
        <w:ind w:right="567"/>
        <w:rPr>
          <w:rFonts w:ascii="Tahoma" w:eastAsia="Cambria" w:hAnsi="Tahoma" w:cs="Tahoma"/>
          <w:szCs w:val="18"/>
        </w:rPr>
      </w:pPr>
    </w:p>
    <w:p w:rsidR="00C354BD" w:rsidRPr="00A81FF7" w:rsidRDefault="00C354BD" w:rsidP="00C354BD">
      <w:pPr>
        <w:keepNext/>
        <w:numPr>
          <w:ilvl w:val="0"/>
          <w:numId w:val="1"/>
        </w:numPr>
        <w:autoSpaceDE w:val="0"/>
        <w:autoSpaceDN w:val="0"/>
        <w:adjustRightInd w:val="0"/>
        <w:spacing w:after="120"/>
        <w:ind w:right="567"/>
        <w:jc w:val="left"/>
        <w:rPr>
          <w:rFonts w:eastAsia="Cambria" w:cs="Arial"/>
          <w:szCs w:val="18"/>
        </w:rPr>
      </w:pPr>
      <w:r w:rsidRPr="00A81FF7">
        <w:rPr>
          <w:rFonts w:eastAsia="Cambria" w:cs="Arial"/>
          <w:b/>
          <w:i/>
          <w:szCs w:val="18"/>
        </w:rPr>
        <w:t>Additional option(s) to be included in the ASW 2</w:t>
      </w:r>
    </w:p>
    <w:p w:rsidR="00C354BD" w:rsidRPr="00A81FF7" w:rsidRDefault="00C354BD" w:rsidP="00C354BD">
      <w:pPr>
        <w:autoSpaceDE w:val="0"/>
        <w:autoSpaceDN w:val="0"/>
        <w:adjustRightInd w:val="0"/>
        <w:ind w:left="567" w:right="567"/>
        <w:jc w:val="left"/>
        <w:rPr>
          <w:rFonts w:eastAsia="Cambria" w:cs="Arial"/>
        </w:rPr>
      </w:pPr>
      <w:r w:rsidRPr="00A81FF7">
        <w:rPr>
          <w:rFonts w:eastAsia="Cambria" w:cs="Arial"/>
        </w:rPr>
        <w:t>ASW 2 (TG Template: Chapter 3.1) – Number of growing cycles</w:t>
      </w:r>
    </w:p>
    <w:p w:rsidR="00C354BD" w:rsidRPr="00A81FF7" w:rsidRDefault="00C354BD" w:rsidP="00C354BD">
      <w:pPr>
        <w:autoSpaceDE w:val="0"/>
        <w:autoSpaceDN w:val="0"/>
        <w:adjustRightInd w:val="0"/>
        <w:ind w:left="567" w:right="567"/>
        <w:jc w:val="left"/>
        <w:rPr>
          <w:rFonts w:eastAsia="Cambria" w:cs="Arial"/>
        </w:rPr>
      </w:pPr>
    </w:p>
    <w:p w:rsidR="00C354BD" w:rsidRPr="00A81FF7" w:rsidRDefault="00C354BD" w:rsidP="00C354BD">
      <w:pPr>
        <w:pStyle w:val="ListParagraph"/>
        <w:numPr>
          <w:ilvl w:val="0"/>
          <w:numId w:val="2"/>
        </w:numPr>
        <w:autoSpaceDE w:val="0"/>
        <w:autoSpaceDN w:val="0"/>
        <w:adjustRightInd w:val="0"/>
        <w:ind w:right="567"/>
        <w:jc w:val="left"/>
        <w:rPr>
          <w:rFonts w:eastAsia="Cambria" w:cs="Arial"/>
          <w:i/>
          <w:iCs/>
        </w:rPr>
      </w:pPr>
      <w:r w:rsidRPr="00A81FF7">
        <w:rPr>
          <w:rFonts w:eastAsia="Cambria" w:cs="Arial"/>
          <w:i/>
          <w:iCs/>
        </w:rPr>
        <w:t>Single growing cycle</w:t>
      </w:r>
    </w:p>
    <w:p w:rsidR="00C354BD" w:rsidRPr="00A81FF7" w:rsidRDefault="00C354BD" w:rsidP="00C354BD">
      <w:pPr>
        <w:pStyle w:val="ListParagraph"/>
        <w:autoSpaceDE w:val="0"/>
        <w:autoSpaceDN w:val="0"/>
        <w:adjustRightInd w:val="0"/>
        <w:ind w:left="927" w:right="567"/>
        <w:jc w:val="left"/>
        <w:rPr>
          <w:rFonts w:eastAsia="Cambria" w:cs="Arial"/>
          <w:i/>
          <w:iCs/>
        </w:rPr>
      </w:pPr>
    </w:p>
    <w:p w:rsidR="00C354BD" w:rsidRPr="00A81FF7" w:rsidRDefault="00C354BD" w:rsidP="00C354BD">
      <w:pPr>
        <w:autoSpaceDE w:val="0"/>
        <w:autoSpaceDN w:val="0"/>
        <w:adjustRightInd w:val="0"/>
        <w:ind w:left="567" w:right="567"/>
        <w:rPr>
          <w:rFonts w:eastAsia="Cambria" w:cs="Arial"/>
        </w:rPr>
      </w:pPr>
      <w:r w:rsidRPr="00A81FF7">
        <w:rPr>
          <w:rFonts w:eastAsia="Cambria" w:cs="Arial"/>
        </w:rPr>
        <w:t xml:space="preserve">“The </w:t>
      </w:r>
      <w:r w:rsidRPr="00A81FF7">
        <w:rPr>
          <w:rFonts w:eastAsia="Cambria" w:cs="Arial"/>
          <w:strike/>
          <w:highlight w:val="lightGray"/>
        </w:rPr>
        <w:t>minimum</w:t>
      </w:r>
      <w:r w:rsidRPr="00A81FF7">
        <w:rPr>
          <w:rFonts w:eastAsia="Cambria" w:cs="Arial"/>
        </w:rPr>
        <w:t xml:space="preserve"> duration of tests should </w:t>
      </w:r>
      <w:r w:rsidRPr="00A81FF7">
        <w:rPr>
          <w:rFonts w:eastAsia="Cambria" w:cs="Arial"/>
          <w:strike/>
          <w:highlight w:val="lightGray"/>
        </w:rPr>
        <w:t>normally</w:t>
      </w:r>
      <w:r w:rsidRPr="00A81FF7">
        <w:rPr>
          <w:rFonts w:eastAsia="Cambria" w:cs="Arial"/>
        </w:rPr>
        <w:t xml:space="preserve"> </w:t>
      </w:r>
      <w:r w:rsidRPr="00A81FF7">
        <w:rPr>
          <w:rFonts w:eastAsia="Cambria" w:cs="Arial"/>
          <w:highlight w:val="lightGray"/>
          <w:u w:val="single"/>
        </w:rPr>
        <w:t>typically</w:t>
      </w:r>
      <w:r w:rsidRPr="00A81FF7">
        <w:rPr>
          <w:rFonts w:eastAsia="Cambria" w:cs="Arial"/>
        </w:rPr>
        <w:t xml:space="preserve"> be a single growing cycle.</w:t>
      </w:r>
      <w:r w:rsidRPr="00A81FF7">
        <w:rPr>
          <w:rFonts w:eastAsia="Cambria" w:cs="Arial"/>
          <w:lang w:eastAsia="fr-FR"/>
        </w:rPr>
        <w:t xml:space="preserve"> </w:t>
      </w:r>
      <w:r w:rsidRPr="00A81FF7">
        <w:rPr>
          <w:rFonts w:eastAsia="Cambria" w:cs="Arial"/>
          <w:highlight w:val="lightGray"/>
          <w:u w:val="single"/>
          <w:lang w:eastAsia="fr-FR"/>
        </w:rPr>
        <w:t>At the end of the growing cycle the competent authority will determine whether or not a following growing cycle is required</w:t>
      </w:r>
      <w:r w:rsidRPr="00A81FF7">
        <w:rPr>
          <w:rFonts w:eastAsia="Cambria" w:cs="Arial"/>
          <w:lang w:eastAsia="fr-FR"/>
        </w:rPr>
        <w:t>.”</w:t>
      </w:r>
    </w:p>
    <w:p w:rsidR="00C354BD" w:rsidRPr="00A81FF7" w:rsidRDefault="00C354BD" w:rsidP="00C354BD">
      <w:pPr>
        <w:autoSpaceDE w:val="0"/>
        <w:autoSpaceDN w:val="0"/>
        <w:adjustRightInd w:val="0"/>
        <w:ind w:left="567" w:right="567"/>
        <w:jc w:val="left"/>
        <w:rPr>
          <w:rFonts w:eastAsia="Cambria" w:cs="Arial"/>
        </w:rPr>
      </w:pPr>
    </w:p>
    <w:p w:rsidR="00C354BD" w:rsidRPr="00A81FF7" w:rsidRDefault="00C354BD" w:rsidP="00C354BD">
      <w:pPr>
        <w:pStyle w:val="ListParagraph"/>
        <w:numPr>
          <w:ilvl w:val="0"/>
          <w:numId w:val="2"/>
        </w:numPr>
        <w:autoSpaceDE w:val="0"/>
        <w:autoSpaceDN w:val="0"/>
        <w:adjustRightInd w:val="0"/>
        <w:ind w:right="567"/>
        <w:jc w:val="left"/>
        <w:rPr>
          <w:rFonts w:eastAsia="Cambria" w:cs="Arial"/>
          <w:i/>
          <w:iCs/>
        </w:rPr>
      </w:pPr>
      <w:r w:rsidRPr="00A81FF7">
        <w:rPr>
          <w:rFonts w:eastAsia="Cambria" w:cs="Arial"/>
          <w:i/>
          <w:iCs/>
        </w:rPr>
        <w:t>Two independent growing cycles</w:t>
      </w:r>
    </w:p>
    <w:p w:rsidR="00C354BD" w:rsidRPr="00A81FF7" w:rsidRDefault="00C354BD" w:rsidP="00C354BD">
      <w:pPr>
        <w:pStyle w:val="ListParagraph"/>
        <w:autoSpaceDE w:val="0"/>
        <w:autoSpaceDN w:val="0"/>
        <w:adjustRightInd w:val="0"/>
        <w:ind w:left="927" w:right="567"/>
        <w:jc w:val="left"/>
        <w:rPr>
          <w:rFonts w:eastAsia="Cambria" w:cs="Arial"/>
          <w:i/>
          <w:iCs/>
        </w:rPr>
      </w:pPr>
    </w:p>
    <w:p w:rsidR="00C354BD" w:rsidRPr="00A81FF7" w:rsidRDefault="00C354BD" w:rsidP="00C354BD">
      <w:pPr>
        <w:autoSpaceDE w:val="0"/>
        <w:autoSpaceDN w:val="0"/>
        <w:adjustRightInd w:val="0"/>
        <w:ind w:left="567" w:right="567"/>
        <w:rPr>
          <w:rFonts w:eastAsia="Cambria" w:cs="Arial"/>
        </w:rPr>
      </w:pPr>
      <w:r w:rsidRPr="00A81FF7">
        <w:rPr>
          <w:rFonts w:eastAsia="Cambria" w:cs="Arial"/>
        </w:rPr>
        <w:t xml:space="preserve">“The </w:t>
      </w:r>
      <w:r w:rsidRPr="00A81FF7">
        <w:rPr>
          <w:rFonts w:eastAsia="Cambria" w:cs="Arial"/>
          <w:strike/>
          <w:highlight w:val="lightGray"/>
        </w:rPr>
        <w:t>minimum</w:t>
      </w:r>
      <w:r w:rsidRPr="00A81FF7">
        <w:rPr>
          <w:rFonts w:eastAsia="Cambria" w:cs="Arial"/>
        </w:rPr>
        <w:t xml:space="preserve"> duration of tests should </w:t>
      </w:r>
      <w:r w:rsidRPr="00A81FF7">
        <w:rPr>
          <w:rFonts w:eastAsia="Cambria" w:cs="Arial"/>
          <w:strike/>
          <w:highlight w:val="lightGray"/>
        </w:rPr>
        <w:t>normally</w:t>
      </w:r>
      <w:r w:rsidRPr="00A81FF7">
        <w:rPr>
          <w:rFonts w:eastAsia="Cambria" w:cs="Arial"/>
        </w:rPr>
        <w:t xml:space="preserve"> </w:t>
      </w:r>
      <w:r w:rsidRPr="00A81FF7">
        <w:rPr>
          <w:rFonts w:eastAsia="Cambria" w:cs="Arial"/>
          <w:highlight w:val="lightGray"/>
          <w:u w:val="single"/>
        </w:rPr>
        <w:t>typically</w:t>
      </w:r>
      <w:r w:rsidRPr="00A81FF7">
        <w:rPr>
          <w:rFonts w:eastAsia="Cambria" w:cs="Arial"/>
        </w:rPr>
        <w:t xml:space="preserve"> be two independent growing cycles. </w:t>
      </w:r>
      <w:r w:rsidRPr="00A81FF7">
        <w:rPr>
          <w:rFonts w:eastAsia="Cambria" w:cs="Arial"/>
          <w:highlight w:val="lightGray"/>
          <w:u w:val="single"/>
        </w:rPr>
        <w:t>Nevertheless, a</w:t>
      </w:r>
      <w:r w:rsidRPr="00A81FF7">
        <w:rPr>
          <w:rFonts w:eastAsia="Cambria" w:cs="Arial"/>
          <w:highlight w:val="lightGray"/>
          <w:u w:val="single"/>
          <w:lang w:eastAsia="fr-FR"/>
        </w:rPr>
        <w:t>t the end of each growing cycle the competent authority will determine whether or not a following growing cycle is required</w:t>
      </w:r>
      <w:r w:rsidRPr="00A81FF7">
        <w:rPr>
          <w:rFonts w:eastAsia="Cambria" w:cs="Arial"/>
          <w:u w:val="single"/>
          <w:lang w:eastAsia="fr-FR"/>
        </w:rPr>
        <w:t>.</w:t>
      </w:r>
    </w:p>
    <w:p w:rsidR="00CA69B5" w:rsidRDefault="00CA69B5" w:rsidP="00B64575"/>
    <w:p w:rsidR="00C354BD" w:rsidRPr="00A81FF7" w:rsidRDefault="00C354BD" w:rsidP="00B64575"/>
    <w:p w:rsidR="00971665" w:rsidRPr="0021251E" w:rsidRDefault="00971665" w:rsidP="00971665">
      <w:pPr>
        <w:pStyle w:val="Heading1"/>
      </w:pPr>
      <w:bookmarkStart w:id="7" w:name="_Toc484625149"/>
      <w:bookmarkStart w:id="8" w:name="_Toc485133359"/>
      <w:r>
        <w:t>DEVELOPMENTS IN 2017</w:t>
      </w:r>
      <w:bookmarkEnd w:id="7"/>
      <w:bookmarkEnd w:id="8"/>
    </w:p>
    <w:p w:rsidR="00971665" w:rsidRPr="0021251E" w:rsidRDefault="00971665" w:rsidP="00971665"/>
    <w:p w:rsidR="000C2E03" w:rsidRPr="00A81FF7" w:rsidRDefault="00971665" w:rsidP="000D1D5F">
      <w:pPr>
        <w:rPr>
          <w:rFonts w:eastAsia="Cambria" w:cs="Arial"/>
        </w:rPr>
      </w:pPr>
      <w:r w:rsidRPr="005902C4">
        <w:fldChar w:fldCharType="begin"/>
      </w:r>
      <w:r w:rsidRPr="005902C4">
        <w:instrText xml:space="preserve"> AUTONUM  </w:instrText>
      </w:r>
      <w:r w:rsidRPr="005902C4">
        <w:fldChar w:fldCharType="end"/>
      </w:r>
      <w:r w:rsidRPr="005902C4">
        <w:tab/>
      </w:r>
      <w:r w:rsidRPr="00971665">
        <w:t>The TC</w:t>
      </w:r>
      <w:r>
        <w:t xml:space="preserve">, </w:t>
      </w:r>
      <w:r w:rsidRPr="00373D71">
        <w:t>at its fifty-</w:t>
      </w:r>
      <w:r>
        <w:t xml:space="preserve">third </w:t>
      </w:r>
      <w:r w:rsidRPr="00373D71">
        <w:t xml:space="preserve">session, </w:t>
      </w:r>
      <w:r>
        <w:t xml:space="preserve">held in Geneva, from </w:t>
      </w:r>
      <w:r w:rsidRPr="00971665">
        <w:t>April 3 to 5, 2017</w:t>
      </w:r>
      <w:r>
        <w:t>,</w:t>
      </w:r>
      <w:r w:rsidRPr="00971665">
        <w:t xml:space="preserve"> considered the proposal by the TWF to revise document TGP/7 “Development of Test Guidelines” to introduce new standard wording on the Test Guidelines template and amend Additional Standard Wording 2</w:t>
      </w:r>
      <w:r w:rsidR="00804795">
        <w:t xml:space="preserve"> to clarify the duration of </w:t>
      </w:r>
      <w:r w:rsidR="00804795" w:rsidRPr="007E765B">
        <w:t>DUS </w:t>
      </w:r>
      <w:r w:rsidRPr="007E765B">
        <w:t xml:space="preserve">examination, as </w:t>
      </w:r>
      <w:r w:rsidR="000D1D5F" w:rsidRPr="007E765B">
        <w:t xml:space="preserve">set out in paragraph </w:t>
      </w:r>
      <w:r w:rsidR="008525AA" w:rsidRPr="007E765B">
        <w:t>7</w:t>
      </w:r>
      <w:r w:rsidR="000D1D5F" w:rsidRPr="007E765B">
        <w:t xml:space="preserve"> of this document.</w:t>
      </w:r>
      <w:r w:rsidR="000D1D5F">
        <w:t xml:space="preserve"> </w:t>
      </w:r>
    </w:p>
    <w:p w:rsidR="005D602B" w:rsidRDefault="005D602B">
      <w:pPr>
        <w:jc w:val="left"/>
      </w:pPr>
      <w:r>
        <w:br w:type="page"/>
      </w:r>
    </w:p>
    <w:p w:rsidR="005D602B" w:rsidRDefault="005D602B" w:rsidP="005D602B"/>
    <w:p w:rsidR="005D602B" w:rsidRDefault="005D602B" w:rsidP="005D602B">
      <w:r>
        <w:fldChar w:fldCharType="begin"/>
      </w:r>
      <w:r>
        <w:instrText xml:space="preserve"> AUTONUM  </w:instrText>
      </w:r>
      <w:r>
        <w:fldChar w:fldCharType="end"/>
      </w:r>
      <w:r>
        <w:tab/>
        <w:t>The proposal by the TWF would generate Test Guidelines with the following wording:</w:t>
      </w:r>
    </w:p>
    <w:p w:rsidR="005D602B" w:rsidRDefault="005D602B" w:rsidP="005D602B">
      <w:pPr>
        <w:jc w:val="left"/>
      </w:pPr>
    </w:p>
    <w:p w:rsidR="005D602B" w:rsidRPr="009A7B75" w:rsidRDefault="005D602B" w:rsidP="005D602B">
      <w:pPr>
        <w:rPr>
          <w:u w:val="single"/>
        </w:rPr>
      </w:pPr>
      <w:r w:rsidRPr="009A7B75">
        <w:rPr>
          <w:u w:val="single"/>
        </w:rPr>
        <w:t>ASW 2(a):</w:t>
      </w:r>
    </w:p>
    <w:p w:rsidR="005D602B" w:rsidRDefault="005D602B" w:rsidP="005D602B">
      <w:pPr>
        <w:jc w:val="left"/>
      </w:pPr>
    </w:p>
    <w:p w:rsidR="005D602B" w:rsidRDefault="005D602B" w:rsidP="005D602B">
      <w:pPr>
        <w:ind w:left="567"/>
        <w:jc w:val="left"/>
      </w:pPr>
      <w:r>
        <w:t>“3.</w:t>
      </w:r>
      <w:r>
        <w:tab/>
        <w:t>Method of Examination</w:t>
      </w:r>
    </w:p>
    <w:p w:rsidR="005D602B" w:rsidRDefault="005D602B" w:rsidP="005D602B">
      <w:pPr>
        <w:ind w:left="567"/>
        <w:jc w:val="left"/>
      </w:pPr>
    </w:p>
    <w:p w:rsidR="005D602B" w:rsidRDefault="005D602B" w:rsidP="005D602B">
      <w:pPr>
        <w:ind w:left="567"/>
        <w:jc w:val="left"/>
      </w:pPr>
      <w:r>
        <w:t>“3.1</w:t>
      </w:r>
      <w:r>
        <w:tab/>
        <w:t>Number of Growing Cycles</w:t>
      </w:r>
    </w:p>
    <w:p w:rsidR="005D602B" w:rsidRDefault="005D602B" w:rsidP="005D602B">
      <w:pPr>
        <w:ind w:left="567"/>
      </w:pPr>
    </w:p>
    <w:p w:rsidR="005D602B" w:rsidRPr="00A81FF7" w:rsidRDefault="005D602B" w:rsidP="005D602B">
      <w:pPr>
        <w:autoSpaceDE w:val="0"/>
        <w:autoSpaceDN w:val="0"/>
        <w:adjustRightInd w:val="0"/>
        <w:ind w:left="567" w:right="567"/>
        <w:rPr>
          <w:rFonts w:eastAsia="Cambria" w:cs="Arial"/>
        </w:rPr>
      </w:pPr>
      <w:r w:rsidRPr="00A81FF7">
        <w:rPr>
          <w:rFonts w:eastAsia="Cambria" w:cs="Arial"/>
        </w:rPr>
        <w:t xml:space="preserve">“The </w:t>
      </w:r>
      <w:r w:rsidRPr="00A81FF7">
        <w:rPr>
          <w:rFonts w:eastAsia="Cambria" w:cs="Arial"/>
          <w:strike/>
          <w:highlight w:val="lightGray"/>
        </w:rPr>
        <w:t>minimum</w:t>
      </w:r>
      <w:r w:rsidRPr="00A81FF7">
        <w:rPr>
          <w:rFonts w:eastAsia="Cambria" w:cs="Arial"/>
        </w:rPr>
        <w:t xml:space="preserve"> duration of tests should </w:t>
      </w:r>
      <w:r w:rsidRPr="00A81FF7">
        <w:rPr>
          <w:rFonts w:eastAsia="Cambria" w:cs="Arial"/>
          <w:strike/>
          <w:highlight w:val="lightGray"/>
        </w:rPr>
        <w:t>normally</w:t>
      </w:r>
      <w:r w:rsidRPr="00A81FF7">
        <w:rPr>
          <w:rFonts w:eastAsia="Cambria" w:cs="Arial"/>
        </w:rPr>
        <w:t xml:space="preserve"> </w:t>
      </w:r>
      <w:r w:rsidRPr="00A81FF7">
        <w:rPr>
          <w:rFonts w:eastAsia="Cambria" w:cs="Arial"/>
          <w:highlight w:val="lightGray"/>
          <w:u w:val="single"/>
        </w:rPr>
        <w:t>typically</w:t>
      </w:r>
      <w:r w:rsidRPr="00A81FF7">
        <w:rPr>
          <w:rFonts w:eastAsia="Cambria" w:cs="Arial"/>
        </w:rPr>
        <w:t xml:space="preserve"> be a single growing cycle.</w:t>
      </w:r>
      <w:r w:rsidRPr="00A81FF7">
        <w:rPr>
          <w:rFonts w:eastAsia="Cambria" w:cs="Arial"/>
          <w:lang w:eastAsia="fr-FR"/>
        </w:rPr>
        <w:t xml:space="preserve"> </w:t>
      </w:r>
      <w:r>
        <w:rPr>
          <w:rFonts w:eastAsia="Cambria" w:cs="Arial"/>
          <w:lang w:eastAsia="fr-FR"/>
        </w:rPr>
        <w:t xml:space="preserve"> </w:t>
      </w:r>
      <w:r w:rsidRPr="00A81FF7">
        <w:rPr>
          <w:rFonts w:eastAsia="Cambria" w:cs="Arial"/>
          <w:highlight w:val="lightGray"/>
          <w:u w:val="single"/>
          <w:lang w:eastAsia="fr-FR"/>
        </w:rPr>
        <w:t>At the end of the growing cycle the competent authority will determine whether or not a following growing cycle is required</w:t>
      </w:r>
      <w:r>
        <w:rPr>
          <w:rFonts w:eastAsia="Cambria" w:cs="Arial"/>
          <w:lang w:eastAsia="fr-FR"/>
        </w:rPr>
        <w:t>.</w:t>
      </w:r>
    </w:p>
    <w:p w:rsidR="005D602B" w:rsidRPr="00E83E9A" w:rsidRDefault="005D602B" w:rsidP="005D602B">
      <w:pPr>
        <w:rPr>
          <w:rFonts w:eastAsia="Cambria"/>
        </w:rPr>
      </w:pPr>
    </w:p>
    <w:p w:rsidR="005D602B" w:rsidRPr="00097858" w:rsidRDefault="005D602B" w:rsidP="005D602B">
      <w:pPr>
        <w:shd w:val="clear" w:color="auto" w:fill="FFFFFF" w:themeFill="background1"/>
        <w:autoSpaceDE w:val="0"/>
        <w:autoSpaceDN w:val="0"/>
        <w:adjustRightInd w:val="0"/>
        <w:ind w:left="567" w:right="567"/>
        <w:rPr>
          <w:rFonts w:eastAsia="Cambria" w:cs="Arial"/>
          <w:szCs w:val="18"/>
          <w:u w:val="single"/>
          <w:lang w:eastAsia="fr-FR"/>
        </w:rPr>
      </w:pPr>
      <w:r w:rsidRPr="00097858">
        <w:rPr>
          <w:rFonts w:eastAsia="Cambria" w:cs="Arial"/>
          <w:szCs w:val="18"/>
          <w:highlight w:val="lightGray"/>
          <w:u w:val="single"/>
          <w:lang w:eastAsia="fr-FR"/>
        </w:rPr>
        <w:t>“As soon as it can be established with certainty that the outcome of the DUS test will be negative, it can be stopped independently from the number of growing cycles carried out so far.”</w:t>
      </w:r>
    </w:p>
    <w:p w:rsidR="005D602B" w:rsidRDefault="005D602B" w:rsidP="005D602B">
      <w:pPr>
        <w:jc w:val="left"/>
      </w:pPr>
    </w:p>
    <w:p w:rsidR="005D602B" w:rsidRPr="00E83E9A" w:rsidRDefault="005D602B" w:rsidP="005D602B">
      <w:pPr>
        <w:jc w:val="left"/>
      </w:pPr>
    </w:p>
    <w:p w:rsidR="005D602B" w:rsidRPr="009A7B75" w:rsidRDefault="005D602B" w:rsidP="005D602B">
      <w:pPr>
        <w:rPr>
          <w:u w:val="single"/>
        </w:rPr>
      </w:pPr>
      <w:r w:rsidRPr="009A7B75">
        <w:rPr>
          <w:u w:val="single"/>
        </w:rPr>
        <w:t>ASW 2(b):</w:t>
      </w:r>
    </w:p>
    <w:p w:rsidR="005D602B" w:rsidRPr="00E83E9A" w:rsidRDefault="005D602B" w:rsidP="005D602B">
      <w:pPr>
        <w:jc w:val="left"/>
      </w:pPr>
    </w:p>
    <w:p w:rsidR="005D602B" w:rsidRPr="00E83E9A" w:rsidRDefault="005D602B" w:rsidP="005D602B">
      <w:pPr>
        <w:ind w:left="567"/>
        <w:jc w:val="left"/>
      </w:pPr>
      <w:r>
        <w:t>“</w:t>
      </w:r>
      <w:r w:rsidRPr="00E83E9A">
        <w:t>3.</w:t>
      </w:r>
      <w:r w:rsidRPr="00E83E9A">
        <w:tab/>
        <w:t>Method of Examination</w:t>
      </w:r>
    </w:p>
    <w:p w:rsidR="005D602B" w:rsidRPr="00E83E9A" w:rsidRDefault="005D602B" w:rsidP="005D602B">
      <w:pPr>
        <w:ind w:left="567"/>
        <w:jc w:val="left"/>
      </w:pPr>
    </w:p>
    <w:p w:rsidR="005D602B" w:rsidRPr="00E83E9A" w:rsidRDefault="005D602B" w:rsidP="005D602B">
      <w:pPr>
        <w:ind w:left="567"/>
        <w:jc w:val="left"/>
      </w:pPr>
      <w:r>
        <w:t>“</w:t>
      </w:r>
      <w:r w:rsidRPr="00E83E9A">
        <w:t>3.1</w:t>
      </w:r>
      <w:r w:rsidRPr="00E83E9A">
        <w:tab/>
        <w:t>Number of Growing Cycles</w:t>
      </w:r>
    </w:p>
    <w:p w:rsidR="005D602B" w:rsidRPr="00E83E9A" w:rsidRDefault="005D602B" w:rsidP="005D602B">
      <w:pPr>
        <w:ind w:left="567"/>
        <w:jc w:val="left"/>
      </w:pPr>
    </w:p>
    <w:p w:rsidR="005D602B" w:rsidRPr="00A81FF7" w:rsidRDefault="005D602B" w:rsidP="005D602B">
      <w:pPr>
        <w:autoSpaceDE w:val="0"/>
        <w:autoSpaceDN w:val="0"/>
        <w:adjustRightInd w:val="0"/>
        <w:ind w:left="567" w:right="567"/>
        <w:rPr>
          <w:rFonts w:eastAsia="Cambria" w:cs="Arial"/>
        </w:rPr>
      </w:pPr>
      <w:r w:rsidRPr="00A81FF7">
        <w:rPr>
          <w:rFonts w:eastAsia="Cambria" w:cs="Arial"/>
        </w:rPr>
        <w:t xml:space="preserve">“The </w:t>
      </w:r>
      <w:r w:rsidRPr="00A81FF7">
        <w:rPr>
          <w:rFonts w:eastAsia="Cambria" w:cs="Arial"/>
          <w:strike/>
          <w:highlight w:val="lightGray"/>
        </w:rPr>
        <w:t>minimum</w:t>
      </w:r>
      <w:r w:rsidRPr="00A81FF7">
        <w:rPr>
          <w:rFonts w:eastAsia="Cambria" w:cs="Arial"/>
        </w:rPr>
        <w:t xml:space="preserve"> duration of tests should </w:t>
      </w:r>
      <w:r w:rsidRPr="00A81FF7">
        <w:rPr>
          <w:rFonts w:eastAsia="Cambria" w:cs="Arial"/>
          <w:strike/>
          <w:highlight w:val="lightGray"/>
        </w:rPr>
        <w:t>normally</w:t>
      </w:r>
      <w:r w:rsidRPr="00A81FF7">
        <w:rPr>
          <w:rFonts w:eastAsia="Cambria" w:cs="Arial"/>
        </w:rPr>
        <w:t xml:space="preserve"> </w:t>
      </w:r>
      <w:r w:rsidRPr="00A81FF7">
        <w:rPr>
          <w:rFonts w:eastAsia="Cambria" w:cs="Arial"/>
          <w:highlight w:val="lightGray"/>
          <w:u w:val="single"/>
        </w:rPr>
        <w:t>typically</w:t>
      </w:r>
      <w:r w:rsidRPr="00A81FF7">
        <w:rPr>
          <w:rFonts w:eastAsia="Cambria" w:cs="Arial"/>
        </w:rPr>
        <w:t xml:space="preserve"> be two independent growing cycles.</w:t>
      </w:r>
      <w:r>
        <w:rPr>
          <w:rFonts w:eastAsia="Cambria" w:cs="Arial"/>
        </w:rPr>
        <w:t xml:space="preserve">  </w:t>
      </w:r>
      <w:r w:rsidRPr="00A81FF7">
        <w:rPr>
          <w:rFonts w:eastAsia="Cambria" w:cs="Arial"/>
          <w:highlight w:val="lightGray"/>
          <w:u w:val="single"/>
        </w:rPr>
        <w:t>Nevertheless, a</w:t>
      </w:r>
      <w:r w:rsidRPr="00A81FF7">
        <w:rPr>
          <w:rFonts w:eastAsia="Cambria" w:cs="Arial"/>
          <w:highlight w:val="lightGray"/>
          <w:u w:val="single"/>
          <w:lang w:eastAsia="fr-FR"/>
        </w:rPr>
        <w:t>t the end of each growing cycle the competent authority will determine whether or not a following growing cycle is required</w:t>
      </w:r>
      <w:r w:rsidRPr="00A81FF7">
        <w:rPr>
          <w:rFonts w:eastAsia="Cambria" w:cs="Arial"/>
          <w:u w:val="single"/>
          <w:lang w:eastAsia="fr-FR"/>
        </w:rPr>
        <w:t>.</w:t>
      </w:r>
    </w:p>
    <w:p w:rsidR="005D602B" w:rsidRPr="00E83E9A" w:rsidRDefault="005D602B" w:rsidP="005D602B">
      <w:pPr>
        <w:autoSpaceDE w:val="0"/>
        <w:autoSpaceDN w:val="0"/>
        <w:adjustRightInd w:val="0"/>
        <w:ind w:left="567" w:right="567"/>
      </w:pPr>
    </w:p>
    <w:p w:rsidR="005D602B" w:rsidRPr="00097858" w:rsidRDefault="005D602B" w:rsidP="005D602B">
      <w:pPr>
        <w:shd w:val="clear" w:color="auto" w:fill="FFFFFF" w:themeFill="background1"/>
        <w:autoSpaceDE w:val="0"/>
        <w:autoSpaceDN w:val="0"/>
        <w:adjustRightInd w:val="0"/>
        <w:ind w:left="567" w:right="567"/>
        <w:rPr>
          <w:rFonts w:eastAsia="Cambria" w:cs="Arial"/>
          <w:szCs w:val="18"/>
          <w:u w:val="single"/>
          <w:lang w:eastAsia="fr-FR"/>
        </w:rPr>
      </w:pPr>
      <w:r w:rsidRPr="00097858">
        <w:rPr>
          <w:rFonts w:eastAsia="Cambria" w:cs="Arial"/>
          <w:szCs w:val="18"/>
          <w:highlight w:val="lightGray"/>
          <w:u w:val="single"/>
          <w:lang w:eastAsia="fr-FR"/>
        </w:rPr>
        <w:t>“As soon as it can be established with certainty that the outcome of the DUS test will be negative, it can be stopped independently from the number of growing cycles carried out so far.”</w:t>
      </w:r>
    </w:p>
    <w:p w:rsidR="00971665" w:rsidRDefault="00971665" w:rsidP="00B64575"/>
    <w:p w:rsidR="005D602B" w:rsidRDefault="005D602B" w:rsidP="00B64575"/>
    <w:p w:rsidR="00971665" w:rsidRDefault="00971665" w:rsidP="00B64575">
      <w:r>
        <w:fldChar w:fldCharType="begin"/>
      </w:r>
      <w:r>
        <w:instrText xml:space="preserve"> AUTONUM  </w:instrText>
      </w:r>
      <w:r>
        <w:fldChar w:fldCharType="end"/>
      </w:r>
      <w:r>
        <w:tab/>
        <w:t>The TC agreed that it was important to clarify that it was possible to terminate a DUS examination as soon as rejection was inevitable, rather than continuing the examination until the end of the normal period.  It agreed that the standard wording in the Test Guidelines was not entirely clear in that respect and should be improved.  However, it agreed that the proposed wording could be interpreted as encouraging additional growing cycles beyond the normal period and requested the TWPs to develop an improved version of the</w:t>
      </w:r>
      <w:r w:rsidR="00BF43ED">
        <w:t xml:space="preserve"> text at their sessions in 2017.</w:t>
      </w:r>
    </w:p>
    <w:p w:rsidR="00CA69B5" w:rsidRDefault="00CA69B5" w:rsidP="00CA69B5">
      <w:pPr>
        <w:jc w:val="left"/>
      </w:pPr>
    </w:p>
    <w:p w:rsidR="005D602B" w:rsidRDefault="005D602B" w:rsidP="00CA69B5">
      <w:pPr>
        <w:jc w:val="left"/>
      </w:pPr>
    </w:p>
    <w:p w:rsidR="00CA69B5" w:rsidRDefault="00CA69B5" w:rsidP="00CA69B5">
      <w:pPr>
        <w:pStyle w:val="Heading1"/>
      </w:pPr>
      <w:bookmarkStart w:id="9" w:name="_Toc485133360"/>
      <w:r>
        <w:t>PROPOSAL</w:t>
      </w:r>
      <w:bookmarkEnd w:id="9"/>
    </w:p>
    <w:p w:rsidR="003B20DC" w:rsidRDefault="003B20DC" w:rsidP="00EE05E6">
      <w:pPr>
        <w:autoSpaceDE w:val="0"/>
        <w:autoSpaceDN w:val="0"/>
        <w:adjustRightInd w:val="0"/>
        <w:ind w:left="567" w:right="567"/>
      </w:pPr>
    </w:p>
    <w:p w:rsidR="00B30E9E" w:rsidRDefault="00B30E9E" w:rsidP="00B30E9E">
      <w:pPr>
        <w:autoSpaceDE w:val="0"/>
        <w:autoSpaceDN w:val="0"/>
        <w:adjustRightInd w:val="0"/>
        <w:ind w:right="567"/>
      </w:pPr>
      <w:r>
        <w:fldChar w:fldCharType="begin"/>
      </w:r>
      <w:r>
        <w:instrText xml:space="preserve"> AUTONUM  </w:instrText>
      </w:r>
      <w:r>
        <w:fldChar w:fldCharType="end"/>
      </w:r>
      <w:r>
        <w:tab/>
      </w:r>
      <w:r w:rsidR="008525AA">
        <w:t xml:space="preserve">The following proposal </w:t>
      </w:r>
      <w:r w:rsidR="005D602B">
        <w:t>has been developed on the basis of the comments of the TC</w:t>
      </w:r>
      <w:r w:rsidR="008525AA">
        <w:t>:</w:t>
      </w:r>
    </w:p>
    <w:p w:rsidR="008525AA" w:rsidRDefault="008525AA" w:rsidP="008525AA">
      <w:pPr>
        <w:jc w:val="left"/>
      </w:pPr>
    </w:p>
    <w:p w:rsidR="005D602B" w:rsidRDefault="005D602B" w:rsidP="005D602B">
      <w:pPr>
        <w:pStyle w:val="Heading2"/>
      </w:pPr>
      <w:bookmarkStart w:id="10" w:name="_Toc485133361"/>
      <w:r>
        <w:t>ASW 2(a):</w:t>
      </w:r>
      <w:bookmarkEnd w:id="10"/>
    </w:p>
    <w:p w:rsidR="008525AA" w:rsidRDefault="008525AA" w:rsidP="008525AA">
      <w:pPr>
        <w:jc w:val="left"/>
      </w:pPr>
    </w:p>
    <w:p w:rsidR="008525AA" w:rsidRDefault="008525AA" w:rsidP="008525AA">
      <w:pPr>
        <w:ind w:left="567"/>
        <w:jc w:val="left"/>
      </w:pPr>
      <w:r>
        <w:t>“3.</w:t>
      </w:r>
      <w:r>
        <w:tab/>
        <w:t>Method of Examination</w:t>
      </w:r>
    </w:p>
    <w:p w:rsidR="008525AA" w:rsidRDefault="008525AA" w:rsidP="008525AA">
      <w:pPr>
        <w:ind w:left="567"/>
        <w:jc w:val="left"/>
      </w:pPr>
    </w:p>
    <w:p w:rsidR="008525AA" w:rsidRDefault="008525AA" w:rsidP="008525AA">
      <w:pPr>
        <w:ind w:left="567"/>
        <w:jc w:val="left"/>
      </w:pPr>
      <w:r>
        <w:t>“3.1</w:t>
      </w:r>
      <w:r>
        <w:tab/>
        <w:t>Number of Growing Cycles</w:t>
      </w:r>
    </w:p>
    <w:p w:rsidR="008525AA" w:rsidRDefault="008525AA" w:rsidP="008525AA">
      <w:pPr>
        <w:ind w:left="567"/>
      </w:pPr>
    </w:p>
    <w:p w:rsidR="008525AA" w:rsidRDefault="008525AA" w:rsidP="008525AA">
      <w:pPr>
        <w:autoSpaceDE w:val="0"/>
        <w:autoSpaceDN w:val="0"/>
        <w:adjustRightInd w:val="0"/>
        <w:ind w:left="567" w:right="567"/>
        <w:rPr>
          <w:rFonts w:eastAsia="Cambria" w:cs="Arial"/>
          <w:lang w:eastAsia="fr-FR"/>
        </w:rPr>
      </w:pPr>
      <w:r w:rsidRPr="00A81FF7">
        <w:rPr>
          <w:rFonts w:eastAsia="Cambria" w:cs="Arial"/>
        </w:rPr>
        <w:t xml:space="preserve">“The </w:t>
      </w:r>
      <w:r w:rsidRPr="00A81FF7">
        <w:rPr>
          <w:rFonts w:eastAsia="Cambria" w:cs="Arial"/>
          <w:strike/>
          <w:highlight w:val="lightGray"/>
        </w:rPr>
        <w:t>minimum</w:t>
      </w:r>
      <w:r w:rsidRPr="00A81FF7">
        <w:rPr>
          <w:rFonts w:eastAsia="Cambria" w:cs="Arial"/>
        </w:rPr>
        <w:t xml:space="preserve"> duration of tests should </w:t>
      </w:r>
      <w:r>
        <w:rPr>
          <w:rFonts w:eastAsia="Cambria" w:cs="Arial"/>
        </w:rPr>
        <w:t>[</w:t>
      </w:r>
      <w:r w:rsidRPr="008525AA">
        <w:rPr>
          <w:rFonts w:eastAsia="Cambria" w:cs="Arial"/>
          <w:highlight w:val="lightGray"/>
        </w:rPr>
        <w:t>normally</w:t>
      </w:r>
      <w:r>
        <w:rPr>
          <w:rFonts w:eastAsia="Cambria" w:cs="Arial"/>
        </w:rPr>
        <w:t>]</w:t>
      </w:r>
      <w:proofErr w:type="gramStart"/>
      <w:r>
        <w:rPr>
          <w:rFonts w:eastAsia="Cambria" w:cs="Arial"/>
        </w:rPr>
        <w:t>/[</w:t>
      </w:r>
      <w:proofErr w:type="gramEnd"/>
      <w:r w:rsidRPr="00A81FF7">
        <w:rPr>
          <w:rFonts w:eastAsia="Cambria" w:cs="Arial"/>
          <w:highlight w:val="lightGray"/>
          <w:u w:val="single"/>
        </w:rPr>
        <w:t>typically</w:t>
      </w:r>
      <w:r>
        <w:rPr>
          <w:rFonts w:eastAsia="Cambria" w:cs="Arial"/>
          <w:u w:val="single"/>
        </w:rPr>
        <w:t>]</w:t>
      </w:r>
      <w:r w:rsidRPr="00A81FF7">
        <w:rPr>
          <w:rFonts w:eastAsia="Cambria" w:cs="Arial"/>
        </w:rPr>
        <w:t xml:space="preserve"> be a single growing cycle.</w:t>
      </w:r>
      <w:r w:rsidRPr="00A81FF7">
        <w:rPr>
          <w:rFonts w:eastAsia="Cambria" w:cs="Arial"/>
          <w:lang w:eastAsia="fr-FR"/>
        </w:rPr>
        <w:t xml:space="preserve"> </w:t>
      </w:r>
    </w:p>
    <w:p w:rsidR="003B20DC" w:rsidRPr="00E83E9A" w:rsidRDefault="003B20DC" w:rsidP="008525AA">
      <w:pPr>
        <w:rPr>
          <w:rFonts w:eastAsia="Cambria"/>
        </w:rPr>
      </w:pPr>
    </w:p>
    <w:p w:rsidR="003B20DC" w:rsidRPr="00B30E9E" w:rsidRDefault="003B20DC" w:rsidP="003B20DC">
      <w:pPr>
        <w:autoSpaceDE w:val="0"/>
        <w:autoSpaceDN w:val="0"/>
        <w:adjustRightInd w:val="0"/>
        <w:ind w:left="567" w:right="567"/>
        <w:rPr>
          <w:u w:val="single"/>
        </w:rPr>
      </w:pPr>
      <w:r w:rsidRPr="00B30E9E">
        <w:rPr>
          <w:highlight w:val="lightGray"/>
          <w:u w:val="single"/>
        </w:rPr>
        <w:t xml:space="preserve">“However, the testing of a variety may be terminated earlier if a negative conclusion on </w:t>
      </w:r>
      <w:r>
        <w:rPr>
          <w:highlight w:val="lightGray"/>
          <w:u w:val="single"/>
        </w:rPr>
        <w:t>d</w:t>
      </w:r>
      <w:r w:rsidRPr="00B30E9E">
        <w:rPr>
          <w:highlight w:val="lightGray"/>
          <w:u w:val="single"/>
        </w:rPr>
        <w:t xml:space="preserve">istinctness, </w:t>
      </w:r>
      <w:r>
        <w:rPr>
          <w:highlight w:val="lightGray"/>
          <w:u w:val="single"/>
        </w:rPr>
        <w:t>u</w:t>
      </w:r>
      <w:r w:rsidRPr="00B30E9E">
        <w:rPr>
          <w:highlight w:val="lightGray"/>
          <w:u w:val="single"/>
        </w:rPr>
        <w:t xml:space="preserve">niformity or </w:t>
      </w:r>
      <w:r>
        <w:rPr>
          <w:highlight w:val="lightGray"/>
          <w:u w:val="single"/>
        </w:rPr>
        <w:t>s</w:t>
      </w:r>
      <w:r w:rsidRPr="00B30E9E">
        <w:rPr>
          <w:highlight w:val="lightGray"/>
          <w:u w:val="single"/>
        </w:rPr>
        <w:t>tability has already been reached.”</w:t>
      </w:r>
    </w:p>
    <w:p w:rsidR="008525AA" w:rsidRDefault="008525AA" w:rsidP="008525AA">
      <w:pPr>
        <w:shd w:val="clear" w:color="auto" w:fill="FFFFFF" w:themeFill="background1"/>
        <w:autoSpaceDE w:val="0"/>
        <w:autoSpaceDN w:val="0"/>
        <w:adjustRightInd w:val="0"/>
        <w:ind w:left="567" w:right="567"/>
        <w:rPr>
          <w:rFonts w:eastAsia="Cambria" w:cs="Arial"/>
          <w:szCs w:val="18"/>
          <w:u w:val="single"/>
          <w:lang w:eastAsia="fr-FR"/>
        </w:rPr>
      </w:pPr>
    </w:p>
    <w:p w:rsidR="003B20DC" w:rsidRPr="009C6CDD" w:rsidRDefault="003B20DC" w:rsidP="008525AA">
      <w:pPr>
        <w:shd w:val="clear" w:color="auto" w:fill="FFFFFF" w:themeFill="background1"/>
        <w:autoSpaceDE w:val="0"/>
        <w:autoSpaceDN w:val="0"/>
        <w:adjustRightInd w:val="0"/>
        <w:ind w:left="567" w:right="567"/>
        <w:rPr>
          <w:rFonts w:eastAsia="Cambria" w:cs="Arial"/>
          <w:szCs w:val="18"/>
          <w:u w:val="single"/>
          <w:lang w:eastAsia="fr-FR"/>
        </w:rPr>
      </w:pPr>
      <w:r w:rsidRPr="009C6CDD">
        <w:rPr>
          <w:rFonts w:eastAsia="Cambria" w:cs="Arial"/>
          <w:szCs w:val="18"/>
          <w:highlight w:val="lightGray"/>
          <w:u w:val="single"/>
          <w:lang w:eastAsia="fr-FR"/>
        </w:rPr>
        <w:t xml:space="preserve">“Alternatively, the testing of a variety may be continued if a conclusion on distinctness, uniformity or stability has not been reached after the </w:t>
      </w:r>
      <w:r w:rsidRPr="009C6CDD">
        <w:rPr>
          <w:rFonts w:eastAsia="Cambria" w:cs="Arial"/>
          <w:highlight w:val="lightGray"/>
          <w:u w:val="single"/>
        </w:rPr>
        <w:t>[normal]</w:t>
      </w:r>
      <w:proofErr w:type="gramStart"/>
      <w:r w:rsidRPr="009C6CDD">
        <w:rPr>
          <w:rFonts w:eastAsia="Cambria" w:cs="Arial"/>
          <w:highlight w:val="lightGray"/>
          <w:u w:val="single"/>
        </w:rPr>
        <w:t>/[</w:t>
      </w:r>
      <w:proofErr w:type="gramEnd"/>
      <w:r w:rsidRPr="009C6CDD">
        <w:rPr>
          <w:rFonts w:eastAsia="Cambria" w:cs="Arial"/>
          <w:highlight w:val="lightGray"/>
          <w:u w:val="single"/>
        </w:rPr>
        <w:t xml:space="preserve">typical] </w:t>
      </w:r>
      <w:r w:rsidR="009C6CDD" w:rsidRPr="009C6CDD">
        <w:rPr>
          <w:rFonts w:eastAsia="Cambria" w:cs="Arial"/>
          <w:highlight w:val="lightGray"/>
          <w:u w:val="single"/>
        </w:rPr>
        <w:t>duration of tests.</w:t>
      </w:r>
    </w:p>
    <w:p w:rsidR="005D602B" w:rsidRDefault="005D602B">
      <w:pPr>
        <w:jc w:val="left"/>
      </w:pPr>
      <w:r>
        <w:br w:type="page"/>
      </w:r>
    </w:p>
    <w:p w:rsidR="005D602B" w:rsidRDefault="005D602B" w:rsidP="005D602B">
      <w:pPr>
        <w:pStyle w:val="Heading2"/>
      </w:pPr>
    </w:p>
    <w:p w:rsidR="005D602B" w:rsidRPr="00E83E9A" w:rsidRDefault="005D602B" w:rsidP="005D602B">
      <w:pPr>
        <w:pStyle w:val="Heading2"/>
      </w:pPr>
      <w:bookmarkStart w:id="11" w:name="_Toc485133362"/>
      <w:r w:rsidRPr="00E83E9A">
        <w:t>ASW 2(b):</w:t>
      </w:r>
      <w:bookmarkEnd w:id="11"/>
    </w:p>
    <w:p w:rsidR="008525AA" w:rsidRPr="00E83E9A" w:rsidRDefault="008525AA" w:rsidP="008525AA">
      <w:pPr>
        <w:jc w:val="left"/>
      </w:pPr>
    </w:p>
    <w:p w:rsidR="008525AA" w:rsidRPr="00E83E9A" w:rsidRDefault="008525AA" w:rsidP="008525AA">
      <w:pPr>
        <w:ind w:left="567"/>
        <w:jc w:val="left"/>
      </w:pPr>
      <w:r>
        <w:t>“</w:t>
      </w:r>
      <w:r w:rsidRPr="00E83E9A">
        <w:t>3.</w:t>
      </w:r>
      <w:r w:rsidRPr="00E83E9A">
        <w:tab/>
        <w:t>Method of Examination</w:t>
      </w:r>
    </w:p>
    <w:p w:rsidR="008525AA" w:rsidRPr="00E83E9A" w:rsidRDefault="008525AA" w:rsidP="008525AA">
      <w:pPr>
        <w:ind w:left="567"/>
        <w:jc w:val="left"/>
      </w:pPr>
    </w:p>
    <w:p w:rsidR="008525AA" w:rsidRPr="00E83E9A" w:rsidRDefault="008525AA" w:rsidP="008525AA">
      <w:pPr>
        <w:ind w:left="567"/>
        <w:jc w:val="left"/>
      </w:pPr>
      <w:r>
        <w:t>“</w:t>
      </w:r>
      <w:r w:rsidRPr="00E83E9A">
        <w:t>3.1</w:t>
      </w:r>
      <w:r w:rsidRPr="00E83E9A">
        <w:tab/>
        <w:t>Number of Growing Cycles</w:t>
      </w:r>
    </w:p>
    <w:p w:rsidR="008525AA" w:rsidRPr="00E83E9A" w:rsidRDefault="008525AA" w:rsidP="008525AA">
      <w:pPr>
        <w:ind w:left="567"/>
        <w:jc w:val="left"/>
      </w:pPr>
    </w:p>
    <w:p w:rsidR="008525AA" w:rsidRDefault="008525AA" w:rsidP="008525AA">
      <w:pPr>
        <w:autoSpaceDE w:val="0"/>
        <w:autoSpaceDN w:val="0"/>
        <w:adjustRightInd w:val="0"/>
        <w:ind w:left="567" w:right="567"/>
        <w:rPr>
          <w:rFonts w:eastAsia="Cambria" w:cs="Arial"/>
        </w:rPr>
      </w:pPr>
      <w:r w:rsidRPr="00A81FF7">
        <w:rPr>
          <w:rFonts w:eastAsia="Cambria" w:cs="Arial"/>
        </w:rPr>
        <w:t xml:space="preserve">“The </w:t>
      </w:r>
      <w:r w:rsidRPr="00A81FF7">
        <w:rPr>
          <w:rFonts w:eastAsia="Cambria" w:cs="Arial"/>
          <w:strike/>
          <w:highlight w:val="lightGray"/>
        </w:rPr>
        <w:t>minimum</w:t>
      </w:r>
      <w:r w:rsidRPr="00A81FF7">
        <w:rPr>
          <w:rFonts w:eastAsia="Cambria" w:cs="Arial"/>
        </w:rPr>
        <w:t xml:space="preserve"> duration of tests should </w:t>
      </w:r>
      <w:r>
        <w:rPr>
          <w:rFonts w:eastAsia="Cambria" w:cs="Arial"/>
        </w:rPr>
        <w:t>[</w:t>
      </w:r>
      <w:r w:rsidRPr="008525AA">
        <w:rPr>
          <w:rFonts w:eastAsia="Cambria" w:cs="Arial"/>
          <w:highlight w:val="lightGray"/>
        </w:rPr>
        <w:t>normally</w:t>
      </w:r>
      <w:r>
        <w:rPr>
          <w:rFonts w:eastAsia="Cambria" w:cs="Arial"/>
        </w:rPr>
        <w:t>]</w:t>
      </w:r>
      <w:proofErr w:type="gramStart"/>
      <w:r>
        <w:rPr>
          <w:rFonts w:eastAsia="Cambria" w:cs="Arial"/>
        </w:rPr>
        <w:t>/[</w:t>
      </w:r>
      <w:proofErr w:type="gramEnd"/>
      <w:r w:rsidRPr="00A81FF7">
        <w:rPr>
          <w:rFonts w:eastAsia="Cambria" w:cs="Arial"/>
          <w:highlight w:val="lightGray"/>
          <w:u w:val="single"/>
        </w:rPr>
        <w:t>typically</w:t>
      </w:r>
      <w:r>
        <w:rPr>
          <w:rFonts w:eastAsia="Cambria" w:cs="Arial"/>
          <w:u w:val="single"/>
        </w:rPr>
        <w:t xml:space="preserve">] </w:t>
      </w:r>
      <w:r w:rsidRPr="00A81FF7">
        <w:rPr>
          <w:rFonts w:eastAsia="Cambria" w:cs="Arial"/>
        </w:rPr>
        <w:t xml:space="preserve">be two independent growing cycles. </w:t>
      </w:r>
    </w:p>
    <w:p w:rsidR="00A72796" w:rsidRPr="00E83E9A" w:rsidRDefault="00A72796" w:rsidP="00A72796">
      <w:pPr>
        <w:rPr>
          <w:rFonts w:eastAsia="Cambria"/>
        </w:rPr>
      </w:pPr>
    </w:p>
    <w:p w:rsidR="00A72796" w:rsidRPr="00B30E9E" w:rsidRDefault="00A72796" w:rsidP="00A72796">
      <w:pPr>
        <w:autoSpaceDE w:val="0"/>
        <w:autoSpaceDN w:val="0"/>
        <w:adjustRightInd w:val="0"/>
        <w:ind w:left="567" w:right="567"/>
        <w:rPr>
          <w:u w:val="single"/>
        </w:rPr>
      </w:pPr>
      <w:r w:rsidRPr="00B30E9E">
        <w:rPr>
          <w:highlight w:val="lightGray"/>
          <w:u w:val="single"/>
        </w:rPr>
        <w:t xml:space="preserve">“However, the testing of a variety may be terminated earlier if a negative conclusion on </w:t>
      </w:r>
      <w:r>
        <w:rPr>
          <w:highlight w:val="lightGray"/>
          <w:u w:val="single"/>
        </w:rPr>
        <w:t>d</w:t>
      </w:r>
      <w:r w:rsidRPr="00B30E9E">
        <w:rPr>
          <w:highlight w:val="lightGray"/>
          <w:u w:val="single"/>
        </w:rPr>
        <w:t xml:space="preserve">istinctness, </w:t>
      </w:r>
      <w:r>
        <w:rPr>
          <w:highlight w:val="lightGray"/>
          <w:u w:val="single"/>
        </w:rPr>
        <w:t>u</w:t>
      </w:r>
      <w:r w:rsidRPr="00B30E9E">
        <w:rPr>
          <w:highlight w:val="lightGray"/>
          <w:u w:val="single"/>
        </w:rPr>
        <w:t xml:space="preserve">niformity or </w:t>
      </w:r>
      <w:r>
        <w:rPr>
          <w:highlight w:val="lightGray"/>
          <w:u w:val="single"/>
        </w:rPr>
        <w:t>s</w:t>
      </w:r>
      <w:r w:rsidRPr="00B30E9E">
        <w:rPr>
          <w:highlight w:val="lightGray"/>
          <w:u w:val="single"/>
        </w:rPr>
        <w:t>tability has already been reached.”</w:t>
      </w:r>
    </w:p>
    <w:p w:rsidR="00A72796" w:rsidRDefault="00A72796" w:rsidP="00A72796">
      <w:pPr>
        <w:shd w:val="clear" w:color="auto" w:fill="FFFFFF" w:themeFill="background1"/>
        <w:autoSpaceDE w:val="0"/>
        <w:autoSpaceDN w:val="0"/>
        <w:adjustRightInd w:val="0"/>
        <w:ind w:left="567" w:right="567"/>
        <w:rPr>
          <w:rFonts w:eastAsia="Cambria" w:cs="Arial"/>
          <w:szCs w:val="18"/>
          <w:u w:val="single"/>
          <w:lang w:eastAsia="fr-FR"/>
        </w:rPr>
      </w:pPr>
    </w:p>
    <w:p w:rsidR="00A72796" w:rsidRPr="009C6CDD" w:rsidRDefault="00A72796" w:rsidP="00A72796">
      <w:pPr>
        <w:shd w:val="clear" w:color="auto" w:fill="FFFFFF" w:themeFill="background1"/>
        <w:autoSpaceDE w:val="0"/>
        <w:autoSpaceDN w:val="0"/>
        <w:adjustRightInd w:val="0"/>
        <w:ind w:left="567" w:right="567"/>
        <w:rPr>
          <w:rFonts w:eastAsia="Cambria" w:cs="Arial"/>
          <w:szCs w:val="18"/>
          <w:u w:val="single"/>
          <w:lang w:eastAsia="fr-FR"/>
        </w:rPr>
      </w:pPr>
      <w:r w:rsidRPr="009C6CDD">
        <w:rPr>
          <w:rFonts w:eastAsia="Cambria" w:cs="Arial"/>
          <w:szCs w:val="18"/>
          <w:highlight w:val="lightGray"/>
          <w:u w:val="single"/>
          <w:lang w:eastAsia="fr-FR"/>
        </w:rPr>
        <w:t xml:space="preserve">“Alternatively, the testing of a variety may be continued if a conclusion on distinctness, uniformity or stability has not been reached after the </w:t>
      </w:r>
      <w:r w:rsidRPr="009C6CDD">
        <w:rPr>
          <w:rFonts w:eastAsia="Cambria" w:cs="Arial"/>
          <w:highlight w:val="lightGray"/>
          <w:u w:val="single"/>
        </w:rPr>
        <w:t>[normal]</w:t>
      </w:r>
      <w:proofErr w:type="gramStart"/>
      <w:r w:rsidRPr="009C6CDD">
        <w:rPr>
          <w:rFonts w:eastAsia="Cambria" w:cs="Arial"/>
          <w:highlight w:val="lightGray"/>
          <w:u w:val="single"/>
        </w:rPr>
        <w:t>/[</w:t>
      </w:r>
      <w:proofErr w:type="gramEnd"/>
      <w:r w:rsidRPr="009C6CDD">
        <w:rPr>
          <w:rFonts w:eastAsia="Cambria" w:cs="Arial"/>
          <w:highlight w:val="lightGray"/>
          <w:u w:val="single"/>
        </w:rPr>
        <w:t>typical] duration of tests.</w:t>
      </w:r>
    </w:p>
    <w:p w:rsidR="008525AA" w:rsidRDefault="008525AA" w:rsidP="00B30E9E">
      <w:pPr>
        <w:autoSpaceDE w:val="0"/>
        <w:autoSpaceDN w:val="0"/>
        <w:adjustRightInd w:val="0"/>
        <w:ind w:left="567" w:right="567"/>
      </w:pPr>
    </w:p>
    <w:p w:rsidR="005D602B" w:rsidRDefault="005D602B" w:rsidP="00B30E9E">
      <w:pPr>
        <w:autoSpaceDE w:val="0"/>
        <w:autoSpaceDN w:val="0"/>
        <w:adjustRightInd w:val="0"/>
        <w:ind w:left="567" w:right="567"/>
      </w:pPr>
    </w:p>
    <w:p w:rsidR="00CA69B5" w:rsidRPr="007E765B" w:rsidRDefault="00CA69B5" w:rsidP="001709AC">
      <w:pPr>
        <w:jc w:val="left"/>
      </w:pPr>
      <w:r w:rsidRPr="007E765B">
        <w:fldChar w:fldCharType="begin"/>
      </w:r>
      <w:r w:rsidRPr="007E765B">
        <w:instrText xml:space="preserve"> AUTONUM  </w:instrText>
      </w:r>
      <w:r w:rsidRPr="007E765B">
        <w:fldChar w:fldCharType="end"/>
      </w:r>
      <w:r w:rsidRPr="007E765B">
        <w:tab/>
        <w:t>It is proposed that the TWPs consider the proposal</w:t>
      </w:r>
      <w:r w:rsidR="00412045" w:rsidRPr="007E765B">
        <w:t xml:space="preserve">s in paragraph 11 of this document </w:t>
      </w:r>
      <w:r w:rsidRPr="007E765B">
        <w:t>and provide any vi</w:t>
      </w:r>
      <w:r w:rsidR="00B30E9E" w:rsidRPr="007E765B">
        <w:t>ews to further improve the text.</w:t>
      </w:r>
    </w:p>
    <w:p w:rsidR="00CA69B5" w:rsidRPr="007E765B" w:rsidRDefault="00CA69B5" w:rsidP="00B64575"/>
    <w:p w:rsidR="00B64575" w:rsidRPr="00C5280D" w:rsidRDefault="00804795" w:rsidP="008951E4">
      <w:pPr>
        <w:pStyle w:val="DecisionParagraphs"/>
        <w:rPr>
          <w:snapToGrid w:val="0"/>
        </w:rPr>
      </w:pPr>
      <w:r w:rsidRPr="007E765B">
        <w:fldChar w:fldCharType="begin"/>
      </w:r>
      <w:r w:rsidRPr="007E765B">
        <w:instrText xml:space="preserve"> AUTONUM  </w:instrText>
      </w:r>
      <w:r w:rsidRPr="007E765B">
        <w:fldChar w:fldCharType="end"/>
      </w:r>
      <w:r w:rsidRPr="007E765B">
        <w:tab/>
        <w:t xml:space="preserve">The TWPs are invited to </w:t>
      </w:r>
      <w:r w:rsidR="008951E4" w:rsidRPr="007E765B">
        <w:t xml:space="preserve">consider </w:t>
      </w:r>
      <w:r w:rsidR="00205BFF" w:rsidRPr="007E765B">
        <w:t>the proposed revision of document TGP/7 to clarify the duration of DUS testing, as set out</w:t>
      </w:r>
      <w:r w:rsidR="003F32C7" w:rsidRPr="007E765B">
        <w:t xml:space="preserve"> in paragraph</w:t>
      </w:r>
      <w:r w:rsidR="00412045" w:rsidRPr="007E765B">
        <w:t xml:space="preserve"> 11</w:t>
      </w:r>
      <w:r w:rsidR="003F32C7" w:rsidRPr="007E765B">
        <w:t xml:space="preserve"> of this document</w:t>
      </w:r>
      <w:r w:rsidR="008951E4" w:rsidRPr="007E765B">
        <w:t>,</w:t>
      </w:r>
      <w:r w:rsidR="00205BFF" w:rsidRPr="007E765B">
        <w:t xml:space="preserve"> and</w:t>
      </w:r>
      <w:r w:rsidR="008951E4" w:rsidRPr="007E765B">
        <w:t xml:space="preserve"> </w:t>
      </w:r>
      <w:r w:rsidR="00205BFF" w:rsidRPr="007E765B">
        <w:t xml:space="preserve">possible improvements </w:t>
      </w:r>
      <w:r w:rsidR="008951E4" w:rsidRPr="007E765B">
        <w:t>to the</w:t>
      </w:r>
      <w:r w:rsidR="008951E4" w:rsidRPr="00412045">
        <w:t xml:space="preserve"> proposed text</w:t>
      </w:r>
      <w:r w:rsidRPr="00412045">
        <w:t>.</w:t>
      </w:r>
    </w:p>
    <w:p w:rsidR="00D51651" w:rsidRPr="004B1215" w:rsidRDefault="00D51651" w:rsidP="00D51651"/>
    <w:p w:rsidR="00D51651" w:rsidRDefault="00D51651" w:rsidP="00D51651"/>
    <w:p w:rsidR="00D51651" w:rsidRDefault="00D51651" w:rsidP="00D51651"/>
    <w:p w:rsidR="00EE05E6" w:rsidRDefault="007E765B" w:rsidP="007E765B">
      <w:pPr>
        <w:jc w:val="right"/>
      </w:pPr>
      <w:r>
        <w:t>[Annex follows]</w:t>
      </w:r>
      <w:bookmarkStart w:id="12" w:name="_GoBack"/>
      <w:bookmarkEnd w:id="12"/>
    </w:p>
    <w:p w:rsidR="00EE05E6" w:rsidRDefault="00EE05E6" w:rsidP="00D51651"/>
    <w:p w:rsidR="00EE05E6" w:rsidRDefault="00EE05E6" w:rsidP="00D51651"/>
    <w:p w:rsidR="00EE05E6" w:rsidRDefault="00EE05E6" w:rsidP="00D51651">
      <w:pPr>
        <w:sectPr w:rsidR="00EE05E6" w:rsidSect="00906DDC">
          <w:headerReference w:type="default" r:id="rId10"/>
          <w:pgSz w:w="11907" w:h="16840" w:code="9"/>
          <w:pgMar w:top="510" w:right="1134" w:bottom="1134" w:left="1134" w:header="510" w:footer="680" w:gutter="0"/>
          <w:cols w:space="720"/>
          <w:titlePg/>
        </w:sectPr>
      </w:pPr>
    </w:p>
    <w:p w:rsidR="00EE05E6" w:rsidRDefault="00EE05E6" w:rsidP="00EE05E6">
      <w:pPr>
        <w:jc w:val="center"/>
      </w:pPr>
      <w:r>
        <w:t>EXTRACT FROM DOCUMENT TGP/7 “DEVELOPMENT OF TEST GUIDELINES”</w:t>
      </w:r>
    </w:p>
    <w:p w:rsidR="00EE05E6" w:rsidRDefault="00EE05E6" w:rsidP="00D51651"/>
    <w:p w:rsidR="00EE05E6" w:rsidRPr="003E7E58" w:rsidRDefault="00EE05E6" w:rsidP="00EE05E6"/>
    <w:p w:rsidR="00EE05E6" w:rsidRPr="00EE05E6" w:rsidRDefault="00EE05E6" w:rsidP="00EE05E6">
      <w:pPr>
        <w:rPr>
          <w:u w:val="single"/>
        </w:rPr>
      </w:pPr>
      <w:bookmarkStart w:id="13" w:name="_Toc27819131"/>
      <w:bookmarkStart w:id="14" w:name="_Toc27819312"/>
      <w:bookmarkStart w:id="15" w:name="_Toc27819493"/>
      <w:bookmarkStart w:id="16" w:name="_Toc463342919"/>
      <w:r w:rsidRPr="00EE05E6">
        <w:rPr>
          <w:u w:val="single"/>
        </w:rPr>
        <w:t xml:space="preserve">ASW </w:t>
      </w:r>
      <w:proofErr w:type="gramStart"/>
      <w:r w:rsidRPr="00EE05E6">
        <w:rPr>
          <w:u w:val="single"/>
        </w:rPr>
        <w:t>2  (</w:t>
      </w:r>
      <w:proofErr w:type="gramEnd"/>
      <w:r w:rsidRPr="00EE05E6">
        <w:rPr>
          <w:u w:val="single"/>
        </w:rPr>
        <w:t>TG Template:  Chapter 3.1) – Number of growing cycles</w:t>
      </w:r>
      <w:bookmarkEnd w:id="13"/>
      <w:bookmarkEnd w:id="14"/>
      <w:bookmarkEnd w:id="15"/>
      <w:bookmarkEnd w:id="16"/>
    </w:p>
    <w:p w:rsidR="00EE05E6" w:rsidRPr="003E7E58" w:rsidRDefault="00EE05E6" w:rsidP="00EE05E6"/>
    <w:p w:rsidR="00EE05E6" w:rsidRDefault="00EE05E6" w:rsidP="00EE05E6">
      <w:bookmarkStart w:id="17" w:name="_Toc27819132"/>
      <w:bookmarkStart w:id="18" w:name="_Toc27819313"/>
      <w:bookmarkStart w:id="19" w:name="_Toc27819494"/>
      <w:bookmarkStart w:id="20" w:name="_Toc463342920"/>
      <w:r w:rsidRPr="003E7E58">
        <w:t>(a)</w:t>
      </w:r>
      <w:r w:rsidRPr="003E7E58">
        <w:tab/>
        <w:t>Single growing cycle</w:t>
      </w:r>
      <w:bookmarkEnd w:id="17"/>
      <w:bookmarkEnd w:id="18"/>
      <w:bookmarkEnd w:id="19"/>
      <w:bookmarkEnd w:id="20"/>
    </w:p>
    <w:p w:rsidR="00EE05E6" w:rsidRPr="003E7E58" w:rsidRDefault="00EE05E6" w:rsidP="00EE05E6"/>
    <w:p w:rsidR="00EE05E6" w:rsidRPr="003E7E58" w:rsidRDefault="00EE05E6" w:rsidP="00EE05E6">
      <w:r w:rsidRPr="003E7E58">
        <w:t>“The minimum duration of tests should normally be a single growing cycle.”</w:t>
      </w:r>
    </w:p>
    <w:p w:rsidR="00EE05E6" w:rsidRPr="003E7E58" w:rsidRDefault="00EE05E6" w:rsidP="00EE05E6">
      <w:pPr>
        <w:rPr>
          <w:i/>
        </w:rPr>
      </w:pPr>
    </w:p>
    <w:p w:rsidR="00EE05E6" w:rsidRDefault="00EE05E6" w:rsidP="00EE05E6">
      <w:bookmarkStart w:id="21" w:name="_Toc27819133"/>
      <w:bookmarkStart w:id="22" w:name="_Toc27819314"/>
      <w:bookmarkStart w:id="23" w:name="_Toc27819495"/>
      <w:bookmarkStart w:id="24" w:name="_Toc463342921"/>
      <w:r w:rsidRPr="003E7E58">
        <w:t>(b)</w:t>
      </w:r>
      <w:r w:rsidRPr="003E7E58">
        <w:tab/>
        <w:t>Two independent growing cycles</w:t>
      </w:r>
      <w:bookmarkEnd w:id="21"/>
      <w:bookmarkEnd w:id="22"/>
      <w:bookmarkEnd w:id="23"/>
      <w:bookmarkEnd w:id="24"/>
    </w:p>
    <w:p w:rsidR="00EE05E6" w:rsidRPr="003E7E58" w:rsidRDefault="00EE05E6" w:rsidP="00EE05E6"/>
    <w:p w:rsidR="00EE05E6" w:rsidRPr="003E7E58" w:rsidRDefault="00EE05E6" w:rsidP="00EE05E6">
      <w:r w:rsidRPr="003E7E58">
        <w:t>“The minimum duration of tests should normally be two independent growing cycles.”</w:t>
      </w:r>
    </w:p>
    <w:p w:rsidR="00EE05E6" w:rsidRPr="003E7E58" w:rsidRDefault="00EE05E6" w:rsidP="00EE05E6"/>
    <w:p w:rsidR="00EE05E6" w:rsidRPr="003E7E58" w:rsidRDefault="00EE05E6" w:rsidP="00EE05E6"/>
    <w:p w:rsidR="00EE05E6" w:rsidRPr="00EE05E6" w:rsidRDefault="00EE05E6" w:rsidP="00EE05E6">
      <w:pPr>
        <w:rPr>
          <w:u w:val="single"/>
        </w:rPr>
      </w:pPr>
      <w:bookmarkStart w:id="25" w:name="_Toc463342922"/>
      <w:r w:rsidRPr="00EE05E6">
        <w:rPr>
          <w:u w:val="single"/>
        </w:rPr>
        <w:t xml:space="preserve">ASW </w:t>
      </w:r>
      <w:proofErr w:type="gramStart"/>
      <w:r w:rsidRPr="00EE05E6">
        <w:rPr>
          <w:u w:val="single"/>
        </w:rPr>
        <w:t>3  (</w:t>
      </w:r>
      <w:proofErr w:type="gramEnd"/>
      <w:r w:rsidRPr="00EE05E6">
        <w:rPr>
          <w:u w:val="single"/>
        </w:rPr>
        <w:t>TG Template:  Chapter 3.1.2) – Explanation of the growing cycle</w:t>
      </w:r>
      <w:bookmarkEnd w:id="25"/>
      <w:r w:rsidRPr="00EE05E6">
        <w:rPr>
          <w:u w:val="single"/>
        </w:rPr>
        <w:t xml:space="preserve"> </w:t>
      </w:r>
    </w:p>
    <w:p w:rsidR="00EE05E6" w:rsidRPr="003E7E58" w:rsidRDefault="00EE05E6" w:rsidP="00EE05E6"/>
    <w:p w:rsidR="00EE05E6" w:rsidRDefault="00EE05E6" w:rsidP="00EE05E6">
      <w:bookmarkStart w:id="26" w:name="_Toc463342923"/>
      <w:r w:rsidRPr="003E7E58">
        <w:t>(a)</w:t>
      </w:r>
      <w:r w:rsidRPr="003E7E58">
        <w:tab/>
        <w:t>Fruit species with clearly defined dormant period</w:t>
      </w:r>
      <w:bookmarkEnd w:id="26"/>
    </w:p>
    <w:p w:rsidR="00EE05E6" w:rsidRPr="003E7E58" w:rsidRDefault="00EE05E6" w:rsidP="00EE05E6"/>
    <w:p w:rsidR="00EE05E6" w:rsidRPr="003E7E58" w:rsidRDefault="00EE05E6" w:rsidP="00EE05E6">
      <w:r w:rsidRPr="003E7E58">
        <w:t>“3.1.2</w:t>
      </w:r>
      <w:r w:rsidRPr="003E7E58">
        <w:tab/>
        <w:t>The growing cycle is considered to be the duration of a single growing season, beginning with bud burst (flowering and/or vegetative), flowering and fruit harvest and concluding when the following dormant period ends with the swelling of new season buds.”</w:t>
      </w:r>
    </w:p>
    <w:p w:rsidR="00EE05E6" w:rsidRPr="003E7E58" w:rsidRDefault="00EE05E6" w:rsidP="00EE05E6"/>
    <w:p w:rsidR="00EE05E6" w:rsidRDefault="00EE05E6" w:rsidP="00EE05E6">
      <w:bookmarkStart w:id="27" w:name="_Toc463342924"/>
      <w:r w:rsidRPr="003E7E58">
        <w:t>(b)</w:t>
      </w:r>
      <w:r w:rsidRPr="003E7E58">
        <w:tab/>
        <w:t>Fruit species with no clearly defined dormant period</w:t>
      </w:r>
      <w:bookmarkEnd w:id="27"/>
      <w:r w:rsidRPr="003E7E58">
        <w:t xml:space="preserve"> </w:t>
      </w:r>
    </w:p>
    <w:p w:rsidR="00EE05E6" w:rsidRPr="003E7E58" w:rsidRDefault="00EE05E6" w:rsidP="00EE05E6"/>
    <w:p w:rsidR="00EE05E6" w:rsidRPr="003E7E58" w:rsidRDefault="00EE05E6" w:rsidP="00EE05E6">
      <w:pPr>
        <w:rPr>
          <w:i/>
        </w:rPr>
      </w:pPr>
      <w:r w:rsidRPr="003E7E58">
        <w:t>“3.1.2</w:t>
      </w:r>
      <w:r w:rsidRPr="003E7E58">
        <w:tab/>
        <w:t>The growing cycle is considered to be the period ranging from the beginning of active vegetative growth or flowering, continuing through active vegetative growth or flowering and fruit development and concluding with the harvesting of fruit.”</w:t>
      </w:r>
    </w:p>
    <w:p w:rsidR="00EE05E6" w:rsidRPr="003E7E58" w:rsidRDefault="00EE05E6" w:rsidP="00EE05E6">
      <w:pPr>
        <w:rPr>
          <w:i/>
        </w:rPr>
      </w:pPr>
    </w:p>
    <w:p w:rsidR="00EE05E6" w:rsidRDefault="00EE05E6" w:rsidP="00EE05E6">
      <w:bookmarkStart w:id="28" w:name="_Toc463342925"/>
      <w:r w:rsidRPr="003E7E58">
        <w:rPr>
          <w:iCs/>
        </w:rPr>
        <w:t>(c)</w:t>
      </w:r>
      <w:r w:rsidRPr="003E7E58">
        <w:rPr>
          <w:iCs/>
        </w:rPr>
        <w:tab/>
      </w:r>
      <w:r w:rsidRPr="003E7E58">
        <w:t>Evergreen species with indeterminate growth</w:t>
      </w:r>
      <w:bookmarkEnd w:id="28"/>
    </w:p>
    <w:p w:rsidR="00EE05E6" w:rsidRPr="003E7E58" w:rsidRDefault="00EE05E6" w:rsidP="00EE05E6"/>
    <w:p w:rsidR="00EE05E6" w:rsidRPr="003E7E58" w:rsidRDefault="00EE05E6" w:rsidP="00EE05E6">
      <w:r w:rsidRPr="003E7E58">
        <w:t>The growing cycle is considered to be the period ranging from the beginning of development of an individual flower or inflorescence, through fruit development and concluding with the harvesting of fruit from the corresponding individual flower or inflorescence.</w:t>
      </w:r>
    </w:p>
    <w:p w:rsidR="00EE05E6" w:rsidRPr="003E7E58" w:rsidRDefault="00EE05E6" w:rsidP="00EE05E6">
      <w:pPr>
        <w:rPr>
          <w:i/>
        </w:rPr>
      </w:pPr>
    </w:p>
    <w:p w:rsidR="00EE05E6" w:rsidRDefault="00EE05E6" w:rsidP="00EE05E6">
      <w:bookmarkStart w:id="29" w:name="_Toc463342926"/>
      <w:r w:rsidRPr="003E7E58">
        <w:t>(d)</w:t>
      </w:r>
      <w:r w:rsidRPr="003E7E58">
        <w:tab/>
        <w:t>Fruit species</w:t>
      </w:r>
      <w:bookmarkEnd w:id="29"/>
    </w:p>
    <w:p w:rsidR="00EE05E6" w:rsidRPr="003E7E58" w:rsidRDefault="00EE05E6" w:rsidP="00EE05E6"/>
    <w:p w:rsidR="00EE05E6" w:rsidRPr="003E7E58" w:rsidRDefault="00EE05E6" w:rsidP="00EE05E6">
      <w:r w:rsidRPr="003E7E58">
        <w:t>In the case of Test Guidelines covering fruit species, the following sentence may be added in Chapter 3.1:</w:t>
      </w:r>
    </w:p>
    <w:p w:rsidR="00EE05E6" w:rsidRPr="003E7E58" w:rsidRDefault="00EE05E6" w:rsidP="00EE05E6"/>
    <w:p w:rsidR="00EE05E6" w:rsidRPr="003E7E58" w:rsidRDefault="00EE05E6" w:rsidP="00EE05E6">
      <w:r w:rsidRPr="003E7E58">
        <w:t>“In particular, it is essential that the [trees] / [plants] produce a satisfactory crop of fruit in each of the two growing cycles.”</w:t>
      </w:r>
    </w:p>
    <w:p w:rsidR="00EE05E6" w:rsidRPr="003E7E58" w:rsidRDefault="00EE05E6" w:rsidP="00EE05E6"/>
    <w:p w:rsidR="00EE05E6" w:rsidRDefault="00EE05E6" w:rsidP="00EE05E6">
      <w:bookmarkStart w:id="30" w:name="_Toc463342927"/>
      <w:r w:rsidRPr="003E7E58">
        <w:t>(e)</w:t>
      </w:r>
      <w:r w:rsidRPr="003E7E58">
        <w:tab/>
        <w:t>Two independent cycles in the form of two separate plantings</w:t>
      </w:r>
      <w:bookmarkEnd w:id="30"/>
    </w:p>
    <w:p w:rsidR="00EE05E6" w:rsidRPr="003E7E58" w:rsidRDefault="00EE05E6" w:rsidP="00EE05E6"/>
    <w:p w:rsidR="00EE05E6" w:rsidRPr="003E7E58" w:rsidRDefault="00EE05E6" w:rsidP="00EE05E6">
      <w:r w:rsidRPr="003E7E58">
        <w:t>Where appropriate, the following sentence may be added in Chapter 3.1:</w:t>
      </w:r>
    </w:p>
    <w:p w:rsidR="00EE05E6" w:rsidRPr="003E7E58" w:rsidRDefault="00EE05E6" w:rsidP="00EE05E6"/>
    <w:p w:rsidR="00EE05E6" w:rsidRPr="003E7E58" w:rsidRDefault="00EE05E6" w:rsidP="00EE05E6">
      <w:r w:rsidRPr="003E7E58">
        <w:t>“The two independent growing cycles should be in the form of two separate plantings.”</w:t>
      </w:r>
    </w:p>
    <w:p w:rsidR="00EE05E6" w:rsidRPr="003E7E58" w:rsidRDefault="00EE05E6" w:rsidP="00EE05E6"/>
    <w:p w:rsidR="00EE05E6" w:rsidRDefault="00EE05E6" w:rsidP="00EE05E6">
      <w:bookmarkStart w:id="31" w:name="_Toc463342928"/>
      <w:r w:rsidRPr="003E7E58">
        <w:t>(f)</w:t>
      </w:r>
      <w:r w:rsidRPr="003E7E58">
        <w:tab/>
        <w:t>Two independent cycles from a single planting</w:t>
      </w:r>
      <w:bookmarkEnd w:id="31"/>
    </w:p>
    <w:p w:rsidR="00EE05E6" w:rsidRPr="003E7E58" w:rsidRDefault="00EE05E6" w:rsidP="00EE05E6"/>
    <w:p w:rsidR="00EE05E6" w:rsidRPr="003E7E58" w:rsidRDefault="00EE05E6" w:rsidP="00EE05E6">
      <w:r w:rsidRPr="003E7E58">
        <w:t>Where appropriate, the following sentence may be added in Chapter 3.1:</w:t>
      </w:r>
    </w:p>
    <w:p w:rsidR="00EE05E6" w:rsidRPr="003E7E58" w:rsidRDefault="00EE05E6" w:rsidP="00EE05E6"/>
    <w:p w:rsidR="00EE05E6" w:rsidRPr="003E7E58" w:rsidRDefault="00EE05E6" w:rsidP="00EE05E6">
      <w:r w:rsidRPr="003E7E58">
        <w:t>“The two independent growing cycles may be observed from a single planting, examined in two separate growing cycles.”</w:t>
      </w:r>
    </w:p>
    <w:p w:rsidR="00EE05E6" w:rsidRPr="003E7E58" w:rsidRDefault="00EE05E6" w:rsidP="00EE05E6"/>
    <w:p w:rsidR="00EE05E6" w:rsidRPr="003E7E58" w:rsidRDefault="00EE05E6" w:rsidP="00EE05E6"/>
    <w:p w:rsidR="00EE05E6" w:rsidRPr="00C651CE" w:rsidRDefault="00EE05E6" w:rsidP="00D51651"/>
    <w:p w:rsidR="00050E16" w:rsidRPr="00C5280D" w:rsidRDefault="00D51651" w:rsidP="00CA69B5">
      <w:pPr>
        <w:jc w:val="right"/>
      </w:pPr>
      <w:r w:rsidRPr="00C5280D">
        <w:t xml:space="preserve"> [End of </w:t>
      </w:r>
      <w:r w:rsidR="00EE05E6">
        <w:t xml:space="preserve">Annex and of </w:t>
      </w:r>
      <w:r w:rsidRPr="00C5280D">
        <w:t>document]</w:t>
      </w:r>
    </w:p>
    <w:sectPr w:rsidR="00050E16" w:rsidRPr="00C5280D" w:rsidSect="00906DDC">
      <w:headerReference w:type="firs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F76" w:rsidRDefault="005E0F76" w:rsidP="006655D3">
      <w:r>
        <w:separator/>
      </w:r>
    </w:p>
    <w:p w:rsidR="005E0F76" w:rsidRDefault="005E0F76" w:rsidP="006655D3"/>
    <w:p w:rsidR="005E0F76" w:rsidRDefault="005E0F76" w:rsidP="006655D3"/>
  </w:endnote>
  <w:endnote w:type="continuationSeparator" w:id="0">
    <w:p w:rsidR="005E0F76" w:rsidRDefault="005E0F76" w:rsidP="006655D3">
      <w:r>
        <w:separator/>
      </w:r>
    </w:p>
    <w:p w:rsidR="005E0F76" w:rsidRPr="00294751" w:rsidRDefault="005E0F76">
      <w:pPr>
        <w:pStyle w:val="Footer"/>
        <w:spacing w:after="60"/>
        <w:rPr>
          <w:sz w:val="18"/>
          <w:lang w:val="fr-FR"/>
        </w:rPr>
      </w:pPr>
      <w:r w:rsidRPr="00294751">
        <w:rPr>
          <w:sz w:val="18"/>
          <w:lang w:val="fr-FR"/>
        </w:rPr>
        <w:t>[Suite de la note de la page précédente]</w:t>
      </w:r>
    </w:p>
    <w:p w:rsidR="005E0F76" w:rsidRPr="00294751" w:rsidRDefault="005E0F76" w:rsidP="006655D3">
      <w:pPr>
        <w:rPr>
          <w:lang w:val="fr-FR"/>
        </w:rPr>
      </w:pPr>
    </w:p>
    <w:p w:rsidR="005E0F76" w:rsidRPr="00294751" w:rsidRDefault="005E0F76" w:rsidP="006655D3">
      <w:pPr>
        <w:rPr>
          <w:lang w:val="fr-FR"/>
        </w:rPr>
      </w:pPr>
    </w:p>
  </w:endnote>
  <w:endnote w:type="continuationNotice" w:id="1">
    <w:p w:rsidR="005E0F76" w:rsidRPr="00294751" w:rsidRDefault="005E0F76" w:rsidP="006655D3">
      <w:pPr>
        <w:rPr>
          <w:lang w:val="fr-FR"/>
        </w:rPr>
      </w:pPr>
      <w:r w:rsidRPr="00294751">
        <w:rPr>
          <w:lang w:val="fr-FR"/>
        </w:rPr>
        <w:t>[Suite de la note page suivante]</w:t>
      </w:r>
    </w:p>
    <w:p w:rsidR="005E0F76" w:rsidRPr="00294751" w:rsidRDefault="005E0F76" w:rsidP="006655D3">
      <w:pPr>
        <w:rPr>
          <w:lang w:val="fr-FR"/>
        </w:rPr>
      </w:pPr>
    </w:p>
    <w:p w:rsidR="005E0F76" w:rsidRPr="00294751" w:rsidRDefault="005E0F7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F76" w:rsidRDefault="005E0F76" w:rsidP="006655D3">
      <w:r>
        <w:separator/>
      </w:r>
    </w:p>
  </w:footnote>
  <w:footnote w:type="continuationSeparator" w:id="0">
    <w:p w:rsidR="005E0F76" w:rsidRDefault="005E0F76" w:rsidP="006655D3">
      <w:r>
        <w:separator/>
      </w:r>
    </w:p>
  </w:footnote>
  <w:footnote w:type="continuationNotice" w:id="1">
    <w:p w:rsidR="005E0F76" w:rsidRPr="00AB530F" w:rsidRDefault="005E0F7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D012BB" w:rsidP="00EB048E">
    <w:pPr>
      <w:pStyle w:val="Header"/>
      <w:rPr>
        <w:rStyle w:val="PageNumber"/>
        <w:lang w:val="en-US"/>
      </w:rPr>
    </w:pPr>
    <w:r>
      <w:rPr>
        <w:rStyle w:val="PageNumber"/>
        <w:lang w:val="en-US"/>
      </w:rPr>
      <w:t>TWP</w:t>
    </w:r>
    <w:r w:rsidR="00EC2A4F">
      <w:rPr>
        <w:rStyle w:val="PageNumber"/>
        <w:lang w:val="en-US"/>
      </w:rPr>
      <w:t>/1/11</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E0D92">
      <w:rPr>
        <w:rStyle w:val="PageNumber"/>
        <w:noProof/>
        <w:lang w:val="en-US"/>
      </w:rPr>
      <w:t>5</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E6" w:rsidRDefault="00EE05E6">
    <w:pPr>
      <w:pStyle w:val="Header"/>
      <w:rPr>
        <w:lang w:val="en-US"/>
      </w:rPr>
    </w:pPr>
    <w:r>
      <w:rPr>
        <w:lang w:val="en-US"/>
      </w:rPr>
      <w:t>TWP/1/11</w:t>
    </w:r>
  </w:p>
  <w:p w:rsidR="00EE05E6" w:rsidRDefault="00EE05E6">
    <w:pPr>
      <w:pStyle w:val="Header"/>
      <w:rPr>
        <w:lang w:val="en-US"/>
      </w:rPr>
    </w:pPr>
  </w:p>
  <w:p w:rsidR="00EE05E6" w:rsidRDefault="00EE05E6">
    <w:pPr>
      <w:pStyle w:val="Header"/>
      <w:rPr>
        <w:lang w:val="en-US"/>
      </w:rPr>
    </w:pPr>
    <w:r>
      <w:rPr>
        <w:lang w:val="en-US"/>
      </w:rPr>
      <w:t>ANNEX</w:t>
    </w:r>
  </w:p>
  <w:p w:rsidR="00EE05E6" w:rsidRDefault="00EE05E6">
    <w:pPr>
      <w:pStyle w:val="Header"/>
      <w:rPr>
        <w:lang w:val="en-US"/>
      </w:rPr>
    </w:pPr>
  </w:p>
  <w:p w:rsidR="00EE05E6" w:rsidRPr="00EE05E6" w:rsidRDefault="00EE05E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7C9"/>
    <w:multiLevelType w:val="hybridMultilevel"/>
    <w:tmpl w:val="233402B6"/>
    <w:lvl w:ilvl="0" w:tplc="371EFC48">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5F35BB"/>
    <w:multiLevelType w:val="hybridMultilevel"/>
    <w:tmpl w:val="1EE206A8"/>
    <w:lvl w:ilvl="0" w:tplc="725C9E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76"/>
    <w:rsid w:val="00007BD8"/>
    <w:rsid w:val="00010CF3"/>
    <w:rsid w:val="00011E27"/>
    <w:rsid w:val="000148BC"/>
    <w:rsid w:val="00024AB8"/>
    <w:rsid w:val="00030854"/>
    <w:rsid w:val="00036028"/>
    <w:rsid w:val="000366C1"/>
    <w:rsid w:val="00044642"/>
    <w:rsid w:val="000446B9"/>
    <w:rsid w:val="00047E21"/>
    <w:rsid w:val="00050E16"/>
    <w:rsid w:val="00085505"/>
    <w:rsid w:val="00097858"/>
    <w:rsid w:val="000C2E03"/>
    <w:rsid w:val="000C4E25"/>
    <w:rsid w:val="000C7021"/>
    <w:rsid w:val="000D1D5F"/>
    <w:rsid w:val="000D6BBC"/>
    <w:rsid w:val="000D7780"/>
    <w:rsid w:val="000E636A"/>
    <w:rsid w:val="000F2F11"/>
    <w:rsid w:val="00105929"/>
    <w:rsid w:val="00110C36"/>
    <w:rsid w:val="001131D5"/>
    <w:rsid w:val="001132F2"/>
    <w:rsid w:val="00120911"/>
    <w:rsid w:val="00125B50"/>
    <w:rsid w:val="00141DB8"/>
    <w:rsid w:val="00147180"/>
    <w:rsid w:val="00161A46"/>
    <w:rsid w:val="001709AC"/>
    <w:rsid w:val="00172084"/>
    <w:rsid w:val="0017474A"/>
    <w:rsid w:val="001758C6"/>
    <w:rsid w:val="00182B99"/>
    <w:rsid w:val="001D6303"/>
    <w:rsid w:val="00205BFF"/>
    <w:rsid w:val="0021332C"/>
    <w:rsid w:val="00213982"/>
    <w:rsid w:val="00217C75"/>
    <w:rsid w:val="00227BD4"/>
    <w:rsid w:val="0024416D"/>
    <w:rsid w:val="00271911"/>
    <w:rsid w:val="002800A0"/>
    <w:rsid w:val="002801B3"/>
    <w:rsid w:val="00281060"/>
    <w:rsid w:val="00284CDF"/>
    <w:rsid w:val="002940E8"/>
    <w:rsid w:val="00294751"/>
    <w:rsid w:val="002A043C"/>
    <w:rsid w:val="002A6E50"/>
    <w:rsid w:val="002B4298"/>
    <w:rsid w:val="002C09D0"/>
    <w:rsid w:val="002C256A"/>
    <w:rsid w:val="002E6E41"/>
    <w:rsid w:val="00305A7F"/>
    <w:rsid w:val="003152FE"/>
    <w:rsid w:val="00327436"/>
    <w:rsid w:val="00335389"/>
    <w:rsid w:val="00344BD6"/>
    <w:rsid w:val="00346B23"/>
    <w:rsid w:val="0035528D"/>
    <w:rsid w:val="00361821"/>
    <w:rsid w:val="00361E9E"/>
    <w:rsid w:val="00370BF0"/>
    <w:rsid w:val="00381EF5"/>
    <w:rsid w:val="00384B59"/>
    <w:rsid w:val="003A503B"/>
    <w:rsid w:val="003B20DC"/>
    <w:rsid w:val="003C7FBE"/>
    <w:rsid w:val="003D227C"/>
    <w:rsid w:val="003D2B4D"/>
    <w:rsid w:val="003F32C7"/>
    <w:rsid w:val="00412045"/>
    <w:rsid w:val="00444A88"/>
    <w:rsid w:val="00474DA4"/>
    <w:rsid w:val="00476B4D"/>
    <w:rsid w:val="004805FA"/>
    <w:rsid w:val="004935D2"/>
    <w:rsid w:val="0049744F"/>
    <w:rsid w:val="004B1215"/>
    <w:rsid w:val="004C39C2"/>
    <w:rsid w:val="004D047D"/>
    <w:rsid w:val="004E01A1"/>
    <w:rsid w:val="004E0D92"/>
    <w:rsid w:val="004F1E9E"/>
    <w:rsid w:val="004F305A"/>
    <w:rsid w:val="00502A05"/>
    <w:rsid w:val="00512164"/>
    <w:rsid w:val="00520297"/>
    <w:rsid w:val="00524CC2"/>
    <w:rsid w:val="00524E82"/>
    <w:rsid w:val="005338F9"/>
    <w:rsid w:val="0054281C"/>
    <w:rsid w:val="00544581"/>
    <w:rsid w:val="0055268D"/>
    <w:rsid w:val="00576BE4"/>
    <w:rsid w:val="00593595"/>
    <w:rsid w:val="005A400A"/>
    <w:rsid w:val="005D602B"/>
    <w:rsid w:val="005E0F76"/>
    <w:rsid w:val="005F2892"/>
    <w:rsid w:val="005F7B92"/>
    <w:rsid w:val="00612379"/>
    <w:rsid w:val="006153B6"/>
    <w:rsid w:val="0061555F"/>
    <w:rsid w:val="00621302"/>
    <w:rsid w:val="00636CA6"/>
    <w:rsid w:val="00641200"/>
    <w:rsid w:val="00652641"/>
    <w:rsid w:val="006655D3"/>
    <w:rsid w:val="00667404"/>
    <w:rsid w:val="00677A17"/>
    <w:rsid w:val="00680C27"/>
    <w:rsid w:val="00682DA4"/>
    <w:rsid w:val="00687EB4"/>
    <w:rsid w:val="00695C56"/>
    <w:rsid w:val="006A5CDE"/>
    <w:rsid w:val="006A644A"/>
    <w:rsid w:val="006B17D2"/>
    <w:rsid w:val="006C0D29"/>
    <w:rsid w:val="006C0FDE"/>
    <w:rsid w:val="006C224E"/>
    <w:rsid w:val="006D780A"/>
    <w:rsid w:val="0071271E"/>
    <w:rsid w:val="00717537"/>
    <w:rsid w:val="00732DEC"/>
    <w:rsid w:val="00735BD5"/>
    <w:rsid w:val="00751613"/>
    <w:rsid w:val="00753655"/>
    <w:rsid w:val="007556F6"/>
    <w:rsid w:val="00760EEF"/>
    <w:rsid w:val="00777EE5"/>
    <w:rsid w:val="00784836"/>
    <w:rsid w:val="0079023E"/>
    <w:rsid w:val="007A2854"/>
    <w:rsid w:val="007B0C12"/>
    <w:rsid w:val="007C1D92"/>
    <w:rsid w:val="007C359B"/>
    <w:rsid w:val="007C4CB9"/>
    <w:rsid w:val="007D0B9D"/>
    <w:rsid w:val="007D19B0"/>
    <w:rsid w:val="007D49CC"/>
    <w:rsid w:val="007E0CA0"/>
    <w:rsid w:val="007E765B"/>
    <w:rsid w:val="007F498F"/>
    <w:rsid w:val="00804795"/>
    <w:rsid w:val="0080679D"/>
    <w:rsid w:val="008108B0"/>
    <w:rsid w:val="00811B20"/>
    <w:rsid w:val="008211B5"/>
    <w:rsid w:val="0082296E"/>
    <w:rsid w:val="00824099"/>
    <w:rsid w:val="00835B95"/>
    <w:rsid w:val="00846D7C"/>
    <w:rsid w:val="008525AA"/>
    <w:rsid w:val="00860A1D"/>
    <w:rsid w:val="008662ED"/>
    <w:rsid w:val="00867AC1"/>
    <w:rsid w:val="0087152E"/>
    <w:rsid w:val="00890DF8"/>
    <w:rsid w:val="008951E4"/>
    <w:rsid w:val="008A7263"/>
    <w:rsid w:val="008A743F"/>
    <w:rsid w:val="008C0970"/>
    <w:rsid w:val="008D0BC5"/>
    <w:rsid w:val="008D2CF7"/>
    <w:rsid w:val="008F7785"/>
    <w:rsid w:val="00900C26"/>
    <w:rsid w:val="0090197F"/>
    <w:rsid w:val="00906DDC"/>
    <w:rsid w:val="009114F0"/>
    <w:rsid w:val="00934E09"/>
    <w:rsid w:val="00936253"/>
    <w:rsid w:val="00940D46"/>
    <w:rsid w:val="00952DD4"/>
    <w:rsid w:val="00965AE7"/>
    <w:rsid w:val="00970FED"/>
    <w:rsid w:val="00971665"/>
    <w:rsid w:val="009826DA"/>
    <w:rsid w:val="00982D1F"/>
    <w:rsid w:val="00992D82"/>
    <w:rsid w:val="00997029"/>
    <w:rsid w:val="009A7339"/>
    <w:rsid w:val="009A7B75"/>
    <w:rsid w:val="009B440E"/>
    <w:rsid w:val="009C6CDD"/>
    <w:rsid w:val="009D54E5"/>
    <w:rsid w:val="009D690D"/>
    <w:rsid w:val="009E65B6"/>
    <w:rsid w:val="00A24C10"/>
    <w:rsid w:val="00A42AC3"/>
    <w:rsid w:val="00A430CF"/>
    <w:rsid w:val="00A54309"/>
    <w:rsid w:val="00A72796"/>
    <w:rsid w:val="00AB2B93"/>
    <w:rsid w:val="00AB530F"/>
    <w:rsid w:val="00AB7E5B"/>
    <w:rsid w:val="00AC2883"/>
    <w:rsid w:val="00AC4419"/>
    <w:rsid w:val="00AE0EF1"/>
    <w:rsid w:val="00AE2937"/>
    <w:rsid w:val="00B07301"/>
    <w:rsid w:val="00B11F3E"/>
    <w:rsid w:val="00B224DE"/>
    <w:rsid w:val="00B26F5E"/>
    <w:rsid w:val="00B30E9E"/>
    <w:rsid w:val="00B324D4"/>
    <w:rsid w:val="00B46575"/>
    <w:rsid w:val="00B61777"/>
    <w:rsid w:val="00B64575"/>
    <w:rsid w:val="00B84603"/>
    <w:rsid w:val="00B84BBD"/>
    <w:rsid w:val="00B940EB"/>
    <w:rsid w:val="00BA3F02"/>
    <w:rsid w:val="00BA43FB"/>
    <w:rsid w:val="00BC127D"/>
    <w:rsid w:val="00BC1FE6"/>
    <w:rsid w:val="00BD0EB8"/>
    <w:rsid w:val="00BD6CF1"/>
    <w:rsid w:val="00BF43ED"/>
    <w:rsid w:val="00C061B6"/>
    <w:rsid w:val="00C2446C"/>
    <w:rsid w:val="00C354BD"/>
    <w:rsid w:val="00C36AE5"/>
    <w:rsid w:val="00C41F17"/>
    <w:rsid w:val="00C527FA"/>
    <w:rsid w:val="00C5280D"/>
    <w:rsid w:val="00C53EB3"/>
    <w:rsid w:val="00C5791C"/>
    <w:rsid w:val="00C66290"/>
    <w:rsid w:val="00C72B7A"/>
    <w:rsid w:val="00C863D6"/>
    <w:rsid w:val="00C9483D"/>
    <w:rsid w:val="00C973F2"/>
    <w:rsid w:val="00CA304C"/>
    <w:rsid w:val="00CA69B5"/>
    <w:rsid w:val="00CA774A"/>
    <w:rsid w:val="00CB25DE"/>
    <w:rsid w:val="00CB71E2"/>
    <w:rsid w:val="00CC11B0"/>
    <w:rsid w:val="00CC2841"/>
    <w:rsid w:val="00CF1330"/>
    <w:rsid w:val="00CF7E36"/>
    <w:rsid w:val="00D012BB"/>
    <w:rsid w:val="00D01D7C"/>
    <w:rsid w:val="00D2347E"/>
    <w:rsid w:val="00D3708D"/>
    <w:rsid w:val="00D40426"/>
    <w:rsid w:val="00D51651"/>
    <w:rsid w:val="00D52B93"/>
    <w:rsid w:val="00D57C96"/>
    <w:rsid w:val="00D57D18"/>
    <w:rsid w:val="00D91203"/>
    <w:rsid w:val="00D91CB0"/>
    <w:rsid w:val="00D95174"/>
    <w:rsid w:val="00DA1712"/>
    <w:rsid w:val="00DA4499"/>
    <w:rsid w:val="00DA4973"/>
    <w:rsid w:val="00DA6F36"/>
    <w:rsid w:val="00DB596E"/>
    <w:rsid w:val="00DB7773"/>
    <w:rsid w:val="00DC00EA"/>
    <w:rsid w:val="00DC3244"/>
    <w:rsid w:val="00DC3802"/>
    <w:rsid w:val="00DF2B80"/>
    <w:rsid w:val="00E07D87"/>
    <w:rsid w:val="00E32F7E"/>
    <w:rsid w:val="00E357E6"/>
    <w:rsid w:val="00E37CF1"/>
    <w:rsid w:val="00E470A2"/>
    <w:rsid w:val="00E5267B"/>
    <w:rsid w:val="00E70039"/>
    <w:rsid w:val="00E72D49"/>
    <w:rsid w:val="00E7593C"/>
    <w:rsid w:val="00E7678A"/>
    <w:rsid w:val="00E83E9A"/>
    <w:rsid w:val="00E935F1"/>
    <w:rsid w:val="00E94A81"/>
    <w:rsid w:val="00EA1FFB"/>
    <w:rsid w:val="00EB048E"/>
    <w:rsid w:val="00EB4E9C"/>
    <w:rsid w:val="00EC2A4F"/>
    <w:rsid w:val="00EC481C"/>
    <w:rsid w:val="00EE05E6"/>
    <w:rsid w:val="00EE1AFA"/>
    <w:rsid w:val="00EE34DF"/>
    <w:rsid w:val="00EF2F89"/>
    <w:rsid w:val="00EF3ECC"/>
    <w:rsid w:val="00F03E98"/>
    <w:rsid w:val="00F1237A"/>
    <w:rsid w:val="00F22CBD"/>
    <w:rsid w:val="00F272F1"/>
    <w:rsid w:val="00F3446D"/>
    <w:rsid w:val="00F45372"/>
    <w:rsid w:val="00F560F7"/>
    <w:rsid w:val="00F6334D"/>
    <w:rsid w:val="00F76A11"/>
    <w:rsid w:val="00FA4068"/>
    <w:rsid w:val="00FA49AB"/>
    <w:rsid w:val="00FC05D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link w:val="Heading1Char"/>
    <w:autoRedefine/>
    <w:qFormat/>
    <w:rsid w:val="00677A17"/>
    <w:pPr>
      <w:keepNext/>
      <w:jc w:val="both"/>
      <w:outlineLvl w:val="0"/>
    </w:pPr>
    <w:rPr>
      <w:rFonts w:ascii="Arial" w:hAnsi="Arial"/>
      <w:caps/>
    </w:rPr>
  </w:style>
  <w:style w:type="paragraph" w:styleId="Heading2">
    <w:name w:val="heading 2"/>
    <w:aliases w:val="VARIETY,variety"/>
    <w:next w:val="Normal"/>
    <w:link w:val="Heading2Char"/>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77A17"/>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77A17"/>
    <w:pPr>
      <w:tabs>
        <w:tab w:val="right" w:leader="dot" w:pos="9639"/>
      </w:tabs>
      <w:spacing w:after="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77A17"/>
    <w:pPr>
      <w:tabs>
        <w:tab w:val="right" w:leader="dot" w:pos="9639"/>
      </w:tabs>
      <w:spacing w:after="120"/>
      <w:ind w:left="738" w:right="851" w:hanging="284"/>
      <w:contextualSpacing/>
    </w:pPr>
    <w:rPr>
      <w:rFonts w:ascii="Arial" w:hAnsi="Arial"/>
      <w:i/>
      <w:sz w:val="18"/>
      <w:lang w:val="fr-FR"/>
    </w:rPr>
  </w:style>
  <w:style w:type="paragraph" w:styleId="TOC1">
    <w:name w:val="toc 1"/>
    <w:next w:val="Normal"/>
    <w:autoRedefine/>
    <w:uiPriority w:val="39"/>
    <w:rsid w:val="00097858"/>
    <w:pPr>
      <w:tabs>
        <w:tab w:val="right" w:leader="dot" w:pos="9639"/>
      </w:tabs>
      <w:spacing w:after="120"/>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2Char">
    <w:name w:val="Heading 2 Char"/>
    <w:aliases w:val="VARIETY Char,variety Char"/>
    <w:link w:val="Heading2"/>
    <w:locked/>
    <w:rsid w:val="00B64575"/>
    <w:rPr>
      <w:rFonts w:ascii="Arial" w:hAnsi="Arial"/>
      <w:u w:val="single"/>
    </w:rPr>
  </w:style>
  <w:style w:type="paragraph" w:styleId="ListParagraph">
    <w:name w:val="List Paragraph"/>
    <w:basedOn w:val="Normal"/>
    <w:uiPriority w:val="34"/>
    <w:qFormat/>
    <w:rsid w:val="00B64575"/>
    <w:pPr>
      <w:ind w:left="720"/>
      <w:contextualSpacing/>
    </w:pPr>
  </w:style>
  <w:style w:type="character" w:customStyle="1" w:styleId="Heading1Char">
    <w:name w:val="Heading 1 Char"/>
    <w:basedOn w:val="DefaultParagraphFont"/>
    <w:link w:val="Heading1"/>
    <w:rsid w:val="00B64575"/>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link w:val="Heading1Char"/>
    <w:autoRedefine/>
    <w:qFormat/>
    <w:rsid w:val="00677A17"/>
    <w:pPr>
      <w:keepNext/>
      <w:jc w:val="both"/>
      <w:outlineLvl w:val="0"/>
    </w:pPr>
    <w:rPr>
      <w:rFonts w:ascii="Arial" w:hAnsi="Arial"/>
      <w:caps/>
    </w:rPr>
  </w:style>
  <w:style w:type="paragraph" w:styleId="Heading2">
    <w:name w:val="heading 2"/>
    <w:aliases w:val="VARIETY,variety"/>
    <w:next w:val="Normal"/>
    <w:link w:val="Heading2Char"/>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77A17"/>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77A17"/>
    <w:pPr>
      <w:tabs>
        <w:tab w:val="right" w:leader="dot" w:pos="9639"/>
      </w:tabs>
      <w:spacing w:after="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77A17"/>
    <w:pPr>
      <w:tabs>
        <w:tab w:val="right" w:leader="dot" w:pos="9639"/>
      </w:tabs>
      <w:spacing w:after="120"/>
      <w:ind w:left="738" w:right="851" w:hanging="284"/>
      <w:contextualSpacing/>
    </w:pPr>
    <w:rPr>
      <w:rFonts w:ascii="Arial" w:hAnsi="Arial"/>
      <w:i/>
      <w:sz w:val="18"/>
      <w:lang w:val="fr-FR"/>
    </w:rPr>
  </w:style>
  <w:style w:type="paragraph" w:styleId="TOC1">
    <w:name w:val="toc 1"/>
    <w:next w:val="Normal"/>
    <w:autoRedefine/>
    <w:uiPriority w:val="39"/>
    <w:rsid w:val="00097858"/>
    <w:pPr>
      <w:tabs>
        <w:tab w:val="right" w:leader="dot" w:pos="9639"/>
      </w:tabs>
      <w:spacing w:after="120"/>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2Char">
    <w:name w:val="Heading 2 Char"/>
    <w:aliases w:val="VARIETY Char,variety Char"/>
    <w:link w:val="Heading2"/>
    <w:locked/>
    <w:rsid w:val="00B64575"/>
    <w:rPr>
      <w:rFonts w:ascii="Arial" w:hAnsi="Arial"/>
      <w:u w:val="single"/>
    </w:rPr>
  </w:style>
  <w:style w:type="paragraph" w:styleId="ListParagraph">
    <w:name w:val="List Paragraph"/>
    <w:basedOn w:val="Normal"/>
    <w:uiPriority w:val="34"/>
    <w:qFormat/>
    <w:rsid w:val="00B64575"/>
    <w:pPr>
      <w:ind w:left="720"/>
      <w:contextualSpacing/>
    </w:pPr>
  </w:style>
  <w:style w:type="character" w:customStyle="1" w:styleId="Heading1Char">
    <w:name w:val="Heading 1 Char"/>
    <w:basedOn w:val="DefaultParagraphFont"/>
    <w:link w:val="Heading1"/>
    <w:rsid w:val="00B64575"/>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629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E6361-E2F4-4770-85DF-085B62AB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5</Pages>
  <Words>1500</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TWP/1/11</vt:lpstr>
    </vt:vector>
  </TitlesOfParts>
  <Company>UPOV</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TWP/1/11</dc:title>
  <dc:creator>Sanchez vizcaino gomez Rosa Maria</dc:creator>
  <cp:lastModifiedBy>SANCHEZ-VIZCAINO GOMEZ Rosa Maria</cp:lastModifiedBy>
  <cp:revision>35</cp:revision>
  <cp:lastPrinted>2017-06-16T13:01:00Z</cp:lastPrinted>
  <dcterms:created xsi:type="dcterms:W3CDTF">2017-06-08T08:24:00Z</dcterms:created>
  <dcterms:modified xsi:type="dcterms:W3CDTF">2017-06-16T13:02:00Z</dcterms:modified>
</cp:coreProperties>
</file>