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00F6C" w:rsidTr="00EB4E9C">
        <w:tc>
          <w:tcPr>
            <w:tcW w:w="6522" w:type="dxa"/>
          </w:tcPr>
          <w:p w:rsidR="00DC3802" w:rsidRPr="00800F6C" w:rsidRDefault="00DC3802" w:rsidP="00AC2883">
            <w:r w:rsidRPr="00800F6C">
              <w:rPr>
                <w:noProof/>
              </w:rPr>
              <w:drawing>
                <wp:inline distT="0" distB="0" distL="0" distR="0" wp14:anchorId="54E13A86" wp14:editId="5F8F1306">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800F6C" w:rsidRDefault="00DC3802" w:rsidP="00AC2883">
            <w:pPr>
              <w:pStyle w:val="Lettrine"/>
            </w:pPr>
            <w:r w:rsidRPr="00800F6C">
              <w:t>E</w:t>
            </w:r>
          </w:p>
        </w:tc>
      </w:tr>
      <w:tr w:rsidR="00DC3802" w:rsidRPr="00800F6C" w:rsidTr="00EB4E9C">
        <w:tc>
          <w:tcPr>
            <w:tcW w:w="6522" w:type="dxa"/>
          </w:tcPr>
          <w:p w:rsidR="00DC3802" w:rsidRPr="00800F6C" w:rsidRDefault="00DC3802" w:rsidP="00AC2883">
            <w:pPr>
              <w:pStyle w:val="upove"/>
            </w:pPr>
            <w:r w:rsidRPr="00800F6C">
              <w:t>International Union for the Protection of New Varieties of Plants</w:t>
            </w:r>
          </w:p>
        </w:tc>
        <w:tc>
          <w:tcPr>
            <w:tcW w:w="3117" w:type="dxa"/>
          </w:tcPr>
          <w:p w:rsidR="00DC3802" w:rsidRPr="00800F6C" w:rsidRDefault="00DC3802" w:rsidP="00DA4973"/>
        </w:tc>
      </w:tr>
    </w:tbl>
    <w:p w:rsidR="00DC3802" w:rsidRPr="00800F6C" w:rsidRDefault="00DC3802" w:rsidP="00DC3802"/>
    <w:p w:rsidR="00DA4973" w:rsidRPr="00800F6C"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800F6C" w:rsidTr="00EB4E9C">
        <w:tc>
          <w:tcPr>
            <w:tcW w:w="6512" w:type="dxa"/>
          </w:tcPr>
          <w:p w:rsidR="00EB4E9C" w:rsidRPr="00083A7C" w:rsidRDefault="00E70039" w:rsidP="00DA4499">
            <w:pPr>
              <w:pStyle w:val="Sessiontc"/>
            </w:pPr>
            <w:r w:rsidRPr="00083A7C">
              <w:t>Technical Working Party for Agricultural Crops</w:t>
            </w:r>
          </w:p>
          <w:p w:rsidR="00EB4E9C" w:rsidRPr="00083A7C" w:rsidRDefault="00E70039" w:rsidP="00463FEB">
            <w:pPr>
              <w:pStyle w:val="Sessiontcplacedate"/>
              <w:rPr>
                <w:sz w:val="22"/>
              </w:rPr>
            </w:pPr>
            <w:r w:rsidRPr="00083A7C">
              <w:t>Forty-Sixth</w:t>
            </w:r>
            <w:r w:rsidR="00EB4E9C" w:rsidRPr="00083A7C">
              <w:t xml:space="preserve"> Session</w:t>
            </w:r>
            <w:r w:rsidR="00EB4E9C" w:rsidRPr="00083A7C">
              <w:br/>
            </w:r>
            <w:r w:rsidRPr="00083A7C">
              <w:t>Hanover, Germany</w:t>
            </w:r>
            <w:r w:rsidR="00EB4E9C" w:rsidRPr="00083A7C">
              <w:t xml:space="preserve">, </w:t>
            </w:r>
            <w:r w:rsidRPr="00083A7C">
              <w:t>June 19 to 23</w:t>
            </w:r>
            <w:r w:rsidR="00EB4E9C" w:rsidRPr="00083A7C">
              <w:t>, 2017</w:t>
            </w:r>
          </w:p>
        </w:tc>
        <w:tc>
          <w:tcPr>
            <w:tcW w:w="3127" w:type="dxa"/>
          </w:tcPr>
          <w:p w:rsidR="00DA4499" w:rsidRPr="00083A7C" w:rsidRDefault="00612692" w:rsidP="003C7FBE">
            <w:pPr>
              <w:pStyle w:val="Doccode"/>
            </w:pPr>
            <w:r w:rsidRPr="00083A7C">
              <w:t>TWA/46/8</w:t>
            </w:r>
          </w:p>
          <w:p w:rsidR="00EB4E9C" w:rsidRPr="00083A7C" w:rsidRDefault="00EB4E9C" w:rsidP="003C7FBE">
            <w:pPr>
              <w:pStyle w:val="Docoriginal"/>
            </w:pPr>
            <w:r w:rsidRPr="00083A7C">
              <w:t>Original:</w:t>
            </w:r>
            <w:r w:rsidRPr="00083A7C">
              <w:rPr>
                <w:b w:val="0"/>
                <w:spacing w:val="0"/>
              </w:rPr>
              <w:t xml:space="preserve">  English</w:t>
            </w:r>
          </w:p>
          <w:p w:rsidR="00EB4E9C" w:rsidRPr="00800F6C" w:rsidRDefault="00EB4E9C" w:rsidP="00083A7C">
            <w:pPr>
              <w:pStyle w:val="Docoriginal"/>
            </w:pPr>
            <w:r w:rsidRPr="00083A7C">
              <w:t>Date:</w:t>
            </w:r>
            <w:r w:rsidRPr="00083A7C">
              <w:rPr>
                <w:b w:val="0"/>
                <w:spacing w:val="0"/>
              </w:rPr>
              <w:t xml:space="preserve">  </w:t>
            </w:r>
            <w:r w:rsidR="00E35F77" w:rsidRPr="00083A7C">
              <w:rPr>
                <w:b w:val="0"/>
                <w:spacing w:val="0"/>
              </w:rPr>
              <w:t>June</w:t>
            </w:r>
            <w:r w:rsidR="00425AAB" w:rsidRPr="00083A7C">
              <w:rPr>
                <w:b w:val="0"/>
                <w:spacing w:val="0"/>
              </w:rPr>
              <w:t xml:space="preserve"> </w:t>
            </w:r>
            <w:r w:rsidR="00083A7C" w:rsidRPr="00083A7C">
              <w:rPr>
                <w:b w:val="0"/>
                <w:spacing w:val="0"/>
              </w:rPr>
              <w:t>7</w:t>
            </w:r>
            <w:r w:rsidR="00425AAB" w:rsidRPr="00083A7C">
              <w:rPr>
                <w:b w:val="0"/>
                <w:spacing w:val="0"/>
              </w:rPr>
              <w:t>, 2017</w:t>
            </w:r>
            <w:bookmarkStart w:id="0" w:name="_GoBack"/>
            <w:bookmarkEnd w:id="0"/>
          </w:p>
        </w:tc>
      </w:tr>
    </w:tbl>
    <w:p w:rsidR="000D7780" w:rsidRPr="00800F6C" w:rsidRDefault="00F100E3" w:rsidP="006A644A">
      <w:pPr>
        <w:pStyle w:val="Titleofdoc0"/>
      </w:pPr>
      <w:bookmarkStart w:id="1" w:name="TitleOfDoc"/>
      <w:bookmarkEnd w:id="1"/>
      <w:r w:rsidRPr="00F100E3">
        <w:rPr>
          <w:snapToGrid w:val="0"/>
        </w:rPr>
        <w:t>Impact of using different numbers of growing cycles on DUS decisions using actual data</w:t>
      </w:r>
    </w:p>
    <w:p w:rsidR="006A644A" w:rsidRPr="00800F6C" w:rsidRDefault="00AE0EF1" w:rsidP="006A644A">
      <w:pPr>
        <w:pStyle w:val="preparedby1"/>
        <w:jc w:val="left"/>
      </w:pPr>
      <w:bookmarkStart w:id="2" w:name="Prepared"/>
      <w:bookmarkEnd w:id="2"/>
      <w:r w:rsidRPr="00800F6C">
        <w:t xml:space="preserve">Document </w:t>
      </w:r>
      <w:r w:rsidR="0061555F" w:rsidRPr="00800F6C">
        <w:t xml:space="preserve">prepared by </w:t>
      </w:r>
      <w:r w:rsidR="00F100E3">
        <w:t>the Office of the Union</w:t>
      </w:r>
    </w:p>
    <w:p w:rsidR="00050E16" w:rsidRPr="00800F6C" w:rsidRDefault="00050E16" w:rsidP="006A644A">
      <w:pPr>
        <w:pStyle w:val="Disclaimer"/>
      </w:pPr>
      <w:r w:rsidRPr="00800F6C">
        <w:t>Disclaimer:  this document does not represent UPOV policies or guidance</w:t>
      </w:r>
    </w:p>
    <w:p w:rsidR="001C3FD8" w:rsidRPr="001C3FD8" w:rsidRDefault="001C3FD8" w:rsidP="008F107C">
      <w:pPr>
        <w:pStyle w:val="Heading1"/>
        <w:rPr>
          <w:snapToGrid w:val="0"/>
        </w:rPr>
      </w:pPr>
      <w:bookmarkStart w:id="3" w:name="_Toc484021326"/>
      <w:r w:rsidRPr="001C3FD8">
        <w:rPr>
          <w:snapToGrid w:val="0"/>
        </w:rPr>
        <w:t>Executive summary</w:t>
      </w:r>
      <w:bookmarkEnd w:id="3"/>
    </w:p>
    <w:p w:rsidR="001C3FD8" w:rsidRPr="001C3FD8" w:rsidRDefault="001C3FD8" w:rsidP="001C3FD8">
      <w:pPr>
        <w:rPr>
          <w:snapToGrid w:val="0"/>
        </w:rPr>
      </w:pPr>
    </w:p>
    <w:p w:rsidR="001C3FD8" w:rsidRPr="001C3FD8" w:rsidRDefault="001C3FD8" w:rsidP="001C3FD8">
      <w:pPr>
        <w:rPr>
          <w:snapToGrid w:val="0"/>
        </w:rPr>
      </w:pPr>
      <w:r w:rsidRPr="001C3FD8">
        <w:rPr>
          <w:snapToGrid w:val="0"/>
        </w:rPr>
        <w:fldChar w:fldCharType="begin"/>
      </w:r>
      <w:r w:rsidRPr="001C3FD8">
        <w:rPr>
          <w:snapToGrid w:val="0"/>
        </w:rPr>
        <w:instrText xml:space="preserve"> AUTONUM  </w:instrText>
      </w:r>
      <w:r w:rsidRPr="001C3FD8">
        <w:rPr>
          <w:snapToGrid w:val="0"/>
        </w:rPr>
        <w:fldChar w:fldCharType="end"/>
      </w:r>
      <w:r w:rsidRPr="001C3FD8">
        <w:rPr>
          <w:snapToGrid w:val="0"/>
        </w:rPr>
        <w:tab/>
        <w:t xml:space="preserve">The purpose of this document is to provide examples </w:t>
      </w:r>
      <w:r w:rsidR="00264D05">
        <w:rPr>
          <w:snapToGrid w:val="0"/>
        </w:rPr>
        <w:t xml:space="preserve">on the </w:t>
      </w:r>
      <w:r w:rsidRPr="001C3FD8">
        <w:rPr>
          <w:snapToGrid w:val="0"/>
        </w:rPr>
        <w:t>impact of using different numbers of growing cycles on DUS decisions using actual data.</w:t>
      </w:r>
    </w:p>
    <w:p w:rsidR="001C3FD8" w:rsidRPr="001C3FD8" w:rsidRDefault="001C3FD8" w:rsidP="001C3FD8">
      <w:pPr>
        <w:autoSpaceDE w:val="0"/>
        <w:autoSpaceDN w:val="0"/>
        <w:adjustRightInd w:val="0"/>
        <w:rPr>
          <w:rFonts w:eastAsia="MS Mincho"/>
          <w:color w:val="000000"/>
          <w:szCs w:val="24"/>
          <w:lang w:eastAsia="ja-JP"/>
        </w:rPr>
      </w:pPr>
    </w:p>
    <w:p w:rsidR="001C3FD8" w:rsidRPr="00603F07" w:rsidRDefault="001C3FD8" w:rsidP="00603F07">
      <w:pPr>
        <w:rPr>
          <w:rFonts w:cs="Arial"/>
          <w:i/>
        </w:rPr>
      </w:pPr>
      <w:r w:rsidRPr="001C3FD8">
        <w:rPr>
          <w:i/>
        </w:rPr>
        <w:fldChar w:fldCharType="begin"/>
      </w:r>
      <w:r w:rsidRPr="001C3FD8">
        <w:instrText xml:space="preserve"> AUTONUM  </w:instrText>
      </w:r>
      <w:r w:rsidRPr="001C3FD8">
        <w:rPr>
          <w:i/>
        </w:rPr>
        <w:fldChar w:fldCharType="end"/>
      </w:r>
      <w:r w:rsidRPr="001C3FD8">
        <w:tab/>
      </w:r>
      <w:r w:rsidR="008F107C" w:rsidRPr="008F107C">
        <w:t xml:space="preserve">The TWA is invited to consider the </w:t>
      </w:r>
      <w:r w:rsidR="00D8157B">
        <w:t>information</w:t>
      </w:r>
      <w:r w:rsidR="008F107C" w:rsidRPr="008F107C">
        <w:t xml:space="preserve"> to be </w:t>
      </w:r>
      <w:r w:rsidR="00D8157B">
        <w:t xml:space="preserve">presented </w:t>
      </w:r>
      <w:r w:rsidR="008F107C" w:rsidRPr="008F107C">
        <w:t>at its forty-sixth session on the impact of using different numbers of growing cycles on DUS decisions using actual data, as presented in Anne</w:t>
      </w:r>
      <w:r w:rsidR="00603F07">
        <w:t xml:space="preserve">xes I to III </w:t>
      </w:r>
      <w:r w:rsidR="008F107C" w:rsidRPr="008F107C">
        <w:t>to this document.</w:t>
      </w:r>
    </w:p>
    <w:p w:rsidR="001C3FD8" w:rsidRPr="001C3FD8" w:rsidRDefault="001C3FD8" w:rsidP="001C3FD8">
      <w:pPr>
        <w:rPr>
          <w:snapToGrid w:val="0"/>
          <w:highlight w:val="yellow"/>
        </w:rPr>
      </w:pPr>
    </w:p>
    <w:p w:rsidR="001C3FD8" w:rsidRPr="00264D05" w:rsidRDefault="001C3FD8" w:rsidP="008F107C">
      <w:pPr>
        <w:pStyle w:val="Heading1"/>
        <w:rPr>
          <w:snapToGrid w:val="0"/>
        </w:rPr>
      </w:pPr>
      <w:bookmarkStart w:id="4" w:name="_Toc484021327"/>
      <w:r w:rsidRPr="00264D05">
        <w:rPr>
          <w:snapToGrid w:val="0"/>
        </w:rPr>
        <w:t>Background</w:t>
      </w:r>
      <w:bookmarkEnd w:id="4"/>
    </w:p>
    <w:p w:rsidR="001C3FD8" w:rsidRDefault="001C3FD8" w:rsidP="001C3FD8">
      <w:pPr>
        <w:rPr>
          <w:snapToGrid w:val="0"/>
        </w:rPr>
      </w:pPr>
    </w:p>
    <w:p w:rsidR="00603F07" w:rsidRDefault="00603F07" w:rsidP="001C3FD8">
      <w:r>
        <w:fldChar w:fldCharType="begin"/>
      </w:r>
      <w:r>
        <w:instrText xml:space="preserve"> AUTONUM  </w:instrText>
      </w:r>
      <w:r>
        <w:fldChar w:fldCharType="end"/>
      </w:r>
      <w:r>
        <w:tab/>
        <w:t xml:space="preserve">The background to this document is provided in document </w:t>
      </w:r>
      <w:r w:rsidRPr="001C3FD8">
        <w:rPr>
          <w:snapToGrid w:val="0"/>
        </w:rPr>
        <w:t>TWP/1/21 “Number of growing cycles in DUS examination”.</w:t>
      </w:r>
    </w:p>
    <w:p w:rsidR="00603F07" w:rsidRPr="00264D05" w:rsidRDefault="00603F07" w:rsidP="001C3FD8">
      <w:pPr>
        <w:rPr>
          <w:snapToGrid w:val="0"/>
        </w:rPr>
      </w:pPr>
    </w:p>
    <w:p w:rsidR="001C3FD8" w:rsidRDefault="00D8157B" w:rsidP="00603F07">
      <w:pPr>
        <w:pStyle w:val="Heading1"/>
        <w:rPr>
          <w:snapToGrid w:val="0"/>
        </w:rPr>
      </w:pPr>
      <w:bookmarkStart w:id="5" w:name="_Toc484021330"/>
      <w:r>
        <w:rPr>
          <w:snapToGrid w:val="0"/>
        </w:rPr>
        <w:t xml:space="preserve">Information </w:t>
      </w:r>
      <w:r w:rsidR="0003297F">
        <w:rPr>
          <w:snapToGrid w:val="0"/>
        </w:rPr>
        <w:t xml:space="preserve">to be </w:t>
      </w:r>
      <w:r>
        <w:rPr>
          <w:snapToGrid w:val="0"/>
        </w:rPr>
        <w:t xml:space="preserve">presented </w:t>
      </w:r>
      <w:r w:rsidR="0003297F">
        <w:rPr>
          <w:snapToGrid w:val="0"/>
        </w:rPr>
        <w:t xml:space="preserve">at the </w:t>
      </w:r>
      <w:r w:rsidR="0003297F" w:rsidRPr="00110705">
        <w:rPr>
          <w:snapToGrid w:val="0"/>
        </w:rPr>
        <w:t>forty-sixth session of the TWA</w:t>
      </w:r>
      <w:bookmarkEnd w:id="5"/>
    </w:p>
    <w:p w:rsidR="0003297F" w:rsidRPr="00110705" w:rsidRDefault="0003297F" w:rsidP="001C3FD8">
      <w:pPr>
        <w:rPr>
          <w:snapToGrid w:val="0"/>
        </w:rPr>
      </w:pPr>
    </w:p>
    <w:p w:rsidR="001C3FD8" w:rsidRPr="00110705" w:rsidRDefault="001C3FD8" w:rsidP="001C3FD8">
      <w:r w:rsidRPr="00110705">
        <w:rPr>
          <w:snapToGrid w:val="0"/>
        </w:rPr>
        <w:fldChar w:fldCharType="begin"/>
      </w:r>
      <w:r w:rsidRPr="00110705">
        <w:rPr>
          <w:snapToGrid w:val="0"/>
        </w:rPr>
        <w:instrText xml:space="preserve"> AUTONUM  </w:instrText>
      </w:r>
      <w:r w:rsidRPr="00110705">
        <w:rPr>
          <w:snapToGrid w:val="0"/>
        </w:rPr>
        <w:fldChar w:fldCharType="end"/>
      </w:r>
      <w:r w:rsidRPr="00110705">
        <w:rPr>
          <w:snapToGrid w:val="0"/>
        </w:rPr>
        <w:tab/>
        <w:t xml:space="preserve">The Annexes to this document contain the following </w:t>
      </w:r>
      <w:r w:rsidR="00D8157B">
        <w:rPr>
          <w:snapToGrid w:val="0"/>
        </w:rPr>
        <w:t xml:space="preserve">information </w:t>
      </w:r>
      <w:r w:rsidRPr="00110705">
        <w:rPr>
          <w:snapToGrid w:val="0"/>
        </w:rPr>
        <w:t xml:space="preserve">to be </w:t>
      </w:r>
      <w:r w:rsidR="00D8157B">
        <w:rPr>
          <w:snapToGrid w:val="0"/>
        </w:rPr>
        <w:t xml:space="preserve">presented </w:t>
      </w:r>
      <w:r w:rsidRPr="00110705">
        <w:rPr>
          <w:snapToGrid w:val="0"/>
        </w:rPr>
        <w:t>at the forty-sixth session of the TWA</w:t>
      </w:r>
      <w:r w:rsidR="00110705">
        <w:rPr>
          <w:snapToGrid w:val="0"/>
        </w:rPr>
        <w:t>:</w:t>
      </w:r>
    </w:p>
    <w:p w:rsidR="001C3FD8" w:rsidRPr="007C1EC6" w:rsidRDefault="001C3FD8" w:rsidP="007C1EC6"/>
    <w:p w:rsidR="00E35F77" w:rsidRPr="00D75D49" w:rsidRDefault="00E35F77" w:rsidP="00E35F77">
      <w:pPr>
        <w:spacing w:before="120" w:after="120"/>
        <w:ind w:left="1843" w:hanging="1276"/>
        <w:rPr>
          <w:rFonts w:eastAsia="MS Mincho"/>
          <w:color w:val="000000"/>
          <w:szCs w:val="24"/>
          <w:lang w:eastAsia="ja-JP"/>
        </w:rPr>
      </w:pPr>
      <w:r w:rsidRPr="00D75D49">
        <w:rPr>
          <w:rFonts w:eastAsia="MS Mincho"/>
          <w:color w:val="000000"/>
          <w:szCs w:val="24"/>
          <w:lang w:eastAsia="ja-JP"/>
        </w:rPr>
        <w:t xml:space="preserve">ANNEX I: </w:t>
      </w:r>
      <w:r w:rsidRPr="00D75D49">
        <w:rPr>
          <w:rFonts w:eastAsia="MS Mincho"/>
          <w:color w:val="000000"/>
          <w:szCs w:val="24"/>
          <w:lang w:eastAsia="ja-JP"/>
        </w:rPr>
        <w:tab/>
      </w:r>
      <w:r w:rsidRPr="00D75D49">
        <w:t xml:space="preserve">“Impact of number of growing cycles on variety descriptions and discrimination power in wheat and barley”, </w:t>
      </w:r>
      <w:r w:rsidR="00D8157B">
        <w:t xml:space="preserve">document </w:t>
      </w:r>
      <w:r>
        <w:t xml:space="preserve">prepared </w:t>
      </w:r>
      <w:r w:rsidRPr="00D75D49">
        <w:t>by an expert from Germany</w:t>
      </w:r>
    </w:p>
    <w:p w:rsidR="00E35F77" w:rsidRPr="00D75D49" w:rsidRDefault="00E35F77" w:rsidP="00E35F77">
      <w:pPr>
        <w:ind w:left="1843" w:hanging="1276"/>
      </w:pPr>
      <w:r w:rsidRPr="00D75D49">
        <w:rPr>
          <w:rFonts w:eastAsia="MS Mincho"/>
          <w:color w:val="000000"/>
          <w:szCs w:val="24"/>
          <w:lang w:eastAsia="ja-JP"/>
        </w:rPr>
        <w:t>ANNEX II:</w:t>
      </w:r>
      <w:r w:rsidRPr="00D75D49">
        <w:rPr>
          <w:rFonts w:eastAsia="MS Mincho"/>
          <w:color w:val="000000"/>
          <w:szCs w:val="24"/>
          <w:lang w:eastAsia="ja-JP"/>
        </w:rPr>
        <w:tab/>
      </w:r>
      <w:r w:rsidRPr="00D75D49">
        <w:t xml:space="preserve">“Number of growing cycles in potato varieties - DUS examination of </w:t>
      </w:r>
      <w:proofErr w:type="spellStart"/>
      <w:r w:rsidRPr="00D75D49">
        <w:t>lightsprouts</w:t>
      </w:r>
      <w:proofErr w:type="spellEnd"/>
      <w:r w:rsidRPr="00D75D49">
        <w:t>”</w:t>
      </w:r>
      <w:r>
        <w:t>,</w:t>
      </w:r>
      <w:r w:rsidRPr="00D75D49">
        <w:t xml:space="preserve"> </w:t>
      </w:r>
      <w:r w:rsidR="00D8157B">
        <w:t xml:space="preserve">presentation </w:t>
      </w:r>
      <w:r>
        <w:t xml:space="preserve">prepared </w:t>
      </w:r>
      <w:r w:rsidRPr="00D75D49">
        <w:t>by an expert from Poland</w:t>
      </w:r>
    </w:p>
    <w:p w:rsidR="00E35F77" w:rsidRPr="001C3FD8" w:rsidRDefault="00E35F77" w:rsidP="00E35F77">
      <w:pPr>
        <w:spacing w:before="120" w:after="120"/>
        <w:ind w:left="1843" w:hanging="1276"/>
        <w:rPr>
          <w:rFonts w:eastAsia="MS Mincho"/>
          <w:color w:val="000000"/>
          <w:szCs w:val="24"/>
          <w:lang w:eastAsia="ja-JP"/>
        </w:rPr>
      </w:pPr>
      <w:r w:rsidRPr="00D75D49">
        <w:rPr>
          <w:rFonts w:eastAsia="MS Mincho"/>
          <w:color w:val="000000"/>
          <w:szCs w:val="24"/>
          <w:lang w:eastAsia="ja-JP"/>
        </w:rPr>
        <w:t xml:space="preserve">ANNEX III: </w:t>
      </w:r>
      <w:r w:rsidRPr="00D75D49">
        <w:rPr>
          <w:rFonts w:eastAsia="MS Mincho"/>
          <w:color w:val="000000"/>
          <w:szCs w:val="24"/>
          <w:lang w:eastAsia="ja-JP"/>
        </w:rPr>
        <w:tab/>
      </w:r>
      <w:r w:rsidRPr="00D75D49">
        <w:rPr>
          <w:snapToGrid w:val="0"/>
        </w:rPr>
        <w:t>“Number of growing cycles:  the impact on cereal variety descriptions”</w:t>
      </w:r>
      <w:r>
        <w:rPr>
          <w:snapToGrid w:val="0"/>
        </w:rPr>
        <w:t>,</w:t>
      </w:r>
      <w:r w:rsidRPr="00D75D49">
        <w:rPr>
          <w:snapToGrid w:val="0"/>
        </w:rPr>
        <w:t xml:space="preserve"> </w:t>
      </w:r>
      <w:r w:rsidR="00D8157B">
        <w:t xml:space="preserve">presentation </w:t>
      </w:r>
      <w:r>
        <w:t xml:space="preserve">prepared </w:t>
      </w:r>
      <w:r>
        <w:rPr>
          <w:snapToGrid w:val="0"/>
        </w:rPr>
        <w:t>by an </w:t>
      </w:r>
      <w:r w:rsidRPr="00D75D49">
        <w:rPr>
          <w:snapToGrid w:val="0"/>
        </w:rPr>
        <w:t>expert from the United Kingdom</w:t>
      </w:r>
    </w:p>
    <w:p w:rsidR="001C3FD8" w:rsidRPr="0003297F" w:rsidRDefault="001C3FD8" w:rsidP="007C1EC6"/>
    <w:p w:rsidR="001C3FD8" w:rsidRPr="00F72741" w:rsidRDefault="001C3FD8" w:rsidP="001C3FD8">
      <w:pPr>
        <w:pStyle w:val="DecisionParagraphs"/>
      </w:pPr>
      <w:r w:rsidRPr="00F72741">
        <w:fldChar w:fldCharType="begin"/>
      </w:r>
      <w:r w:rsidRPr="00F72741">
        <w:instrText xml:space="preserve"> AUTONUM  </w:instrText>
      </w:r>
      <w:r w:rsidRPr="00F72741">
        <w:fldChar w:fldCharType="end"/>
      </w:r>
      <w:r w:rsidRPr="00F72741">
        <w:tab/>
      </w:r>
      <w:r w:rsidR="00603F07" w:rsidRPr="00603F07">
        <w:t xml:space="preserve">The TWA is invited to consider the </w:t>
      </w:r>
      <w:r w:rsidR="00D8157B">
        <w:t xml:space="preserve">information </w:t>
      </w:r>
      <w:r w:rsidR="00603F07" w:rsidRPr="00603F07">
        <w:t xml:space="preserve">to be </w:t>
      </w:r>
      <w:r w:rsidR="00D8157B">
        <w:t xml:space="preserve">presented </w:t>
      </w:r>
      <w:r w:rsidR="00603F07" w:rsidRPr="00603F07">
        <w:t>at its forty-sixth session on the impact of using different n</w:t>
      </w:r>
      <w:r w:rsidR="00055916">
        <w:t>umbers of growing cycles on DUS </w:t>
      </w:r>
      <w:r w:rsidR="00603F07" w:rsidRPr="00603F07">
        <w:t>decisions using actua</w:t>
      </w:r>
      <w:r w:rsidR="00055916">
        <w:t>l data, as presented in Annexes </w:t>
      </w:r>
      <w:r w:rsidR="00603F07" w:rsidRPr="00603F07">
        <w:t>I to III to this document.</w:t>
      </w:r>
    </w:p>
    <w:p w:rsidR="001C3FD8" w:rsidRPr="00F72741" w:rsidRDefault="001C3FD8" w:rsidP="001C3FD8"/>
    <w:p w:rsidR="001C3FD8" w:rsidRPr="001C3FD8" w:rsidRDefault="001C3FD8" w:rsidP="001C3FD8">
      <w:pPr>
        <w:rPr>
          <w:highlight w:val="yellow"/>
        </w:rPr>
      </w:pPr>
    </w:p>
    <w:p w:rsidR="001C3FD8" w:rsidRPr="001C3FD8" w:rsidRDefault="001C3FD8" w:rsidP="001C3FD8">
      <w:pPr>
        <w:rPr>
          <w:highlight w:val="yellow"/>
        </w:rPr>
      </w:pPr>
    </w:p>
    <w:p w:rsidR="001C3FD8" w:rsidRPr="0098080E" w:rsidRDefault="001C3FD8" w:rsidP="001C3FD8">
      <w:pPr>
        <w:jc w:val="right"/>
      </w:pPr>
      <w:r w:rsidRPr="005041E8">
        <w:t>[Annexes follow]</w:t>
      </w:r>
    </w:p>
    <w:p w:rsidR="00740866" w:rsidRPr="00800F6C" w:rsidRDefault="00740866" w:rsidP="00740866"/>
    <w:p w:rsidR="00050E16" w:rsidRPr="00800F6C" w:rsidRDefault="00050E16" w:rsidP="004B1215"/>
    <w:p w:rsidR="00E70039" w:rsidRPr="00800F6C" w:rsidRDefault="00E70039">
      <w:pPr>
        <w:jc w:val="left"/>
      </w:pPr>
    </w:p>
    <w:p w:rsidR="00740866" w:rsidRPr="00800F6C" w:rsidRDefault="00740866" w:rsidP="009B440E">
      <w:pPr>
        <w:jc w:val="left"/>
        <w:sectPr w:rsidR="00740866" w:rsidRPr="00800F6C" w:rsidSect="00906DDC">
          <w:headerReference w:type="default" r:id="rId10"/>
          <w:pgSz w:w="11907" w:h="16840" w:code="9"/>
          <w:pgMar w:top="510" w:right="1134" w:bottom="1134" w:left="1134" w:header="510" w:footer="680" w:gutter="0"/>
          <w:cols w:space="720"/>
          <w:titlePg/>
        </w:sectPr>
      </w:pPr>
    </w:p>
    <w:p w:rsidR="005041E8" w:rsidRPr="00800F6C" w:rsidRDefault="005041E8" w:rsidP="005041E8">
      <w:pPr>
        <w:jc w:val="center"/>
      </w:pPr>
      <w:r>
        <w:lastRenderedPageBreak/>
        <w:t>TWA/46/8</w:t>
      </w:r>
    </w:p>
    <w:p w:rsidR="005041E8" w:rsidRPr="00800F6C" w:rsidRDefault="005041E8" w:rsidP="005041E8">
      <w:pPr>
        <w:jc w:val="center"/>
      </w:pPr>
    </w:p>
    <w:p w:rsidR="005041E8" w:rsidRPr="00800F6C" w:rsidRDefault="005041E8" w:rsidP="005041E8">
      <w:pPr>
        <w:jc w:val="center"/>
      </w:pPr>
      <w:r w:rsidRPr="00800F6C">
        <w:t>ANNEX</w:t>
      </w:r>
      <w:r>
        <w:t xml:space="preserve"> I</w:t>
      </w:r>
    </w:p>
    <w:p w:rsidR="005041E8" w:rsidRDefault="005041E8" w:rsidP="005041E8">
      <w:pPr>
        <w:jc w:val="center"/>
      </w:pPr>
    </w:p>
    <w:p w:rsidR="005041E8" w:rsidRPr="00800F6C" w:rsidRDefault="005041E8" w:rsidP="005041E8">
      <w:pPr>
        <w:jc w:val="center"/>
      </w:pPr>
    </w:p>
    <w:p w:rsidR="005041E8" w:rsidRDefault="005041E8" w:rsidP="005041E8">
      <w:pPr>
        <w:jc w:val="center"/>
        <w:rPr>
          <w:snapToGrid w:val="0"/>
        </w:rPr>
      </w:pPr>
      <w:r w:rsidRPr="007C1EC6">
        <w:t>IMPACT OF NUMBER OF GROWING CYCLES ON VARIETY DESCRIPTIONS AND</w:t>
      </w:r>
      <w:r>
        <w:br/>
      </w:r>
      <w:r w:rsidRPr="007C1EC6">
        <w:t>DISCRIMINATION POWER IN WHEAT AND BARLEY</w:t>
      </w:r>
    </w:p>
    <w:p w:rsidR="005041E8" w:rsidRDefault="005041E8" w:rsidP="005041E8">
      <w:pPr>
        <w:jc w:val="center"/>
        <w:rPr>
          <w:snapToGrid w:val="0"/>
        </w:rPr>
      </w:pPr>
    </w:p>
    <w:p w:rsidR="005041E8" w:rsidRPr="0098080E" w:rsidRDefault="005041E8" w:rsidP="005041E8">
      <w:pPr>
        <w:jc w:val="center"/>
      </w:pPr>
      <w:r w:rsidRPr="0098080E">
        <w:t xml:space="preserve">Document prepared by an expert from </w:t>
      </w:r>
      <w:r>
        <w:rPr>
          <w:snapToGrid w:val="0"/>
        </w:rPr>
        <w:t>German</w:t>
      </w:r>
    </w:p>
    <w:p w:rsidR="005041E8" w:rsidRDefault="005041E8" w:rsidP="005041E8"/>
    <w:p w:rsidR="005041E8" w:rsidRDefault="005041E8" w:rsidP="005041E8"/>
    <w:p w:rsidR="005041E8" w:rsidRDefault="005041E8" w:rsidP="005041E8">
      <w:r>
        <w:t>The impact of the number of growing cycles was analyzed for quantitative characteristics in wheat and barley on the basis of data from DUS trials.</w:t>
      </w:r>
    </w:p>
    <w:p w:rsidR="005041E8" w:rsidRDefault="005041E8" w:rsidP="005041E8"/>
    <w:p w:rsidR="005041E8" w:rsidRDefault="005041E8" w:rsidP="005041E8"/>
    <w:p w:rsidR="005041E8" w:rsidRPr="00281C79" w:rsidRDefault="005041E8" w:rsidP="00281C79">
      <w:pPr>
        <w:rPr>
          <w:u w:val="single"/>
        </w:rPr>
      </w:pPr>
      <w:r w:rsidRPr="00281C79">
        <w:rPr>
          <w:u w:val="single"/>
        </w:rPr>
        <w:t>Material and methods</w:t>
      </w:r>
    </w:p>
    <w:p w:rsidR="005041E8" w:rsidRPr="00281C79" w:rsidRDefault="005041E8" w:rsidP="00281C79"/>
    <w:p w:rsidR="005041E8" w:rsidRDefault="005041E8" w:rsidP="005041E8">
      <w:r>
        <w:t xml:space="preserve">Discrimination power of individual characteristics was calculated in three steps: </w:t>
      </w:r>
    </w:p>
    <w:p w:rsidR="005041E8" w:rsidRDefault="005041E8" w:rsidP="005041E8"/>
    <w:p w:rsidR="005041E8" w:rsidRDefault="005041E8" w:rsidP="005041E8">
      <w:pPr>
        <w:numPr>
          <w:ilvl w:val="0"/>
          <w:numId w:val="6"/>
        </w:numPr>
        <w:spacing w:after="120"/>
        <w:ind w:left="930" w:hanging="646"/>
      </w:pPr>
      <w:r>
        <w:t>‘1 cycle’: Comparison of all varieties in the growing trial (year 0)</w:t>
      </w:r>
    </w:p>
    <w:p w:rsidR="005041E8" w:rsidRDefault="005041E8" w:rsidP="005041E8">
      <w:pPr>
        <w:numPr>
          <w:ilvl w:val="0"/>
          <w:numId w:val="6"/>
        </w:numPr>
        <w:spacing w:after="120"/>
        <w:ind w:left="930" w:hanging="646"/>
      </w:pPr>
      <w:r>
        <w:t>‘2 cycles’: For all varieties which were also grown in the year before, distinctness was assessed in both years (year 0 / -1). Two varieties are considered to be distinct if a clear difference in the same direction was observed in both years.</w:t>
      </w:r>
    </w:p>
    <w:p w:rsidR="005041E8" w:rsidRDefault="005041E8" w:rsidP="005041E8">
      <w:pPr>
        <w:numPr>
          <w:ilvl w:val="0"/>
          <w:numId w:val="6"/>
        </w:numPr>
        <w:ind w:hanging="644"/>
      </w:pPr>
      <w:r>
        <w:t>‘2 out of 3 cycles’: For all varieties which were also grown the two previous years, distinctness was assessed in all 3 years (year 0 / -1 / -2). Two varieties are considered to be distinct if a clear difference in the same direction was observed in at least 2 out of 3 years.</w:t>
      </w:r>
    </w:p>
    <w:p w:rsidR="005041E8" w:rsidRDefault="005041E8" w:rsidP="005041E8"/>
    <w:p w:rsidR="005041E8" w:rsidRDefault="005041E8" w:rsidP="005041E8">
      <w:r>
        <w:t>The German DUS growing trials comprise about 600 varieties in winter wheat and 300 varieties in winter barley. Three year data are available for about 50% of the varieties and two year data for about 70% of the varieties. Every year, the distinctness test includes about 40,000 pairwise 1-cycle-comparisons in wheat and 30,000 in barley (under consideration of some grouping characteristics). About 25,000 2-cycle-comparisons and 15,000 2 out of 3 comparisons were considered</w:t>
      </w:r>
      <w:r w:rsidRPr="007830D3">
        <w:t xml:space="preserve"> </w:t>
      </w:r>
      <w:r>
        <w:t>in wheat, 15,000 and 6,000 in barley, respectively.</w:t>
      </w:r>
    </w:p>
    <w:p w:rsidR="005041E8" w:rsidRDefault="005041E8" w:rsidP="005041E8"/>
    <w:p w:rsidR="005041E8" w:rsidRDefault="005041E8" w:rsidP="005041E8">
      <w:r>
        <w:t xml:space="preserve">The same analysis was performed for 2014, 2015 and 2016. The discrimination power was calculated in percent pairwise comparisons in which a clear difference was observed. The mean discrimination power over the three years was calculated </w:t>
      </w:r>
    </w:p>
    <w:p w:rsidR="005041E8" w:rsidRDefault="005041E8" w:rsidP="005041E8"/>
    <w:p w:rsidR="005041E8" w:rsidRDefault="005041E8" w:rsidP="005041E8">
      <w:r>
        <w:t>A different data set was used to calculate the impact of the number of growing cycles on variety descriptions. DUS observations for 77 winter wheat varieties and 47 winter barley varieties in 6 successive growing cycles were used to establish annual descriptions (year 0). In addition, descriptions over 2 cycles (year 0 / -1) and 3 cycles (year 0 / -1 / -2) were established. The variation of descriptions over one, two and three cycles was calculated.</w:t>
      </w:r>
      <w:r w:rsidRPr="007830D3">
        <w:t xml:space="preserve"> </w:t>
      </w:r>
    </w:p>
    <w:p w:rsidR="005041E8" w:rsidRDefault="005041E8" w:rsidP="005041E8"/>
    <w:p w:rsidR="005041E8" w:rsidRDefault="005041E8" w:rsidP="005041E8"/>
    <w:p w:rsidR="005041E8" w:rsidRPr="00281C79" w:rsidRDefault="005041E8" w:rsidP="00281C79">
      <w:pPr>
        <w:rPr>
          <w:u w:val="single"/>
        </w:rPr>
      </w:pPr>
      <w:r w:rsidRPr="00281C79">
        <w:rPr>
          <w:u w:val="single"/>
        </w:rPr>
        <w:t>Results</w:t>
      </w:r>
    </w:p>
    <w:p w:rsidR="005041E8" w:rsidRDefault="005041E8" w:rsidP="005041E8"/>
    <w:p w:rsidR="005041E8" w:rsidRPr="00281C79" w:rsidRDefault="005041E8" w:rsidP="00281C79">
      <w:pPr>
        <w:rPr>
          <w:i/>
        </w:rPr>
      </w:pPr>
      <w:r w:rsidRPr="00281C79">
        <w:rPr>
          <w:i/>
        </w:rPr>
        <w:t>Discrimination power</w:t>
      </w:r>
    </w:p>
    <w:p w:rsidR="005041E8" w:rsidRDefault="005041E8" w:rsidP="005041E8"/>
    <w:p w:rsidR="005041E8" w:rsidRDefault="005041E8" w:rsidP="005041E8">
      <w:r>
        <w:t>The mean discrimination power over the three years is presented in figure 1 and 2. The decision on distinctness was significantly influenced by the number of growing cycles. A clear difference observed in the first cycle was not always confirmed in the second cycle. Consequently, the discrimination power was lower after 2 cycles in most of the characteristics. A clear difference observed in only one of the years may be confirmed in a third year, resulting in a higher discrimination power in 2 out of 3 cycles.</w:t>
      </w:r>
    </w:p>
    <w:p w:rsidR="005041E8" w:rsidRDefault="005041E8" w:rsidP="005041E8"/>
    <w:p w:rsidR="005041E8" w:rsidRDefault="005041E8" w:rsidP="005041E8">
      <w:r>
        <w:t xml:space="preserve">A few characteristics in wheat did not follow this principle, see figure 2: grain coloration with phenol, lower glume beak shape, awns or </w:t>
      </w:r>
      <w:proofErr w:type="spellStart"/>
      <w:r>
        <w:t>scurs</w:t>
      </w:r>
      <w:proofErr w:type="spellEnd"/>
      <w:r>
        <w:t xml:space="preserve"> length and straw pith in cross section. A low 1-cycle-discrimination power was observed for these characteristics. This result may be attributed to the fact that the expression of these characteristics is not evenly distributed in the collection. The low mean discrimination power in 1-cycle comparisons could be caused by a different distribution in the varieties in the first year (about 30% of all varieties). Environmental effects can also have an impact on the discrimination power in some years.</w:t>
      </w:r>
    </w:p>
    <w:p w:rsidR="005041E8" w:rsidRDefault="005041E8" w:rsidP="005041E8"/>
    <w:p w:rsidR="005041E8" w:rsidRPr="00281C79" w:rsidRDefault="005041E8" w:rsidP="00281C79">
      <w:pPr>
        <w:rPr>
          <w:i/>
        </w:rPr>
      </w:pPr>
      <w:r w:rsidRPr="00281C79">
        <w:rPr>
          <w:i/>
        </w:rPr>
        <w:t>Variety descriptions</w:t>
      </w:r>
    </w:p>
    <w:p w:rsidR="005041E8" w:rsidRDefault="005041E8" w:rsidP="005041E8"/>
    <w:p w:rsidR="005041E8" w:rsidRDefault="005041E8" w:rsidP="005041E8">
      <w:r>
        <w:t xml:space="preserve">The variation of descriptions over one, two and three cycles is illustrated in figures 3 and 4. </w:t>
      </w:r>
      <w:r w:rsidRPr="00CA4ABB">
        <w:t xml:space="preserve"> </w:t>
      </w:r>
      <w:r>
        <w:t>Annual variety descriptions show a higher variation than descriptions over two and three years</w:t>
      </w:r>
      <w:r w:rsidRPr="005744C1">
        <w:t xml:space="preserve"> </w:t>
      </w:r>
      <w:r>
        <w:t xml:space="preserve">for all characteristics in both </w:t>
      </w:r>
      <w:r>
        <w:lastRenderedPageBreak/>
        <w:t>species. The stability of descriptions is much higher after two cycles and can be further improved by a third cycle.</w:t>
      </w:r>
    </w:p>
    <w:p w:rsidR="005041E8" w:rsidRDefault="005041E8" w:rsidP="005041E8"/>
    <w:p w:rsidR="005041E8" w:rsidRDefault="005041E8" w:rsidP="005041E8"/>
    <w:p w:rsidR="005041E8" w:rsidRPr="00281C79" w:rsidRDefault="005041E8" w:rsidP="00281C79">
      <w:pPr>
        <w:rPr>
          <w:u w:val="single"/>
        </w:rPr>
      </w:pPr>
      <w:r w:rsidRPr="00281C79">
        <w:rPr>
          <w:u w:val="single"/>
        </w:rPr>
        <w:t>Conclusion</w:t>
      </w:r>
    </w:p>
    <w:p w:rsidR="005041E8" w:rsidRDefault="005041E8" w:rsidP="005041E8"/>
    <w:p w:rsidR="005041E8" w:rsidRDefault="005041E8" w:rsidP="005041E8">
      <w:r>
        <w:t>The study has shown that the number of growing cycles has a significant impact on distinctness decisions and variety descriptions. It confirms the current recommendation in the Test Guidelines for barley and wheat which reads as follows: “The minimum duration of test should normally be two independent growing cycles”.</w:t>
      </w:r>
    </w:p>
    <w:p w:rsidR="005041E8" w:rsidRDefault="005041E8" w:rsidP="005041E8"/>
    <w:p w:rsidR="005041E8" w:rsidRDefault="005041E8" w:rsidP="005041E8">
      <w:r>
        <w:t>The recommended minimum duration of test should be followed to establish the official variety description. Reliability and stability of the description is a precondition for enforcement.</w:t>
      </w:r>
    </w:p>
    <w:p w:rsidR="005041E8" w:rsidRDefault="005041E8" w:rsidP="005041E8"/>
    <w:p w:rsidR="005041E8" w:rsidRDefault="005041E8" w:rsidP="005041E8">
      <w:r>
        <w:t>Descriptions also play an important role for the management of references collections, in particular when databases with descriptions for varieties of common knowledge are used for the selection of similar varieties for the growing trial. The possible error of descriptions has to be taken into account for any comparison. The exclusion of varieties from the growing trial is a crucial step in the distinctness test. Normally, the error for descriptions of candidate varieties is quite high at the beginning of test. The most important is to limit the error of descriptions of reference varieties by feeding the database with sufficiently stable descriptions. All descriptions in a database should be based at least on the recommended minimum number of growing cycles. Any additional cycle can improve the quality of the description.</w:t>
      </w:r>
    </w:p>
    <w:p w:rsidR="005041E8" w:rsidRDefault="005041E8" w:rsidP="005041E8"/>
    <w:p w:rsidR="005041E8" w:rsidRPr="0007201A" w:rsidRDefault="005041E8" w:rsidP="005041E8">
      <w:pPr>
        <w:keepNext/>
        <w:spacing w:after="120"/>
        <w:jc w:val="center"/>
        <w:rPr>
          <w:u w:val="single"/>
        </w:rPr>
      </w:pPr>
      <w:r w:rsidRPr="0007201A">
        <w:rPr>
          <w:u w:val="single"/>
        </w:rPr>
        <w:t>Figure 1: Winter barley - Impact of the number of growing cycles on discrimination power</w:t>
      </w:r>
    </w:p>
    <w:p w:rsidR="005041E8" w:rsidRDefault="005041E8" w:rsidP="005041E8">
      <w:pPr>
        <w:jc w:val="center"/>
      </w:pPr>
      <w:r w:rsidRPr="0007201A">
        <w:rPr>
          <w:noProof/>
          <w:bdr w:val="single" w:sz="4" w:space="0" w:color="auto"/>
        </w:rPr>
        <w:drawing>
          <wp:inline distT="0" distB="0" distL="0" distR="0" wp14:anchorId="0E9633C6" wp14:editId="334CE16C">
            <wp:extent cx="5638800" cy="4143375"/>
            <wp:effectExtent l="0" t="0" r="0" b="0"/>
            <wp:docPr id="1"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041E8" w:rsidRDefault="005041E8" w:rsidP="005041E8"/>
    <w:p w:rsidR="005041E8" w:rsidRDefault="005041E8" w:rsidP="005041E8"/>
    <w:p w:rsidR="005041E8" w:rsidRPr="0007201A" w:rsidRDefault="005041E8" w:rsidP="005041E8">
      <w:pPr>
        <w:keepNext/>
        <w:jc w:val="center"/>
        <w:rPr>
          <w:u w:val="single"/>
        </w:rPr>
      </w:pPr>
      <w:r w:rsidRPr="0007201A">
        <w:rPr>
          <w:u w:val="single"/>
        </w:rPr>
        <w:t>Figure 2: Winter wheat - Impact of the number of growing cycles on discrimination power</w:t>
      </w:r>
    </w:p>
    <w:p w:rsidR="005041E8" w:rsidRDefault="005041E8" w:rsidP="005041E8">
      <w:pPr>
        <w:jc w:val="center"/>
      </w:pPr>
      <w:r w:rsidRPr="0007201A">
        <w:rPr>
          <w:noProof/>
          <w:bdr w:val="single" w:sz="4" w:space="0" w:color="auto"/>
        </w:rPr>
        <w:drawing>
          <wp:inline distT="0" distB="0" distL="0" distR="0" wp14:anchorId="2770CE0E" wp14:editId="2D9DBACD">
            <wp:extent cx="5638800" cy="3914775"/>
            <wp:effectExtent l="0" t="0" r="0"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41E8" w:rsidRDefault="005041E8" w:rsidP="005041E8"/>
    <w:p w:rsidR="005041E8" w:rsidRPr="0007201A" w:rsidRDefault="005041E8" w:rsidP="005041E8">
      <w:pPr>
        <w:keepNext/>
        <w:spacing w:after="120"/>
        <w:jc w:val="center"/>
        <w:rPr>
          <w:u w:val="single"/>
        </w:rPr>
      </w:pPr>
      <w:r w:rsidRPr="0007201A">
        <w:rPr>
          <w:u w:val="single"/>
        </w:rPr>
        <w:t>Figure 3: Winter barley – variance of variety descriptions over testing periods</w:t>
      </w:r>
    </w:p>
    <w:p w:rsidR="005041E8" w:rsidRDefault="005041E8" w:rsidP="005041E8">
      <w:pPr>
        <w:jc w:val="center"/>
      </w:pPr>
      <w:r w:rsidRPr="0007201A">
        <w:rPr>
          <w:noProof/>
          <w:bdr w:val="single" w:sz="4" w:space="0" w:color="auto"/>
        </w:rPr>
        <w:drawing>
          <wp:inline distT="0" distB="0" distL="0" distR="0" wp14:anchorId="17142626" wp14:editId="7B084F90">
            <wp:extent cx="5686425" cy="4076700"/>
            <wp:effectExtent l="0" t="0" r="0" b="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41E8" w:rsidRDefault="005041E8" w:rsidP="005041E8"/>
    <w:p w:rsidR="005041E8" w:rsidRDefault="005041E8" w:rsidP="005041E8"/>
    <w:p w:rsidR="005041E8" w:rsidRPr="0007201A" w:rsidRDefault="005041E8" w:rsidP="005041E8">
      <w:pPr>
        <w:keepNext/>
        <w:spacing w:after="120"/>
        <w:jc w:val="center"/>
        <w:rPr>
          <w:u w:val="single"/>
        </w:rPr>
      </w:pPr>
      <w:r w:rsidRPr="0007201A">
        <w:rPr>
          <w:u w:val="single"/>
        </w:rPr>
        <w:t>Figure 4: Winter wheat – variance of variety descriptions over testing periods</w:t>
      </w:r>
    </w:p>
    <w:p w:rsidR="005041E8" w:rsidRDefault="005041E8" w:rsidP="005041E8">
      <w:pPr>
        <w:tabs>
          <w:tab w:val="left" w:pos="9072"/>
        </w:tabs>
        <w:jc w:val="center"/>
      </w:pPr>
      <w:r w:rsidRPr="0007201A">
        <w:rPr>
          <w:noProof/>
          <w:bdr w:val="single" w:sz="4" w:space="0" w:color="auto"/>
        </w:rPr>
        <w:drawing>
          <wp:inline distT="0" distB="0" distL="0" distR="0" wp14:anchorId="08E14203" wp14:editId="44AE1E2B">
            <wp:extent cx="5686425" cy="3962400"/>
            <wp:effectExtent l="0" t="0" r="0" b="0"/>
            <wp:docPr id="5"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41E8" w:rsidRDefault="005041E8" w:rsidP="005041E8"/>
    <w:p w:rsidR="005041E8" w:rsidRDefault="005041E8" w:rsidP="005041E8"/>
    <w:p w:rsidR="005041E8" w:rsidRDefault="005041E8" w:rsidP="005041E8"/>
    <w:p w:rsidR="005041E8" w:rsidRDefault="005041E8" w:rsidP="005041E8">
      <w:pPr>
        <w:jc w:val="right"/>
      </w:pPr>
      <w:r w:rsidRPr="009929A5">
        <w:rPr>
          <w:rFonts w:cs="Arial"/>
        </w:rPr>
        <w:t>[</w:t>
      </w:r>
      <w:r>
        <w:rPr>
          <w:rFonts w:cs="Arial"/>
        </w:rPr>
        <w:t>Annex II follows</w:t>
      </w:r>
      <w:r w:rsidRPr="009929A5">
        <w:rPr>
          <w:rFonts w:cs="Arial"/>
        </w:rPr>
        <w:t>]</w:t>
      </w:r>
    </w:p>
    <w:p w:rsidR="005041E8" w:rsidRDefault="005041E8" w:rsidP="005041E8"/>
    <w:p w:rsidR="005041E8" w:rsidRDefault="005041E8" w:rsidP="00740866">
      <w:pPr>
        <w:jc w:val="center"/>
        <w:sectPr w:rsidR="005041E8" w:rsidSect="00C70434">
          <w:headerReference w:type="default" r:id="rId15"/>
          <w:pgSz w:w="11907" w:h="16840" w:code="9"/>
          <w:pgMar w:top="510" w:right="1134" w:bottom="1134" w:left="1134" w:header="510" w:footer="680" w:gutter="0"/>
          <w:pgNumType w:start="1"/>
          <w:cols w:space="720"/>
          <w:titlePg/>
        </w:sectPr>
      </w:pPr>
    </w:p>
    <w:p w:rsidR="005041E8" w:rsidRPr="00800F6C" w:rsidRDefault="005041E8" w:rsidP="005041E8">
      <w:pPr>
        <w:jc w:val="center"/>
      </w:pPr>
      <w:r>
        <w:t>TWA/46/8</w:t>
      </w:r>
    </w:p>
    <w:p w:rsidR="005041E8" w:rsidRPr="00800F6C" w:rsidRDefault="005041E8" w:rsidP="005041E8">
      <w:pPr>
        <w:jc w:val="center"/>
      </w:pPr>
    </w:p>
    <w:p w:rsidR="005041E8" w:rsidRPr="00800F6C" w:rsidRDefault="005041E8" w:rsidP="005041E8">
      <w:pPr>
        <w:jc w:val="center"/>
      </w:pPr>
      <w:r w:rsidRPr="00800F6C">
        <w:t>ANNEX</w:t>
      </w:r>
      <w:r>
        <w:t xml:space="preserve"> II</w:t>
      </w:r>
    </w:p>
    <w:p w:rsidR="005041E8" w:rsidRDefault="005041E8" w:rsidP="005041E8">
      <w:pPr>
        <w:jc w:val="center"/>
      </w:pPr>
    </w:p>
    <w:p w:rsidR="005041E8" w:rsidRPr="00800F6C" w:rsidRDefault="005041E8" w:rsidP="005041E8">
      <w:pPr>
        <w:jc w:val="center"/>
      </w:pPr>
    </w:p>
    <w:p w:rsidR="005041E8" w:rsidRDefault="005041E8" w:rsidP="005041E8">
      <w:pPr>
        <w:jc w:val="center"/>
        <w:rPr>
          <w:snapToGrid w:val="0"/>
        </w:rPr>
      </w:pPr>
      <w:r w:rsidRPr="0081541F">
        <w:t>NUMBER OF GROWING CYCLES IN POTATO VARIETIES</w:t>
      </w:r>
      <w:r>
        <w:t xml:space="preserve"> -</w:t>
      </w:r>
      <w:r w:rsidRPr="0081541F">
        <w:t xml:space="preserve"> DUS EXAMINATION</w:t>
      </w:r>
      <w:r>
        <w:t xml:space="preserve"> </w:t>
      </w:r>
      <w:r w:rsidRPr="0081541F">
        <w:t>OF LIGHTSPROUTS</w:t>
      </w:r>
    </w:p>
    <w:p w:rsidR="005041E8" w:rsidRDefault="005041E8" w:rsidP="005041E8">
      <w:pPr>
        <w:jc w:val="center"/>
        <w:rPr>
          <w:snapToGrid w:val="0"/>
        </w:rPr>
      </w:pPr>
    </w:p>
    <w:p w:rsidR="005041E8" w:rsidRPr="0098080E" w:rsidRDefault="005041E8" w:rsidP="005041E8">
      <w:pPr>
        <w:jc w:val="center"/>
      </w:pPr>
      <w:r>
        <w:t>Presentation</w:t>
      </w:r>
      <w:r w:rsidRPr="0098080E">
        <w:t xml:space="preserve"> prepared by an expert from </w:t>
      </w:r>
      <w:r>
        <w:rPr>
          <w:snapToGrid w:val="0"/>
        </w:rPr>
        <w:t>Poland</w:t>
      </w:r>
    </w:p>
    <w:p w:rsidR="005041E8" w:rsidRDefault="005041E8" w:rsidP="005041E8"/>
    <w:p w:rsidR="005041E8" w:rsidRDefault="005041E8" w:rsidP="005041E8"/>
    <w:p w:rsidR="005041E8" w:rsidRDefault="005041E8" w:rsidP="005041E8"/>
    <w:p w:rsidR="005041E8" w:rsidRDefault="00D17CF6" w:rsidP="00D17CF6">
      <w:pPr>
        <w:jc w:val="center"/>
      </w:pPr>
      <w:r>
        <w:rPr>
          <w:noProof/>
        </w:rPr>
        <w:drawing>
          <wp:inline distT="0" distB="0" distL="0" distR="0" wp14:anchorId="787CEB10" wp14:editId="60F2AC73">
            <wp:extent cx="5943600" cy="3357880"/>
            <wp:effectExtent l="19050" t="19050" r="1905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57880"/>
                    </a:xfrm>
                    <a:prstGeom prst="rect">
                      <a:avLst/>
                    </a:prstGeom>
                    <a:ln>
                      <a:solidFill>
                        <a:schemeClr val="tx1"/>
                      </a:solidFill>
                    </a:ln>
                  </pic:spPr>
                </pic:pic>
              </a:graphicData>
            </a:graphic>
          </wp:inline>
        </w:drawing>
      </w:r>
    </w:p>
    <w:p w:rsidR="005041E8" w:rsidRDefault="005041E8" w:rsidP="005041E8"/>
    <w:p w:rsidR="005041E8" w:rsidRDefault="005041E8" w:rsidP="005041E8"/>
    <w:p w:rsidR="005041E8" w:rsidRDefault="005041E8" w:rsidP="005041E8"/>
    <w:p w:rsidR="005041E8" w:rsidRDefault="005041E8" w:rsidP="005041E8"/>
    <w:p w:rsidR="005041E8" w:rsidRDefault="00D17CF6" w:rsidP="00D17CF6">
      <w:pPr>
        <w:jc w:val="center"/>
      </w:pPr>
      <w:r>
        <w:rPr>
          <w:noProof/>
        </w:rPr>
        <w:drawing>
          <wp:inline distT="0" distB="0" distL="0" distR="0" wp14:anchorId="52246F59" wp14:editId="4C6F3F77">
            <wp:extent cx="5943600" cy="3348355"/>
            <wp:effectExtent l="19050" t="19050" r="1905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8355"/>
                    </a:xfrm>
                    <a:prstGeom prst="rect">
                      <a:avLst/>
                    </a:prstGeom>
                    <a:ln>
                      <a:solidFill>
                        <a:schemeClr val="tx1"/>
                      </a:solidFill>
                    </a:ln>
                  </pic:spPr>
                </pic:pic>
              </a:graphicData>
            </a:graphic>
          </wp:inline>
        </w:drawing>
      </w:r>
    </w:p>
    <w:p w:rsidR="005041E8" w:rsidRDefault="005041E8" w:rsidP="005041E8"/>
    <w:p w:rsidR="005041E8" w:rsidRDefault="005041E8">
      <w:pPr>
        <w:jc w:val="left"/>
      </w:pPr>
      <w:r>
        <w:br w:type="page"/>
      </w:r>
    </w:p>
    <w:p w:rsidR="005041E8" w:rsidRDefault="005041E8" w:rsidP="005041E8"/>
    <w:p w:rsidR="005041E8" w:rsidRDefault="005041E8" w:rsidP="005041E8"/>
    <w:p w:rsidR="005041E8" w:rsidRDefault="00D17CF6" w:rsidP="00D17CF6">
      <w:pPr>
        <w:jc w:val="center"/>
      </w:pPr>
      <w:r>
        <w:rPr>
          <w:noProof/>
        </w:rPr>
        <w:drawing>
          <wp:inline distT="0" distB="0" distL="0" distR="0" wp14:anchorId="7DFCD524" wp14:editId="18AE211B">
            <wp:extent cx="5943600" cy="3351530"/>
            <wp:effectExtent l="19050" t="19050" r="1905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51530"/>
                    </a:xfrm>
                    <a:prstGeom prst="rect">
                      <a:avLst/>
                    </a:prstGeom>
                    <a:ln>
                      <a:solidFill>
                        <a:schemeClr val="tx1"/>
                      </a:solidFill>
                    </a:ln>
                  </pic:spPr>
                </pic:pic>
              </a:graphicData>
            </a:graphic>
          </wp:inline>
        </w:drawing>
      </w:r>
    </w:p>
    <w:p w:rsidR="005041E8" w:rsidRDefault="005041E8" w:rsidP="005041E8"/>
    <w:p w:rsidR="005041E8" w:rsidRDefault="005041E8" w:rsidP="005041E8"/>
    <w:p w:rsidR="005041E8" w:rsidRDefault="005041E8" w:rsidP="005041E8"/>
    <w:p w:rsidR="005041E8" w:rsidRDefault="005041E8" w:rsidP="005041E8"/>
    <w:p w:rsidR="005041E8" w:rsidRDefault="00D17CF6" w:rsidP="00D17CF6">
      <w:pPr>
        <w:jc w:val="center"/>
      </w:pPr>
      <w:r>
        <w:rPr>
          <w:noProof/>
        </w:rPr>
        <w:drawing>
          <wp:inline distT="0" distB="0" distL="0" distR="0" wp14:anchorId="3177953B" wp14:editId="72469A14">
            <wp:extent cx="5943600" cy="3359150"/>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59150"/>
                    </a:xfrm>
                    <a:prstGeom prst="rect">
                      <a:avLst/>
                    </a:prstGeom>
                    <a:ln>
                      <a:solidFill>
                        <a:schemeClr val="tx1"/>
                      </a:solidFill>
                    </a:ln>
                  </pic:spPr>
                </pic:pic>
              </a:graphicData>
            </a:graphic>
          </wp:inline>
        </w:drawing>
      </w:r>
    </w:p>
    <w:p w:rsidR="005041E8" w:rsidRDefault="005041E8" w:rsidP="005041E8"/>
    <w:p w:rsidR="005041E8" w:rsidRDefault="005041E8" w:rsidP="005041E8"/>
    <w:p w:rsidR="005041E8" w:rsidRDefault="005041E8">
      <w:pPr>
        <w:jc w:val="left"/>
      </w:pPr>
      <w:r>
        <w:br w:type="page"/>
      </w:r>
    </w:p>
    <w:p w:rsidR="005041E8" w:rsidRDefault="005041E8" w:rsidP="005041E8"/>
    <w:p w:rsidR="005041E8" w:rsidRDefault="005041E8" w:rsidP="005041E8"/>
    <w:p w:rsidR="005041E8" w:rsidRDefault="00D17CF6" w:rsidP="00D17CF6">
      <w:pPr>
        <w:jc w:val="center"/>
      </w:pPr>
      <w:r>
        <w:rPr>
          <w:noProof/>
        </w:rPr>
        <w:drawing>
          <wp:inline distT="0" distB="0" distL="0" distR="0" wp14:anchorId="27BBC7C2" wp14:editId="764052FA">
            <wp:extent cx="5943600" cy="3346450"/>
            <wp:effectExtent l="19050" t="19050" r="1905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6450"/>
                    </a:xfrm>
                    <a:prstGeom prst="rect">
                      <a:avLst/>
                    </a:prstGeom>
                    <a:ln>
                      <a:solidFill>
                        <a:schemeClr val="tx1"/>
                      </a:solidFill>
                    </a:ln>
                  </pic:spPr>
                </pic:pic>
              </a:graphicData>
            </a:graphic>
          </wp:inline>
        </w:drawing>
      </w:r>
    </w:p>
    <w:p w:rsidR="005041E8" w:rsidRDefault="005041E8" w:rsidP="005041E8"/>
    <w:p w:rsidR="005041E8" w:rsidRDefault="005041E8" w:rsidP="005041E8"/>
    <w:p w:rsidR="005041E8" w:rsidRDefault="005041E8" w:rsidP="005041E8"/>
    <w:p w:rsidR="005041E8" w:rsidRDefault="005041E8" w:rsidP="005041E8"/>
    <w:p w:rsidR="005041E8" w:rsidRDefault="00D17CF6" w:rsidP="00D17CF6">
      <w:pPr>
        <w:jc w:val="center"/>
      </w:pPr>
      <w:r>
        <w:rPr>
          <w:noProof/>
        </w:rPr>
        <w:drawing>
          <wp:inline distT="0" distB="0" distL="0" distR="0" wp14:anchorId="33A33243" wp14:editId="3F1724F7">
            <wp:extent cx="5943600" cy="3352165"/>
            <wp:effectExtent l="19050" t="19050" r="1905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52165"/>
                    </a:xfrm>
                    <a:prstGeom prst="rect">
                      <a:avLst/>
                    </a:prstGeom>
                    <a:ln>
                      <a:solidFill>
                        <a:schemeClr val="tx1"/>
                      </a:solidFill>
                    </a:ln>
                  </pic:spPr>
                </pic:pic>
              </a:graphicData>
            </a:graphic>
          </wp:inline>
        </w:drawing>
      </w:r>
    </w:p>
    <w:p w:rsidR="005041E8" w:rsidRDefault="005041E8" w:rsidP="005041E8"/>
    <w:p w:rsidR="005041E8" w:rsidRDefault="005041E8" w:rsidP="005041E8"/>
    <w:p w:rsidR="005041E8" w:rsidRDefault="005041E8">
      <w:pPr>
        <w:jc w:val="left"/>
      </w:pPr>
      <w:r>
        <w:br w:type="page"/>
      </w:r>
    </w:p>
    <w:p w:rsidR="005041E8" w:rsidRDefault="005041E8" w:rsidP="005041E8"/>
    <w:p w:rsidR="005041E8" w:rsidRDefault="005041E8" w:rsidP="005041E8"/>
    <w:p w:rsidR="005041E8" w:rsidRDefault="00D17CF6" w:rsidP="00D17CF6">
      <w:pPr>
        <w:jc w:val="center"/>
      </w:pPr>
      <w:r>
        <w:rPr>
          <w:noProof/>
        </w:rPr>
        <w:drawing>
          <wp:inline distT="0" distB="0" distL="0" distR="0" wp14:anchorId="6B8B8D51" wp14:editId="5591475C">
            <wp:extent cx="5943600" cy="3340100"/>
            <wp:effectExtent l="19050" t="19050" r="1905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0100"/>
                    </a:xfrm>
                    <a:prstGeom prst="rect">
                      <a:avLst/>
                    </a:prstGeom>
                    <a:ln>
                      <a:solidFill>
                        <a:schemeClr val="tx1"/>
                      </a:solidFill>
                    </a:ln>
                  </pic:spPr>
                </pic:pic>
              </a:graphicData>
            </a:graphic>
          </wp:inline>
        </w:drawing>
      </w:r>
    </w:p>
    <w:p w:rsidR="005041E8" w:rsidRDefault="005041E8" w:rsidP="005041E8"/>
    <w:p w:rsidR="005041E8" w:rsidRDefault="005041E8" w:rsidP="005041E8"/>
    <w:p w:rsidR="005041E8" w:rsidRDefault="005041E8" w:rsidP="005041E8"/>
    <w:p w:rsidR="005041E8" w:rsidRDefault="005041E8" w:rsidP="005041E8"/>
    <w:p w:rsidR="005041E8" w:rsidRDefault="00D17CF6" w:rsidP="00D17CF6">
      <w:pPr>
        <w:jc w:val="center"/>
      </w:pPr>
      <w:r>
        <w:rPr>
          <w:noProof/>
        </w:rPr>
        <w:drawing>
          <wp:inline distT="0" distB="0" distL="0" distR="0" wp14:anchorId="12D66839" wp14:editId="3F425865">
            <wp:extent cx="5943600" cy="3330575"/>
            <wp:effectExtent l="19050" t="19050" r="1905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30575"/>
                    </a:xfrm>
                    <a:prstGeom prst="rect">
                      <a:avLst/>
                    </a:prstGeom>
                    <a:ln>
                      <a:solidFill>
                        <a:schemeClr val="tx1"/>
                      </a:solidFill>
                    </a:ln>
                  </pic:spPr>
                </pic:pic>
              </a:graphicData>
            </a:graphic>
          </wp:inline>
        </w:drawing>
      </w:r>
    </w:p>
    <w:p w:rsidR="005041E8" w:rsidRDefault="005041E8" w:rsidP="005041E8"/>
    <w:p w:rsidR="005041E8" w:rsidRDefault="005041E8" w:rsidP="005041E8"/>
    <w:p w:rsidR="005041E8" w:rsidRDefault="005041E8" w:rsidP="005041E8"/>
    <w:p w:rsidR="005041E8" w:rsidRDefault="005041E8" w:rsidP="005041E8">
      <w:pPr>
        <w:jc w:val="right"/>
      </w:pPr>
      <w:r>
        <w:t>[Annex III follows]</w:t>
      </w:r>
    </w:p>
    <w:p w:rsidR="005041E8" w:rsidRDefault="005041E8" w:rsidP="00740866">
      <w:pPr>
        <w:jc w:val="center"/>
      </w:pPr>
    </w:p>
    <w:p w:rsidR="005041E8" w:rsidRDefault="005041E8" w:rsidP="00740866">
      <w:pPr>
        <w:jc w:val="center"/>
        <w:sectPr w:rsidR="005041E8" w:rsidSect="00C70434">
          <w:headerReference w:type="default" r:id="rId24"/>
          <w:pgSz w:w="11907" w:h="16840" w:code="9"/>
          <w:pgMar w:top="510" w:right="1134" w:bottom="1134" w:left="1134" w:header="510" w:footer="680" w:gutter="0"/>
          <w:pgNumType w:start="1"/>
          <w:cols w:space="720"/>
          <w:titlePg/>
        </w:sectPr>
      </w:pPr>
    </w:p>
    <w:p w:rsidR="00050E16" w:rsidRPr="00800F6C" w:rsidRDefault="00612692" w:rsidP="00740866">
      <w:pPr>
        <w:jc w:val="center"/>
      </w:pPr>
      <w:r>
        <w:t>TWA/46/8</w:t>
      </w:r>
    </w:p>
    <w:p w:rsidR="00740866" w:rsidRPr="00800F6C" w:rsidRDefault="00740866" w:rsidP="00740866">
      <w:pPr>
        <w:jc w:val="center"/>
      </w:pPr>
    </w:p>
    <w:p w:rsidR="00740866" w:rsidRPr="00800F6C" w:rsidRDefault="00740866" w:rsidP="00740866">
      <w:pPr>
        <w:jc w:val="center"/>
      </w:pPr>
      <w:r w:rsidRPr="00800F6C">
        <w:t>ANNEX</w:t>
      </w:r>
      <w:r w:rsidR="007A61C9">
        <w:t xml:space="preserve"> I</w:t>
      </w:r>
      <w:r w:rsidR="00F72741">
        <w:t>II</w:t>
      </w:r>
    </w:p>
    <w:p w:rsidR="00740866" w:rsidRDefault="00740866" w:rsidP="00740866">
      <w:pPr>
        <w:jc w:val="center"/>
      </w:pPr>
    </w:p>
    <w:p w:rsidR="007F42E8" w:rsidRPr="00800F6C" w:rsidRDefault="007F42E8" w:rsidP="00740866">
      <w:pPr>
        <w:jc w:val="center"/>
      </w:pPr>
    </w:p>
    <w:p w:rsidR="005100AF" w:rsidRDefault="007F42E8" w:rsidP="007F42E8">
      <w:pPr>
        <w:spacing w:line="360" w:lineRule="auto"/>
        <w:jc w:val="center"/>
        <w:rPr>
          <w:snapToGrid w:val="0"/>
        </w:rPr>
      </w:pPr>
      <w:r w:rsidRPr="00612692">
        <w:rPr>
          <w:snapToGrid w:val="0"/>
        </w:rPr>
        <w:t>NUMBER OF GROWING CYCLES:</w:t>
      </w:r>
      <w:r>
        <w:rPr>
          <w:snapToGrid w:val="0"/>
        </w:rPr>
        <w:t xml:space="preserve">  </w:t>
      </w:r>
      <w:r w:rsidRPr="00612692">
        <w:rPr>
          <w:snapToGrid w:val="0"/>
        </w:rPr>
        <w:t>THE IMPACT ON CEREAL VARIETY DESCRIPTIONS</w:t>
      </w:r>
    </w:p>
    <w:p w:rsidR="007A61C9" w:rsidRPr="00980A9D" w:rsidRDefault="007A61C9" w:rsidP="00980A9D">
      <w:pPr>
        <w:jc w:val="center"/>
      </w:pPr>
    </w:p>
    <w:p w:rsidR="007A61C9" w:rsidRPr="00980A9D" w:rsidRDefault="00515A79" w:rsidP="00980A9D">
      <w:pPr>
        <w:jc w:val="center"/>
      </w:pPr>
      <w:r w:rsidRPr="00980A9D">
        <w:t>Presentation</w:t>
      </w:r>
      <w:r w:rsidR="007A61C9" w:rsidRPr="00980A9D">
        <w:t xml:space="preserve"> prepared by an expert from the United Kingdom</w:t>
      </w:r>
    </w:p>
    <w:p w:rsidR="007A61C9" w:rsidRPr="00980A9D" w:rsidRDefault="007A61C9" w:rsidP="00980A9D">
      <w:pPr>
        <w:jc w:val="center"/>
      </w:pPr>
    </w:p>
    <w:p w:rsidR="005100AF" w:rsidRDefault="005100AF" w:rsidP="005100AF">
      <w:pPr>
        <w:spacing w:line="360" w:lineRule="auto"/>
      </w:pPr>
    </w:p>
    <w:p w:rsidR="005100AF" w:rsidRDefault="00980A9D" w:rsidP="005100AF">
      <w:pPr>
        <w:spacing w:line="360" w:lineRule="auto"/>
        <w:jc w:val="center"/>
      </w:pPr>
      <w:r>
        <w:rPr>
          <w:noProof/>
        </w:rPr>
        <w:drawing>
          <wp:inline distT="0" distB="0" distL="0" distR="0" wp14:anchorId="035B6E3B" wp14:editId="56C3BBBE">
            <wp:extent cx="5943600" cy="3721100"/>
            <wp:effectExtent l="19050" t="19050" r="1905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721100"/>
                    </a:xfrm>
                    <a:prstGeom prst="rect">
                      <a:avLst/>
                    </a:prstGeom>
                    <a:ln>
                      <a:solidFill>
                        <a:schemeClr val="tx1"/>
                      </a:solidFill>
                    </a:ln>
                  </pic:spPr>
                </pic:pic>
              </a:graphicData>
            </a:graphic>
          </wp:inline>
        </w:drawing>
      </w:r>
    </w:p>
    <w:p w:rsidR="005100AF" w:rsidRPr="00980A9D" w:rsidRDefault="005100AF" w:rsidP="00980A9D"/>
    <w:p w:rsidR="005100AF" w:rsidRPr="00980A9D" w:rsidRDefault="005100AF" w:rsidP="00980A9D"/>
    <w:p w:rsidR="005100AF" w:rsidRPr="00980A9D" w:rsidRDefault="005100AF" w:rsidP="00980A9D"/>
    <w:p w:rsidR="005100AF" w:rsidRDefault="00980A9D" w:rsidP="005100AF">
      <w:pPr>
        <w:spacing w:line="360" w:lineRule="auto"/>
        <w:jc w:val="center"/>
      </w:pPr>
      <w:r>
        <w:rPr>
          <w:noProof/>
        </w:rPr>
        <w:drawing>
          <wp:inline distT="0" distB="0" distL="0" distR="0" wp14:anchorId="5FEAE672" wp14:editId="3D818335">
            <wp:extent cx="5943600" cy="3718560"/>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718560"/>
                    </a:xfrm>
                    <a:prstGeom prst="rect">
                      <a:avLst/>
                    </a:prstGeom>
                    <a:ln>
                      <a:solidFill>
                        <a:schemeClr val="tx1"/>
                      </a:solidFill>
                    </a:ln>
                  </pic:spPr>
                </pic:pic>
              </a:graphicData>
            </a:graphic>
          </wp:inline>
        </w:drawing>
      </w:r>
    </w:p>
    <w:p w:rsidR="005100AF" w:rsidRPr="00980A9D" w:rsidRDefault="005100AF" w:rsidP="00980A9D">
      <w:pPr>
        <w:jc w:val="center"/>
      </w:pPr>
    </w:p>
    <w:p w:rsidR="005100AF" w:rsidRPr="00980A9D" w:rsidRDefault="005100AF" w:rsidP="00980A9D">
      <w:pPr>
        <w:jc w:val="center"/>
      </w:pPr>
    </w:p>
    <w:p w:rsidR="005100AF" w:rsidRPr="00980A9D" w:rsidRDefault="00980A9D" w:rsidP="00980A9D">
      <w:pPr>
        <w:jc w:val="center"/>
      </w:pPr>
      <w:r>
        <w:rPr>
          <w:noProof/>
        </w:rPr>
        <w:drawing>
          <wp:inline distT="0" distB="0" distL="0" distR="0" wp14:anchorId="15129F2D" wp14:editId="6B7D5232">
            <wp:extent cx="5943600" cy="3712210"/>
            <wp:effectExtent l="19050" t="19050" r="1905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712210"/>
                    </a:xfrm>
                    <a:prstGeom prst="rect">
                      <a:avLst/>
                    </a:prstGeom>
                    <a:ln>
                      <a:solidFill>
                        <a:schemeClr val="tx1"/>
                      </a:solidFill>
                    </a:ln>
                  </pic:spPr>
                </pic:pic>
              </a:graphicData>
            </a:graphic>
          </wp:inline>
        </w:drawing>
      </w:r>
    </w:p>
    <w:p w:rsidR="005100AF" w:rsidRPr="00980A9D" w:rsidRDefault="005100AF" w:rsidP="00980A9D">
      <w:pPr>
        <w:jc w:val="center"/>
      </w:pPr>
    </w:p>
    <w:p w:rsidR="005100AF" w:rsidRPr="00980A9D" w:rsidRDefault="005100AF" w:rsidP="00980A9D">
      <w:pPr>
        <w:jc w:val="center"/>
      </w:pPr>
    </w:p>
    <w:p w:rsidR="005100AF" w:rsidRDefault="005100AF" w:rsidP="00980A9D">
      <w:pPr>
        <w:jc w:val="center"/>
      </w:pPr>
    </w:p>
    <w:p w:rsidR="00287B5E" w:rsidRPr="00980A9D" w:rsidRDefault="00287B5E" w:rsidP="00980A9D">
      <w:pPr>
        <w:jc w:val="center"/>
      </w:pPr>
    </w:p>
    <w:p w:rsidR="005100AF" w:rsidRPr="00980A9D" w:rsidRDefault="00980A9D" w:rsidP="00980A9D">
      <w:pPr>
        <w:jc w:val="center"/>
      </w:pPr>
      <w:r>
        <w:rPr>
          <w:noProof/>
        </w:rPr>
        <w:drawing>
          <wp:inline distT="0" distB="0" distL="0" distR="0" wp14:anchorId="7AEF1FEC" wp14:editId="57FCA256">
            <wp:extent cx="5943600" cy="3720465"/>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720465"/>
                    </a:xfrm>
                    <a:prstGeom prst="rect">
                      <a:avLst/>
                    </a:prstGeom>
                    <a:ln>
                      <a:solidFill>
                        <a:schemeClr val="tx1"/>
                      </a:solidFill>
                    </a:ln>
                  </pic:spPr>
                </pic:pic>
              </a:graphicData>
            </a:graphic>
          </wp:inline>
        </w:drawing>
      </w:r>
    </w:p>
    <w:p w:rsidR="005100AF" w:rsidRPr="00980A9D" w:rsidRDefault="005100AF" w:rsidP="00980A9D">
      <w:pPr>
        <w:jc w:val="center"/>
      </w:pPr>
    </w:p>
    <w:p w:rsidR="005100AF" w:rsidRPr="00980A9D" w:rsidRDefault="005100AF" w:rsidP="00980A9D">
      <w:pPr>
        <w:jc w:val="center"/>
      </w:pPr>
    </w:p>
    <w:p w:rsidR="005100AF" w:rsidRPr="00980A9D" w:rsidRDefault="005100AF" w:rsidP="00980A9D">
      <w:r w:rsidRPr="00980A9D">
        <w:br w:type="page"/>
      </w:r>
    </w:p>
    <w:p w:rsidR="005100AF" w:rsidRPr="00980A9D" w:rsidRDefault="005100AF" w:rsidP="00980A9D">
      <w:pPr>
        <w:jc w:val="center"/>
      </w:pPr>
    </w:p>
    <w:p w:rsidR="005100AF" w:rsidRPr="00980A9D" w:rsidRDefault="005100AF" w:rsidP="00980A9D">
      <w:pPr>
        <w:jc w:val="center"/>
      </w:pPr>
    </w:p>
    <w:p w:rsidR="005100AF" w:rsidRPr="00980A9D" w:rsidRDefault="00980A9D" w:rsidP="00980A9D">
      <w:pPr>
        <w:jc w:val="center"/>
      </w:pPr>
      <w:r>
        <w:rPr>
          <w:noProof/>
        </w:rPr>
        <w:drawing>
          <wp:inline distT="0" distB="0" distL="0" distR="0" wp14:anchorId="3FB7CF9E" wp14:editId="0F9ADE10">
            <wp:extent cx="5943600" cy="3722370"/>
            <wp:effectExtent l="19050" t="19050" r="1905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722370"/>
                    </a:xfrm>
                    <a:prstGeom prst="rect">
                      <a:avLst/>
                    </a:prstGeom>
                    <a:ln>
                      <a:solidFill>
                        <a:schemeClr val="tx1"/>
                      </a:solidFill>
                    </a:ln>
                  </pic:spPr>
                </pic:pic>
              </a:graphicData>
            </a:graphic>
          </wp:inline>
        </w:drawing>
      </w:r>
    </w:p>
    <w:p w:rsidR="005100AF" w:rsidRPr="00980A9D" w:rsidRDefault="005100AF" w:rsidP="00980A9D">
      <w:pPr>
        <w:jc w:val="center"/>
      </w:pPr>
    </w:p>
    <w:p w:rsidR="005100AF" w:rsidRPr="00980A9D" w:rsidRDefault="005100AF" w:rsidP="00980A9D">
      <w:pPr>
        <w:jc w:val="center"/>
      </w:pPr>
    </w:p>
    <w:p w:rsidR="005100AF" w:rsidRPr="00980A9D" w:rsidRDefault="005100AF" w:rsidP="00980A9D">
      <w:pPr>
        <w:jc w:val="center"/>
      </w:pPr>
    </w:p>
    <w:p w:rsidR="005100AF" w:rsidRPr="00980A9D" w:rsidRDefault="005100AF" w:rsidP="00980A9D">
      <w:pPr>
        <w:jc w:val="center"/>
      </w:pPr>
    </w:p>
    <w:p w:rsidR="005100AF" w:rsidRPr="00980A9D" w:rsidRDefault="00287B5E" w:rsidP="00980A9D">
      <w:pPr>
        <w:jc w:val="center"/>
      </w:pPr>
      <w:r>
        <w:rPr>
          <w:noProof/>
        </w:rPr>
        <w:drawing>
          <wp:inline distT="0" distB="0" distL="0" distR="0" wp14:anchorId="5A6A8E68" wp14:editId="4B6928C8">
            <wp:extent cx="5943600" cy="3718560"/>
            <wp:effectExtent l="19050" t="19050" r="1905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718560"/>
                    </a:xfrm>
                    <a:prstGeom prst="rect">
                      <a:avLst/>
                    </a:prstGeom>
                    <a:ln>
                      <a:solidFill>
                        <a:schemeClr val="tx1"/>
                      </a:solidFill>
                    </a:ln>
                  </pic:spPr>
                </pic:pic>
              </a:graphicData>
            </a:graphic>
          </wp:inline>
        </w:drawing>
      </w:r>
    </w:p>
    <w:p w:rsidR="005100AF" w:rsidRPr="00980A9D" w:rsidRDefault="005100AF" w:rsidP="00980A9D">
      <w:pPr>
        <w:jc w:val="center"/>
      </w:pPr>
    </w:p>
    <w:p w:rsidR="005100AF" w:rsidRPr="00287B5E" w:rsidRDefault="005100AF" w:rsidP="00287B5E">
      <w:pPr>
        <w:jc w:val="center"/>
      </w:pPr>
    </w:p>
    <w:p w:rsidR="00287B5E" w:rsidRPr="00287B5E" w:rsidRDefault="00287B5E" w:rsidP="00287B5E">
      <w:pPr>
        <w:jc w:val="center"/>
      </w:pPr>
    </w:p>
    <w:p w:rsidR="005100AF" w:rsidRDefault="005100AF" w:rsidP="005100AF">
      <w:pPr>
        <w:spacing w:line="360" w:lineRule="auto"/>
        <w:jc w:val="right"/>
      </w:pPr>
      <w:r>
        <w:t>[End of Annex</w:t>
      </w:r>
      <w:r w:rsidR="00F72741">
        <w:t xml:space="preserve"> III</w:t>
      </w:r>
      <w:r>
        <w:t xml:space="preserve"> and of document]</w:t>
      </w:r>
    </w:p>
    <w:sectPr w:rsidR="005100AF" w:rsidSect="00C70434">
      <w:headerReference w:type="default" r:id="rId3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65C" w:rsidRDefault="0045165C" w:rsidP="006655D3">
      <w:r>
        <w:separator/>
      </w:r>
    </w:p>
    <w:p w:rsidR="0045165C" w:rsidRDefault="0045165C" w:rsidP="006655D3"/>
    <w:p w:rsidR="0045165C" w:rsidRDefault="0045165C" w:rsidP="006655D3"/>
  </w:endnote>
  <w:endnote w:type="continuationSeparator" w:id="0">
    <w:p w:rsidR="0045165C" w:rsidRDefault="0045165C" w:rsidP="006655D3">
      <w:r>
        <w:separator/>
      </w:r>
    </w:p>
    <w:p w:rsidR="0045165C" w:rsidRPr="00294751" w:rsidRDefault="0045165C">
      <w:pPr>
        <w:pStyle w:val="Footer"/>
        <w:spacing w:after="60"/>
        <w:rPr>
          <w:sz w:val="18"/>
          <w:lang w:val="fr-FR"/>
        </w:rPr>
      </w:pPr>
      <w:r w:rsidRPr="00294751">
        <w:rPr>
          <w:sz w:val="18"/>
          <w:lang w:val="fr-FR"/>
        </w:rPr>
        <w:t>[Suite de la note de la page précédente]</w:t>
      </w:r>
    </w:p>
    <w:p w:rsidR="0045165C" w:rsidRPr="00294751" w:rsidRDefault="0045165C" w:rsidP="006655D3">
      <w:pPr>
        <w:rPr>
          <w:lang w:val="fr-FR"/>
        </w:rPr>
      </w:pPr>
    </w:p>
    <w:p w:rsidR="0045165C" w:rsidRPr="00294751" w:rsidRDefault="0045165C" w:rsidP="006655D3">
      <w:pPr>
        <w:rPr>
          <w:lang w:val="fr-FR"/>
        </w:rPr>
      </w:pPr>
    </w:p>
  </w:endnote>
  <w:endnote w:type="continuationNotice" w:id="1">
    <w:p w:rsidR="0045165C" w:rsidRPr="00294751" w:rsidRDefault="0045165C" w:rsidP="006655D3">
      <w:pPr>
        <w:rPr>
          <w:lang w:val="fr-FR"/>
        </w:rPr>
      </w:pPr>
      <w:r w:rsidRPr="00294751">
        <w:rPr>
          <w:lang w:val="fr-FR"/>
        </w:rPr>
        <w:t>[Suite de la note page suivante]</w:t>
      </w:r>
    </w:p>
    <w:p w:rsidR="0045165C" w:rsidRPr="00294751" w:rsidRDefault="0045165C" w:rsidP="006655D3">
      <w:pPr>
        <w:rPr>
          <w:lang w:val="fr-FR"/>
        </w:rPr>
      </w:pPr>
    </w:p>
    <w:p w:rsidR="0045165C" w:rsidRPr="00294751" w:rsidRDefault="0045165C"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65C" w:rsidRDefault="0045165C" w:rsidP="006655D3">
      <w:r>
        <w:separator/>
      </w:r>
    </w:p>
  </w:footnote>
  <w:footnote w:type="continuationSeparator" w:id="0">
    <w:p w:rsidR="0045165C" w:rsidRDefault="0045165C" w:rsidP="006655D3">
      <w:r>
        <w:separator/>
      </w:r>
    </w:p>
  </w:footnote>
  <w:footnote w:type="continuationNotice" w:id="1">
    <w:p w:rsidR="0045165C" w:rsidRPr="00AB530F" w:rsidRDefault="0045165C"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9" w:rsidRPr="00C5280D" w:rsidRDefault="00612692" w:rsidP="00EB048E">
    <w:pPr>
      <w:pStyle w:val="Header"/>
      <w:rPr>
        <w:rStyle w:val="PageNumber"/>
        <w:lang w:val="en-US"/>
      </w:rPr>
    </w:pPr>
    <w:r>
      <w:rPr>
        <w:rStyle w:val="PageNumber"/>
        <w:lang w:val="en-US"/>
      </w:rPr>
      <w:t>TWA/46/8</w:t>
    </w:r>
  </w:p>
  <w:p w:rsidR="00182B99" w:rsidRPr="00C5280D" w:rsidRDefault="00182B99"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B68E2">
      <w:rPr>
        <w:rStyle w:val="PageNumber"/>
        <w:noProof/>
        <w:lang w:val="en-US"/>
      </w:rPr>
      <w:t>1</w:t>
    </w:r>
    <w:r w:rsidRPr="00C5280D">
      <w:rPr>
        <w:rStyle w:val="PageNumber"/>
        <w:lang w:val="en-US"/>
      </w:rPr>
      <w:fldChar w:fldCharType="end"/>
    </w:r>
  </w:p>
  <w:p w:rsidR="00182B99" w:rsidRPr="00C5280D" w:rsidRDefault="00182B99"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34" w:rsidRPr="00C5280D" w:rsidRDefault="00612692" w:rsidP="00EB048E">
    <w:pPr>
      <w:pStyle w:val="Header"/>
      <w:rPr>
        <w:rStyle w:val="PageNumber"/>
        <w:lang w:val="en-US"/>
      </w:rPr>
    </w:pPr>
    <w:r>
      <w:rPr>
        <w:rStyle w:val="PageNumber"/>
        <w:lang w:val="en-US"/>
      </w:rPr>
      <w:t>TWA/46/8</w:t>
    </w:r>
  </w:p>
  <w:p w:rsidR="00C70434" w:rsidRPr="00C5280D" w:rsidRDefault="00C70434" w:rsidP="00EB048E">
    <w:pPr>
      <w:pStyle w:val="Header"/>
      <w:rPr>
        <w:lang w:val="en-US"/>
      </w:rPr>
    </w:pPr>
    <w:r>
      <w:rPr>
        <w:lang w:val="en-US"/>
      </w:rPr>
      <w:t>Annex</w:t>
    </w:r>
    <w:r w:rsidR="00F72741">
      <w:rPr>
        <w:lang w:val="en-US"/>
      </w:rPr>
      <w:t xml:space="preserve"> 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766FB">
      <w:rPr>
        <w:rStyle w:val="PageNumber"/>
        <w:noProof/>
        <w:lang w:val="en-US"/>
      </w:rPr>
      <w:t>4</w:t>
    </w:r>
    <w:r w:rsidRPr="00C5280D">
      <w:rPr>
        <w:rStyle w:val="PageNumber"/>
        <w:lang w:val="en-US"/>
      </w:rPr>
      <w:fldChar w:fldCharType="end"/>
    </w:r>
  </w:p>
  <w:p w:rsidR="00C70434" w:rsidRPr="00C5280D" w:rsidRDefault="00C70434"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1E8" w:rsidRPr="00C5280D" w:rsidRDefault="005041E8" w:rsidP="00EB048E">
    <w:pPr>
      <w:pStyle w:val="Header"/>
      <w:rPr>
        <w:rStyle w:val="PageNumber"/>
        <w:lang w:val="en-US"/>
      </w:rPr>
    </w:pPr>
    <w:r>
      <w:rPr>
        <w:rStyle w:val="PageNumber"/>
        <w:lang w:val="en-US"/>
      </w:rPr>
      <w:t>TWA/46/8</w:t>
    </w:r>
  </w:p>
  <w:p w:rsidR="005041E8" w:rsidRPr="00C5280D" w:rsidRDefault="005041E8"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766FB">
      <w:rPr>
        <w:rStyle w:val="PageNumber"/>
        <w:noProof/>
        <w:lang w:val="en-US"/>
      </w:rPr>
      <w:t>4</w:t>
    </w:r>
    <w:r w:rsidRPr="00C5280D">
      <w:rPr>
        <w:rStyle w:val="PageNumber"/>
        <w:lang w:val="en-US"/>
      </w:rPr>
      <w:fldChar w:fldCharType="end"/>
    </w:r>
  </w:p>
  <w:p w:rsidR="005041E8" w:rsidRPr="00C5280D" w:rsidRDefault="005041E8" w:rsidP="006655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1E8" w:rsidRPr="00C5280D" w:rsidRDefault="005041E8" w:rsidP="00EB048E">
    <w:pPr>
      <w:pStyle w:val="Header"/>
      <w:rPr>
        <w:rStyle w:val="PageNumber"/>
        <w:lang w:val="en-US"/>
      </w:rPr>
    </w:pPr>
    <w:r>
      <w:rPr>
        <w:rStyle w:val="PageNumber"/>
        <w:lang w:val="en-US"/>
      </w:rPr>
      <w:t>TWA/46/8</w:t>
    </w:r>
  </w:p>
  <w:p w:rsidR="005041E8" w:rsidRPr="00C5280D" w:rsidRDefault="005041E8" w:rsidP="00EB048E">
    <w:pPr>
      <w:pStyle w:val="Header"/>
      <w:rPr>
        <w:lang w:val="en-US"/>
      </w:rPr>
    </w:pPr>
    <w:r>
      <w:rPr>
        <w:lang w:val="en-US"/>
      </w:rPr>
      <w:t xml:space="preserve">Annex 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766FB">
      <w:rPr>
        <w:rStyle w:val="PageNumber"/>
        <w:noProof/>
        <w:lang w:val="en-US"/>
      </w:rPr>
      <w:t>3</w:t>
    </w:r>
    <w:r w:rsidRPr="00C5280D">
      <w:rPr>
        <w:rStyle w:val="PageNumber"/>
        <w:lang w:val="en-US"/>
      </w:rPr>
      <w:fldChar w:fldCharType="end"/>
    </w:r>
  </w:p>
  <w:p w:rsidR="005041E8" w:rsidRPr="00C5280D" w:rsidRDefault="005041E8"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43BBD"/>
    <w:multiLevelType w:val="hybridMultilevel"/>
    <w:tmpl w:val="70D63DE0"/>
    <w:lvl w:ilvl="0" w:tplc="56CA1882">
      <w:start w:val="1"/>
      <w:numFmt w:val="lowerLetter"/>
      <w:lvlText w:val="(%1)"/>
      <w:lvlJc w:val="left"/>
      <w:pPr>
        <w:ind w:left="9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F51544E"/>
    <w:multiLevelType w:val="hybridMultilevel"/>
    <w:tmpl w:val="D6C4DF78"/>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2">
    <w:nsid w:val="49BE4E28"/>
    <w:multiLevelType w:val="hybridMultilevel"/>
    <w:tmpl w:val="34D8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BC016D"/>
    <w:multiLevelType w:val="hybridMultilevel"/>
    <w:tmpl w:val="D450B5D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DB6506"/>
    <w:multiLevelType w:val="hybridMultilevel"/>
    <w:tmpl w:val="B3A2D6FC"/>
    <w:lvl w:ilvl="0" w:tplc="0A907592">
      <w:start w:val="1"/>
      <w:numFmt w:val="bullet"/>
      <w:pStyle w:val="ListParagraph"/>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6F3879"/>
    <w:multiLevelType w:val="hybridMultilevel"/>
    <w:tmpl w:val="C608BAA4"/>
    <w:lvl w:ilvl="0" w:tplc="04160001">
      <w:start w:val="1"/>
      <w:numFmt w:val="bullet"/>
      <w:lvlText w:val=""/>
      <w:lvlJc w:val="left"/>
      <w:pPr>
        <w:ind w:left="720" w:hanging="360"/>
      </w:pPr>
      <w:rPr>
        <w:rFonts w:ascii="Symbol" w:hAnsi="Symbol" w:hint="default"/>
      </w:rPr>
    </w:lvl>
    <w:lvl w:ilvl="1" w:tplc="041859DE">
      <w:start w:val="1"/>
      <w:numFmt w:val="bullet"/>
      <w:lvlText w:val="-"/>
      <w:lvlJc w:val="left"/>
      <w:pPr>
        <w:ind w:left="1440" w:hanging="360"/>
      </w:pPr>
      <w:rPr>
        <w:rFonts w:ascii="Arial" w:hAnsi="Arial" w:hint="default"/>
        <w:sz w:val="20"/>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65C"/>
    <w:rsid w:val="00010CF3"/>
    <w:rsid w:val="00011E27"/>
    <w:rsid w:val="000148BC"/>
    <w:rsid w:val="00024AB8"/>
    <w:rsid w:val="00030854"/>
    <w:rsid w:val="0003297F"/>
    <w:rsid w:val="00036028"/>
    <w:rsid w:val="00044642"/>
    <w:rsid w:val="000446B9"/>
    <w:rsid w:val="00047E21"/>
    <w:rsid w:val="00050E16"/>
    <w:rsid w:val="00055916"/>
    <w:rsid w:val="00083A7C"/>
    <w:rsid w:val="00085505"/>
    <w:rsid w:val="000861B3"/>
    <w:rsid w:val="000B4C7D"/>
    <w:rsid w:val="000B761E"/>
    <w:rsid w:val="000C4E25"/>
    <w:rsid w:val="000C7021"/>
    <w:rsid w:val="000D6BBC"/>
    <w:rsid w:val="000D7780"/>
    <w:rsid w:val="000E636A"/>
    <w:rsid w:val="000F2F11"/>
    <w:rsid w:val="00105929"/>
    <w:rsid w:val="00110705"/>
    <w:rsid w:val="00110C36"/>
    <w:rsid w:val="001131D5"/>
    <w:rsid w:val="001132F2"/>
    <w:rsid w:val="00130E23"/>
    <w:rsid w:val="00132B5B"/>
    <w:rsid w:val="00141DB8"/>
    <w:rsid w:val="00172084"/>
    <w:rsid w:val="0017474A"/>
    <w:rsid w:val="001758C6"/>
    <w:rsid w:val="00181D8E"/>
    <w:rsid w:val="00182B99"/>
    <w:rsid w:val="001871CA"/>
    <w:rsid w:val="001A529A"/>
    <w:rsid w:val="001C3FD8"/>
    <w:rsid w:val="001D6303"/>
    <w:rsid w:val="001F7309"/>
    <w:rsid w:val="0021332C"/>
    <w:rsid w:val="00213982"/>
    <w:rsid w:val="0024416D"/>
    <w:rsid w:val="0025594F"/>
    <w:rsid w:val="00264D05"/>
    <w:rsid w:val="00271911"/>
    <w:rsid w:val="002800A0"/>
    <w:rsid w:val="002801B3"/>
    <w:rsid w:val="00281060"/>
    <w:rsid w:val="00281C79"/>
    <w:rsid w:val="00287B5E"/>
    <w:rsid w:val="002940E8"/>
    <w:rsid w:val="00294751"/>
    <w:rsid w:val="00295584"/>
    <w:rsid w:val="002A6E50"/>
    <w:rsid w:val="002B4298"/>
    <w:rsid w:val="002C256A"/>
    <w:rsid w:val="00305A7F"/>
    <w:rsid w:val="00312C8B"/>
    <w:rsid w:val="00313031"/>
    <w:rsid w:val="003152FE"/>
    <w:rsid w:val="00327436"/>
    <w:rsid w:val="00335389"/>
    <w:rsid w:val="00344BD6"/>
    <w:rsid w:val="0035528D"/>
    <w:rsid w:val="00361821"/>
    <w:rsid w:val="00361E9E"/>
    <w:rsid w:val="00370BF0"/>
    <w:rsid w:val="00382FF2"/>
    <w:rsid w:val="003B07CF"/>
    <w:rsid w:val="003C7FBE"/>
    <w:rsid w:val="003D227C"/>
    <w:rsid w:val="003D2B4D"/>
    <w:rsid w:val="00425AAB"/>
    <w:rsid w:val="00444A88"/>
    <w:rsid w:val="00446E22"/>
    <w:rsid w:val="0045165C"/>
    <w:rsid w:val="00463FEB"/>
    <w:rsid w:val="00474DA4"/>
    <w:rsid w:val="00476B4D"/>
    <w:rsid w:val="004805FA"/>
    <w:rsid w:val="0048089C"/>
    <w:rsid w:val="004935D2"/>
    <w:rsid w:val="0049744F"/>
    <w:rsid w:val="004B1215"/>
    <w:rsid w:val="004B706A"/>
    <w:rsid w:val="004C39C2"/>
    <w:rsid w:val="004D047D"/>
    <w:rsid w:val="004E7AA1"/>
    <w:rsid w:val="004F1E9E"/>
    <w:rsid w:val="004F305A"/>
    <w:rsid w:val="005041E8"/>
    <w:rsid w:val="005100AF"/>
    <w:rsid w:val="00512164"/>
    <w:rsid w:val="00515A79"/>
    <w:rsid w:val="00520297"/>
    <w:rsid w:val="005338F9"/>
    <w:rsid w:val="0054281C"/>
    <w:rsid w:val="00544581"/>
    <w:rsid w:val="00545BF0"/>
    <w:rsid w:val="00545DE3"/>
    <w:rsid w:val="0055268D"/>
    <w:rsid w:val="00560A96"/>
    <w:rsid w:val="005766FB"/>
    <w:rsid w:val="00576BE4"/>
    <w:rsid w:val="005A400A"/>
    <w:rsid w:val="005F7B92"/>
    <w:rsid w:val="00603F07"/>
    <w:rsid w:val="00612379"/>
    <w:rsid w:val="00612692"/>
    <w:rsid w:val="006153B6"/>
    <w:rsid w:val="0061555F"/>
    <w:rsid w:val="00621302"/>
    <w:rsid w:val="00633ADD"/>
    <w:rsid w:val="00636CA6"/>
    <w:rsid w:val="00641200"/>
    <w:rsid w:val="006655D3"/>
    <w:rsid w:val="00667404"/>
    <w:rsid w:val="00687EB4"/>
    <w:rsid w:val="00695C56"/>
    <w:rsid w:val="006A5CDE"/>
    <w:rsid w:val="006A644A"/>
    <w:rsid w:val="006B17D2"/>
    <w:rsid w:val="006C224E"/>
    <w:rsid w:val="006D780A"/>
    <w:rsid w:val="006E5881"/>
    <w:rsid w:val="0071271E"/>
    <w:rsid w:val="00732DEC"/>
    <w:rsid w:val="00735BD5"/>
    <w:rsid w:val="00740866"/>
    <w:rsid w:val="007506B3"/>
    <w:rsid w:val="00751613"/>
    <w:rsid w:val="007556F6"/>
    <w:rsid w:val="00760EEF"/>
    <w:rsid w:val="00763528"/>
    <w:rsid w:val="00777EE5"/>
    <w:rsid w:val="00784836"/>
    <w:rsid w:val="0079023E"/>
    <w:rsid w:val="007A2854"/>
    <w:rsid w:val="007A61C9"/>
    <w:rsid w:val="007C1D92"/>
    <w:rsid w:val="007C1EC6"/>
    <w:rsid w:val="007C4CB9"/>
    <w:rsid w:val="007D0B9D"/>
    <w:rsid w:val="007D19B0"/>
    <w:rsid w:val="007D54C0"/>
    <w:rsid w:val="007E3E10"/>
    <w:rsid w:val="007F42E8"/>
    <w:rsid w:val="007F498F"/>
    <w:rsid w:val="00800F6C"/>
    <w:rsid w:val="0080679D"/>
    <w:rsid w:val="008108B0"/>
    <w:rsid w:val="00811B20"/>
    <w:rsid w:val="008211B5"/>
    <w:rsid w:val="0082296E"/>
    <w:rsid w:val="00824099"/>
    <w:rsid w:val="00840CAC"/>
    <w:rsid w:val="00846D7C"/>
    <w:rsid w:val="00860A1D"/>
    <w:rsid w:val="00867AC1"/>
    <w:rsid w:val="00890DF8"/>
    <w:rsid w:val="008A743F"/>
    <w:rsid w:val="008C0970"/>
    <w:rsid w:val="008D0BC5"/>
    <w:rsid w:val="008D2CF7"/>
    <w:rsid w:val="008F107C"/>
    <w:rsid w:val="008F2796"/>
    <w:rsid w:val="00900C26"/>
    <w:rsid w:val="0090197F"/>
    <w:rsid w:val="00906DDC"/>
    <w:rsid w:val="00934E09"/>
    <w:rsid w:val="00936253"/>
    <w:rsid w:val="00940D46"/>
    <w:rsid w:val="009462C7"/>
    <w:rsid w:val="00952DD4"/>
    <w:rsid w:val="00965AE7"/>
    <w:rsid w:val="00970FED"/>
    <w:rsid w:val="0097105D"/>
    <w:rsid w:val="00980A9D"/>
    <w:rsid w:val="00992D82"/>
    <w:rsid w:val="00997029"/>
    <w:rsid w:val="009A7339"/>
    <w:rsid w:val="009B440E"/>
    <w:rsid w:val="009D690D"/>
    <w:rsid w:val="009E65B6"/>
    <w:rsid w:val="009F0A36"/>
    <w:rsid w:val="00A24C10"/>
    <w:rsid w:val="00A42AC3"/>
    <w:rsid w:val="00A430CF"/>
    <w:rsid w:val="00A54309"/>
    <w:rsid w:val="00AB2B93"/>
    <w:rsid w:val="00AB530F"/>
    <w:rsid w:val="00AB7E5B"/>
    <w:rsid w:val="00AC2883"/>
    <w:rsid w:val="00AE0EF1"/>
    <w:rsid w:val="00AE2937"/>
    <w:rsid w:val="00AF1BF0"/>
    <w:rsid w:val="00AF1D6A"/>
    <w:rsid w:val="00B07301"/>
    <w:rsid w:val="00B11F3E"/>
    <w:rsid w:val="00B20C2A"/>
    <w:rsid w:val="00B224DE"/>
    <w:rsid w:val="00B324D4"/>
    <w:rsid w:val="00B46575"/>
    <w:rsid w:val="00B61777"/>
    <w:rsid w:val="00B84BBD"/>
    <w:rsid w:val="00BA43FB"/>
    <w:rsid w:val="00BB68E2"/>
    <w:rsid w:val="00BC127D"/>
    <w:rsid w:val="00BC1FE6"/>
    <w:rsid w:val="00C061B6"/>
    <w:rsid w:val="00C2446C"/>
    <w:rsid w:val="00C27612"/>
    <w:rsid w:val="00C36AE5"/>
    <w:rsid w:val="00C41F17"/>
    <w:rsid w:val="00C527FA"/>
    <w:rsid w:val="00C5280D"/>
    <w:rsid w:val="00C53EB3"/>
    <w:rsid w:val="00C5791C"/>
    <w:rsid w:val="00C66290"/>
    <w:rsid w:val="00C70434"/>
    <w:rsid w:val="00C72B7A"/>
    <w:rsid w:val="00C973F2"/>
    <w:rsid w:val="00CA304C"/>
    <w:rsid w:val="00CA774A"/>
    <w:rsid w:val="00CC11B0"/>
    <w:rsid w:val="00CC2841"/>
    <w:rsid w:val="00CC5256"/>
    <w:rsid w:val="00CF1330"/>
    <w:rsid w:val="00CF7E36"/>
    <w:rsid w:val="00D17CF6"/>
    <w:rsid w:val="00D3708D"/>
    <w:rsid w:val="00D40426"/>
    <w:rsid w:val="00D41312"/>
    <w:rsid w:val="00D57C96"/>
    <w:rsid w:val="00D57D18"/>
    <w:rsid w:val="00D7016F"/>
    <w:rsid w:val="00D75D49"/>
    <w:rsid w:val="00D8157B"/>
    <w:rsid w:val="00D91203"/>
    <w:rsid w:val="00D95174"/>
    <w:rsid w:val="00DA1712"/>
    <w:rsid w:val="00DA4499"/>
    <w:rsid w:val="00DA4973"/>
    <w:rsid w:val="00DA6F36"/>
    <w:rsid w:val="00DB596E"/>
    <w:rsid w:val="00DB7773"/>
    <w:rsid w:val="00DC00EA"/>
    <w:rsid w:val="00DC3802"/>
    <w:rsid w:val="00E07D87"/>
    <w:rsid w:val="00E32F7E"/>
    <w:rsid w:val="00E35F77"/>
    <w:rsid w:val="00E5267B"/>
    <w:rsid w:val="00E64441"/>
    <w:rsid w:val="00E70039"/>
    <w:rsid w:val="00E72D49"/>
    <w:rsid w:val="00E7593C"/>
    <w:rsid w:val="00E7678A"/>
    <w:rsid w:val="00E935F1"/>
    <w:rsid w:val="00E94A81"/>
    <w:rsid w:val="00EA1FFB"/>
    <w:rsid w:val="00EB048E"/>
    <w:rsid w:val="00EB4E9C"/>
    <w:rsid w:val="00EC481C"/>
    <w:rsid w:val="00EE1AFA"/>
    <w:rsid w:val="00EE34DF"/>
    <w:rsid w:val="00EF2F89"/>
    <w:rsid w:val="00F03E98"/>
    <w:rsid w:val="00F100E3"/>
    <w:rsid w:val="00F1237A"/>
    <w:rsid w:val="00F22CBD"/>
    <w:rsid w:val="00F272F1"/>
    <w:rsid w:val="00F428B3"/>
    <w:rsid w:val="00F45372"/>
    <w:rsid w:val="00F560F7"/>
    <w:rsid w:val="00F6334D"/>
    <w:rsid w:val="00F72741"/>
    <w:rsid w:val="00F7565B"/>
    <w:rsid w:val="00F95868"/>
    <w:rsid w:val="00FA49AB"/>
    <w:rsid w:val="00FD33CA"/>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8F107C"/>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AF1D6A"/>
    <w:pPr>
      <w:tabs>
        <w:tab w:val="right" w:leader="dot" w:pos="9639"/>
      </w:tabs>
      <w:spacing w:after="120"/>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ListParagraph">
    <w:name w:val="List Paragraph"/>
    <w:basedOn w:val="Normal"/>
    <w:uiPriority w:val="34"/>
    <w:qFormat/>
    <w:rsid w:val="0003297F"/>
    <w:pPr>
      <w:numPr>
        <w:numId w:val="5"/>
      </w:numPr>
      <w:ind w:left="850" w:hanging="283"/>
    </w:pPr>
    <w:rPr>
      <w:rFonts w:eastAsiaTheme="minorHAnsi" w:cs="Arial"/>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8F107C"/>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AF1D6A"/>
    <w:pPr>
      <w:tabs>
        <w:tab w:val="right" w:leader="dot" w:pos="9639"/>
      </w:tabs>
      <w:spacing w:after="120"/>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ListParagraph">
    <w:name w:val="List Paragraph"/>
    <w:basedOn w:val="Normal"/>
    <w:uiPriority w:val="34"/>
    <w:qFormat/>
    <w:rsid w:val="0003297F"/>
    <w:pPr>
      <w:numPr>
        <w:numId w:val="5"/>
      </w:numPr>
      <w:ind w:left="850" w:hanging="283"/>
    </w:pPr>
    <w:rPr>
      <w:rFonts w:eastAsiaTheme="minorHAnsi" w:cs="Arial"/>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762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A\Twa46\template\twa_46.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an002s\r&#252;cker$\Eigene%20Dateien\Ablage%20AL2\04.04%20Referate%20RP\216\xx%20div.%20alte%20Dateien\Berechnungen%20N&#228;thke\2017-05-12%20U-Tast%20Statistik%201-2-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an002s\r&#252;cker$\Eigene%20Dateien\Ablage%20AL2\04.04%20Referate%20RP\216\xx%20div.%20alte%20Dateien\Berechnungen%20N&#228;thke\2017-05-12%20U-Tast%20Statistik%201-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an002s\r&#252;cker$\Eigene%20Dateien\Ablage%20AL2\04.04%20Referate%20RP\216\xx%20div.%20alte%20Dateien\Berechnungen%20N&#228;thke\2017-05-09%20WW_NeueBerechnu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an002s\r&#252;cker$\Eigene%20Dateien\Ablage%20AL2\04.04%20Referate%20RP\216\xx%20div.%20alte%20Dateien\Berechnungen%20N&#228;thke\2017-05-09%20WW_NeueBerechnu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42964360859853E-2"/>
          <c:y val="2.8895424216551245E-2"/>
          <c:w val="0.82898661634237869"/>
          <c:h val="0.58057346165062695"/>
        </c:manualLayout>
      </c:layout>
      <c:lineChart>
        <c:grouping val="standard"/>
        <c:varyColors val="0"/>
        <c:ser>
          <c:idx val="0"/>
          <c:order val="0"/>
          <c:tx>
            <c:strRef>
              <c:f>GW!$D$17</c:f>
              <c:strCache>
                <c:ptCount val="1"/>
                <c:pt idx="0">
                  <c:v>1 cycle</c:v>
                </c:pt>
              </c:strCache>
            </c:strRef>
          </c:tx>
          <c:spPr>
            <a:ln>
              <a:solidFill>
                <a:schemeClr val="accent3">
                  <a:lumMod val="75000"/>
                </a:schemeClr>
              </a:solidFill>
            </a:ln>
          </c:spPr>
          <c:marker>
            <c:symbol val="none"/>
          </c:marker>
          <c:cat>
            <c:strRef>
              <c:f>GW!$E$16:$V$16</c:f>
              <c:strCache>
                <c:ptCount val="18"/>
                <c:pt idx="0">
                  <c:v>Plan length</c:v>
                </c:pt>
                <c:pt idx="1">
                  <c:v>Ear length</c:v>
                </c:pt>
                <c:pt idx="2">
                  <c:v>Ear density</c:v>
                </c:pt>
                <c:pt idx="3">
                  <c:v>Rachis segment length</c:v>
                </c:pt>
                <c:pt idx="4">
                  <c:v>Awn length (compared to ear)</c:v>
                </c:pt>
                <c:pt idx="5">
                  <c:v>Awn tip anthocyanin</c:v>
                </c:pt>
                <c:pt idx="6">
                  <c:v>Anthocyanin of auricles</c:v>
                </c:pt>
                <c:pt idx="7">
                  <c:v>Time of ear emergence</c:v>
                </c:pt>
                <c:pt idx="8">
                  <c:v>Ear attitude</c:v>
                </c:pt>
                <c:pt idx="9">
                  <c:v>Spiculation lemma nerves</c:v>
                </c:pt>
                <c:pt idx="10">
                  <c:v>Ear glaucosity</c:v>
                </c:pt>
                <c:pt idx="11">
                  <c:v>Flag leaf glaucosity of sheath</c:v>
                </c:pt>
                <c:pt idx="12">
                  <c:v>Anthocyanin of lemma nerves</c:v>
                </c:pt>
                <c:pt idx="13">
                  <c:v>Sterile spikelet attitude</c:v>
                </c:pt>
                <c:pt idx="14">
                  <c:v>Plant growth habit</c:v>
                </c:pt>
                <c:pt idx="15">
                  <c:v>Colour of aleurone layer</c:v>
                </c:pt>
                <c:pt idx="16">
                  <c:v>Rachis curvature</c:v>
                </c:pt>
                <c:pt idx="17">
                  <c:v>Flag leaf attitude</c:v>
                </c:pt>
              </c:strCache>
            </c:strRef>
          </c:cat>
          <c:val>
            <c:numRef>
              <c:f>GW!$E$17:$V$17</c:f>
              <c:numCache>
                <c:formatCode>0</c:formatCode>
                <c:ptCount val="18"/>
                <c:pt idx="0">
                  <c:v>66.066666666666677</c:v>
                </c:pt>
                <c:pt idx="1">
                  <c:v>64.333333333333329</c:v>
                </c:pt>
                <c:pt idx="2">
                  <c:v>57.233333333333327</c:v>
                </c:pt>
                <c:pt idx="3">
                  <c:v>55.833333333333336</c:v>
                </c:pt>
                <c:pt idx="4">
                  <c:v>53.433333333333337</c:v>
                </c:pt>
                <c:pt idx="5">
                  <c:v>47.4</c:v>
                </c:pt>
                <c:pt idx="6">
                  <c:v>46.9</c:v>
                </c:pt>
                <c:pt idx="7">
                  <c:v>43.433333333333337</c:v>
                </c:pt>
              </c:numCache>
            </c:numRef>
          </c:val>
          <c:smooth val="0"/>
        </c:ser>
        <c:ser>
          <c:idx val="1"/>
          <c:order val="1"/>
          <c:tx>
            <c:strRef>
              <c:f>GW!$D$18</c:f>
              <c:strCache>
                <c:ptCount val="1"/>
                <c:pt idx="0">
                  <c:v>2 cycles</c:v>
                </c:pt>
              </c:strCache>
            </c:strRef>
          </c:tx>
          <c:spPr>
            <a:ln>
              <a:solidFill>
                <a:srgbClr val="0070C0"/>
              </a:solidFill>
            </a:ln>
          </c:spPr>
          <c:marker>
            <c:symbol val="none"/>
          </c:marker>
          <c:cat>
            <c:strRef>
              <c:f>GW!$E$16:$V$16</c:f>
              <c:strCache>
                <c:ptCount val="18"/>
                <c:pt idx="0">
                  <c:v>Plan length</c:v>
                </c:pt>
                <c:pt idx="1">
                  <c:v>Ear length</c:v>
                </c:pt>
                <c:pt idx="2">
                  <c:v>Ear density</c:v>
                </c:pt>
                <c:pt idx="3">
                  <c:v>Rachis segment length</c:v>
                </c:pt>
                <c:pt idx="4">
                  <c:v>Awn length (compared to ear)</c:v>
                </c:pt>
                <c:pt idx="5">
                  <c:v>Awn tip anthocyanin</c:v>
                </c:pt>
                <c:pt idx="6">
                  <c:v>Anthocyanin of auricles</c:v>
                </c:pt>
                <c:pt idx="7">
                  <c:v>Time of ear emergence</c:v>
                </c:pt>
                <c:pt idx="8">
                  <c:v>Ear attitude</c:v>
                </c:pt>
                <c:pt idx="9">
                  <c:v>Spiculation lemma nerves</c:v>
                </c:pt>
                <c:pt idx="10">
                  <c:v>Ear glaucosity</c:v>
                </c:pt>
                <c:pt idx="11">
                  <c:v>Flag leaf glaucosity of sheath</c:v>
                </c:pt>
                <c:pt idx="12">
                  <c:v>Anthocyanin of lemma nerves</c:v>
                </c:pt>
                <c:pt idx="13">
                  <c:v>Sterile spikelet attitude</c:v>
                </c:pt>
                <c:pt idx="14">
                  <c:v>Plant growth habit</c:v>
                </c:pt>
                <c:pt idx="15">
                  <c:v>Colour of aleurone layer</c:v>
                </c:pt>
                <c:pt idx="16">
                  <c:v>Rachis curvature</c:v>
                </c:pt>
                <c:pt idx="17">
                  <c:v>Flag leaf attitude</c:v>
                </c:pt>
              </c:strCache>
            </c:strRef>
          </c:cat>
          <c:val>
            <c:numRef>
              <c:f>GW!$E$18:$V$18</c:f>
              <c:numCache>
                <c:formatCode>0</c:formatCode>
                <c:ptCount val="18"/>
                <c:pt idx="0">
                  <c:v>58.133333333333333</c:v>
                </c:pt>
                <c:pt idx="1">
                  <c:v>55.366666666666667</c:v>
                </c:pt>
                <c:pt idx="2">
                  <c:v>45.433333333333337</c:v>
                </c:pt>
                <c:pt idx="3">
                  <c:v>41.066666666666663</c:v>
                </c:pt>
                <c:pt idx="4">
                  <c:v>38.766666666666673</c:v>
                </c:pt>
                <c:pt idx="5">
                  <c:v>44.633333333333333</c:v>
                </c:pt>
                <c:pt idx="6">
                  <c:v>43.233333333333327</c:v>
                </c:pt>
                <c:pt idx="7">
                  <c:v>37.666666666666664</c:v>
                </c:pt>
              </c:numCache>
            </c:numRef>
          </c:val>
          <c:smooth val="0"/>
        </c:ser>
        <c:ser>
          <c:idx val="2"/>
          <c:order val="2"/>
          <c:tx>
            <c:strRef>
              <c:f>GW!$D$19</c:f>
              <c:strCache>
                <c:ptCount val="1"/>
                <c:pt idx="0">
                  <c:v>2 out of 3</c:v>
                </c:pt>
              </c:strCache>
            </c:strRef>
          </c:tx>
          <c:spPr>
            <a:ln>
              <a:solidFill>
                <a:srgbClr val="FF0000"/>
              </a:solidFill>
            </a:ln>
          </c:spPr>
          <c:marker>
            <c:symbol val="none"/>
          </c:marker>
          <c:cat>
            <c:strRef>
              <c:f>GW!$E$16:$V$16</c:f>
              <c:strCache>
                <c:ptCount val="18"/>
                <c:pt idx="0">
                  <c:v>Plan length</c:v>
                </c:pt>
                <c:pt idx="1">
                  <c:v>Ear length</c:v>
                </c:pt>
                <c:pt idx="2">
                  <c:v>Ear density</c:v>
                </c:pt>
                <c:pt idx="3">
                  <c:v>Rachis segment length</c:v>
                </c:pt>
                <c:pt idx="4">
                  <c:v>Awn length (compared to ear)</c:v>
                </c:pt>
                <c:pt idx="5">
                  <c:v>Awn tip anthocyanin</c:v>
                </c:pt>
                <c:pt idx="6">
                  <c:v>Anthocyanin of auricles</c:v>
                </c:pt>
                <c:pt idx="7">
                  <c:v>Time of ear emergence</c:v>
                </c:pt>
                <c:pt idx="8">
                  <c:v>Ear attitude</c:v>
                </c:pt>
                <c:pt idx="9">
                  <c:v>Spiculation lemma nerves</c:v>
                </c:pt>
                <c:pt idx="10">
                  <c:v>Ear glaucosity</c:v>
                </c:pt>
                <c:pt idx="11">
                  <c:v>Flag leaf glaucosity of sheath</c:v>
                </c:pt>
                <c:pt idx="12">
                  <c:v>Anthocyanin of lemma nerves</c:v>
                </c:pt>
                <c:pt idx="13">
                  <c:v>Sterile spikelet attitude</c:v>
                </c:pt>
                <c:pt idx="14">
                  <c:v>Plant growth habit</c:v>
                </c:pt>
                <c:pt idx="15">
                  <c:v>Colour of aleurone layer</c:v>
                </c:pt>
                <c:pt idx="16">
                  <c:v>Rachis curvature</c:v>
                </c:pt>
                <c:pt idx="17">
                  <c:v>Flag leaf attitude</c:v>
                </c:pt>
              </c:strCache>
            </c:strRef>
          </c:cat>
          <c:val>
            <c:numRef>
              <c:f>GW!$E$19:$V$19</c:f>
              <c:numCache>
                <c:formatCode>0</c:formatCode>
                <c:ptCount val="18"/>
                <c:pt idx="0">
                  <c:v>60.933333333333337</c:v>
                </c:pt>
                <c:pt idx="1">
                  <c:v>62</c:v>
                </c:pt>
                <c:pt idx="2">
                  <c:v>48.666666666666664</c:v>
                </c:pt>
                <c:pt idx="3">
                  <c:v>47.066666666666663</c:v>
                </c:pt>
                <c:pt idx="4">
                  <c:v>47.833333333333336</c:v>
                </c:pt>
                <c:pt idx="5">
                  <c:v>47.1</c:v>
                </c:pt>
                <c:pt idx="6">
                  <c:v>45.433333333333337</c:v>
                </c:pt>
                <c:pt idx="7">
                  <c:v>44.1</c:v>
                </c:pt>
              </c:numCache>
            </c:numRef>
          </c:val>
          <c:smooth val="0"/>
        </c:ser>
        <c:dLbls>
          <c:showLegendKey val="0"/>
          <c:showVal val="0"/>
          <c:showCatName val="0"/>
          <c:showSerName val="0"/>
          <c:showPercent val="0"/>
          <c:showBubbleSize val="0"/>
        </c:dLbls>
        <c:marker val="1"/>
        <c:smooth val="0"/>
        <c:axId val="86927232"/>
        <c:axId val="87458560"/>
      </c:lineChart>
      <c:lineChart>
        <c:grouping val="standard"/>
        <c:varyColors val="0"/>
        <c:ser>
          <c:idx val="3"/>
          <c:order val="3"/>
          <c:tx>
            <c:strRef>
              <c:f>GW!$D$20</c:f>
              <c:strCache>
                <c:ptCount val="1"/>
                <c:pt idx="0">
                  <c:v>1 cycle</c:v>
                </c:pt>
              </c:strCache>
            </c:strRef>
          </c:tx>
          <c:spPr>
            <a:ln>
              <a:solidFill>
                <a:schemeClr val="accent3">
                  <a:lumMod val="75000"/>
                </a:schemeClr>
              </a:solidFill>
            </a:ln>
          </c:spPr>
          <c:marker>
            <c:symbol val="none"/>
          </c:marker>
          <c:cat>
            <c:strRef>
              <c:f>GW!$E$16:$V$16</c:f>
              <c:strCache>
                <c:ptCount val="18"/>
                <c:pt idx="0">
                  <c:v>Plan length</c:v>
                </c:pt>
                <c:pt idx="1">
                  <c:v>Ear length</c:v>
                </c:pt>
                <c:pt idx="2">
                  <c:v>Ear density</c:v>
                </c:pt>
                <c:pt idx="3">
                  <c:v>Rachis segment length</c:v>
                </c:pt>
                <c:pt idx="4">
                  <c:v>Awn length (compared to ear)</c:v>
                </c:pt>
                <c:pt idx="5">
                  <c:v>Awn tip anthocyanin</c:v>
                </c:pt>
                <c:pt idx="6">
                  <c:v>Anthocyanin of auricles</c:v>
                </c:pt>
                <c:pt idx="7">
                  <c:v>Time of ear emergence</c:v>
                </c:pt>
                <c:pt idx="8">
                  <c:v>Ear attitude</c:v>
                </c:pt>
                <c:pt idx="9">
                  <c:v>Spiculation lemma nerves</c:v>
                </c:pt>
                <c:pt idx="10">
                  <c:v>Ear glaucosity</c:v>
                </c:pt>
                <c:pt idx="11">
                  <c:v>Flag leaf glaucosity of sheath</c:v>
                </c:pt>
                <c:pt idx="12">
                  <c:v>Anthocyanin of lemma nerves</c:v>
                </c:pt>
                <c:pt idx="13">
                  <c:v>Sterile spikelet attitude</c:v>
                </c:pt>
                <c:pt idx="14">
                  <c:v>Plant growth habit</c:v>
                </c:pt>
                <c:pt idx="15">
                  <c:v>Colour of aleurone layer</c:v>
                </c:pt>
                <c:pt idx="16">
                  <c:v>Rachis curvature</c:v>
                </c:pt>
                <c:pt idx="17">
                  <c:v>Flag leaf attitude</c:v>
                </c:pt>
              </c:strCache>
            </c:strRef>
          </c:cat>
          <c:val>
            <c:numRef>
              <c:f>GW!$E$20:$V$20</c:f>
              <c:numCache>
                <c:formatCode>General</c:formatCode>
                <c:ptCount val="18"/>
                <c:pt idx="8" formatCode="0">
                  <c:v>34.93333333333333</c:v>
                </c:pt>
                <c:pt idx="9" formatCode="0">
                  <c:v>33.633333333333333</c:v>
                </c:pt>
                <c:pt idx="10" formatCode="0">
                  <c:v>31.633333333333336</c:v>
                </c:pt>
                <c:pt idx="11" formatCode="0">
                  <c:v>27.533333333333331</c:v>
                </c:pt>
                <c:pt idx="12" formatCode="0">
                  <c:v>27.366666666666664</c:v>
                </c:pt>
                <c:pt idx="13" formatCode="0">
                  <c:v>25</c:v>
                </c:pt>
                <c:pt idx="14" formatCode="0">
                  <c:v>20.3</c:v>
                </c:pt>
                <c:pt idx="15" formatCode="0">
                  <c:v>12.166666666666666</c:v>
                </c:pt>
                <c:pt idx="16" formatCode="0">
                  <c:v>11.266666666666666</c:v>
                </c:pt>
                <c:pt idx="17" formatCode="0">
                  <c:v>10.799999999999999</c:v>
                </c:pt>
              </c:numCache>
            </c:numRef>
          </c:val>
          <c:smooth val="0"/>
        </c:ser>
        <c:ser>
          <c:idx val="4"/>
          <c:order val="4"/>
          <c:tx>
            <c:strRef>
              <c:f>GW!$D$21</c:f>
              <c:strCache>
                <c:ptCount val="1"/>
                <c:pt idx="0">
                  <c:v>2 cycles</c:v>
                </c:pt>
              </c:strCache>
            </c:strRef>
          </c:tx>
          <c:spPr>
            <a:ln>
              <a:solidFill>
                <a:srgbClr val="0070C0"/>
              </a:solidFill>
            </a:ln>
          </c:spPr>
          <c:marker>
            <c:symbol val="none"/>
          </c:marker>
          <c:cat>
            <c:strRef>
              <c:f>GW!$E$16:$V$16</c:f>
              <c:strCache>
                <c:ptCount val="18"/>
                <c:pt idx="0">
                  <c:v>Plan length</c:v>
                </c:pt>
                <c:pt idx="1">
                  <c:v>Ear length</c:v>
                </c:pt>
                <c:pt idx="2">
                  <c:v>Ear density</c:v>
                </c:pt>
                <c:pt idx="3">
                  <c:v>Rachis segment length</c:v>
                </c:pt>
                <c:pt idx="4">
                  <c:v>Awn length (compared to ear)</c:v>
                </c:pt>
                <c:pt idx="5">
                  <c:v>Awn tip anthocyanin</c:v>
                </c:pt>
                <c:pt idx="6">
                  <c:v>Anthocyanin of auricles</c:v>
                </c:pt>
                <c:pt idx="7">
                  <c:v>Time of ear emergence</c:v>
                </c:pt>
                <c:pt idx="8">
                  <c:v>Ear attitude</c:v>
                </c:pt>
                <c:pt idx="9">
                  <c:v>Spiculation lemma nerves</c:v>
                </c:pt>
                <c:pt idx="10">
                  <c:v>Ear glaucosity</c:v>
                </c:pt>
                <c:pt idx="11">
                  <c:v>Flag leaf glaucosity of sheath</c:v>
                </c:pt>
                <c:pt idx="12">
                  <c:v>Anthocyanin of lemma nerves</c:v>
                </c:pt>
                <c:pt idx="13">
                  <c:v>Sterile spikelet attitude</c:v>
                </c:pt>
                <c:pt idx="14">
                  <c:v>Plant growth habit</c:v>
                </c:pt>
                <c:pt idx="15">
                  <c:v>Colour of aleurone layer</c:v>
                </c:pt>
                <c:pt idx="16">
                  <c:v>Rachis curvature</c:v>
                </c:pt>
                <c:pt idx="17">
                  <c:v>Flag leaf attitude</c:v>
                </c:pt>
              </c:strCache>
            </c:strRef>
          </c:cat>
          <c:val>
            <c:numRef>
              <c:f>GW!$E$21:$V$21</c:f>
              <c:numCache>
                <c:formatCode>General</c:formatCode>
                <c:ptCount val="18"/>
                <c:pt idx="8" formatCode="0">
                  <c:v>25.566666666666663</c:v>
                </c:pt>
                <c:pt idx="9" formatCode="0">
                  <c:v>29.166666666666668</c:v>
                </c:pt>
                <c:pt idx="10" formatCode="0">
                  <c:v>27.633333333333336</c:v>
                </c:pt>
                <c:pt idx="11" formatCode="0">
                  <c:v>20.166666666666668</c:v>
                </c:pt>
                <c:pt idx="12" formatCode="0">
                  <c:v>25.333333333333332</c:v>
                </c:pt>
                <c:pt idx="13" formatCode="0">
                  <c:v>22.099999999999998</c:v>
                </c:pt>
                <c:pt idx="14" formatCode="0">
                  <c:v>12.733333333333334</c:v>
                </c:pt>
                <c:pt idx="15" formatCode="0">
                  <c:v>9.8333333333333339</c:v>
                </c:pt>
                <c:pt idx="16" formatCode="0">
                  <c:v>8.8333333333333339</c:v>
                </c:pt>
                <c:pt idx="17" formatCode="0">
                  <c:v>8.8333333333333339</c:v>
                </c:pt>
              </c:numCache>
            </c:numRef>
          </c:val>
          <c:smooth val="0"/>
        </c:ser>
        <c:ser>
          <c:idx val="5"/>
          <c:order val="5"/>
          <c:tx>
            <c:strRef>
              <c:f>GW!$D$22</c:f>
              <c:strCache>
                <c:ptCount val="1"/>
                <c:pt idx="0">
                  <c:v>2 out of 3</c:v>
                </c:pt>
              </c:strCache>
            </c:strRef>
          </c:tx>
          <c:spPr>
            <a:ln>
              <a:solidFill>
                <a:srgbClr val="FF0000"/>
              </a:solidFill>
            </a:ln>
          </c:spPr>
          <c:marker>
            <c:symbol val="none"/>
          </c:marker>
          <c:cat>
            <c:strRef>
              <c:f>GW!$E$16:$V$16</c:f>
              <c:strCache>
                <c:ptCount val="18"/>
                <c:pt idx="0">
                  <c:v>Plan length</c:v>
                </c:pt>
                <c:pt idx="1">
                  <c:v>Ear length</c:v>
                </c:pt>
                <c:pt idx="2">
                  <c:v>Ear density</c:v>
                </c:pt>
                <c:pt idx="3">
                  <c:v>Rachis segment length</c:v>
                </c:pt>
                <c:pt idx="4">
                  <c:v>Awn length (compared to ear)</c:v>
                </c:pt>
                <c:pt idx="5">
                  <c:v>Awn tip anthocyanin</c:v>
                </c:pt>
                <c:pt idx="6">
                  <c:v>Anthocyanin of auricles</c:v>
                </c:pt>
                <c:pt idx="7">
                  <c:v>Time of ear emergence</c:v>
                </c:pt>
                <c:pt idx="8">
                  <c:v>Ear attitude</c:v>
                </c:pt>
                <c:pt idx="9">
                  <c:v>Spiculation lemma nerves</c:v>
                </c:pt>
                <c:pt idx="10">
                  <c:v>Ear glaucosity</c:v>
                </c:pt>
                <c:pt idx="11">
                  <c:v>Flag leaf glaucosity of sheath</c:v>
                </c:pt>
                <c:pt idx="12">
                  <c:v>Anthocyanin of lemma nerves</c:v>
                </c:pt>
                <c:pt idx="13">
                  <c:v>Sterile spikelet attitude</c:v>
                </c:pt>
                <c:pt idx="14">
                  <c:v>Plant growth habit</c:v>
                </c:pt>
                <c:pt idx="15">
                  <c:v>Colour of aleurone layer</c:v>
                </c:pt>
                <c:pt idx="16">
                  <c:v>Rachis curvature</c:v>
                </c:pt>
                <c:pt idx="17">
                  <c:v>Flag leaf attitude</c:v>
                </c:pt>
              </c:strCache>
            </c:strRef>
          </c:cat>
          <c:val>
            <c:numRef>
              <c:f>GW!$E$22:$V$22</c:f>
              <c:numCache>
                <c:formatCode>General</c:formatCode>
                <c:ptCount val="18"/>
                <c:pt idx="8" formatCode="0">
                  <c:v>28.433333333333334</c:v>
                </c:pt>
                <c:pt idx="9" formatCode="0">
                  <c:v>29.366666666666664</c:v>
                </c:pt>
                <c:pt idx="10" formatCode="0">
                  <c:v>30.5</c:v>
                </c:pt>
                <c:pt idx="11" formatCode="0">
                  <c:v>23.7</c:v>
                </c:pt>
                <c:pt idx="12" formatCode="0">
                  <c:v>26.400000000000002</c:v>
                </c:pt>
                <c:pt idx="13" formatCode="0">
                  <c:v>23.766666666666666</c:v>
                </c:pt>
                <c:pt idx="14" formatCode="0">
                  <c:v>10.933333333333332</c:v>
                </c:pt>
                <c:pt idx="15" formatCode="0">
                  <c:v>15.4</c:v>
                </c:pt>
                <c:pt idx="16" formatCode="0">
                  <c:v>10.733333333333334</c:v>
                </c:pt>
                <c:pt idx="17" formatCode="0">
                  <c:v>8.7999999999999989</c:v>
                </c:pt>
              </c:numCache>
            </c:numRef>
          </c:val>
          <c:smooth val="0"/>
        </c:ser>
        <c:dLbls>
          <c:showLegendKey val="0"/>
          <c:showVal val="0"/>
          <c:showCatName val="0"/>
          <c:showSerName val="0"/>
          <c:showPercent val="0"/>
          <c:showBubbleSize val="0"/>
        </c:dLbls>
        <c:marker val="1"/>
        <c:smooth val="0"/>
        <c:axId val="76877184"/>
        <c:axId val="76875648"/>
      </c:lineChart>
      <c:catAx>
        <c:axId val="86927232"/>
        <c:scaling>
          <c:orientation val="minMax"/>
        </c:scaling>
        <c:delete val="0"/>
        <c:axPos val="b"/>
        <c:majorGridlines/>
        <c:majorTickMark val="out"/>
        <c:minorTickMark val="none"/>
        <c:tickLblPos val="nextTo"/>
        <c:txPr>
          <a:bodyPr rot="-5400000" vert="horz"/>
          <a:lstStyle/>
          <a:p>
            <a:pPr>
              <a:defRPr sz="900">
                <a:latin typeface="Arial" panose="020B0604020202020204" pitchFamily="34" charset="0"/>
                <a:cs typeface="Arial" panose="020B0604020202020204" pitchFamily="34" charset="0"/>
              </a:defRPr>
            </a:pPr>
            <a:endParaRPr lang="en-US"/>
          </a:p>
        </c:txPr>
        <c:crossAx val="87458560"/>
        <c:crosses val="autoZero"/>
        <c:auto val="1"/>
        <c:lblAlgn val="ctr"/>
        <c:lblOffset val="100"/>
        <c:noMultiLvlLbl val="0"/>
      </c:catAx>
      <c:valAx>
        <c:axId val="87458560"/>
        <c:scaling>
          <c:orientation val="minMax"/>
          <c:min val="35"/>
        </c:scaling>
        <c:delete val="0"/>
        <c:axPos val="l"/>
        <c:majorGridlines/>
        <c:title>
          <c:tx>
            <c:rich>
              <a:bodyPr rot="-5400000" vert="horz"/>
              <a:lstStyle/>
              <a:p>
                <a:pPr>
                  <a:defRPr sz="900" b="0">
                    <a:latin typeface="Arial" panose="020B0604020202020204" pitchFamily="34" charset="0"/>
                    <a:cs typeface="Arial" panose="020B0604020202020204" pitchFamily="34" charset="0"/>
                  </a:defRPr>
                </a:pPr>
                <a:r>
                  <a:rPr lang="en-US" sz="900" b="0">
                    <a:latin typeface="Arial" panose="020B0604020202020204" pitchFamily="34" charset="0"/>
                    <a:cs typeface="Arial" panose="020B0604020202020204" pitchFamily="34" charset="0"/>
                  </a:rPr>
                  <a:t>Discrimination power (%)</a:t>
                </a:r>
              </a:p>
            </c:rich>
          </c:tx>
          <c:layout>
            <c:manualLayout>
              <c:xMode val="edge"/>
              <c:yMode val="edge"/>
              <c:x val="8.6448139669442273E-3"/>
              <c:y val="0.15401595149443528"/>
            </c:manualLayout>
          </c:layout>
          <c:overlay val="0"/>
        </c:title>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86927232"/>
        <c:crosses val="autoZero"/>
        <c:crossBetween val="between"/>
      </c:valAx>
      <c:valAx>
        <c:axId val="76875648"/>
        <c:scaling>
          <c:orientation val="minMax"/>
        </c:scaling>
        <c:delete val="0"/>
        <c:axPos val="r"/>
        <c:title>
          <c:tx>
            <c:rich>
              <a:bodyPr rot="-5400000" vert="horz"/>
              <a:lstStyle/>
              <a:p>
                <a:pPr>
                  <a:defRPr sz="900" b="0">
                    <a:latin typeface="Arial" panose="020B0604020202020204" pitchFamily="34" charset="0"/>
                    <a:cs typeface="Arial" panose="020B0604020202020204" pitchFamily="34" charset="0"/>
                  </a:defRPr>
                </a:pPr>
                <a:r>
                  <a:rPr lang="en-US" sz="900" b="0">
                    <a:latin typeface="Arial" panose="020B0604020202020204" pitchFamily="34" charset="0"/>
                    <a:cs typeface="Arial" panose="020B0604020202020204" pitchFamily="34" charset="0"/>
                  </a:rPr>
                  <a:t>Discrimination power (%)</a:t>
                </a:r>
              </a:p>
            </c:rich>
          </c:tx>
          <c:layout>
            <c:manualLayout>
              <c:xMode val="edge"/>
              <c:yMode val="edge"/>
              <c:x val="0.96453674121405752"/>
              <c:y val="0.16345744572626097"/>
            </c:manualLayout>
          </c:layout>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76877184"/>
        <c:crosses val="max"/>
        <c:crossBetween val="between"/>
      </c:valAx>
      <c:catAx>
        <c:axId val="76877184"/>
        <c:scaling>
          <c:orientation val="minMax"/>
        </c:scaling>
        <c:delete val="1"/>
        <c:axPos val="b"/>
        <c:majorTickMark val="out"/>
        <c:minorTickMark val="none"/>
        <c:tickLblPos val="nextTo"/>
        <c:crossAx val="76875648"/>
        <c:crosses val="autoZero"/>
        <c:auto val="1"/>
        <c:lblAlgn val="ctr"/>
        <c:lblOffset val="100"/>
        <c:noMultiLvlLbl val="0"/>
      </c:catAx>
    </c:plotArea>
    <c:legend>
      <c:legendPos val="r"/>
      <c:layout>
        <c:manualLayout>
          <c:xMode val="edge"/>
          <c:yMode val="edge"/>
          <c:x val="0.7148850528357692"/>
          <c:y val="4.2434995625546805E-2"/>
          <c:w val="0.17695974105473239"/>
          <c:h val="9.0989123500788888E-2"/>
        </c:manualLayout>
      </c:layout>
      <c:overlay val="0"/>
      <c:spPr>
        <a:solidFill>
          <a:schemeClr val="bg1"/>
        </a:solidFill>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376503718285219E-2"/>
          <c:y val="4.8471469283043904E-2"/>
          <c:w val="0.83069130030621174"/>
          <c:h val="0.53405165212136296"/>
        </c:manualLayout>
      </c:layout>
      <c:lineChart>
        <c:grouping val="standard"/>
        <c:varyColors val="0"/>
        <c:ser>
          <c:idx val="0"/>
          <c:order val="0"/>
          <c:tx>
            <c:strRef>
              <c:f>WW!$C$16</c:f>
              <c:strCache>
                <c:ptCount val="1"/>
                <c:pt idx="0">
                  <c:v>1 cycle</c:v>
                </c:pt>
              </c:strCache>
            </c:strRef>
          </c:tx>
          <c:spPr>
            <a:ln>
              <a:solidFill>
                <a:schemeClr val="accent3">
                  <a:lumMod val="75000"/>
                </a:schemeClr>
              </a:solidFill>
            </a:ln>
          </c:spPr>
          <c:marker>
            <c:symbol val="none"/>
          </c:marker>
          <c:cat>
            <c:strRef>
              <c:f>WW!$D$15:$W$15</c:f>
              <c:strCache>
                <c:ptCount val="20"/>
                <c:pt idx="0">
                  <c:v>Coleoptile anthocyanin</c:v>
                </c:pt>
                <c:pt idx="1">
                  <c:v>Time of ear emergence</c:v>
                </c:pt>
                <c:pt idx="2">
                  <c:v>Ear: length</c:v>
                </c:pt>
                <c:pt idx="3">
                  <c:v>Ear: density</c:v>
                </c:pt>
                <c:pt idx="4">
                  <c:v>Flag leaf glaucosity of blade</c:v>
                </c:pt>
                <c:pt idx="5">
                  <c:v>Ear glaucosity</c:v>
                </c:pt>
                <c:pt idx="6">
                  <c:v>Plant length</c:v>
                </c:pt>
                <c:pt idx="7">
                  <c:v>Culm glaucosity of neck</c:v>
                </c:pt>
                <c:pt idx="8">
                  <c:v>Flag leaf glaucosity of sheath</c:v>
                </c:pt>
                <c:pt idx="9">
                  <c:v>Colouration with phenol</c:v>
                </c:pt>
                <c:pt idx="10">
                  <c:v>Rachis hairiness</c:v>
                </c:pt>
                <c:pt idx="11">
                  <c:v>Glume shoulder width</c:v>
                </c:pt>
                <c:pt idx="12">
                  <c:v>Plant growth habit</c:v>
                </c:pt>
                <c:pt idx="13">
                  <c:v>Glume internal hairs</c:v>
                </c:pt>
                <c:pt idx="14">
                  <c:v>Glume beak shape</c:v>
                </c:pt>
                <c:pt idx="15">
                  <c:v>Awns or scurs: length</c:v>
                </c:pt>
                <c:pt idx="16">
                  <c:v>Glume beak length</c:v>
                </c:pt>
                <c:pt idx="17">
                  <c:v>Recurved flag leaves</c:v>
                </c:pt>
                <c:pt idx="18">
                  <c:v>Glume shoulder shape</c:v>
                </c:pt>
                <c:pt idx="19">
                  <c:v>Straw:pith in cross section</c:v>
                </c:pt>
              </c:strCache>
            </c:strRef>
          </c:cat>
          <c:val>
            <c:numRef>
              <c:f>WW!$D$16:$W$16</c:f>
              <c:numCache>
                <c:formatCode>0</c:formatCode>
                <c:ptCount val="20"/>
                <c:pt idx="0">
                  <c:v>68.966666666666669</c:v>
                </c:pt>
                <c:pt idx="1">
                  <c:v>63.533333333333331</c:v>
                </c:pt>
                <c:pt idx="2">
                  <c:v>63</c:v>
                </c:pt>
                <c:pt idx="3">
                  <c:v>55.199999999999996</c:v>
                </c:pt>
                <c:pt idx="4">
                  <c:v>52.199999999999996</c:v>
                </c:pt>
                <c:pt idx="5">
                  <c:v>51.433333333333337</c:v>
                </c:pt>
                <c:pt idx="6">
                  <c:v>51.433333333333337</c:v>
                </c:pt>
                <c:pt idx="7">
                  <c:v>40.266666666666673</c:v>
                </c:pt>
                <c:pt idx="8">
                  <c:v>36.4</c:v>
                </c:pt>
                <c:pt idx="9">
                  <c:v>35.166666666666664</c:v>
                </c:pt>
              </c:numCache>
            </c:numRef>
          </c:val>
          <c:smooth val="0"/>
        </c:ser>
        <c:ser>
          <c:idx val="1"/>
          <c:order val="1"/>
          <c:tx>
            <c:strRef>
              <c:f>WW!$C$17</c:f>
              <c:strCache>
                <c:ptCount val="1"/>
                <c:pt idx="0">
                  <c:v>2 cycles</c:v>
                </c:pt>
              </c:strCache>
            </c:strRef>
          </c:tx>
          <c:spPr>
            <a:ln>
              <a:solidFill>
                <a:srgbClr val="0070C0"/>
              </a:solidFill>
            </a:ln>
          </c:spPr>
          <c:marker>
            <c:symbol val="none"/>
          </c:marker>
          <c:cat>
            <c:strRef>
              <c:f>WW!$D$15:$W$15</c:f>
              <c:strCache>
                <c:ptCount val="20"/>
                <c:pt idx="0">
                  <c:v>Coleoptile anthocyanin</c:v>
                </c:pt>
                <c:pt idx="1">
                  <c:v>Time of ear emergence</c:v>
                </c:pt>
                <c:pt idx="2">
                  <c:v>Ear: length</c:v>
                </c:pt>
                <c:pt idx="3">
                  <c:v>Ear: density</c:v>
                </c:pt>
                <c:pt idx="4">
                  <c:v>Flag leaf glaucosity of blade</c:v>
                </c:pt>
                <c:pt idx="5">
                  <c:v>Ear glaucosity</c:v>
                </c:pt>
                <c:pt idx="6">
                  <c:v>Plant length</c:v>
                </c:pt>
                <c:pt idx="7">
                  <c:v>Culm glaucosity of neck</c:v>
                </c:pt>
                <c:pt idx="8">
                  <c:v>Flag leaf glaucosity of sheath</c:v>
                </c:pt>
                <c:pt idx="9">
                  <c:v>Colouration with phenol</c:v>
                </c:pt>
                <c:pt idx="10">
                  <c:v>Rachis hairiness</c:v>
                </c:pt>
                <c:pt idx="11">
                  <c:v>Glume shoulder width</c:v>
                </c:pt>
                <c:pt idx="12">
                  <c:v>Plant growth habit</c:v>
                </c:pt>
                <c:pt idx="13">
                  <c:v>Glume internal hairs</c:v>
                </c:pt>
                <c:pt idx="14">
                  <c:v>Glume beak shape</c:v>
                </c:pt>
                <c:pt idx="15">
                  <c:v>Awns or scurs: length</c:v>
                </c:pt>
                <c:pt idx="16">
                  <c:v>Glume beak length</c:v>
                </c:pt>
                <c:pt idx="17">
                  <c:v>Recurved flag leaves</c:v>
                </c:pt>
                <c:pt idx="18">
                  <c:v>Glume shoulder shape</c:v>
                </c:pt>
                <c:pt idx="19">
                  <c:v>Straw:pith in cross section</c:v>
                </c:pt>
              </c:strCache>
            </c:strRef>
          </c:cat>
          <c:val>
            <c:numRef>
              <c:f>WW!$D$17:$W$17</c:f>
              <c:numCache>
                <c:formatCode>0</c:formatCode>
                <c:ptCount val="20"/>
                <c:pt idx="0">
                  <c:v>49.333333333333336</c:v>
                </c:pt>
                <c:pt idx="1">
                  <c:v>46.266666666666673</c:v>
                </c:pt>
                <c:pt idx="2">
                  <c:v>45.133333333333333</c:v>
                </c:pt>
                <c:pt idx="3">
                  <c:v>41.233333333333327</c:v>
                </c:pt>
                <c:pt idx="4">
                  <c:v>44.966666666666661</c:v>
                </c:pt>
                <c:pt idx="5">
                  <c:v>37.599999999999994</c:v>
                </c:pt>
                <c:pt idx="6">
                  <c:v>34.966666666666669</c:v>
                </c:pt>
                <c:pt idx="7">
                  <c:v>32.166666666666664</c:v>
                </c:pt>
                <c:pt idx="8">
                  <c:v>25</c:v>
                </c:pt>
                <c:pt idx="9">
                  <c:v>39.766666666666673</c:v>
                </c:pt>
              </c:numCache>
            </c:numRef>
          </c:val>
          <c:smooth val="0"/>
        </c:ser>
        <c:ser>
          <c:idx val="2"/>
          <c:order val="2"/>
          <c:tx>
            <c:strRef>
              <c:f>WW!$C$18</c:f>
              <c:strCache>
                <c:ptCount val="1"/>
                <c:pt idx="0">
                  <c:v>2 out of 3</c:v>
                </c:pt>
              </c:strCache>
            </c:strRef>
          </c:tx>
          <c:spPr>
            <a:ln>
              <a:solidFill>
                <a:srgbClr val="FF0000"/>
              </a:solidFill>
            </a:ln>
          </c:spPr>
          <c:marker>
            <c:symbol val="none"/>
          </c:marker>
          <c:cat>
            <c:strRef>
              <c:f>WW!$D$15:$W$15</c:f>
              <c:strCache>
                <c:ptCount val="20"/>
                <c:pt idx="0">
                  <c:v>Coleoptile anthocyanin</c:v>
                </c:pt>
                <c:pt idx="1">
                  <c:v>Time of ear emergence</c:v>
                </c:pt>
                <c:pt idx="2">
                  <c:v>Ear: length</c:v>
                </c:pt>
                <c:pt idx="3">
                  <c:v>Ear: density</c:v>
                </c:pt>
                <c:pt idx="4">
                  <c:v>Flag leaf glaucosity of blade</c:v>
                </c:pt>
                <c:pt idx="5">
                  <c:v>Ear glaucosity</c:v>
                </c:pt>
                <c:pt idx="6">
                  <c:v>Plant length</c:v>
                </c:pt>
                <c:pt idx="7">
                  <c:v>Culm glaucosity of neck</c:v>
                </c:pt>
                <c:pt idx="8">
                  <c:v>Flag leaf glaucosity of sheath</c:v>
                </c:pt>
                <c:pt idx="9">
                  <c:v>Colouration with phenol</c:v>
                </c:pt>
                <c:pt idx="10">
                  <c:v>Rachis hairiness</c:v>
                </c:pt>
                <c:pt idx="11">
                  <c:v>Glume shoulder width</c:v>
                </c:pt>
                <c:pt idx="12">
                  <c:v>Plant growth habit</c:v>
                </c:pt>
                <c:pt idx="13">
                  <c:v>Glume internal hairs</c:v>
                </c:pt>
                <c:pt idx="14">
                  <c:v>Glume beak shape</c:v>
                </c:pt>
                <c:pt idx="15">
                  <c:v>Awns or scurs: length</c:v>
                </c:pt>
                <c:pt idx="16">
                  <c:v>Glume beak length</c:v>
                </c:pt>
                <c:pt idx="17">
                  <c:v>Recurved flag leaves</c:v>
                </c:pt>
                <c:pt idx="18">
                  <c:v>Glume shoulder shape</c:v>
                </c:pt>
                <c:pt idx="19">
                  <c:v>Straw:pith in cross section</c:v>
                </c:pt>
              </c:strCache>
            </c:strRef>
          </c:cat>
          <c:val>
            <c:numRef>
              <c:f>WW!$D$18:$W$18</c:f>
              <c:numCache>
                <c:formatCode>0</c:formatCode>
                <c:ptCount val="20"/>
                <c:pt idx="0">
                  <c:v>54.966666666666661</c:v>
                </c:pt>
                <c:pt idx="1">
                  <c:v>51.066666666666663</c:v>
                </c:pt>
                <c:pt idx="2">
                  <c:v>50.233333333333327</c:v>
                </c:pt>
                <c:pt idx="3">
                  <c:v>44.066666666666663</c:v>
                </c:pt>
                <c:pt idx="4">
                  <c:v>48.066666666666663</c:v>
                </c:pt>
                <c:pt idx="5">
                  <c:v>41.866666666666667</c:v>
                </c:pt>
                <c:pt idx="6">
                  <c:v>40.300000000000004</c:v>
                </c:pt>
                <c:pt idx="7">
                  <c:v>33.800000000000004</c:v>
                </c:pt>
                <c:pt idx="8">
                  <c:v>29.033333333333335</c:v>
                </c:pt>
                <c:pt idx="9">
                  <c:v>42.4</c:v>
                </c:pt>
              </c:numCache>
            </c:numRef>
          </c:val>
          <c:smooth val="0"/>
        </c:ser>
        <c:dLbls>
          <c:showLegendKey val="0"/>
          <c:showVal val="0"/>
          <c:showCatName val="0"/>
          <c:showSerName val="0"/>
          <c:showPercent val="0"/>
          <c:showBubbleSize val="0"/>
        </c:dLbls>
        <c:marker val="1"/>
        <c:smooth val="0"/>
        <c:axId val="76901376"/>
        <c:axId val="76907264"/>
      </c:lineChart>
      <c:lineChart>
        <c:grouping val="standard"/>
        <c:varyColors val="0"/>
        <c:ser>
          <c:idx val="3"/>
          <c:order val="3"/>
          <c:tx>
            <c:strRef>
              <c:f>WW!$C$19</c:f>
              <c:strCache>
                <c:ptCount val="1"/>
                <c:pt idx="0">
                  <c:v>1 cycle</c:v>
                </c:pt>
              </c:strCache>
            </c:strRef>
          </c:tx>
          <c:spPr>
            <a:ln>
              <a:solidFill>
                <a:schemeClr val="accent3">
                  <a:lumMod val="75000"/>
                </a:schemeClr>
              </a:solidFill>
            </a:ln>
          </c:spPr>
          <c:marker>
            <c:symbol val="none"/>
          </c:marker>
          <c:cat>
            <c:strRef>
              <c:f>WW!$D$15:$W$15</c:f>
              <c:strCache>
                <c:ptCount val="20"/>
                <c:pt idx="0">
                  <c:v>Coleoptile anthocyanin</c:v>
                </c:pt>
                <c:pt idx="1">
                  <c:v>Time of ear emergence</c:v>
                </c:pt>
                <c:pt idx="2">
                  <c:v>Ear: length</c:v>
                </c:pt>
                <c:pt idx="3">
                  <c:v>Ear: density</c:v>
                </c:pt>
                <c:pt idx="4">
                  <c:v>Flag leaf glaucosity of blade</c:v>
                </c:pt>
                <c:pt idx="5">
                  <c:v>Ear glaucosity</c:v>
                </c:pt>
                <c:pt idx="6">
                  <c:v>Plant length</c:v>
                </c:pt>
                <c:pt idx="7">
                  <c:v>Culm glaucosity of neck</c:v>
                </c:pt>
                <c:pt idx="8">
                  <c:v>Flag leaf glaucosity of sheath</c:v>
                </c:pt>
                <c:pt idx="9">
                  <c:v>Colouration with phenol</c:v>
                </c:pt>
                <c:pt idx="10">
                  <c:v>Rachis hairiness</c:v>
                </c:pt>
                <c:pt idx="11">
                  <c:v>Glume shoulder width</c:v>
                </c:pt>
                <c:pt idx="12">
                  <c:v>Plant growth habit</c:v>
                </c:pt>
                <c:pt idx="13">
                  <c:v>Glume internal hairs</c:v>
                </c:pt>
                <c:pt idx="14">
                  <c:v>Glume beak shape</c:v>
                </c:pt>
                <c:pt idx="15">
                  <c:v>Awns or scurs: length</c:v>
                </c:pt>
                <c:pt idx="16">
                  <c:v>Glume beak length</c:v>
                </c:pt>
                <c:pt idx="17">
                  <c:v>Recurved flag leaves</c:v>
                </c:pt>
                <c:pt idx="18">
                  <c:v>Glume shoulder shape</c:v>
                </c:pt>
                <c:pt idx="19">
                  <c:v>Straw:pith in cross section</c:v>
                </c:pt>
              </c:strCache>
            </c:strRef>
          </c:cat>
          <c:val>
            <c:numRef>
              <c:f>WW!$D$19:$W$19</c:f>
              <c:numCache>
                <c:formatCode>General</c:formatCode>
                <c:ptCount val="20"/>
                <c:pt idx="10" formatCode="0">
                  <c:v>41</c:v>
                </c:pt>
                <c:pt idx="11" formatCode="0">
                  <c:v>40.799999999999997</c:v>
                </c:pt>
                <c:pt idx="12" formatCode="0">
                  <c:v>22.133333333333336</c:v>
                </c:pt>
                <c:pt idx="13" formatCode="0">
                  <c:v>27.75</c:v>
                </c:pt>
                <c:pt idx="14" formatCode="0">
                  <c:v>27.1</c:v>
                </c:pt>
                <c:pt idx="15" formatCode="0">
                  <c:v>17.8</c:v>
                </c:pt>
                <c:pt idx="16" formatCode="0">
                  <c:v>21.5</c:v>
                </c:pt>
                <c:pt idx="17" formatCode="0">
                  <c:v>12.933333333333332</c:v>
                </c:pt>
                <c:pt idx="18" formatCode="0">
                  <c:v>9.65</c:v>
                </c:pt>
                <c:pt idx="19" formatCode="0">
                  <c:v>2.9333333333333336</c:v>
                </c:pt>
              </c:numCache>
            </c:numRef>
          </c:val>
          <c:smooth val="0"/>
        </c:ser>
        <c:ser>
          <c:idx val="4"/>
          <c:order val="4"/>
          <c:tx>
            <c:strRef>
              <c:f>WW!$C$20</c:f>
              <c:strCache>
                <c:ptCount val="1"/>
                <c:pt idx="0">
                  <c:v>2 cycles</c:v>
                </c:pt>
              </c:strCache>
            </c:strRef>
          </c:tx>
          <c:spPr>
            <a:ln>
              <a:solidFill>
                <a:srgbClr val="0070C0"/>
              </a:solidFill>
            </a:ln>
          </c:spPr>
          <c:marker>
            <c:symbol val="none"/>
          </c:marker>
          <c:cat>
            <c:strRef>
              <c:f>WW!$D$15:$W$15</c:f>
              <c:strCache>
                <c:ptCount val="20"/>
                <c:pt idx="0">
                  <c:v>Coleoptile anthocyanin</c:v>
                </c:pt>
                <c:pt idx="1">
                  <c:v>Time of ear emergence</c:v>
                </c:pt>
                <c:pt idx="2">
                  <c:v>Ear: length</c:v>
                </c:pt>
                <c:pt idx="3">
                  <c:v>Ear: density</c:v>
                </c:pt>
                <c:pt idx="4">
                  <c:v>Flag leaf glaucosity of blade</c:v>
                </c:pt>
                <c:pt idx="5">
                  <c:v>Ear glaucosity</c:v>
                </c:pt>
                <c:pt idx="6">
                  <c:v>Plant length</c:v>
                </c:pt>
                <c:pt idx="7">
                  <c:v>Culm glaucosity of neck</c:v>
                </c:pt>
                <c:pt idx="8">
                  <c:v>Flag leaf glaucosity of sheath</c:v>
                </c:pt>
                <c:pt idx="9">
                  <c:v>Colouration with phenol</c:v>
                </c:pt>
                <c:pt idx="10">
                  <c:v>Rachis hairiness</c:v>
                </c:pt>
                <c:pt idx="11">
                  <c:v>Glume shoulder width</c:v>
                </c:pt>
                <c:pt idx="12">
                  <c:v>Plant growth habit</c:v>
                </c:pt>
                <c:pt idx="13">
                  <c:v>Glume internal hairs</c:v>
                </c:pt>
                <c:pt idx="14">
                  <c:v>Glume beak shape</c:v>
                </c:pt>
                <c:pt idx="15">
                  <c:v>Awns or scurs: length</c:v>
                </c:pt>
                <c:pt idx="16">
                  <c:v>Glume beak length</c:v>
                </c:pt>
                <c:pt idx="17">
                  <c:v>Recurved flag leaves</c:v>
                </c:pt>
                <c:pt idx="18">
                  <c:v>Glume shoulder shape</c:v>
                </c:pt>
                <c:pt idx="19">
                  <c:v>Straw:pith in cross section</c:v>
                </c:pt>
              </c:strCache>
            </c:strRef>
          </c:cat>
          <c:val>
            <c:numRef>
              <c:f>WW!$D$20:$W$20</c:f>
              <c:numCache>
                <c:formatCode>General</c:formatCode>
                <c:ptCount val="20"/>
                <c:pt idx="10" formatCode="0">
                  <c:v>31.75</c:v>
                </c:pt>
                <c:pt idx="11" formatCode="0">
                  <c:v>16.700000000000003</c:v>
                </c:pt>
                <c:pt idx="12" formatCode="0">
                  <c:v>15.066666666666668</c:v>
                </c:pt>
                <c:pt idx="13" formatCode="0">
                  <c:v>23.6</c:v>
                </c:pt>
                <c:pt idx="14" formatCode="0">
                  <c:v>38.049999999999997</c:v>
                </c:pt>
                <c:pt idx="15" formatCode="0">
                  <c:v>19.733333333333334</c:v>
                </c:pt>
                <c:pt idx="16" formatCode="0">
                  <c:v>17.600000000000001</c:v>
                </c:pt>
                <c:pt idx="17" formatCode="0">
                  <c:v>4.8666666666666671</c:v>
                </c:pt>
                <c:pt idx="18" formatCode="0">
                  <c:v>2.35</c:v>
                </c:pt>
                <c:pt idx="19" formatCode="0">
                  <c:v>6.0666666666666673</c:v>
                </c:pt>
              </c:numCache>
            </c:numRef>
          </c:val>
          <c:smooth val="0"/>
        </c:ser>
        <c:ser>
          <c:idx val="5"/>
          <c:order val="5"/>
          <c:tx>
            <c:strRef>
              <c:f>WW!$C$21</c:f>
              <c:strCache>
                <c:ptCount val="1"/>
                <c:pt idx="0">
                  <c:v>2 out of 3</c:v>
                </c:pt>
              </c:strCache>
            </c:strRef>
          </c:tx>
          <c:spPr>
            <a:ln>
              <a:solidFill>
                <a:srgbClr val="FF0000"/>
              </a:solidFill>
            </a:ln>
          </c:spPr>
          <c:marker>
            <c:symbol val="none"/>
          </c:marker>
          <c:cat>
            <c:strRef>
              <c:f>WW!$D$15:$W$15</c:f>
              <c:strCache>
                <c:ptCount val="20"/>
                <c:pt idx="0">
                  <c:v>Coleoptile anthocyanin</c:v>
                </c:pt>
                <c:pt idx="1">
                  <c:v>Time of ear emergence</c:v>
                </c:pt>
                <c:pt idx="2">
                  <c:v>Ear: length</c:v>
                </c:pt>
                <c:pt idx="3">
                  <c:v>Ear: density</c:v>
                </c:pt>
                <c:pt idx="4">
                  <c:v>Flag leaf glaucosity of blade</c:v>
                </c:pt>
                <c:pt idx="5">
                  <c:v>Ear glaucosity</c:v>
                </c:pt>
                <c:pt idx="6">
                  <c:v>Plant length</c:v>
                </c:pt>
                <c:pt idx="7">
                  <c:v>Culm glaucosity of neck</c:v>
                </c:pt>
                <c:pt idx="8">
                  <c:v>Flag leaf glaucosity of sheath</c:v>
                </c:pt>
                <c:pt idx="9">
                  <c:v>Colouration with phenol</c:v>
                </c:pt>
                <c:pt idx="10">
                  <c:v>Rachis hairiness</c:v>
                </c:pt>
                <c:pt idx="11">
                  <c:v>Glume shoulder width</c:v>
                </c:pt>
                <c:pt idx="12">
                  <c:v>Plant growth habit</c:v>
                </c:pt>
                <c:pt idx="13">
                  <c:v>Glume internal hairs</c:v>
                </c:pt>
                <c:pt idx="14">
                  <c:v>Glume beak shape</c:v>
                </c:pt>
                <c:pt idx="15">
                  <c:v>Awns or scurs: length</c:v>
                </c:pt>
                <c:pt idx="16">
                  <c:v>Glume beak length</c:v>
                </c:pt>
                <c:pt idx="17">
                  <c:v>Recurved flag leaves</c:v>
                </c:pt>
                <c:pt idx="18">
                  <c:v>Glume shoulder shape</c:v>
                </c:pt>
                <c:pt idx="19">
                  <c:v>Straw:pith in cross section</c:v>
                </c:pt>
              </c:strCache>
            </c:strRef>
          </c:cat>
          <c:val>
            <c:numRef>
              <c:f>WW!$D$21:$W$21</c:f>
              <c:numCache>
                <c:formatCode>General</c:formatCode>
                <c:ptCount val="20"/>
                <c:pt idx="10" formatCode="0">
                  <c:v>30.25</c:v>
                </c:pt>
                <c:pt idx="11" formatCode="0">
                  <c:v>19.149999999999999</c:v>
                </c:pt>
                <c:pt idx="12" formatCode="0">
                  <c:v>16.3</c:v>
                </c:pt>
                <c:pt idx="13" formatCode="0">
                  <c:v>25.95</c:v>
                </c:pt>
                <c:pt idx="14" formatCode="0">
                  <c:v>38.849999999999994</c:v>
                </c:pt>
                <c:pt idx="15" formatCode="0">
                  <c:v>22.099999999999998</c:v>
                </c:pt>
                <c:pt idx="16" formatCode="0">
                  <c:v>18.850000000000001</c:v>
                </c:pt>
                <c:pt idx="17" formatCode="0">
                  <c:v>10.533333333333333</c:v>
                </c:pt>
                <c:pt idx="18" formatCode="0">
                  <c:v>3.3</c:v>
                </c:pt>
                <c:pt idx="19" formatCode="0">
                  <c:v>7.5666666666666673</c:v>
                </c:pt>
              </c:numCache>
            </c:numRef>
          </c:val>
          <c:smooth val="0"/>
        </c:ser>
        <c:dLbls>
          <c:showLegendKey val="0"/>
          <c:showVal val="0"/>
          <c:showCatName val="0"/>
          <c:showSerName val="0"/>
          <c:showPercent val="0"/>
          <c:showBubbleSize val="0"/>
        </c:dLbls>
        <c:marker val="1"/>
        <c:smooth val="0"/>
        <c:axId val="76915456"/>
        <c:axId val="76909184"/>
      </c:lineChart>
      <c:catAx>
        <c:axId val="76901376"/>
        <c:scaling>
          <c:orientation val="minMax"/>
        </c:scaling>
        <c:delete val="0"/>
        <c:axPos val="b"/>
        <c:majorGridlines/>
        <c:majorTickMark val="out"/>
        <c:minorTickMark val="none"/>
        <c:tickLblPos val="nextTo"/>
        <c:txPr>
          <a:bodyPr rot="-5400000" vert="horz"/>
          <a:lstStyle/>
          <a:p>
            <a:pPr>
              <a:defRPr sz="900">
                <a:latin typeface="Arial" panose="020B0604020202020204" pitchFamily="34" charset="0"/>
                <a:cs typeface="Arial" panose="020B0604020202020204" pitchFamily="34" charset="0"/>
              </a:defRPr>
            </a:pPr>
            <a:endParaRPr lang="en-US"/>
          </a:p>
        </c:txPr>
        <c:crossAx val="76907264"/>
        <c:crosses val="autoZero"/>
        <c:auto val="1"/>
        <c:lblAlgn val="ctr"/>
        <c:lblOffset val="100"/>
        <c:noMultiLvlLbl val="0"/>
      </c:catAx>
      <c:valAx>
        <c:axId val="76907264"/>
        <c:scaling>
          <c:orientation val="minMax"/>
          <c:max val="70"/>
          <c:min val="25"/>
        </c:scaling>
        <c:delete val="0"/>
        <c:axPos val="l"/>
        <c:majorGridlines/>
        <c:title>
          <c:tx>
            <c:rich>
              <a:bodyPr rot="-5400000" vert="horz"/>
              <a:lstStyle/>
              <a:p>
                <a:pPr>
                  <a:defRPr sz="900" b="0"/>
                </a:pPr>
                <a:r>
                  <a:rPr lang="en-US" sz="900" b="0">
                    <a:latin typeface="Arial" panose="020B0604020202020204" pitchFamily="34" charset="0"/>
                    <a:cs typeface="Arial" panose="020B0604020202020204" pitchFamily="34" charset="0"/>
                  </a:rPr>
                  <a:t>Discrimination power (%)</a:t>
                </a:r>
              </a:p>
            </c:rich>
          </c:tx>
          <c:layout/>
          <c:overlay val="0"/>
        </c:title>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76901376"/>
        <c:crosses val="autoZero"/>
        <c:crossBetween val="between"/>
      </c:valAx>
      <c:valAx>
        <c:axId val="76909184"/>
        <c:scaling>
          <c:orientation val="minMax"/>
        </c:scaling>
        <c:delete val="0"/>
        <c:axPos val="r"/>
        <c:title>
          <c:tx>
            <c:rich>
              <a:bodyPr rot="-5400000" vert="horz"/>
              <a:lstStyle/>
              <a:p>
                <a:pPr>
                  <a:defRPr sz="900" b="0">
                    <a:latin typeface="Arial" panose="020B0604020202020204" pitchFamily="34" charset="0"/>
                    <a:cs typeface="Arial" panose="020B0604020202020204" pitchFamily="34" charset="0"/>
                  </a:defRPr>
                </a:pPr>
                <a:r>
                  <a:rPr lang="en-US" sz="900" b="0">
                    <a:latin typeface="Arial" panose="020B0604020202020204" pitchFamily="34" charset="0"/>
                    <a:cs typeface="Arial" panose="020B0604020202020204" pitchFamily="34" charset="0"/>
                  </a:rPr>
                  <a:t>Discrimination power (%)</a:t>
                </a:r>
              </a:p>
            </c:rich>
          </c:tx>
          <c:layout/>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76915456"/>
        <c:crosses val="max"/>
        <c:crossBetween val="between"/>
      </c:valAx>
      <c:catAx>
        <c:axId val="76915456"/>
        <c:scaling>
          <c:orientation val="minMax"/>
        </c:scaling>
        <c:delete val="1"/>
        <c:axPos val="b"/>
        <c:majorTickMark val="out"/>
        <c:minorTickMark val="none"/>
        <c:tickLblPos val="nextTo"/>
        <c:crossAx val="76909184"/>
        <c:crosses val="autoZero"/>
        <c:auto val="1"/>
        <c:lblAlgn val="ctr"/>
        <c:lblOffset val="100"/>
        <c:noMultiLvlLbl val="0"/>
      </c:catAx>
    </c:plotArea>
    <c:legend>
      <c:legendPos val="r"/>
      <c:layout>
        <c:manualLayout>
          <c:xMode val="edge"/>
          <c:yMode val="edge"/>
          <c:x val="0.72915586046793657"/>
          <c:y val="6.1136299822987239E-2"/>
          <c:w val="0.17884167944353491"/>
          <c:h val="9.2520518623156786E-2"/>
        </c:manualLayout>
      </c:layout>
      <c:overlay val="0"/>
      <c:spPr>
        <a:solidFill>
          <a:schemeClr val="bg1"/>
        </a:solidFill>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24049170601662E-2"/>
          <c:y val="2.4575518014283239E-2"/>
          <c:w val="0.82021998768782856"/>
          <c:h val="0.57780870342293367"/>
        </c:manualLayout>
      </c:layout>
      <c:lineChart>
        <c:grouping val="standard"/>
        <c:varyColors val="0"/>
        <c:ser>
          <c:idx val="1"/>
          <c:order val="0"/>
          <c:tx>
            <c:strRef>
              <c:f>[2]Zusammenfassung!$H$2</c:f>
              <c:strCache>
                <c:ptCount val="1"/>
                <c:pt idx="0">
                  <c:v>Annual</c:v>
                </c:pt>
              </c:strCache>
            </c:strRef>
          </c:tx>
          <c:spPr>
            <a:ln>
              <a:solidFill>
                <a:srgbClr val="00B050"/>
              </a:solidFill>
            </a:ln>
          </c:spPr>
          <c:marker>
            <c:symbol val="none"/>
          </c:marker>
          <c:cat>
            <c:strRef>
              <c:f>[2]Zusammenfassung!$F$3:$F$21</c:f>
              <c:strCache>
                <c:ptCount val="19"/>
                <c:pt idx="0">
                  <c:v>Plant growth habit</c:v>
                </c:pt>
                <c:pt idx="1">
                  <c:v>Anthocyanin of auricles</c:v>
                </c:pt>
                <c:pt idx="2">
                  <c:v>Flag leaf attitude</c:v>
                </c:pt>
                <c:pt idx="3">
                  <c:v>Flag leaf glaucosity of sheath</c:v>
                </c:pt>
                <c:pt idx="4">
                  <c:v>Time of ear emergence</c:v>
                </c:pt>
                <c:pt idx="5">
                  <c:v>Awn tip anthocyanin</c:v>
                </c:pt>
                <c:pt idx="6">
                  <c:v>Ear glaucosity</c:v>
                </c:pt>
                <c:pt idx="7">
                  <c:v>Ear attitude</c:v>
                </c:pt>
                <c:pt idx="8">
                  <c:v>Plan length</c:v>
                </c:pt>
                <c:pt idx="9">
                  <c:v>Ear density</c:v>
                </c:pt>
                <c:pt idx="10">
                  <c:v>Ear length</c:v>
                </c:pt>
                <c:pt idx="11">
                  <c:v>Awn length (compared to ear)</c:v>
                </c:pt>
                <c:pt idx="12">
                  <c:v>Rachis segment length</c:v>
                </c:pt>
                <c:pt idx="13">
                  <c:v>Rachis curvature</c:v>
                </c:pt>
                <c:pt idx="14">
                  <c:v>Sterile spikelet attitude</c:v>
                </c:pt>
                <c:pt idx="15">
                  <c:v>Anthocyanin of lemma nerves</c:v>
                </c:pt>
                <c:pt idx="16">
                  <c:v>Spiculation lemma nerves</c:v>
                </c:pt>
                <c:pt idx="17">
                  <c:v>Colour of aleurone layer</c:v>
                </c:pt>
                <c:pt idx="18">
                  <c:v>Ear shape</c:v>
                </c:pt>
              </c:strCache>
            </c:strRef>
          </c:cat>
          <c:val>
            <c:numRef>
              <c:f>[2]Zusammenfassung!$H$3:$H$21</c:f>
              <c:numCache>
                <c:formatCode>0.0</c:formatCode>
                <c:ptCount val="19"/>
                <c:pt idx="0">
                  <c:v>0.26477541371158386</c:v>
                </c:pt>
                <c:pt idx="1">
                  <c:v>0.15780141843971629</c:v>
                </c:pt>
                <c:pt idx="2">
                  <c:v>0.51477541371158397</c:v>
                </c:pt>
                <c:pt idx="3">
                  <c:v>0.24586288416075641</c:v>
                </c:pt>
                <c:pt idx="4">
                  <c:v>0.27955082742316784</c:v>
                </c:pt>
                <c:pt idx="5">
                  <c:v>0.14834515366430262</c:v>
                </c:pt>
                <c:pt idx="6">
                  <c:v>0.4072104018912529</c:v>
                </c:pt>
                <c:pt idx="7">
                  <c:v>0.50650118203309669</c:v>
                </c:pt>
                <c:pt idx="8">
                  <c:v>0.32742316784869968</c:v>
                </c:pt>
                <c:pt idx="9">
                  <c:v>0.27245862884160749</c:v>
                </c:pt>
                <c:pt idx="10">
                  <c:v>0.25591016548463358</c:v>
                </c:pt>
                <c:pt idx="11">
                  <c:v>0.19444444444444453</c:v>
                </c:pt>
                <c:pt idx="12">
                  <c:v>0.61170212765957444</c:v>
                </c:pt>
                <c:pt idx="13">
                  <c:v>0.38652482269503546</c:v>
                </c:pt>
                <c:pt idx="14">
                  <c:v>6.0846560846560843E-2</c:v>
                </c:pt>
                <c:pt idx="15">
                  <c:v>0.35224586288416077</c:v>
                </c:pt>
                <c:pt idx="16">
                  <c:v>0.18617021276595749</c:v>
                </c:pt>
                <c:pt idx="17">
                  <c:v>4.8463356973995272E-2</c:v>
                </c:pt>
                <c:pt idx="18">
                  <c:v>0.1471631205673759</c:v>
                </c:pt>
              </c:numCache>
            </c:numRef>
          </c:val>
          <c:smooth val="0"/>
        </c:ser>
        <c:ser>
          <c:idx val="3"/>
          <c:order val="1"/>
          <c:tx>
            <c:strRef>
              <c:f>[2]Zusammenfassung!$J$2</c:f>
              <c:strCache>
                <c:ptCount val="1"/>
                <c:pt idx="0">
                  <c:v>Mean - 2 years</c:v>
                </c:pt>
              </c:strCache>
            </c:strRef>
          </c:tx>
          <c:spPr>
            <a:ln>
              <a:solidFill>
                <a:schemeClr val="tx1"/>
              </a:solidFill>
            </a:ln>
          </c:spPr>
          <c:marker>
            <c:symbol val="none"/>
          </c:marker>
          <c:cat>
            <c:strRef>
              <c:f>[2]Zusammenfassung!$F$3:$F$21</c:f>
              <c:strCache>
                <c:ptCount val="19"/>
                <c:pt idx="0">
                  <c:v>Plant growth habit</c:v>
                </c:pt>
                <c:pt idx="1">
                  <c:v>Anthocyanin of auricles</c:v>
                </c:pt>
                <c:pt idx="2">
                  <c:v>Flag leaf attitude</c:v>
                </c:pt>
                <c:pt idx="3">
                  <c:v>Flag leaf glaucosity of sheath</c:v>
                </c:pt>
                <c:pt idx="4">
                  <c:v>Time of ear emergence</c:v>
                </c:pt>
                <c:pt idx="5">
                  <c:v>Awn tip anthocyanin</c:v>
                </c:pt>
                <c:pt idx="6">
                  <c:v>Ear glaucosity</c:v>
                </c:pt>
                <c:pt idx="7">
                  <c:v>Ear attitude</c:v>
                </c:pt>
                <c:pt idx="8">
                  <c:v>Plan length</c:v>
                </c:pt>
                <c:pt idx="9">
                  <c:v>Ear density</c:v>
                </c:pt>
                <c:pt idx="10">
                  <c:v>Ear length</c:v>
                </c:pt>
                <c:pt idx="11">
                  <c:v>Awn length (compared to ear)</c:v>
                </c:pt>
                <c:pt idx="12">
                  <c:v>Rachis segment length</c:v>
                </c:pt>
                <c:pt idx="13">
                  <c:v>Rachis curvature</c:v>
                </c:pt>
                <c:pt idx="14">
                  <c:v>Sterile spikelet attitude</c:v>
                </c:pt>
                <c:pt idx="15">
                  <c:v>Anthocyanin of lemma nerves</c:v>
                </c:pt>
                <c:pt idx="16">
                  <c:v>Spiculation lemma nerves</c:v>
                </c:pt>
                <c:pt idx="17">
                  <c:v>Colour of aleurone layer</c:v>
                </c:pt>
                <c:pt idx="18">
                  <c:v>Ear shape</c:v>
                </c:pt>
              </c:strCache>
            </c:strRef>
          </c:cat>
          <c:val>
            <c:numRef>
              <c:f>[2]Zusammenfassung!$J$3:$J$21</c:f>
              <c:numCache>
                <c:formatCode>0.0</c:formatCode>
                <c:ptCount val="19"/>
                <c:pt idx="0">
                  <c:v>0.10595744680851062</c:v>
                </c:pt>
                <c:pt idx="1">
                  <c:v>5.3191489361702149E-2</c:v>
                </c:pt>
                <c:pt idx="2">
                  <c:v>0.20723404255319144</c:v>
                </c:pt>
                <c:pt idx="3">
                  <c:v>0.10893617021276598</c:v>
                </c:pt>
                <c:pt idx="4">
                  <c:v>0.12851063829787235</c:v>
                </c:pt>
                <c:pt idx="5">
                  <c:v>5.4893617021276618E-2</c:v>
                </c:pt>
                <c:pt idx="6">
                  <c:v>0.20425531914893619</c:v>
                </c:pt>
                <c:pt idx="7">
                  <c:v>0.18255319148936167</c:v>
                </c:pt>
                <c:pt idx="8">
                  <c:v>9.5319148936170203E-2</c:v>
                </c:pt>
                <c:pt idx="9">
                  <c:v>0.10553191489361698</c:v>
                </c:pt>
                <c:pt idx="10">
                  <c:v>0.10510638297872335</c:v>
                </c:pt>
                <c:pt idx="11">
                  <c:v>7.1063829787234065E-2</c:v>
                </c:pt>
                <c:pt idx="12">
                  <c:v>0.32553191489361705</c:v>
                </c:pt>
                <c:pt idx="13">
                  <c:v>0.15744680851063822</c:v>
                </c:pt>
                <c:pt idx="14">
                  <c:v>2.2857142857142861E-2</c:v>
                </c:pt>
                <c:pt idx="15">
                  <c:v>0.16468085106382979</c:v>
                </c:pt>
                <c:pt idx="16">
                  <c:v>0.16340425531914901</c:v>
                </c:pt>
                <c:pt idx="17">
                  <c:v>1.9148936170212769E-2</c:v>
                </c:pt>
                <c:pt idx="18">
                  <c:v>9.1914893617021307E-2</c:v>
                </c:pt>
              </c:numCache>
            </c:numRef>
          </c:val>
          <c:smooth val="0"/>
        </c:ser>
        <c:ser>
          <c:idx val="5"/>
          <c:order val="2"/>
          <c:tx>
            <c:strRef>
              <c:f>[2]Zusammenfassung!$L$2</c:f>
              <c:strCache>
                <c:ptCount val="1"/>
                <c:pt idx="0">
                  <c:v>Mean - 3 years</c:v>
                </c:pt>
              </c:strCache>
            </c:strRef>
          </c:tx>
          <c:spPr>
            <a:ln>
              <a:solidFill>
                <a:schemeClr val="accent6"/>
              </a:solidFill>
            </a:ln>
          </c:spPr>
          <c:marker>
            <c:symbol val="none"/>
          </c:marker>
          <c:cat>
            <c:strRef>
              <c:f>[2]Zusammenfassung!$F$3:$F$21</c:f>
              <c:strCache>
                <c:ptCount val="19"/>
                <c:pt idx="0">
                  <c:v>Plant growth habit</c:v>
                </c:pt>
                <c:pt idx="1">
                  <c:v>Anthocyanin of auricles</c:v>
                </c:pt>
                <c:pt idx="2">
                  <c:v>Flag leaf attitude</c:v>
                </c:pt>
                <c:pt idx="3">
                  <c:v>Flag leaf glaucosity of sheath</c:v>
                </c:pt>
                <c:pt idx="4">
                  <c:v>Time of ear emergence</c:v>
                </c:pt>
                <c:pt idx="5">
                  <c:v>Awn tip anthocyanin</c:v>
                </c:pt>
                <c:pt idx="6">
                  <c:v>Ear glaucosity</c:v>
                </c:pt>
                <c:pt idx="7">
                  <c:v>Ear attitude</c:v>
                </c:pt>
                <c:pt idx="8">
                  <c:v>Plan length</c:v>
                </c:pt>
                <c:pt idx="9">
                  <c:v>Ear density</c:v>
                </c:pt>
                <c:pt idx="10">
                  <c:v>Ear length</c:v>
                </c:pt>
                <c:pt idx="11">
                  <c:v>Awn length (compared to ear)</c:v>
                </c:pt>
                <c:pt idx="12">
                  <c:v>Rachis segment length</c:v>
                </c:pt>
                <c:pt idx="13">
                  <c:v>Rachis curvature</c:v>
                </c:pt>
                <c:pt idx="14">
                  <c:v>Sterile spikelet attitude</c:v>
                </c:pt>
                <c:pt idx="15">
                  <c:v>Anthocyanin of lemma nerves</c:v>
                </c:pt>
                <c:pt idx="16">
                  <c:v>Spiculation lemma nerves</c:v>
                </c:pt>
                <c:pt idx="17">
                  <c:v>Colour of aleurone layer</c:v>
                </c:pt>
                <c:pt idx="18">
                  <c:v>Ear shape</c:v>
                </c:pt>
              </c:strCache>
            </c:strRef>
          </c:cat>
          <c:val>
            <c:numRef>
              <c:f>[2]Zusammenfassung!$L$3:$L$21</c:f>
              <c:numCache>
                <c:formatCode>0.0</c:formatCode>
                <c:ptCount val="19"/>
                <c:pt idx="0">
                  <c:v>5.238770685579363E-2</c:v>
                </c:pt>
                <c:pt idx="1">
                  <c:v>2.8747044917257485E-2</c:v>
                </c:pt>
                <c:pt idx="2">
                  <c:v>0.10666666666666715</c:v>
                </c:pt>
                <c:pt idx="3">
                  <c:v>5.4468085106384914E-2</c:v>
                </c:pt>
                <c:pt idx="4">
                  <c:v>5.957446808510785E-2</c:v>
                </c:pt>
                <c:pt idx="5">
                  <c:v>2.156028368794426E-2</c:v>
                </c:pt>
                <c:pt idx="6">
                  <c:v>9.1914893617022556E-2</c:v>
                </c:pt>
                <c:pt idx="7">
                  <c:v>8.2647754137117252E-2</c:v>
                </c:pt>
                <c:pt idx="8">
                  <c:v>4.8983451536643519E-2</c:v>
                </c:pt>
                <c:pt idx="9">
                  <c:v>4.5011820330969579E-2</c:v>
                </c:pt>
                <c:pt idx="10">
                  <c:v>5.030732860520145E-2</c:v>
                </c:pt>
                <c:pt idx="11">
                  <c:v>3.101654846335699E-2</c:v>
                </c:pt>
                <c:pt idx="12">
                  <c:v>0.16945626477541434</c:v>
                </c:pt>
                <c:pt idx="13">
                  <c:v>6.5248226950354968E-2</c:v>
                </c:pt>
                <c:pt idx="14">
                  <c:v>1.1428571428571375E-2</c:v>
                </c:pt>
                <c:pt idx="15">
                  <c:v>8.1891252955082136E-2</c:v>
                </c:pt>
                <c:pt idx="16">
                  <c:v>0.14297872340425538</c:v>
                </c:pt>
                <c:pt idx="17">
                  <c:v>1.0591016548463544E-2</c:v>
                </c:pt>
                <c:pt idx="18">
                  <c:v>6.4680851063829786E-2</c:v>
                </c:pt>
              </c:numCache>
            </c:numRef>
          </c:val>
          <c:smooth val="0"/>
        </c:ser>
        <c:dLbls>
          <c:showLegendKey val="0"/>
          <c:showVal val="0"/>
          <c:showCatName val="0"/>
          <c:showSerName val="0"/>
          <c:showPercent val="0"/>
          <c:showBubbleSize val="0"/>
        </c:dLbls>
        <c:marker val="1"/>
        <c:smooth val="0"/>
        <c:axId val="84311424"/>
        <c:axId val="84399232"/>
      </c:lineChart>
      <c:lineChart>
        <c:grouping val="standard"/>
        <c:varyColors val="0"/>
        <c:ser>
          <c:idx val="6"/>
          <c:order val="3"/>
          <c:tx>
            <c:strRef>
              <c:f>[2]Zusammenfassung!$M$2</c:f>
              <c:strCache>
                <c:ptCount val="1"/>
                <c:pt idx="0">
                  <c:v>% D (2 out of 3)</c:v>
                </c:pt>
              </c:strCache>
            </c:strRef>
          </c:tx>
          <c:spPr>
            <a:ln>
              <a:solidFill>
                <a:srgbClr val="FF0000"/>
              </a:solidFill>
              <a:prstDash val="sysDash"/>
            </a:ln>
          </c:spPr>
          <c:marker>
            <c:symbol val="none"/>
          </c:marker>
          <c:cat>
            <c:strRef>
              <c:f>[2]Zusammenfassung!$F$3:$F$21</c:f>
              <c:strCache>
                <c:ptCount val="19"/>
                <c:pt idx="0">
                  <c:v>Plant growth habit</c:v>
                </c:pt>
                <c:pt idx="1">
                  <c:v>Anthocyanin of auricles</c:v>
                </c:pt>
                <c:pt idx="2">
                  <c:v>Flag leaf attitude</c:v>
                </c:pt>
                <c:pt idx="3">
                  <c:v>Flag leaf glaucosity of sheath</c:v>
                </c:pt>
                <c:pt idx="4">
                  <c:v>Time of ear emergence</c:v>
                </c:pt>
                <c:pt idx="5">
                  <c:v>Awn tip anthocyanin</c:v>
                </c:pt>
                <c:pt idx="6">
                  <c:v>Ear glaucosity</c:v>
                </c:pt>
                <c:pt idx="7">
                  <c:v>Ear attitude</c:v>
                </c:pt>
                <c:pt idx="8">
                  <c:v>Plan length</c:v>
                </c:pt>
                <c:pt idx="9">
                  <c:v>Ear density</c:v>
                </c:pt>
                <c:pt idx="10">
                  <c:v>Ear length</c:v>
                </c:pt>
                <c:pt idx="11">
                  <c:v>Awn length (compared to ear)</c:v>
                </c:pt>
                <c:pt idx="12">
                  <c:v>Rachis segment length</c:v>
                </c:pt>
                <c:pt idx="13">
                  <c:v>Rachis curvature</c:v>
                </c:pt>
                <c:pt idx="14">
                  <c:v>Sterile spikelet attitude</c:v>
                </c:pt>
                <c:pt idx="15">
                  <c:v>Anthocyanin of lemma nerves</c:v>
                </c:pt>
                <c:pt idx="16">
                  <c:v>Spiculation lemma nerves</c:v>
                </c:pt>
                <c:pt idx="17">
                  <c:v>Colour of aleurone layer</c:v>
                </c:pt>
                <c:pt idx="18">
                  <c:v>Ear shape</c:v>
                </c:pt>
              </c:strCache>
            </c:strRef>
          </c:cat>
          <c:val>
            <c:numRef>
              <c:f>[2]Zusammenfassung!$M$3:$M$21</c:f>
              <c:numCache>
                <c:formatCode>0</c:formatCode>
                <c:ptCount val="19"/>
                <c:pt idx="0">
                  <c:v>10.933333333333332</c:v>
                </c:pt>
                <c:pt idx="1">
                  <c:v>45.433333333333337</c:v>
                </c:pt>
                <c:pt idx="2">
                  <c:v>8.7999999999999989</c:v>
                </c:pt>
                <c:pt idx="3">
                  <c:v>23.7</c:v>
                </c:pt>
                <c:pt idx="4">
                  <c:v>44.1</c:v>
                </c:pt>
                <c:pt idx="5">
                  <c:v>47.1</c:v>
                </c:pt>
                <c:pt idx="6">
                  <c:v>30.5</c:v>
                </c:pt>
                <c:pt idx="7">
                  <c:v>28.433333333333334</c:v>
                </c:pt>
                <c:pt idx="8">
                  <c:v>60.933333333333337</c:v>
                </c:pt>
                <c:pt idx="9">
                  <c:v>48.666666666666664</c:v>
                </c:pt>
                <c:pt idx="10">
                  <c:v>62</c:v>
                </c:pt>
                <c:pt idx="11">
                  <c:v>47.833333333333336</c:v>
                </c:pt>
                <c:pt idx="12">
                  <c:v>47.066666666666663</c:v>
                </c:pt>
                <c:pt idx="13">
                  <c:v>10.733333333333334</c:v>
                </c:pt>
                <c:pt idx="14">
                  <c:v>23.766666666666666</c:v>
                </c:pt>
                <c:pt idx="15">
                  <c:v>26.400000000000002</c:v>
                </c:pt>
                <c:pt idx="16">
                  <c:v>29.366666666666664</c:v>
                </c:pt>
                <c:pt idx="17">
                  <c:v>15.4</c:v>
                </c:pt>
                <c:pt idx="18">
                  <c:v>1.5666666666666667</c:v>
                </c:pt>
              </c:numCache>
            </c:numRef>
          </c:val>
          <c:smooth val="0"/>
        </c:ser>
        <c:dLbls>
          <c:showLegendKey val="0"/>
          <c:showVal val="0"/>
          <c:showCatName val="0"/>
          <c:showSerName val="0"/>
          <c:showPercent val="0"/>
          <c:showBubbleSize val="0"/>
        </c:dLbls>
        <c:marker val="1"/>
        <c:smooth val="0"/>
        <c:axId val="86602880"/>
        <c:axId val="84401152"/>
      </c:lineChart>
      <c:catAx>
        <c:axId val="84311424"/>
        <c:scaling>
          <c:orientation val="minMax"/>
        </c:scaling>
        <c:delete val="0"/>
        <c:axPos val="b"/>
        <c:majorGridlines/>
        <c:majorTickMark val="out"/>
        <c:minorTickMark val="none"/>
        <c:tickLblPos val="nextTo"/>
        <c:txPr>
          <a:bodyPr rot="-5400000" vert="horz"/>
          <a:lstStyle/>
          <a:p>
            <a:pPr>
              <a:defRPr sz="900">
                <a:latin typeface="Arial" panose="020B0604020202020204" pitchFamily="34" charset="0"/>
                <a:cs typeface="Arial" panose="020B0604020202020204" pitchFamily="34" charset="0"/>
              </a:defRPr>
            </a:pPr>
            <a:endParaRPr lang="en-US"/>
          </a:p>
        </c:txPr>
        <c:crossAx val="84399232"/>
        <c:crosses val="autoZero"/>
        <c:auto val="1"/>
        <c:lblAlgn val="ctr"/>
        <c:lblOffset val="100"/>
        <c:noMultiLvlLbl val="0"/>
      </c:catAx>
      <c:valAx>
        <c:axId val="84399232"/>
        <c:scaling>
          <c:orientation val="minMax"/>
          <c:max val="1.4"/>
          <c:min val="0"/>
        </c:scaling>
        <c:delete val="0"/>
        <c:axPos val="l"/>
        <c:majorGridlines/>
        <c:title>
          <c:tx>
            <c:rich>
              <a:bodyPr rot="-5400000" vert="horz"/>
              <a:lstStyle/>
              <a:p>
                <a:pPr algn="ctr" rtl="0">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rPr>
                  <a:t>Variance</a:t>
                </a:r>
              </a:p>
            </c:rich>
          </c:tx>
          <c:layout>
            <c:manualLayout>
              <c:xMode val="edge"/>
              <c:yMode val="edge"/>
              <c:x val="6.5436283872222934E-3"/>
              <c:y val="0.23792792488791717"/>
            </c:manualLayout>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84311424"/>
        <c:crosses val="autoZero"/>
        <c:crossBetween val="between"/>
      </c:valAx>
      <c:valAx>
        <c:axId val="84401152"/>
        <c:scaling>
          <c:orientation val="minMax"/>
          <c:max val="65"/>
          <c:min val="-25"/>
        </c:scaling>
        <c:delete val="0"/>
        <c:axPos val="r"/>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solidFill>
                    <a:effectLst/>
                    <a:latin typeface="Arial" panose="020B0604020202020204" pitchFamily="34" charset="0"/>
                    <a:ea typeface="+mn-ea"/>
                    <a:cs typeface="Arial" panose="020B0604020202020204" pitchFamily="34" charset="0"/>
                  </a:defRPr>
                </a:pPr>
                <a:r>
                  <a:rPr lang="en-US" sz="900" b="0" i="0" u="none" strike="noStrike" kern="1200" baseline="0">
                    <a:solidFill>
                      <a:sysClr val="windowText" lastClr="000000"/>
                    </a:solidFill>
                    <a:effectLst/>
                    <a:latin typeface="Arial" panose="020B0604020202020204" pitchFamily="34" charset="0"/>
                    <a:ea typeface="+mn-ea"/>
                    <a:cs typeface="Arial" panose="020B0604020202020204" pitchFamily="34" charset="0"/>
                  </a:rPr>
                  <a:t>Discrimination power (%)</a:t>
                </a:r>
              </a:p>
            </c:rich>
          </c:tx>
          <c:layout>
            <c:manualLayout>
              <c:xMode val="edge"/>
              <c:yMode val="edge"/>
              <c:x val="0.95969996934031299"/>
              <c:y val="0.16873851681795279"/>
            </c:manualLayout>
          </c:layout>
          <c:overlay val="0"/>
        </c:title>
        <c:numFmt formatCode="0" sourceLinked="1"/>
        <c:majorTickMark val="out"/>
        <c:minorTickMark val="none"/>
        <c:tickLblPos val="nextTo"/>
        <c:spPr>
          <a:ln>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crossAx val="86602880"/>
        <c:crosses val="max"/>
        <c:crossBetween val="between"/>
      </c:valAx>
      <c:catAx>
        <c:axId val="86602880"/>
        <c:scaling>
          <c:orientation val="minMax"/>
        </c:scaling>
        <c:delete val="1"/>
        <c:axPos val="b"/>
        <c:majorTickMark val="out"/>
        <c:minorTickMark val="none"/>
        <c:tickLblPos val="nextTo"/>
        <c:crossAx val="84401152"/>
        <c:crossesAt val="-15"/>
        <c:auto val="1"/>
        <c:lblAlgn val="ctr"/>
        <c:lblOffset val="100"/>
        <c:noMultiLvlLbl val="0"/>
      </c:catAx>
    </c:plotArea>
    <c:legend>
      <c:legendPos val="r"/>
      <c:layout>
        <c:manualLayout>
          <c:xMode val="edge"/>
          <c:yMode val="edge"/>
          <c:x val="0.66025627329332803"/>
          <c:y val="1.9267194083375901E-2"/>
          <c:w val="0.24306409264263051"/>
          <c:h val="0.15297472811637697"/>
        </c:manualLayout>
      </c:layout>
      <c:overlay val="1"/>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Zusammenfassung!$F$3</c:f>
              <c:strCache>
                <c:ptCount val="1"/>
                <c:pt idx="0">
                  <c:v>Annual</c:v>
                </c:pt>
              </c:strCache>
            </c:strRef>
          </c:tx>
          <c:spPr>
            <a:ln>
              <a:solidFill>
                <a:srgbClr val="00B050"/>
              </a:solidFill>
            </a:ln>
          </c:spPr>
          <c:marker>
            <c:symbol val="none"/>
          </c:marker>
          <c:cat>
            <c:strRef>
              <c:f>Zusammenfassung!$D$4:$D$24</c:f>
              <c:strCache>
                <c:ptCount val="21"/>
                <c:pt idx="0">
                  <c:v>Coleoptile anthocyanin</c:v>
                </c:pt>
                <c:pt idx="1">
                  <c:v>Plant growth habit</c:v>
                </c:pt>
                <c:pt idx="2">
                  <c:v>Recurved flag leaves</c:v>
                </c:pt>
                <c:pt idx="3">
                  <c:v>Time of ear emergence</c:v>
                </c:pt>
                <c:pt idx="4">
                  <c:v>Flag leaf glaucosity of sheath</c:v>
                </c:pt>
                <c:pt idx="5">
                  <c:v>Flag leaf glaucosity of blade</c:v>
                </c:pt>
                <c:pt idx="6">
                  <c:v>Ear glaucosity</c:v>
                </c:pt>
                <c:pt idx="7">
                  <c:v>Culm glaucosity of neck</c:v>
                </c:pt>
                <c:pt idx="8">
                  <c:v>Plant length</c:v>
                </c:pt>
                <c:pt idx="9">
                  <c:v>Straw: pith in cross section</c:v>
                </c:pt>
                <c:pt idx="10">
                  <c:v>Ear: density</c:v>
                </c:pt>
                <c:pt idx="11">
                  <c:v>Ear: length</c:v>
                </c:pt>
                <c:pt idx="12">
                  <c:v>Awns or scurs: length</c:v>
                </c:pt>
                <c:pt idx="13">
                  <c:v>Rachis hairiness</c:v>
                </c:pt>
                <c:pt idx="14">
                  <c:v>Glume shoulder width</c:v>
                </c:pt>
                <c:pt idx="15">
                  <c:v>Glume shoulder shape</c:v>
                </c:pt>
                <c:pt idx="16">
                  <c:v>Glume beak length</c:v>
                </c:pt>
                <c:pt idx="17">
                  <c:v>Glume beak shape</c:v>
                </c:pt>
                <c:pt idx="18">
                  <c:v>Glume internal hairs</c:v>
                </c:pt>
                <c:pt idx="19">
                  <c:v>Colouration with phenol</c:v>
                </c:pt>
                <c:pt idx="20">
                  <c:v>Ear: shape in profile</c:v>
                </c:pt>
              </c:strCache>
            </c:strRef>
          </c:cat>
          <c:val>
            <c:numRef>
              <c:f>Zusammenfassung!$F$4:$F$24</c:f>
              <c:numCache>
                <c:formatCode>0.0</c:formatCode>
                <c:ptCount val="21"/>
                <c:pt idx="0">
                  <c:v>0.20670995670995665</c:v>
                </c:pt>
                <c:pt idx="1">
                  <c:v>0.13780663780663779</c:v>
                </c:pt>
                <c:pt idx="2">
                  <c:v>1.7745310245310248</c:v>
                </c:pt>
                <c:pt idx="3">
                  <c:v>0.25829725829725819</c:v>
                </c:pt>
                <c:pt idx="4">
                  <c:v>0.20526695526695524</c:v>
                </c:pt>
                <c:pt idx="5">
                  <c:v>0.29040404040404033</c:v>
                </c:pt>
                <c:pt idx="6">
                  <c:v>0.34126984126984122</c:v>
                </c:pt>
                <c:pt idx="7">
                  <c:v>0.41450216450216448</c:v>
                </c:pt>
                <c:pt idx="8">
                  <c:v>0.1764069264069264</c:v>
                </c:pt>
                <c:pt idx="9">
                  <c:v>0.83621933621933531</c:v>
                </c:pt>
                <c:pt idx="10">
                  <c:v>0.33874458874458863</c:v>
                </c:pt>
                <c:pt idx="11">
                  <c:v>0.2723665223665222</c:v>
                </c:pt>
                <c:pt idx="12">
                  <c:v>0.22682539682539699</c:v>
                </c:pt>
                <c:pt idx="13">
                  <c:v>0.25072150072150062</c:v>
                </c:pt>
                <c:pt idx="14">
                  <c:v>0.25180375180375181</c:v>
                </c:pt>
                <c:pt idx="15">
                  <c:v>0.395021645021645</c:v>
                </c:pt>
                <c:pt idx="16">
                  <c:v>0.24386724386724384</c:v>
                </c:pt>
                <c:pt idx="17">
                  <c:v>0.51082251082251073</c:v>
                </c:pt>
                <c:pt idx="18">
                  <c:v>0.2056277056277056</c:v>
                </c:pt>
                <c:pt idx="19">
                  <c:v>0.1251803751803752</c:v>
                </c:pt>
                <c:pt idx="20">
                  <c:v>6.2770562770562796E-2</c:v>
                </c:pt>
              </c:numCache>
            </c:numRef>
          </c:val>
          <c:smooth val="0"/>
        </c:ser>
        <c:ser>
          <c:idx val="3"/>
          <c:order val="1"/>
          <c:tx>
            <c:strRef>
              <c:f>Zusammenfassung!$H$3</c:f>
              <c:strCache>
                <c:ptCount val="1"/>
                <c:pt idx="0">
                  <c:v>Mean - 2 years</c:v>
                </c:pt>
              </c:strCache>
            </c:strRef>
          </c:tx>
          <c:spPr>
            <a:ln>
              <a:solidFill>
                <a:schemeClr val="tx1"/>
              </a:solidFill>
            </a:ln>
          </c:spPr>
          <c:marker>
            <c:symbol val="none"/>
          </c:marker>
          <c:cat>
            <c:strRef>
              <c:f>Zusammenfassung!$D$4:$D$24</c:f>
              <c:strCache>
                <c:ptCount val="21"/>
                <c:pt idx="0">
                  <c:v>Coleoptile anthocyanin</c:v>
                </c:pt>
                <c:pt idx="1">
                  <c:v>Plant growth habit</c:v>
                </c:pt>
                <c:pt idx="2">
                  <c:v>Recurved flag leaves</c:v>
                </c:pt>
                <c:pt idx="3">
                  <c:v>Time of ear emergence</c:v>
                </c:pt>
                <c:pt idx="4">
                  <c:v>Flag leaf glaucosity of sheath</c:v>
                </c:pt>
                <c:pt idx="5">
                  <c:v>Flag leaf glaucosity of blade</c:v>
                </c:pt>
                <c:pt idx="6">
                  <c:v>Ear glaucosity</c:v>
                </c:pt>
                <c:pt idx="7">
                  <c:v>Culm glaucosity of neck</c:v>
                </c:pt>
                <c:pt idx="8">
                  <c:v>Plant length</c:v>
                </c:pt>
                <c:pt idx="9">
                  <c:v>Straw: pith in cross section</c:v>
                </c:pt>
                <c:pt idx="10">
                  <c:v>Ear: density</c:v>
                </c:pt>
                <c:pt idx="11">
                  <c:v>Ear: length</c:v>
                </c:pt>
                <c:pt idx="12">
                  <c:v>Awns or scurs: length</c:v>
                </c:pt>
                <c:pt idx="13">
                  <c:v>Rachis hairiness</c:v>
                </c:pt>
                <c:pt idx="14">
                  <c:v>Glume shoulder width</c:v>
                </c:pt>
                <c:pt idx="15">
                  <c:v>Glume shoulder shape</c:v>
                </c:pt>
                <c:pt idx="16">
                  <c:v>Glume beak length</c:v>
                </c:pt>
                <c:pt idx="17">
                  <c:v>Glume beak shape</c:v>
                </c:pt>
                <c:pt idx="18">
                  <c:v>Glume internal hairs</c:v>
                </c:pt>
                <c:pt idx="19">
                  <c:v>Colouration with phenol</c:v>
                </c:pt>
                <c:pt idx="20">
                  <c:v>Ear: shape in profile</c:v>
                </c:pt>
              </c:strCache>
            </c:strRef>
          </c:cat>
          <c:val>
            <c:numRef>
              <c:f>Zusammenfassung!$H$4:$H$24</c:f>
              <c:numCache>
                <c:formatCode>0.0</c:formatCode>
                <c:ptCount val="21"/>
                <c:pt idx="0">
                  <c:v>0.10051948051948049</c:v>
                </c:pt>
                <c:pt idx="1">
                  <c:v>5.6883116883116903E-2</c:v>
                </c:pt>
                <c:pt idx="2">
                  <c:v>0.70467532467532479</c:v>
                </c:pt>
                <c:pt idx="3">
                  <c:v>9.7402597402597296E-2</c:v>
                </c:pt>
                <c:pt idx="4">
                  <c:v>9.8701298701298679E-2</c:v>
                </c:pt>
                <c:pt idx="5">
                  <c:v>0.14415584415584415</c:v>
                </c:pt>
                <c:pt idx="6">
                  <c:v>0.13714285714285707</c:v>
                </c:pt>
                <c:pt idx="7">
                  <c:v>0.22493506493506504</c:v>
                </c:pt>
                <c:pt idx="8">
                  <c:v>6.1818181818181807E-2</c:v>
                </c:pt>
                <c:pt idx="9">
                  <c:v>0.51090909090909109</c:v>
                </c:pt>
                <c:pt idx="10">
                  <c:v>0.15402597402597398</c:v>
                </c:pt>
                <c:pt idx="11">
                  <c:v>8.7532467532467503E-2</c:v>
                </c:pt>
                <c:pt idx="12">
                  <c:v>7.974025974025975E-2</c:v>
                </c:pt>
                <c:pt idx="13">
                  <c:v>0.2264935064935065</c:v>
                </c:pt>
                <c:pt idx="14">
                  <c:v>0.22753246753246759</c:v>
                </c:pt>
                <c:pt idx="15">
                  <c:v>0.37194805194805181</c:v>
                </c:pt>
                <c:pt idx="16">
                  <c:v>0.16207792207792218</c:v>
                </c:pt>
                <c:pt idx="17">
                  <c:v>0.2981818181818181</c:v>
                </c:pt>
                <c:pt idx="18">
                  <c:v>0.16623376623376634</c:v>
                </c:pt>
                <c:pt idx="19">
                  <c:v>6.0259740259740256E-2</c:v>
                </c:pt>
                <c:pt idx="20">
                  <c:v>3.1428571428571431E-2</c:v>
                </c:pt>
              </c:numCache>
            </c:numRef>
          </c:val>
          <c:smooth val="0"/>
        </c:ser>
        <c:ser>
          <c:idx val="5"/>
          <c:order val="2"/>
          <c:tx>
            <c:strRef>
              <c:f>Zusammenfassung!$J$3</c:f>
              <c:strCache>
                <c:ptCount val="1"/>
                <c:pt idx="0">
                  <c:v>Mean - 3 years</c:v>
                </c:pt>
              </c:strCache>
            </c:strRef>
          </c:tx>
          <c:spPr>
            <a:ln>
              <a:solidFill>
                <a:schemeClr val="accent6"/>
              </a:solidFill>
            </a:ln>
          </c:spPr>
          <c:marker>
            <c:symbol val="none"/>
          </c:marker>
          <c:cat>
            <c:strRef>
              <c:f>Zusammenfassung!$D$4:$D$24</c:f>
              <c:strCache>
                <c:ptCount val="21"/>
                <c:pt idx="0">
                  <c:v>Coleoptile anthocyanin</c:v>
                </c:pt>
                <c:pt idx="1">
                  <c:v>Plant growth habit</c:v>
                </c:pt>
                <c:pt idx="2">
                  <c:v>Recurved flag leaves</c:v>
                </c:pt>
                <c:pt idx="3">
                  <c:v>Time of ear emergence</c:v>
                </c:pt>
                <c:pt idx="4">
                  <c:v>Flag leaf glaucosity of sheath</c:v>
                </c:pt>
                <c:pt idx="5">
                  <c:v>Flag leaf glaucosity of blade</c:v>
                </c:pt>
                <c:pt idx="6">
                  <c:v>Ear glaucosity</c:v>
                </c:pt>
                <c:pt idx="7">
                  <c:v>Culm glaucosity of neck</c:v>
                </c:pt>
                <c:pt idx="8">
                  <c:v>Plant length</c:v>
                </c:pt>
                <c:pt idx="9">
                  <c:v>Straw: pith in cross section</c:v>
                </c:pt>
                <c:pt idx="10">
                  <c:v>Ear: density</c:v>
                </c:pt>
                <c:pt idx="11">
                  <c:v>Ear: length</c:v>
                </c:pt>
                <c:pt idx="12">
                  <c:v>Awns or scurs: length</c:v>
                </c:pt>
                <c:pt idx="13">
                  <c:v>Rachis hairiness</c:v>
                </c:pt>
                <c:pt idx="14">
                  <c:v>Glume shoulder width</c:v>
                </c:pt>
                <c:pt idx="15">
                  <c:v>Glume shoulder shape</c:v>
                </c:pt>
                <c:pt idx="16">
                  <c:v>Glume beak length</c:v>
                </c:pt>
                <c:pt idx="17">
                  <c:v>Glume beak shape</c:v>
                </c:pt>
                <c:pt idx="18">
                  <c:v>Glume internal hairs</c:v>
                </c:pt>
                <c:pt idx="19">
                  <c:v>Colouration with phenol</c:v>
                </c:pt>
                <c:pt idx="20">
                  <c:v>Ear: shape in profile</c:v>
                </c:pt>
              </c:strCache>
            </c:strRef>
          </c:cat>
          <c:val>
            <c:numRef>
              <c:f>Zusammenfassung!$J$4:$J$24</c:f>
              <c:numCache>
                <c:formatCode>0.0</c:formatCode>
                <c:ptCount val="21"/>
                <c:pt idx="0">
                  <c:v>4.9062049062050195E-2</c:v>
                </c:pt>
                <c:pt idx="1">
                  <c:v>2.4126984126984757E-2</c:v>
                </c:pt>
                <c:pt idx="2">
                  <c:v>0.37033189033189057</c:v>
                </c:pt>
                <c:pt idx="3">
                  <c:v>3.8210678210678778E-2</c:v>
                </c:pt>
                <c:pt idx="4">
                  <c:v>4.9292929292930901E-2</c:v>
                </c:pt>
                <c:pt idx="5">
                  <c:v>6.9264069264070097E-2</c:v>
                </c:pt>
                <c:pt idx="6">
                  <c:v>7.2380952380953573E-2</c:v>
                </c:pt>
                <c:pt idx="7">
                  <c:v>0.12155844155844181</c:v>
                </c:pt>
                <c:pt idx="8">
                  <c:v>2.8629148629149458E-2</c:v>
                </c:pt>
                <c:pt idx="9">
                  <c:v>0.22822510822510819</c:v>
                </c:pt>
                <c:pt idx="10">
                  <c:v>7.2034632034631951E-2</c:v>
                </c:pt>
                <c:pt idx="11">
                  <c:v>5.0331890331892136E-2</c:v>
                </c:pt>
                <c:pt idx="12">
                  <c:v>3.9480519480519366E-2</c:v>
                </c:pt>
                <c:pt idx="13">
                  <c:v>0.17662337662337671</c:v>
                </c:pt>
                <c:pt idx="14">
                  <c:v>0.15688311688311696</c:v>
                </c:pt>
                <c:pt idx="15">
                  <c:v>0.31272727272727263</c:v>
                </c:pt>
                <c:pt idx="16">
                  <c:v>0.10701298701298709</c:v>
                </c:pt>
                <c:pt idx="17">
                  <c:v>0.26077922077922072</c:v>
                </c:pt>
                <c:pt idx="18">
                  <c:v>0.11428571428571432</c:v>
                </c:pt>
                <c:pt idx="19">
                  <c:v>2.7012987012986923E-2</c:v>
                </c:pt>
                <c:pt idx="20">
                  <c:v>1.5815295815295859E-2</c:v>
                </c:pt>
              </c:numCache>
            </c:numRef>
          </c:val>
          <c:smooth val="0"/>
        </c:ser>
        <c:dLbls>
          <c:showLegendKey val="0"/>
          <c:showVal val="0"/>
          <c:showCatName val="0"/>
          <c:showSerName val="0"/>
          <c:showPercent val="0"/>
          <c:showBubbleSize val="0"/>
        </c:dLbls>
        <c:marker val="1"/>
        <c:smooth val="0"/>
        <c:axId val="86656896"/>
        <c:axId val="86658432"/>
      </c:lineChart>
      <c:lineChart>
        <c:grouping val="standard"/>
        <c:varyColors val="0"/>
        <c:ser>
          <c:idx val="6"/>
          <c:order val="3"/>
          <c:tx>
            <c:strRef>
              <c:f>Zusammenfassung!$K$3</c:f>
              <c:strCache>
                <c:ptCount val="1"/>
                <c:pt idx="0">
                  <c:v>% D (2 out of 3)</c:v>
                </c:pt>
              </c:strCache>
            </c:strRef>
          </c:tx>
          <c:spPr>
            <a:ln>
              <a:solidFill>
                <a:srgbClr val="FF0000"/>
              </a:solidFill>
              <a:prstDash val="sysDash"/>
            </a:ln>
          </c:spPr>
          <c:marker>
            <c:symbol val="none"/>
          </c:marker>
          <c:cat>
            <c:strRef>
              <c:f>Zusammenfassung!$D$4:$D$24</c:f>
              <c:strCache>
                <c:ptCount val="21"/>
                <c:pt idx="0">
                  <c:v>Coleoptile anthocyanin</c:v>
                </c:pt>
                <c:pt idx="1">
                  <c:v>Plant growth habit</c:v>
                </c:pt>
                <c:pt idx="2">
                  <c:v>Recurved flag leaves</c:v>
                </c:pt>
                <c:pt idx="3">
                  <c:v>Time of ear emergence</c:v>
                </c:pt>
                <c:pt idx="4">
                  <c:v>Flag leaf glaucosity of sheath</c:v>
                </c:pt>
                <c:pt idx="5">
                  <c:v>Flag leaf glaucosity of blade</c:v>
                </c:pt>
                <c:pt idx="6">
                  <c:v>Ear glaucosity</c:v>
                </c:pt>
                <c:pt idx="7">
                  <c:v>Culm glaucosity of neck</c:v>
                </c:pt>
                <c:pt idx="8">
                  <c:v>Plant length</c:v>
                </c:pt>
                <c:pt idx="9">
                  <c:v>Straw: pith in cross section</c:v>
                </c:pt>
                <c:pt idx="10">
                  <c:v>Ear: density</c:v>
                </c:pt>
                <c:pt idx="11">
                  <c:v>Ear: length</c:v>
                </c:pt>
                <c:pt idx="12">
                  <c:v>Awns or scurs: length</c:v>
                </c:pt>
                <c:pt idx="13">
                  <c:v>Rachis hairiness</c:v>
                </c:pt>
                <c:pt idx="14">
                  <c:v>Glume shoulder width</c:v>
                </c:pt>
                <c:pt idx="15">
                  <c:v>Glume shoulder shape</c:v>
                </c:pt>
                <c:pt idx="16">
                  <c:v>Glume beak length</c:v>
                </c:pt>
                <c:pt idx="17">
                  <c:v>Glume beak shape</c:v>
                </c:pt>
                <c:pt idx="18">
                  <c:v>Glume internal hairs</c:v>
                </c:pt>
                <c:pt idx="19">
                  <c:v>Colouration with phenol</c:v>
                </c:pt>
                <c:pt idx="20">
                  <c:v>Ear: shape in profile</c:v>
                </c:pt>
              </c:strCache>
            </c:strRef>
          </c:cat>
          <c:val>
            <c:numRef>
              <c:f>Zusammenfassung!$K$4:$K$24</c:f>
              <c:numCache>
                <c:formatCode>0</c:formatCode>
                <c:ptCount val="21"/>
                <c:pt idx="0">
                  <c:v>54.966666666666661</c:v>
                </c:pt>
                <c:pt idx="1">
                  <c:v>16.3</c:v>
                </c:pt>
                <c:pt idx="2">
                  <c:v>10.533333333333333</c:v>
                </c:pt>
                <c:pt idx="3">
                  <c:v>51.066666666666663</c:v>
                </c:pt>
                <c:pt idx="4">
                  <c:v>29.033333333333335</c:v>
                </c:pt>
                <c:pt idx="5">
                  <c:v>48.066666666666663</c:v>
                </c:pt>
                <c:pt idx="6">
                  <c:v>41.866666666666667</c:v>
                </c:pt>
                <c:pt idx="7">
                  <c:v>33.800000000000004</c:v>
                </c:pt>
                <c:pt idx="8">
                  <c:v>40.300000000000004</c:v>
                </c:pt>
                <c:pt idx="9">
                  <c:v>7.5666666666666673</c:v>
                </c:pt>
                <c:pt idx="10">
                  <c:v>44.066666666666663</c:v>
                </c:pt>
                <c:pt idx="11">
                  <c:v>50.233333333333327</c:v>
                </c:pt>
                <c:pt idx="12">
                  <c:v>22.099999999999998</c:v>
                </c:pt>
                <c:pt idx="13">
                  <c:v>30.25</c:v>
                </c:pt>
                <c:pt idx="14">
                  <c:v>19.149999999999999</c:v>
                </c:pt>
                <c:pt idx="15">
                  <c:v>3.3</c:v>
                </c:pt>
                <c:pt idx="16">
                  <c:v>18.850000000000001</c:v>
                </c:pt>
                <c:pt idx="17">
                  <c:v>38.849999999999994</c:v>
                </c:pt>
                <c:pt idx="18">
                  <c:v>25.95</c:v>
                </c:pt>
                <c:pt idx="19">
                  <c:v>42.4</c:v>
                </c:pt>
                <c:pt idx="20">
                  <c:v>1.1666666666666667</c:v>
                </c:pt>
              </c:numCache>
            </c:numRef>
          </c:val>
          <c:smooth val="0"/>
        </c:ser>
        <c:dLbls>
          <c:showLegendKey val="0"/>
          <c:showVal val="0"/>
          <c:showCatName val="0"/>
          <c:showSerName val="0"/>
          <c:showPercent val="0"/>
          <c:showBubbleSize val="0"/>
        </c:dLbls>
        <c:marker val="1"/>
        <c:smooth val="0"/>
        <c:axId val="87444864"/>
        <c:axId val="87442944"/>
      </c:lineChart>
      <c:catAx>
        <c:axId val="86656896"/>
        <c:scaling>
          <c:orientation val="minMax"/>
        </c:scaling>
        <c:delete val="0"/>
        <c:axPos val="b"/>
        <c:majorGridlines/>
        <c:majorTickMark val="out"/>
        <c:minorTickMark val="none"/>
        <c:tickLblPos val="nextTo"/>
        <c:txPr>
          <a:bodyPr rot="-5400000" vert="horz"/>
          <a:lstStyle/>
          <a:p>
            <a:pPr>
              <a:defRPr sz="900">
                <a:latin typeface="Arial" panose="020B0604020202020204" pitchFamily="34" charset="0"/>
                <a:cs typeface="Arial" panose="020B0604020202020204" pitchFamily="34" charset="0"/>
              </a:defRPr>
            </a:pPr>
            <a:endParaRPr lang="en-US"/>
          </a:p>
        </c:txPr>
        <c:crossAx val="86658432"/>
        <c:crosses val="autoZero"/>
        <c:auto val="1"/>
        <c:lblAlgn val="ctr"/>
        <c:lblOffset val="100"/>
        <c:noMultiLvlLbl val="0"/>
      </c:catAx>
      <c:valAx>
        <c:axId val="86658432"/>
        <c:scaling>
          <c:orientation val="minMax"/>
          <c:max val="2"/>
        </c:scaling>
        <c:delete val="0"/>
        <c:axPos val="l"/>
        <c:majorGridlines/>
        <c:title>
          <c:tx>
            <c:rich>
              <a:bodyPr rot="-5400000" vert="horz"/>
              <a:lstStyle/>
              <a:p>
                <a:pPr>
                  <a:defRPr sz="900" b="0">
                    <a:latin typeface="Arial" panose="020B0604020202020204" pitchFamily="34" charset="0"/>
                    <a:cs typeface="Arial" panose="020B0604020202020204" pitchFamily="34" charset="0"/>
                  </a:defRPr>
                </a:pPr>
                <a:r>
                  <a:rPr lang="en-US" sz="900" b="0">
                    <a:latin typeface="Arial" panose="020B0604020202020204" pitchFamily="34" charset="0"/>
                    <a:cs typeface="Arial" panose="020B0604020202020204" pitchFamily="34" charset="0"/>
                  </a:rPr>
                  <a:t>Variance</a:t>
                </a:r>
              </a:p>
            </c:rich>
          </c:tx>
          <c:layout/>
          <c:overlay val="0"/>
        </c:title>
        <c:numFmt formatCode="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86656896"/>
        <c:crosses val="autoZero"/>
        <c:crossBetween val="between"/>
        <c:majorUnit val="0.5"/>
      </c:valAx>
      <c:valAx>
        <c:axId val="87442944"/>
        <c:scaling>
          <c:orientation val="minMax"/>
          <c:max val="55"/>
          <c:min val="-35"/>
        </c:scaling>
        <c:delete val="0"/>
        <c:axPos val="r"/>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i="0" baseline="0">
                    <a:effectLst/>
                    <a:latin typeface="Arial" panose="020B0604020202020204" pitchFamily="34" charset="0"/>
                    <a:cs typeface="Arial" panose="020B0604020202020204" pitchFamily="34" charset="0"/>
                  </a:rPr>
                  <a:t>Discrimination power (%)</a:t>
                </a:r>
                <a:endParaRPr lang="de-DE" sz="900" b="0">
                  <a:effectLst/>
                  <a:latin typeface="Arial" panose="020B0604020202020204" pitchFamily="34" charset="0"/>
                  <a:cs typeface="Arial" panose="020B0604020202020204" pitchFamily="34" charset="0"/>
                </a:endParaRPr>
              </a:p>
            </c:rich>
          </c:tx>
          <c:layout/>
          <c:overlay val="0"/>
        </c:title>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87444864"/>
        <c:crosses val="max"/>
        <c:crossBetween val="between"/>
      </c:valAx>
      <c:catAx>
        <c:axId val="87444864"/>
        <c:scaling>
          <c:orientation val="minMax"/>
        </c:scaling>
        <c:delete val="1"/>
        <c:axPos val="b"/>
        <c:majorTickMark val="out"/>
        <c:minorTickMark val="none"/>
        <c:tickLblPos val="nextTo"/>
        <c:crossAx val="87442944"/>
        <c:crosses val="autoZero"/>
        <c:auto val="1"/>
        <c:lblAlgn val="ctr"/>
        <c:lblOffset val="100"/>
        <c:noMultiLvlLbl val="0"/>
      </c:catAx>
    </c:plotArea>
    <c:legend>
      <c:legendPos val="r"/>
      <c:layout>
        <c:manualLayout>
          <c:xMode val="edge"/>
          <c:yMode val="edge"/>
          <c:x val="0.55461324064206419"/>
          <c:y val="2.9487185761195639E-3"/>
          <c:w val="0.21547250609117877"/>
          <c:h val="0.12315333853686228"/>
        </c:manualLayout>
      </c:layout>
      <c:overlay val="1"/>
      <c:spPr>
        <a:solidFill>
          <a:schemeClr val="bg1"/>
        </a:solidFill>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0.45546</cdr:x>
      <cdr:y>0.02822</cdr:y>
    </cdr:from>
    <cdr:to>
      <cdr:x>0.45709</cdr:x>
      <cdr:y>0.62444</cdr:y>
    </cdr:to>
    <cdr:cxnSp macro="">
      <cdr:nvCxnSpPr>
        <cdr:cNvPr id="4" name="Gerade Verbindung 3"/>
        <cdr:cNvCxnSpPr/>
      </cdr:nvCxnSpPr>
      <cdr:spPr>
        <a:xfrm xmlns:a="http://schemas.openxmlformats.org/drawingml/2006/main">
          <a:off x="2715757" y="120977"/>
          <a:ext cx="9718" cy="2555548"/>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0.71745</cdr:x>
      <cdr:y>0.58241</cdr:y>
    </cdr:from>
    <cdr:to>
      <cdr:x>0.7526</cdr:x>
      <cdr:y>0.95536</cdr:y>
    </cdr:to>
    <cdr:sp macro="" textlink="">
      <cdr:nvSpPr>
        <cdr:cNvPr id="5" name="Ellipse 4"/>
        <cdr:cNvSpPr/>
      </cdr:nvSpPr>
      <cdr:spPr>
        <a:xfrm xmlns:a="http://schemas.openxmlformats.org/drawingml/2006/main">
          <a:off x="4141229" y="2385392"/>
          <a:ext cx="202891" cy="1527516"/>
        </a:xfrm>
        <a:prstGeom xmlns:a="http://schemas.openxmlformats.org/drawingml/2006/main" prst="ellipse">
          <a:avLst/>
        </a:prstGeom>
        <a:solidFill xmlns:a="http://schemas.openxmlformats.org/drawingml/2006/main">
          <a:schemeClr val="bg1">
            <a:alpha val="0"/>
          </a:schemeClr>
        </a:solidFill>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de-DE"/>
        </a:p>
      </cdr:txBody>
    </cdr:sp>
  </cdr:relSizeAnchor>
  <cdr:relSizeAnchor xmlns:cdr="http://schemas.openxmlformats.org/drawingml/2006/chartDrawing">
    <cdr:from>
      <cdr:x>0.67491</cdr:x>
      <cdr:y>0.58414</cdr:y>
    </cdr:from>
    <cdr:to>
      <cdr:x>0.71007</cdr:x>
      <cdr:y>0.95709</cdr:y>
    </cdr:to>
    <cdr:sp macro="" textlink="">
      <cdr:nvSpPr>
        <cdr:cNvPr id="9" name="Ellipse 8"/>
        <cdr:cNvSpPr/>
      </cdr:nvSpPr>
      <cdr:spPr>
        <a:xfrm xmlns:a="http://schemas.openxmlformats.org/drawingml/2006/main">
          <a:off x="3895682" y="2392476"/>
          <a:ext cx="202949" cy="1527517"/>
        </a:xfrm>
        <a:prstGeom xmlns:a="http://schemas.openxmlformats.org/drawingml/2006/main" prst="ellipse">
          <a:avLst/>
        </a:prstGeom>
        <a:solidFill xmlns:a="http://schemas.openxmlformats.org/drawingml/2006/main">
          <a:schemeClr val="bg1">
            <a:alpha val="0"/>
          </a:schemeClr>
        </a:solidFill>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de-DE"/>
        </a:p>
      </cdr:txBody>
    </cdr:sp>
  </cdr:relSizeAnchor>
  <cdr:relSizeAnchor xmlns:cdr="http://schemas.openxmlformats.org/drawingml/2006/chartDrawing">
    <cdr:from>
      <cdr:x>0.88194</cdr:x>
      <cdr:y>0.58414</cdr:y>
    </cdr:from>
    <cdr:to>
      <cdr:x>0.9171</cdr:x>
      <cdr:y>0.95709</cdr:y>
    </cdr:to>
    <cdr:sp macro="" textlink="">
      <cdr:nvSpPr>
        <cdr:cNvPr id="10" name="Ellipse 9"/>
        <cdr:cNvSpPr/>
      </cdr:nvSpPr>
      <cdr:spPr>
        <a:xfrm xmlns:a="http://schemas.openxmlformats.org/drawingml/2006/main">
          <a:off x="5090690" y="2392476"/>
          <a:ext cx="202949" cy="1527517"/>
        </a:xfrm>
        <a:prstGeom xmlns:a="http://schemas.openxmlformats.org/drawingml/2006/main" prst="ellipse">
          <a:avLst/>
        </a:prstGeom>
        <a:solidFill xmlns:a="http://schemas.openxmlformats.org/drawingml/2006/main">
          <a:schemeClr val="bg1">
            <a:alpha val="0"/>
          </a:schemeClr>
        </a:solidFill>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de-DE"/>
        </a:p>
      </cdr:txBody>
    </cdr:sp>
  </cdr:relSizeAnchor>
  <cdr:relSizeAnchor xmlns:cdr="http://schemas.openxmlformats.org/drawingml/2006/chartDrawing">
    <cdr:from>
      <cdr:x>0.46528</cdr:x>
      <cdr:y>0.58414</cdr:y>
    </cdr:from>
    <cdr:to>
      <cdr:x>0.50043</cdr:x>
      <cdr:y>0.95709</cdr:y>
    </cdr:to>
    <cdr:sp macro="" textlink="">
      <cdr:nvSpPr>
        <cdr:cNvPr id="11" name="Ellipse 10"/>
        <cdr:cNvSpPr/>
      </cdr:nvSpPr>
      <cdr:spPr>
        <a:xfrm xmlns:a="http://schemas.openxmlformats.org/drawingml/2006/main">
          <a:off x="2685666" y="2392476"/>
          <a:ext cx="202891" cy="1527517"/>
        </a:xfrm>
        <a:prstGeom xmlns:a="http://schemas.openxmlformats.org/drawingml/2006/main" prst="ellipse">
          <a:avLst/>
        </a:prstGeom>
        <a:solidFill xmlns:a="http://schemas.openxmlformats.org/drawingml/2006/main">
          <a:schemeClr val="bg1">
            <a:alpha val="0"/>
          </a:schemeClr>
        </a:solidFill>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de-DE"/>
        </a:p>
      </cdr:txBody>
    </cdr:sp>
  </cdr:relSizeAnchor>
  <cdr:relSizeAnchor xmlns:cdr="http://schemas.openxmlformats.org/drawingml/2006/chartDrawing">
    <cdr:from>
      <cdr:x>0.50391</cdr:x>
      <cdr:y>0.04642</cdr:y>
    </cdr:from>
    <cdr:to>
      <cdr:x>0.50564</cdr:x>
      <cdr:y>0.58639</cdr:y>
    </cdr:to>
    <cdr:cxnSp macro="">
      <cdr:nvCxnSpPr>
        <cdr:cNvPr id="12" name="Gerade Verbindung 11"/>
        <cdr:cNvCxnSpPr/>
      </cdr:nvCxnSpPr>
      <cdr:spPr>
        <a:xfrm xmlns:a="http://schemas.openxmlformats.org/drawingml/2006/main">
          <a:off x="2908644" y="190109"/>
          <a:ext cx="9986" cy="2211582"/>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0.47258</cdr:x>
      <cdr:y>0.44987</cdr:y>
    </cdr:from>
    <cdr:to>
      <cdr:x>0.49321</cdr:x>
      <cdr:y>0.48055</cdr:y>
    </cdr:to>
    <cdr:sp macro="" textlink="">
      <cdr:nvSpPr>
        <cdr:cNvPr id="2" name="Ellipse 1"/>
        <cdr:cNvSpPr/>
      </cdr:nvSpPr>
      <cdr:spPr>
        <a:xfrm xmlns:a="http://schemas.openxmlformats.org/drawingml/2006/main">
          <a:off x="2727818" y="1842550"/>
          <a:ext cx="119079" cy="125658"/>
        </a:xfrm>
        <a:prstGeom xmlns:a="http://schemas.openxmlformats.org/drawingml/2006/main" prst="ellipse">
          <a:avLst/>
        </a:prstGeom>
        <a:noFill xmlns:a="http://schemas.openxmlformats.org/drawingml/2006/main"/>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de-DE"/>
        </a:p>
      </cdr:txBody>
    </cdr:sp>
  </cdr:relSizeAnchor>
  <cdr:relSizeAnchor xmlns:cdr="http://schemas.openxmlformats.org/drawingml/2006/chartDrawing">
    <cdr:from>
      <cdr:x>0.88892</cdr:x>
      <cdr:y>0.53205</cdr:y>
    </cdr:from>
    <cdr:to>
      <cdr:x>0.90955</cdr:x>
      <cdr:y>0.56273</cdr:y>
    </cdr:to>
    <cdr:sp macro="" textlink="">
      <cdr:nvSpPr>
        <cdr:cNvPr id="13" name="Ellipse 12"/>
        <cdr:cNvSpPr/>
      </cdr:nvSpPr>
      <cdr:spPr>
        <a:xfrm xmlns:a="http://schemas.openxmlformats.org/drawingml/2006/main">
          <a:off x="5130966" y="2179151"/>
          <a:ext cx="119079" cy="125658"/>
        </a:xfrm>
        <a:prstGeom xmlns:a="http://schemas.openxmlformats.org/drawingml/2006/main" prst="ellipse">
          <a:avLst/>
        </a:prstGeom>
        <a:noFill xmlns:a="http://schemas.openxmlformats.org/drawingml/2006/main"/>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de-DE"/>
        </a:p>
      </cdr:txBody>
    </cdr:sp>
  </cdr:relSizeAnchor>
  <cdr:relSizeAnchor xmlns:cdr="http://schemas.openxmlformats.org/drawingml/2006/chartDrawing">
    <cdr:from>
      <cdr:x>0.72525</cdr:x>
      <cdr:y>0.35531</cdr:y>
    </cdr:from>
    <cdr:to>
      <cdr:x>0.74588</cdr:x>
      <cdr:y>0.38599</cdr:y>
    </cdr:to>
    <cdr:sp macro="" textlink="">
      <cdr:nvSpPr>
        <cdr:cNvPr id="14" name="Ellipse 13"/>
        <cdr:cNvSpPr/>
      </cdr:nvSpPr>
      <cdr:spPr>
        <a:xfrm xmlns:a="http://schemas.openxmlformats.org/drawingml/2006/main">
          <a:off x="4186224" y="1455251"/>
          <a:ext cx="119079" cy="125658"/>
        </a:xfrm>
        <a:prstGeom xmlns:a="http://schemas.openxmlformats.org/drawingml/2006/main" prst="ellipse">
          <a:avLst/>
        </a:prstGeom>
        <a:noFill xmlns:a="http://schemas.openxmlformats.org/drawingml/2006/main"/>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de-DE"/>
        </a:p>
      </cdr:txBody>
    </cdr:sp>
  </cdr:relSizeAnchor>
  <cdr:relSizeAnchor xmlns:cdr="http://schemas.openxmlformats.org/drawingml/2006/chartDrawing">
    <cdr:from>
      <cdr:x>0.67985</cdr:x>
      <cdr:y>0.2506</cdr:y>
    </cdr:from>
    <cdr:to>
      <cdr:x>0.70048</cdr:x>
      <cdr:y>0.28128</cdr:y>
    </cdr:to>
    <cdr:sp macro="" textlink="">
      <cdr:nvSpPr>
        <cdr:cNvPr id="15" name="Ellipse 14"/>
        <cdr:cNvSpPr/>
      </cdr:nvSpPr>
      <cdr:spPr>
        <a:xfrm xmlns:a="http://schemas.openxmlformats.org/drawingml/2006/main">
          <a:off x="3924210" y="1026391"/>
          <a:ext cx="119079" cy="125657"/>
        </a:xfrm>
        <a:prstGeom xmlns:a="http://schemas.openxmlformats.org/drawingml/2006/main" prst="ellipse">
          <a:avLst/>
        </a:prstGeom>
        <a:noFill xmlns:a="http://schemas.openxmlformats.org/drawingml/2006/main"/>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de-DE"/>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9688D-565B-4B8C-9D87-F0333B694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twa_46.dotx</Template>
  <TotalTime>111</TotalTime>
  <Pages>12</Pages>
  <Words>1231</Words>
  <Characters>6661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TWA/46/7</vt:lpstr>
    </vt:vector>
  </TitlesOfParts>
  <Company>UPOV</Company>
  <LinksUpToDate>false</LinksUpToDate>
  <CharactersWithSpaces>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TWA/46/7</dc:title>
  <dc:creator>Sanchez vizcaino gomez Rosa Maria</dc:creator>
  <cp:lastModifiedBy>SANCHEZ-VIZCAINO GOMEZ Rosa Maria</cp:lastModifiedBy>
  <cp:revision>38</cp:revision>
  <cp:lastPrinted>2017-06-09T07:04:00Z</cp:lastPrinted>
  <dcterms:created xsi:type="dcterms:W3CDTF">2017-05-26T07:47:00Z</dcterms:created>
  <dcterms:modified xsi:type="dcterms:W3CDTF">2017-06-09T07:05:00Z</dcterms:modified>
</cp:coreProperties>
</file>