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800F6C" w:rsidTr="00EB4E9C">
        <w:tc>
          <w:tcPr>
            <w:tcW w:w="6522" w:type="dxa"/>
          </w:tcPr>
          <w:p w:rsidR="00DC3802" w:rsidRPr="00800F6C" w:rsidRDefault="00DC3802" w:rsidP="00AC2883">
            <w:r w:rsidRPr="00800F6C">
              <w:rPr>
                <w:noProof/>
              </w:rPr>
              <w:drawing>
                <wp:inline distT="0" distB="0" distL="0" distR="0" wp14:anchorId="54E13A86" wp14:editId="5F8F1306">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DC3802" w:rsidRPr="00800F6C" w:rsidRDefault="00DC3802" w:rsidP="00AC2883">
            <w:pPr>
              <w:pStyle w:val="Lettrine"/>
            </w:pPr>
            <w:r w:rsidRPr="00800F6C">
              <w:t>E</w:t>
            </w:r>
          </w:p>
        </w:tc>
      </w:tr>
      <w:tr w:rsidR="00DC3802" w:rsidRPr="00800F6C" w:rsidTr="00EB4E9C">
        <w:tc>
          <w:tcPr>
            <w:tcW w:w="6522" w:type="dxa"/>
          </w:tcPr>
          <w:p w:rsidR="00DC3802" w:rsidRPr="00800F6C" w:rsidRDefault="00DC3802" w:rsidP="00AC2883">
            <w:pPr>
              <w:pStyle w:val="upove"/>
            </w:pPr>
            <w:r w:rsidRPr="00800F6C">
              <w:t>International Union for the Protection of New Varieties of Plants</w:t>
            </w:r>
          </w:p>
        </w:tc>
        <w:tc>
          <w:tcPr>
            <w:tcW w:w="3117" w:type="dxa"/>
          </w:tcPr>
          <w:p w:rsidR="00DC3802" w:rsidRPr="00800F6C" w:rsidRDefault="00DC3802" w:rsidP="00DA4973"/>
        </w:tc>
      </w:tr>
    </w:tbl>
    <w:p w:rsidR="00DC3802" w:rsidRPr="00800F6C" w:rsidRDefault="00DC3802" w:rsidP="00DC3802"/>
    <w:p w:rsidR="00DA4973" w:rsidRPr="00800F6C" w:rsidRDefault="00DA4973" w:rsidP="00DC380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EB4E9C" w:rsidRPr="00800F6C" w:rsidTr="00EB4E9C">
        <w:tc>
          <w:tcPr>
            <w:tcW w:w="6512" w:type="dxa"/>
          </w:tcPr>
          <w:p w:rsidR="00EB4E9C" w:rsidRPr="0019297D" w:rsidRDefault="00E70039" w:rsidP="00DA4499">
            <w:pPr>
              <w:pStyle w:val="Sessiontc"/>
            </w:pPr>
            <w:r w:rsidRPr="0019297D">
              <w:t>Technical Working Party for Agricultural Crops</w:t>
            </w:r>
          </w:p>
          <w:p w:rsidR="00EB4E9C" w:rsidRPr="0019297D" w:rsidRDefault="00E70039" w:rsidP="00574C0B">
            <w:pPr>
              <w:pStyle w:val="Sessiontcplacedate"/>
              <w:rPr>
                <w:sz w:val="22"/>
              </w:rPr>
            </w:pPr>
            <w:r w:rsidRPr="0019297D">
              <w:t>Forty-Sixth</w:t>
            </w:r>
            <w:r w:rsidR="00EB4E9C" w:rsidRPr="0019297D">
              <w:t xml:space="preserve"> Session</w:t>
            </w:r>
            <w:r w:rsidR="00EB4E9C" w:rsidRPr="0019297D">
              <w:br/>
            </w:r>
            <w:r w:rsidRPr="0019297D">
              <w:t>Hanover, Germany</w:t>
            </w:r>
            <w:r w:rsidR="00EB4E9C" w:rsidRPr="0019297D">
              <w:t xml:space="preserve">, </w:t>
            </w:r>
            <w:r w:rsidRPr="0019297D">
              <w:t>June 19 to 23</w:t>
            </w:r>
            <w:r w:rsidR="00EB4E9C" w:rsidRPr="0019297D">
              <w:t>, 2017</w:t>
            </w:r>
          </w:p>
        </w:tc>
        <w:tc>
          <w:tcPr>
            <w:tcW w:w="3127" w:type="dxa"/>
          </w:tcPr>
          <w:p w:rsidR="00DA4499" w:rsidRPr="0019297D" w:rsidRDefault="00621302" w:rsidP="003C7FBE">
            <w:pPr>
              <w:pStyle w:val="Doccode"/>
            </w:pPr>
            <w:r w:rsidRPr="0019297D">
              <w:t>T</w:t>
            </w:r>
            <w:r w:rsidR="00E70039" w:rsidRPr="0019297D">
              <w:t>WA</w:t>
            </w:r>
            <w:r w:rsidR="00EB4E9C" w:rsidRPr="0019297D">
              <w:t>/</w:t>
            </w:r>
            <w:r w:rsidR="007D54C0" w:rsidRPr="0019297D">
              <w:t>46/7</w:t>
            </w:r>
          </w:p>
          <w:p w:rsidR="00EB4E9C" w:rsidRPr="0019297D" w:rsidRDefault="00EB4E9C" w:rsidP="003C7FBE">
            <w:pPr>
              <w:pStyle w:val="Docoriginal"/>
            </w:pPr>
            <w:r w:rsidRPr="0019297D">
              <w:t>Original:</w:t>
            </w:r>
            <w:r w:rsidRPr="0019297D">
              <w:rPr>
                <w:b w:val="0"/>
                <w:spacing w:val="0"/>
              </w:rPr>
              <w:t xml:space="preserve">  English</w:t>
            </w:r>
          </w:p>
          <w:p w:rsidR="00EB4E9C" w:rsidRPr="00800F6C" w:rsidRDefault="00EB4E9C" w:rsidP="0019297D">
            <w:pPr>
              <w:pStyle w:val="Docoriginal"/>
            </w:pPr>
            <w:r w:rsidRPr="0019297D">
              <w:t>Date:</w:t>
            </w:r>
            <w:r w:rsidRPr="0019297D">
              <w:rPr>
                <w:b w:val="0"/>
                <w:spacing w:val="0"/>
              </w:rPr>
              <w:t xml:space="preserve">  </w:t>
            </w:r>
            <w:r w:rsidR="00756A79" w:rsidRPr="0019297D">
              <w:rPr>
                <w:b w:val="0"/>
                <w:spacing w:val="0"/>
              </w:rPr>
              <w:t xml:space="preserve">June </w:t>
            </w:r>
            <w:r w:rsidR="0019297D" w:rsidRPr="0019297D">
              <w:rPr>
                <w:b w:val="0"/>
                <w:spacing w:val="0"/>
              </w:rPr>
              <w:t>7</w:t>
            </w:r>
            <w:r w:rsidR="00425AAB" w:rsidRPr="0019297D">
              <w:rPr>
                <w:b w:val="0"/>
                <w:spacing w:val="0"/>
              </w:rPr>
              <w:t>, 2017</w:t>
            </w:r>
          </w:p>
        </w:tc>
      </w:tr>
    </w:tbl>
    <w:p w:rsidR="000D7780" w:rsidRPr="00800F6C" w:rsidRDefault="007D54C0" w:rsidP="006A644A">
      <w:pPr>
        <w:pStyle w:val="Titleofdoc0"/>
      </w:pPr>
      <w:bookmarkStart w:id="0" w:name="TitleOfDoc"/>
      <w:bookmarkEnd w:id="0"/>
      <w:r w:rsidRPr="00800F6C">
        <w:t>Use of disease and insect resistance characteristics in DUS examination</w:t>
      </w:r>
    </w:p>
    <w:p w:rsidR="006A644A" w:rsidRPr="00800F6C" w:rsidRDefault="00AE0EF1" w:rsidP="006A644A">
      <w:pPr>
        <w:pStyle w:val="preparedby1"/>
        <w:jc w:val="left"/>
      </w:pPr>
      <w:bookmarkStart w:id="1" w:name="Prepared"/>
      <w:bookmarkEnd w:id="1"/>
      <w:r w:rsidRPr="00800F6C">
        <w:t xml:space="preserve">Document </w:t>
      </w:r>
      <w:r w:rsidR="0061555F" w:rsidRPr="00800F6C">
        <w:t xml:space="preserve">prepared by </w:t>
      </w:r>
      <w:r w:rsidR="00756A79">
        <w:t>the Office of the Union</w:t>
      </w:r>
    </w:p>
    <w:p w:rsidR="00050E16" w:rsidRPr="00800F6C" w:rsidRDefault="00050E16" w:rsidP="006A644A">
      <w:pPr>
        <w:pStyle w:val="Disclaimer"/>
      </w:pPr>
      <w:r w:rsidRPr="00800F6C">
        <w:t>Disclaimer:  this document does not represent UPOV policies or guidance</w:t>
      </w:r>
    </w:p>
    <w:p w:rsidR="00293817" w:rsidRPr="001C3FD8" w:rsidRDefault="00293817" w:rsidP="00293817">
      <w:pPr>
        <w:pStyle w:val="Heading1"/>
        <w:rPr>
          <w:snapToGrid w:val="0"/>
        </w:rPr>
      </w:pPr>
      <w:bookmarkStart w:id="2" w:name="_Toc484021326"/>
      <w:r w:rsidRPr="001C3FD8">
        <w:rPr>
          <w:snapToGrid w:val="0"/>
        </w:rPr>
        <w:t>Executive summary</w:t>
      </w:r>
      <w:bookmarkEnd w:id="2"/>
    </w:p>
    <w:p w:rsidR="00293817" w:rsidRPr="001C3FD8" w:rsidRDefault="00293817" w:rsidP="00293817">
      <w:pPr>
        <w:rPr>
          <w:snapToGrid w:val="0"/>
        </w:rPr>
      </w:pPr>
    </w:p>
    <w:p w:rsidR="00293817" w:rsidRPr="006A3024" w:rsidRDefault="00293817" w:rsidP="00293817">
      <w:pPr>
        <w:rPr>
          <w:snapToGrid w:val="0"/>
        </w:rPr>
      </w:pPr>
      <w:r w:rsidRPr="006A3024">
        <w:rPr>
          <w:snapToGrid w:val="0"/>
        </w:rPr>
        <w:fldChar w:fldCharType="begin"/>
      </w:r>
      <w:r w:rsidRPr="006A3024">
        <w:rPr>
          <w:snapToGrid w:val="0"/>
        </w:rPr>
        <w:instrText xml:space="preserve"> AUTONUM  </w:instrText>
      </w:r>
      <w:r w:rsidRPr="006A3024">
        <w:rPr>
          <w:snapToGrid w:val="0"/>
        </w:rPr>
        <w:fldChar w:fldCharType="end"/>
      </w:r>
      <w:r w:rsidRPr="006A3024">
        <w:rPr>
          <w:snapToGrid w:val="0"/>
        </w:rPr>
        <w:tab/>
        <w:t xml:space="preserve">The purpose of this document is to </w:t>
      </w:r>
      <w:r>
        <w:rPr>
          <w:snapToGrid w:val="0"/>
        </w:rPr>
        <w:t>report on developments concerning the u</w:t>
      </w:r>
      <w:r>
        <w:t>se of disease and insect resistance characteristics in DUS examination</w:t>
      </w:r>
      <w:r>
        <w:rPr>
          <w:snapToGrid w:val="0"/>
        </w:rPr>
        <w:t>.</w:t>
      </w:r>
    </w:p>
    <w:p w:rsidR="00293817" w:rsidRPr="006A3024" w:rsidRDefault="00293817" w:rsidP="00293817">
      <w:pPr>
        <w:autoSpaceDE w:val="0"/>
        <w:autoSpaceDN w:val="0"/>
        <w:adjustRightInd w:val="0"/>
        <w:rPr>
          <w:rFonts w:eastAsia="MS Mincho"/>
          <w:color w:val="000000"/>
          <w:szCs w:val="24"/>
          <w:lang w:eastAsia="ja-JP"/>
        </w:rPr>
      </w:pPr>
    </w:p>
    <w:p w:rsidR="00293817" w:rsidRPr="0098080E" w:rsidRDefault="00293817" w:rsidP="00293817">
      <w:pPr>
        <w:rPr>
          <w:rFonts w:cs="Arial"/>
          <w:i/>
        </w:rPr>
      </w:pPr>
      <w:r w:rsidRPr="006A3024">
        <w:rPr>
          <w:i/>
        </w:rPr>
        <w:fldChar w:fldCharType="begin"/>
      </w:r>
      <w:r w:rsidRPr="006A3024">
        <w:instrText xml:space="preserve"> AUTONUM  </w:instrText>
      </w:r>
      <w:r w:rsidRPr="006A3024">
        <w:rPr>
          <w:i/>
        </w:rPr>
        <w:fldChar w:fldCharType="end"/>
      </w:r>
      <w:r w:rsidRPr="006A3024">
        <w:tab/>
        <w:t>The TWA is invited to consider the</w:t>
      </w:r>
      <w:r w:rsidR="00EC4D6F">
        <w:t xml:space="preserve"> information to be presented</w:t>
      </w:r>
      <w:r w:rsidRPr="006A3024">
        <w:t xml:space="preserve"> at its forty-sixth session on </w:t>
      </w:r>
      <w:r>
        <w:rPr>
          <w:snapToGrid w:val="0"/>
        </w:rPr>
        <w:t>the u</w:t>
      </w:r>
      <w:r>
        <w:t>se of disease and insect resistance characteristics in DUS examination</w:t>
      </w:r>
      <w:r>
        <w:rPr>
          <w:rFonts w:cs="Arial"/>
        </w:rPr>
        <w:t>,</w:t>
      </w:r>
      <w:r w:rsidRPr="006A3024">
        <w:rPr>
          <w:rFonts w:cs="Arial"/>
        </w:rPr>
        <w:t xml:space="preserve"> as presented in Annexes </w:t>
      </w:r>
      <w:r w:rsidR="00334446">
        <w:rPr>
          <w:rFonts w:cs="Arial"/>
        </w:rPr>
        <w:t>I to IV</w:t>
      </w:r>
      <w:r>
        <w:rPr>
          <w:rFonts w:cs="Arial"/>
        </w:rPr>
        <w:t xml:space="preserve"> </w:t>
      </w:r>
      <w:r w:rsidRPr="006A3024">
        <w:rPr>
          <w:rFonts w:cs="Arial"/>
        </w:rPr>
        <w:t>to this document.</w:t>
      </w:r>
    </w:p>
    <w:p w:rsidR="00293817" w:rsidRDefault="00293817" w:rsidP="00293817">
      <w:pPr>
        <w:rPr>
          <w:snapToGrid w:val="0"/>
          <w:highlight w:val="yellow"/>
        </w:rPr>
      </w:pPr>
    </w:p>
    <w:p w:rsidR="00280EC9" w:rsidRPr="001C3FD8" w:rsidRDefault="00280EC9" w:rsidP="00293817">
      <w:pPr>
        <w:rPr>
          <w:snapToGrid w:val="0"/>
          <w:highlight w:val="yellow"/>
        </w:rPr>
      </w:pPr>
    </w:p>
    <w:p w:rsidR="00293817" w:rsidRPr="00264D05" w:rsidRDefault="00293817" w:rsidP="00293817">
      <w:pPr>
        <w:pStyle w:val="Heading1"/>
        <w:rPr>
          <w:snapToGrid w:val="0"/>
        </w:rPr>
      </w:pPr>
      <w:bookmarkStart w:id="3" w:name="_Toc484021327"/>
      <w:r w:rsidRPr="00264D05">
        <w:rPr>
          <w:snapToGrid w:val="0"/>
        </w:rPr>
        <w:t>Background</w:t>
      </w:r>
      <w:bookmarkEnd w:id="3"/>
    </w:p>
    <w:p w:rsidR="00293817" w:rsidRDefault="00293817" w:rsidP="00293817">
      <w:pPr>
        <w:rPr>
          <w:snapToGrid w:val="0"/>
        </w:rPr>
      </w:pPr>
    </w:p>
    <w:p w:rsidR="00521FD4" w:rsidRDefault="00521FD4" w:rsidP="00521FD4">
      <w:pPr>
        <w:pStyle w:val="Heading2"/>
        <w:rPr>
          <w:snapToGrid w:val="0"/>
        </w:rPr>
      </w:pPr>
      <w:r w:rsidRPr="00521FD4">
        <w:rPr>
          <w:snapToGrid w:val="0"/>
        </w:rPr>
        <w:t>Technical Working Party for Vegetables</w:t>
      </w:r>
    </w:p>
    <w:p w:rsidR="00521FD4" w:rsidRDefault="00521FD4" w:rsidP="00293817">
      <w:pPr>
        <w:rPr>
          <w:snapToGrid w:val="0"/>
        </w:rPr>
      </w:pPr>
    </w:p>
    <w:p w:rsidR="00521FD4" w:rsidRPr="00235948" w:rsidRDefault="00521FD4" w:rsidP="00521FD4">
      <w:pPr>
        <w:rPr>
          <w:snapToGrid w:val="0"/>
        </w:rPr>
      </w:pPr>
      <w:r w:rsidRPr="00235948">
        <w:rPr>
          <w:snapToGrid w:val="0"/>
        </w:rPr>
        <w:fldChar w:fldCharType="begin"/>
      </w:r>
      <w:r w:rsidRPr="00235948">
        <w:rPr>
          <w:snapToGrid w:val="0"/>
        </w:rPr>
        <w:instrText xml:space="preserve"> AUTONUM  </w:instrText>
      </w:r>
      <w:r w:rsidRPr="00235948">
        <w:rPr>
          <w:snapToGrid w:val="0"/>
        </w:rPr>
        <w:fldChar w:fldCharType="end"/>
      </w:r>
      <w:r w:rsidRPr="00235948">
        <w:rPr>
          <w:snapToGrid w:val="0"/>
        </w:rPr>
        <w:tab/>
        <w:t>The TWV</w:t>
      </w:r>
      <w:r>
        <w:rPr>
          <w:snapToGrid w:val="0"/>
        </w:rPr>
        <w:t xml:space="preserve">, </w:t>
      </w:r>
      <w:r w:rsidRPr="00235948">
        <w:t>at its fiftieth session, held in Brno, Czech Republic,</w:t>
      </w:r>
      <w:r w:rsidR="00D44FAE">
        <w:t xml:space="preserve"> from June 27 to July 1, 2016,</w:t>
      </w:r>
      <w:r w:rsidRPr="00235948">
        <w:t xml:space="preserve"> </w:t>
      </w:r>
      <w:r w:rsidRPr="00235948">
        <w:rPr>
          <w:snapToGrid w:val="0"/>
        </w:rPr>
        <w:t>considered documents TWV/50/21 and TWV/50/21 Add. Rev.</w:t>
      </w:r>
      <w:r w:rsidR="00D44FAE">
        <w:rPr>
          <w:snapToGrid w:val="0"/>
        </w:rPr>
        <w:t xml:space="preserve"> “</w:t>
      </w:r>
      <w:r w:rsidR="00D44FAE" w:rsidRPr="00D44FAE">
        <w:rPr>
          <w:snapToGrid w:val="0"/>
        </w:rPr>
        <w:t>Use of disease and insect resistance characteristics in DUS examination</w:t>
      </w:r>
      <w:r w:rsidR="00D44FAE">
        <w:rPr>
          <w:snapToGrid w:val="0"/>
        </w:rPr>
        <w:t>”</w:t>
      </w:r>
      <w:r w:rsidRPr="00235948">
        <w:rPr>
          <w:snapToGrid w:val="0"/>
        </w:rPr>
        <w:t xml:space="preserve"> (see document TWV/50/25 “Report”, paragraphs 61 to 67)</w:t>
      </w:r>
      <w:r w:rsidR="00D44FAE">
        <w:rPr>
          <w:snapToGrid w:val="0"/>
        </w:rPr>
        <w:t>.</w:t>
      </w:r>
    </w:p>
    <w:p w:rsidR="00521FD4" w:rsidRPr="00235948" w:rsidRDefault="00521FD4" w:rsidP="00521FD4">
      <w:pPr>
        <w:rPr>
          <w:snapToGrid w:val="0"/>
        </w:rPr>
      </w:pPr>
    </w:p>
    <w:p w:rsidR="00521FD4" w:rsidRPr="00235948" w:rsidRDefault="00521FD4" w:rsidP="00521FD4">
      <w:pPr>
        <w:rPr>
          <w:snapToGrid w:val="0"/>
          <w:lang w:eastAsia="en-GB"/>
        </w:rPr>
      </w:pPr>
      <w:r w:rsidRPr="00235948">
        <w:rPr>
          <w:lang w:eastAsia="en-GB"/>
        </w:rPr>
        <w:fldChar w:fldCharType="begin"/>
      </w:r>
      <w:r w:rsidRPr="00235948">
        <w:rPr>
          <w:lang w:eastAsia="en-GB"/>
        </w:rPr>
        <w:instrText xml:space="preserve"> AUTONUM  </w:instrText>
      </w:r>
      <w:r w:rsidRPr="00235948">
        <w:rPr>
          <w:lang w:eastAsia="en-GB"/>
        </w:rPr>
        <w:fldChar w:fldCharType="end"/>
      </w:r>
      <w:r w:rsidRPr="00235948">
        <w:rPr>
          <w:lang w:eastAsia="en-GB"/>
        </w:rPr>
        <w:tab/>
        <w:t xml:space="preserve">The TWV noted that the use of a </w:t>
      </w:r>
      <w:r w:rsidRPr="00235948">
        <w:rPr>
          <w:snapToGrid w:val="0"/>
          <w:lang w:eastAsia="en-GB"/>
        </w:rPr>
        <w:t>characteristic</w:t>
      </w:r>
      <w:r w:rsidRPr="00235948">
        <w:rPr>
          <w:lang w:eastAsia="en-GB"/>
        </w:rPr>
        <w:t xml:space="preserve"> for DUS purposes did not mean that it would need to become a breeding aim, and vice-versa.  The use of a disease or insect resistance </w:t>
      </w:r>
      <w:r>
        <w:rPr>
          <w:snapToGrid w:val="0"/>
          <w:lang w:eastAsia="en-GB"/>
        </w:rPr>
        <w:t>characteristic for DUS </w:t>
      </w:r>
      <w:r w:rsidRPr="00235948">
        <w:rPr>
          <w:snapToGrid w:val="0"/>
          <w:lang w:eastAsia="en-GB"/>
        </w:rPr>
        <w:t xml:space="preserve">purposes did not require breeders to select for that characteristic in their breeding programs, but would require them to ensure varieties were uniform and stable for the characteristic, in the same way as for other DUS characteristics.  </w:t>
      </w:r>
    </w:p>
    <w:p w:rsidR="00521FD4" w:rsidRPr="00235948" w:rsidRDefault="00521FD4" w:rsidP="00521FD4">
      <w:pPr>
        <w:rPr>
          <w:snapToGrid w:val="0"/>
          <w:lang w:eastAsia="en-GB"/>
        </w:rPr>
      </w:pPr>
    </w:p>
    <w:p w:rsidR="00521FD4" w:rsidRPr="00235948" w:rsidRDefault="00521FD4" w:rsidP="00521FD4">
      <w:pPr>
        <w:rPr>
          <w:lang w:eastAsia="en-GB"/>
        </w:rPr>
      </w:pPr>
      <w:r w:rsidRPr="00235948">
        <w:rPr>
          <w:snapToGrid w:val="0"/>
          <w:lang w:eastAsia="en-GB"/>
        </w:rPr>
        <w:fldChar w:fldCharType="begin"/>
      </w:r>
      <w:r w:rsidRPr="00235948">
        <w:rPr>
          <w:snapToGrid w:val="0"/>
          <w:lang w:eastAsia="en-GB"/>
        </w:rPr>
        <w:instrText xml:space="preserve"> AUTONUM  </w:instrText>
      </w:r>
      <w:r w:rsidRPr="00235948">
        <w:rPr>
          <w:snapToGrid w:val="0"/>
          <w:lang w:eastAsia="en-GB"/>
        </w:rPr>
        <w:fldChar w:fldCharType="end"/>
      </w:r>
      <w:r w:rsidRPr="00235948">
        <w:rPr>
          <w:snapToGrid w:val="0"/>
          <w:lang w:eastAsia="en-GB"/>
        </w:rPr>
        <w:tab/>
        <w:t xml:space="preserve">The TWV noted the approach by the European Union for their Test protocols, and considered the proposal with regard to the idea of phasing-in asterisked characteristics (which lead to obligatory testing in CPVO Protocols over a period of time) in UPOV Test Guidelines, as presented in document </w:t>
      </w:r>
      <w:r w:rsidRPr="00235948">
        <w:rPr>
          <w:snapToGrid w:val="0"/>
        </w:rPr>
        <w:t>TWV/50/21.</w:t>
      </w:r>
      <w:r>
        <w:rPr>
          <w:snapToGrid w:val="0"/>
        </w:rPr>
        <w:t xml:space="preserve"> </w:t>
      </w:r>
      <w:r w:rsidRPr="00235948">
        <w:rPr>
          <w:snapToGrid w:val="0"/>
          <w:lang w:eastAsia="en-GB"/>
        </w:rPr>
        <w:t>The</w:t>
      </w:r>
      <w:r>
        <w:rPr>
          <w:snapToGrid w:val="0"/>
          <w:lang w:eastAsia="en-GB"/>
        </w:rPr>
        <w:t> </w:t>
      </w:r>
      <w:r w:rsidRPr="00235948">
        <w:rPr>
          <w:snapToGrid w:val="0"/>
          <w:lang w:eastAsia="en-GB"/>
        </w:rPr>
        <w:t xml:space="preserve">TWV agreed that more time was needed for members of the Union to consider if such an </w:t>
      </w:r>
      <w:r>
        <w:rPr>
          <w:snapToGrid w:val="0"/>
          <w:lang w:eastAsia="en-GB"/>
        </w:rPr>
        <w:t xml:space="preserve">approach would be appropriate. </w:t>
      </w:r>
    </w:p>
    <w:p w:rsidR="00521FD4" w:rsidRPr="00235948" w:rsidRDefault="00521FD4" w:rsidP="00521FD4">
      <w:pPr>
        <w:rPr>
          <w:lang w:eastAsia="en-GB"/>
        </w:rPr>
      </w:pPr>
    </w:p>
    <w:p w:rsidR="00521FD4" w:rsidRPr="00235948" w:rsidRDefault="00521FD4" w:rsidP="00521FD4">
      <w:pPr>
        <w:rPr>
          <w:lang w:eastAsia="en-GB"/>
        </w:rPr>
      </w:pPr>
      <w:r w:rsidRPr="00235948">
        <w:rPr>
          <w:lang w:eastAsia="en-GB"/>
        </w:rPr>
        <w:fldChar w:fldCharType="begin"/>
      </w:r>
      <w:r w:rsidRPr="00235948">
        <w:rPr>
          <w:lang w:eastAsia="en-GB"/>
        </w:rPr>
        <w:instrText xml:space="preserve"> AUTONUM  </w:instrText>
      </w:r>
      <w:r w:rsidRPr="00235948">
        <w:rPr>
          <w:lang w:eastAsia="en-GB"/>
        </w:rPr>
        <w:fldChar w:fldCharType="end"/>
      </w:r>
      <w:r w:rsidRPr="00235948">
        <w:rPr>
          <w:lang w:eastAsia="en-GB"/>
        </w:rPr>
        <w:tab/>
        <w:t xml:space="preserve">The TWV welcomed the information provided on “MatRef: a national network managing seeds and strains for disease resistance tests”, by the expert from France, and “Harmonization of resistance tests to diseases for DUS testing: Harmores 2”, by the expert from the Community Plant Variety Office of the European Union (CPVO), as reproduced in document </w:t>
      </w:r>
      <w:r w:rsidRPr="00235948">
        <w:rPr>
          <w:snapToGrid w:val="0"/>
        </w:rPr>
        <w:t xml:space="preserve">TWV/50/21 Add. </w:t>
      </w:r>
      <w:proofErr w:type="gramStart"/>
      <w:r w:rsidRPr="00235948">
        <w:rPr>
          <w:snapToGrid w:val="0"/>
        </w:rPr>
        <w:t>Rev.</w:t>
      </w:r>
      <w:proofErr w:type="gramEnd"/>
      <w:r w:rsidRPr="00235948">
        <w:rPr>
          <w:lang w:eastAsia="en-GB"/>
        </w:rPr>
        <w:t xml:space="preserve">  It agreed that it would be useful to have an update on those projects at its fifty-first session and also to present information to the Technical Committee (TC), at its fifty-third session, under the discussion item “Use of disease and insect resistance characteristics in DUS examination”.</w:t>
      </w:r>
    </w:p>
    <w:p w:rsidR="00521FD4" w:rsidRPr="00235948" w:rsidRDefault="00521FD4" w:rsidP="00521FD4">
      <w:pPr>
        <w:rPr>
          <w:lang w:eastAsia="en-GB"/>
        </w:rPr>
      </w:pPr>
    </w:p>
    <w:p w:rsidR="00521FD4" w:rsidRPr="00235948" w:rsidRDefault="00521FD4" w:rsidP="00521FD4">
      <w:pPr>
        <w:rPr>
          <w:lang w:eastAsia="en-GB"/>
        </w:rPr>
      </w:pPr>
      <w:r w:rsidRPr="00235948">
        <w:rPr>
          <w:lang w:eastAsia="en-GB"/>
        </w:rPr>
        <w:fldChar w:fldCharType="begin"/>
      </w:r>
      <w:r w:rsidRPr="00235948">
        <w:rPr>
          <w:lang w:eastAsia="en-GB"/>
        </w:rPr>
        <w:instrText xml:space="preserve"> AUTONUM  </w:instrText>
      </w:r>
      <w:r w:rsidRPr="00235948">
        <w:rPr>
          <w:lang w:eastAsia="en-GB"/>
        </w:rPr>
        <w:fldChar w:fldCharType="end"/>
      </w:r>
      <w:r w:rsidRPr="00235948">
        <w:rPr>
          <w:lang w:eastAsia="en-GB"/>
        </w:rPr>
        <w:tab/>
        <w:t xml:space="preserve">The TWV noted that the approach presented in document </w:t>
      </w:r>
      <w:r w:rsidRPr="00235948">
        <w:rPr>
          <w:snapToGrid w:val="0"/>
        </w:rPr>
        <w:t>TWV/50/21 Add. Rev.</w:t>
      </w:r>
      <w:r w:rsidRPr="00235948">
        <w:rPr>
          <w:lang w:eastAsia="en-GB"/>
        </w:rPr>
        <w:t xml:space="preserve"> was based on the use of molecular data obtained by the DUS examination office to verify information on disease resistance provided by the applicant in the </w:t>
      </w:r>
      <w:r w:rsidRPr="00235948">
        <w:rPr>
          <w:snapToGrid w:val="0"/>
          <w:lang w:eastAsia="en-GB"/>
        </w:rPr>
        <w:t>Technical Questionnaire</w:t>
      </w:r>
      <w:r w:rsidRPr="00235948">
        <w:rPr>
          <w:lang w:eastAsia="en-GB"/>
        </w:rPr>
        <w:t>.  If the molecular data was consistent with the information provided by the applicant, the DUS examination would be based on the molecular data but if there was a discrepancy</w:t>
      </w:r>
      <w:r>
        <w:rPr>
          <w:lang w:eastAsia="en-GB"/>
        </w:rPr>
        <w:t>,</w:t>
      </w:r>
      <w:r w:rsidRPr="00235948">
        <w:rPr>
          <w:lang w:eastAsia="en-GB"/>
        </w:rPr>
        <w:t xml:space="preserve"> or the applicants did not test, a bioassay would be used for the DUS examination.  The TWV considered that it might be necessary to request confirmation from the applicant that the information provided on disease resistance was based on a bioassay and, if that was not the </w:t>
      </w:r>
      <w:proofErr w:type="gramStart"/>
      <w:r w:rsidRPr="00235948">
        <w:rPr>
          <w:lang w:eastAsia="en-GB"/>
        </w:rPr>
        <w:t>case,</w:t>
      </w:r>
      <w:proofErr w:type="gramEnd"/>
      <w:r w:rsidRPr="00235948">
        <w:rPr>
          <w:lang w:eastAsia="en-GB"/>
        </w:rPr>
        <w:t xml:space="preserve"> a </w:t>
      </w:r>
      <w:r w:rsidRPr="00235948">
        <w:rPr>
          <w:lang w:eastAsia="en-GB"/>
        </w:rPr>
        <w:lastRenderedPageBreak/>
        <w:t>bioassay would need to be used for the DUS examination.  Such an approach could then be proposed for inclusion in the UPOV Test Guidelines.</w:t>
      </w:r>
    </w:p>
    <w:p w:rsidR="00521FD4" w:rsidRPr="00235948" w:rsidRDefault="00521FD4" w:rsidP="00521FD4">
      <w:pPr>
        <w:rPr>
          <w:lang w:eastAsia="en-GB"/>
        </w:rPr>
      </w:pPr>
    </w:p>
    <w:p w:rsidR="00521FD4" w:rsidRPr="00235948" w:rsidRDefault="00521FD4" w:rsidP="00521FD4">
      <w:pPr>
        <w:rPr>
          <w:lang w:eastAsia="en-GB"/>
        </w:rPr>
      </w:pPr>
      <w:r w:rsidRPr="00235948">
        <w:rPr>
          <w:lang w:eastAsia="en-GB"/>
        </w:rPr>
        <w:fldChar w:fldCharType="begin"/>
      </w:r>
      <w:r w:rsidRPr="00235948">
        <w:rPr>
          <w:lang w:eastAsia="en-GB"/>
        </w:rPr>
        <w:instrText xml:space="preserve"> AUTONUM  </w:instrText>
      </w:r>
      <w:r w:rsidRPr="00235948">
        <w:rPr>
          <w:lang w:eastAsia="en-GB"/>
        </w:rPr>
        <w:fldChar w:fldCharType="end"/>
      </w:r>
      <w:r w:rsidRPr="00235948">
        <w:rPr>
          <w:lang w:eastAsia="en-GB"/>
        </w:rPr>
        <w:tab/>
        <w:t xml:space="preserve">The TWV noted that the above approach was consistent with the model “Characteristic-Specific Molecular Markers”, as set out in TGP/15 “Guidance on the Use of Biochemical and Molecular Markers in the Examination of Distinctness, Uniformity and Stability (DUS)”.  It further noted that the above approach verified the reliability of the link between the molecular marker and the disease resistance characteristic for every candidate variety. </w:t>
      </w:r>
    </w:p>
    <w:p w:rsidR="00521FD4" w:rsidRPr="00235948" w:rsidRDefault="00521FD4" w:rsidP="00521FD4">
      <w:pPr>
        <w:rPr>
          <w:lang w:eastAsia="en-GB"/>
        </w:rPr>
      </w:pPr>
    </w:p>
    <w:p w:rsidR="00521FD4" w:rsidRPr="00235948" w:rsidRDefault="00521FD4" w:rsidP="00521FD4">
      <w:pPr>
        <w:rPr>
          <w:lang w:eastAsia="en-GB"/>
        </w:rPr>
      </w:pPr>
      <w:r w:rsidRPr="00235948">
        <w:rPr>
          <w:lang w:eastAsia="en-GB"/>
        </w:rPr>
        <w:fldChar w:fldCharType="begin"/>
      </w:r>
      <w:r w:rsidRPr="00235948">
        <w:rPr>
          <w:lang w:eastAsia="en-GB"/>
        </w:rPr>
        <w:instrText xml:space="preserve"> AUTONUM  </w:instrText>
      </w:r>
      <w:r w:rsidRPr="00235948">
        <w:rPr>
          <w:lang w:eastAsia="en-GB"/>
        </w:rPr>
        <w:fldChar w:fldCharType="end"/>
      </w:r>
      <w:r w:rsidRPr="00235948">
        <w:rPr>
          <w:lang w:eastAsia="en-GB"/>
        </w:rPr>
        <w:tab/>
        <w:t>The TWV agreed that it would be valuable for the above approach to be presented to the TC, at its fifty-third session, under the discussion item “Use of disease and insect resistance charac</w:t>
      </w:r>
      <w:r>
        <w:rPr>
          <w:lang w:eastAsia="en-GB"/>
        </w:rPr>
        <w:t>teristics in DUS examination”.</w:t>
      </w:r>
    </w:p>
    <w:p w:rsidR="00521FD4" w:rsidRDefault="00521FD4" w:rsidP="00521FD4">
      <w:pPr>
        <w:rPr>
          <w:snapToGrid w:val="0"/>
        </w:rPr>
      </w:pPr>
    </w:p>
    <w:p w:rsidR="00D44FAE" w:rsidRDefault="00D44FAE" w:rsidP="00D44FAE">
      <w:pPr>
        <w:pStyle w:val="Heading2"/>
        <w:rPr>
          <w:snapToGrid w:val="0"/>
        </w:rPr>
      </w:pPr>
      <w:r w:rsidRPr="00B4650C">
        <w:rPr>
          <w:snapToGrid w:val="0"/>
        </w:rPr>
        <w:t xml:space="preserve">Technical Working Party </w:t>
      </w:r>
      <w:r>
        <w:rPr>
          <w:snapToGrid w:val="0"/>
        </w:rPr>
        <w:t>for</w:t>
      </w:r>
      <w:r w:rsidRPr="00B4650C">
        <w:rPr>
          <w:snapToGrid w:val="0"/>
        </w:rPr>
        <w:t xml:space="preserve"> Agricultural Crops</w:t>
      </w:r>
    </w:p>
    <w:p w:rsidR="00D44FAE" w:rsidRDefault="00D44FAE" w:rsidP="00521FD4">
      <w:pPr>
        <w:rPr>
          <w:snapToGrid w:val="0"/>
        </w:rPr>
      </w:pPr>
    </w:p>
    <w:p w:rsidR="00D44FAE" w:rsidRDefault="00D44FAE" w:rsidP="00521FD4">
      <w:pPr>
        <w:rPr>
          <w:snapToGrid w:val="0"/>
        </w:rPr>
      </w:pPr>
      <w:r>
        <w:rPr>
          <w:snapToGrid w:val="0"/>
        </w:rPr>
        <w:fldChar w:fldCharType="begin"/>
      </w:r>
      <w:r>
        <w:rPr>
          <w:snapToGrid w:val="0"/>
        </w:rPr>
        <w:instrText xml:space="preserve"> AUTONUM  </w:instrText>
      </w:r>
      <w:r>
        <w:rPr>
          <w:snapToGrid w:val="0"/>
        </w:rPr>
        <w:fldChar w:fldCharType="end"/>
      </w:r>
      <w:r>
        <w:rPr>
          <w:snapToGrid w:val="0"/>
        </w:rPr>
        <w:tab/>
      </w:r>
      <w:r w:rsidRPr="00D44FAE">
        <w:rPr>
          <w:snapToGrid w:val="0"/>
        </w:rPr>
        <w:t>The TWA, at its forty-fifth session, held in Mexico City, from July 11 to 15, 2016,</w:t>
      </w:r>
      <w:r>
        <w:rPr>
          <w:snapToGrid w:val="0"/>
        </w:rPr>
        <w:t xml:space="preserve"> agreed to invite experts from Brazil, the European Union and France to prepare documents on the u</w:t>
      </w:r>
      <w:r w:rsidRPr="00235948">
        <w:rPr>
          <w:lang w:eastAsia="en-GB"/>
        </w:rPr>
        <w:t>se of disease and insect resistance charac</w:t>
      </w:r>
      <w:r>
        <w:rPr>
          <w:lang w:eastAsia="en-GB"/>
        </w:rPr>
        <w:t>teristics in DUS examination (see document TWA/45/25 “Report”, paragraph 124).</w:t>
      </w:r>
    </w:p>
    <w:p w:rsidR="00D44FAE" w:rsidRDefault="00D44FAE" w:rsidP="00521FD4">
      <w:pPr>
        <w:rPr>
          <w:snapToGrid w:val="0"/>
        </w:rPr>
      </w:pPr>
    </w:p>
    <w:p w:rsidR="00293817" w:rsidRDefault="00521FD4" w:rsidP="00521FD4">
      <w:pPr>
        <w:pStyle w:val="Heading2"/>
      </w:pPr>
      <w:r>
        <w:t>Technical Committee</w:t>
      </w:r>
    </w:p>
    <w:p w:rsidR="00293817" w:rsidRDefault="00293817" w:rsidP="00293817">
      <w:pPr>
        <w:rPr>
          <w:snapToGrid w:val="0"/>
        </w:rPr>
      </w:pPr>
    </w:p>
    <w:p w:rsidR="00521FD4" w:rsidRDefault="00521FD4" w:rsidP="00293817">
      <w:pPr>
        <w:rPr>
          <w:snapToGrid w:val="0"/>
        </w:rPr>
      </w:pPr>
      <w:r>
        <w:rPr>
          <w:snapToGrid w:val="0"/>
        </w:rPr>
        <w:fldChar w:fldCharType="begin"/>
      </w:r>
      <w:r>
        <w:rPr>
          <w:snapToGrid w:val="0"/>
        </w:rPr>
        <w:instrText xml:space="preserve"> AUTONUM  </w:instrText>
      </w:r>
      <w:r>
        <w:rPr>
          <w:snapToGrid w:val="0"/>
        </w:rPr>
        <w:fldChar w:fldCharType="end"/>
      </w:r>
      <w:r>
        <w:rPr>
          <w:snapToGrid w:val="0"/>
        </w:rPr>
        <w:tab/>
      </w:r>
      <w:r w:rsidRPr="00521FD4">
        <w:rPr>
          <w:snapToGrid w:val="0"/>
        </w:rPr>
        <w:t xml:space="preserve">The TC, at its fifty-third session, held in Geneva from April 3 to 7, 2017, noted developments in the </w:t>
      </w:r>
      <w:r w:rsidR="00D44FAE">
        <w:rPr>
          <w:snapToGrid w:val="0"/>
        </w:rPr>
        <w:t xml:space="preserve">TWV and </w:t>
      </w:r>
      <w:r w:rsidRPr="00521FD4">
        <w:rPr>
          <w:snapToGrid w:val="0"/>
        </w:rPr>
        <w:t>TW</w:t>
      </w:r>
      <w:r w:rsidR="00D44FAE">
        <w:rPr>
          <w:snapToGrid w:val="0"/>
        </w:rPr>
        <w:t>A</w:t>
      </w:r>
      <w:r w:rsidRPr="00521FD4">
        <w:rPr>
          <w:snapToGrid w:val="0"/>
        </w:rPr>
        <w:t xml:space="preserve"> concerning </w:t>
      </w:r>
      <w:r>
        <w:rPr>
          <w:snapToGrid w:val="0"/>
        </w:rPr>
        <w:t>the u</w:t>
      </w:r>
      <w:r>
        <w:t>se of disease and insect resistance characteristics in DUS examination</w:t>
      </w:r>
      <w:r w:rsidRPr="00521FD4">
        <w:rPr>
          <w:snapToGrid w:val="0"/>
        </w:rPr>
        <w:t xml:space="preserve"> (see document TC/53/31 “Report”, paragraph 106).</w:t>
      </w:r>
    </w:p>
    <w:p w:rsidR="00521FD4" w:rsidRDefault="00521FD4" w:rsidP="00293817">
      <w:pPr>
        <w:rPr>
          <w:snapToGrid w:val="0"/>
        </w:rPr>
      </w:pPr>
    </w:p>
    <w:p w:rsidR="00280EC9" w:rsidRPr="00264D05" w:rsidRDefault="00280EC9" w:rsidP="00293817">
      <w:pPr>
        <w:rPr>
          <w:snapToGrid w:val="0"/>
        </w:rPr>
      </w:pPr>
    </w:p>
    <w:p w:rsidR="00293817" w:rsidRDefault="00280EC9" w:rsidP="00293817">
      <w:pPr>
        <w:pStyle w:val="Heading1"/>
        <w:rPr>
          <w:snapToGrid w:val="0"/>
        </w:rPr>
      </w:pPr>
      <w:bookmarkStart w:id="4" w:name="_Toc484021330"/>
      <w:r>
        <w:rPr>
          <w:snapToGrid w:val="0"/>
        </w:rPr>
        <w:t xml:space="preserve">Information to be presented </w:t>
      </w:r>
      <w:r w:rsidR="00293817">
        <w:rPr>
          <w:snapToGrid w:val="0"/>
        </w:rPr>
        <w:t xml:space="preserve">at the </w:t>
      </w:r>
      <w:r w:rsidR="00293817" w:rsidRPr="00110705">
        <w:rPr>
          <w:snapToGrid w:val="0"/>
        </w:rPr>
        <w:t>forty-sixth session of the TWA</w:t>
      </w:r>
      <w:bookmarkEnd w:id="4"/>
    </w:p>
    <w:p w:rsidR="00293817" w:rsidRPr="00110705" w:rsidRDefault="00293817" w:rsidP="00293817">
      <w:pPr>
        <w:rPr>
          <w:snapToGrid w:val="0"/>
        </w:rPr>
      </w:pPr>
    </w:p>
    <w:p w:rsidR="00293817" w:rsidRPr="00110705" w:rsidRDefault="00293817" w:rsidP="00293817">
      <w:r w:rsidRPr="00110705">
        <w:rPr>
          <w:snapToGrid w:val="0"/>
        </w:rPr>
        <w:fldChar w:fldCharType="begin"/>
      </w:r>
      <w:r w:rsidRPr="00110705">
        <w:rPr>
          <w:snapToGrid w:val="0"/>
        </w:rPr>
        <w:instrText xml:space="preserve"> AUTONUM  </w:instrText>
      </w:r>
      <w:r w:rsidRPr="00110705">
        <w:rPr>
          <w:snapToGrid w:val="0"/>
        </w:rPr>
        <w:fldChar w:fldCharType="end"/>
      </w:r>
      <w:r w:rsidRPr="00110705">
        <w:rPr>
          <w:snapToGrid w:val="0"/>
        </w:rPr>
        <w:tab/>
        <w:t>The Annexes to this document contain the following</w:t>
      </w:r>
      <w:r w:rsidR="006A614E">
        <w:rPr>
          <w:snapToGrid w:val="0"/>
        </w:rPr>
        <w:t xml:space="preserve"> </w:t>
      </w:r>
      <w:r w:rsidR="006A614E" w:rsidRPr="006A614E">
        <w:rPr>
          <w:snapToGrid w:val="0"/>
        </w:rPr>
        <w:t>information to be presented at the forty-sixth session of the TWA</w:t>
      </w:r>
      <w:r>
        <w:rPr>
          <w:snapToGrid w:val="0"/>
        </w:rPr>
        <w:t>:</w:t>
      </w:r>
    </w:p>
    <w:p w:rsidR="00293817" w:rsidRPr="007C1EC6" w:rsidRDefault="00293817" w:rsidP="00293817"/>
    <w:p w:rsidR="00205DFB" w:rsidRDefault="00205DFB" w:rsidP="00293817">
      <w:pPr>
        <w:spacing w:before="120" w:after="120"/>
        <w:ind w:left="1843" w:hanging="1276"/>
        <w:rPr>
          <w:rFonts w:eastAsia="MS Mincho"/>
          <w:color w:val="000000"/>
          <w:szCs w:val="24"/>
          <w:lang w:eastAsia="ja-JP"/>
        </w:rPr>
      </w:pPr>
      <w:r>
        <w:rPr>
          <w:rFonts w:eastAsia="MS Mincho"/>
          <w:color w:val="000000"/>
          <w:szCs w:val="24"/>
          <w:lang w:eastAsia="ja-JP"/>
        </w:rPr>
        <w:t xml:space="preserve">ANNEX </w:t>
      </w:r>
      <w:proofErr w:type="gramStart"/>
      <w:r>
        <w:rPr>
          <w:rFonts w:eastAsia="MS Mincho"/>
          <w:color w:val="000000"/>
          <w:szCs w:val="24"/>
          <w:lang w:eastAsia="ja-JP"/>
        </w:rPr>
        <w:t>I</w:t>
      </w:r>
      <w:proofErr w:type="gramEnd"/>
      <w:r>
        <w:rPr>
          <w:rFonts w:eastAsia="MS Mincho"/>
          <w:color w:val="000000"/>
          <w:szCs w:val="24"/>
          <w:lang w:eastAsia="ja-JP"/>
        </w:rPr>
        <w:t xml:space="preserve">: </w:t>
      </w:r>
      <w:r>
        <w:rPr>
          <w:rFonts w:eastAsia="MS Mincho"/>
          <w:color w:val="000000"/>
          <w:szCs w:val="24"/>
          <w:lang w:eastAsia="ja-JP"/>
        </w:rPr>
        <w:tab/>
        <w:t>“Rust Resistance as DUS Characteristics in Wheat”, presentation prepared by an expert from Australia</w:t>
      </w:r>
    </w:p>
    <w:p w:rsidR="00293817" w:rsidRPr="00D75D49" w:rsidRDefault="00293817" w:rsidP="00293817">
      <w:pPr>
        <w:spacing w:before="120" w:after="120"/>
        <w:ind w:left="1843" w:hanging="1276"/>
        <w:rPr>
          <w:rFonts w:eastAsia="MS Mincho"/>
          <w:color w:val="000000"/>
          <w:szCs w:val="24"/>
          <w:lang w:eastAsia="ja-JP"/>
        </w:rPr>
      </w:pPr>
      <w:r w:rsidRPr="00D75D49">
        <w:rPr>
          <w:rFonts w:eastAsia="MS Mincho"/>
          <w:color w:val="000000"/>
          <w:szCs w:val="24"/>
          <w:lang w:eastAsia="ja-JP"/>
        </w:rPr>
        <w:t xml:space="preserve">ANNEX </w:t>
      </w:r>
      <w:r w:rsidR="00205DFB">
        <w:rPr>
          <w:rFonts w:eastAsia="MS Mincho"/>
          <w:color w:val="000000"/>
          <w:szCs w:val="24"/>
          <w:lang w:eastAsia="ja-JP"/>
        </w:rPr>
        <w:t>I</w:t>
      </w:r>
      <w:r w:rsidRPr="00D75D49">
        <w:rPr>
          <w:rFonts w:eastAsia="MS Mincho"/>
          <w:color w:val="000000"/>
          <w:szCs w:val="24"/>
          <w:lang w:eastAsia="ja-JP"/>
        </w:rPr>
        <w:t xml:space="preserve">I: </w:t>
      </w:r>
      <w:r w:rsidRPr="00D75D49">
        <w:rPr>
          <w:rFonts w:eastAsia="MS Mincho"/>
          <w:color w:val="000000"/>
          <w:szCs w:val="24"/>
          <w:lang w:eastAsia="ja-JP"/>
        </w:rPr>
        <w:tab/>
      </w:r>
      <w:r w:rsidRPr="00D75D49">
        <w:t>“</w:t>
      </w:r>
      <w:r>
        <w:t>Use of disease and insect resistance characteristics in DUS examination:  experience of Brazil with soybean</w:t>
      </w:r>
      <w:r w:rsidRPr="00D75D49">
        <w:t xml:space="preserve">”, </w:t>
      </w:r>
      <w:r w:rsidR="00D137BF">
        <w:t xml:space="preserve">document </w:t>
      </w:r>
      <w:r>
        <w:t xml:space="preserve">prepared </w:t>
      </w:r>
      <w:r w:rsidRPr="00D75D49">
        <w:t xml:space="preserve">by an expert from </w:t>
      </w:r>
      <w:r>
        <w:t>Brazil</w:t>
      </w:r>
    </w:p>
    <w:p w:rsidR="00293817" w:rsidRPr="00D75D49" w:rsidRDefault="00293817" w:rsidP="00293817">
      <w:pPr>
        <w:ind w:left="1843" w:hanging="1276"/>
      </w:pPr>
      <w:r w:rsidRPr="00D75D49">
        <w:rPr>
          <w:rFonts w:eastAsia="MS Mincho"/>
          <w:color w:val="000000"/>
          <w:szCs w:val="24"/>
          <w:lang w:eastAsia="ja-JP"/>
        </w:rPr>
        <w:t>ANNEX I</w:t>
      </w:r>
      <w:r w:rsidR="00205DFB">
        <w:rPr>
          <w:rFonts w:eastAsia="MS Mincho"/>
          <w:color w:val="000000"/>
          <w:szCs w:val="24"/>
          <w:lang w:eastAsia="ja-JP"/>
        </w:rPr>
        <w:t>I</w:t>
      </w:r>
      <w:r w:rsidRPr="00D75D49">
        <w:rPr>
          <w:rFonts w:eastAsia="MS Mincho"/>
          <w:color w:val="000000"/>
          <w:szCs w:val="24"/>
          <w:lang w:eastAsia="ja-JP"/>
        </w:rPr>
        <w:t>I:</w:t>
      </w:r>
      <w:r w:rsidRPr="00D75D49">
        <w:rPr>
          <w:rFonts w:eastAsia="MS Mincho"/>
          <w:color w:val="000000"/>
          <w:szCs w:val="24"/>
          <w:lang w:eastAsia="ja-JP"/>
        </w:rPr>
        <w:tab/>
      </w:r>
      <w:r w:rsidRPr="00D75D49">
        <w:t>“</w:t>
      </w:r>
      <w:r w:rsidRPr="00536EA1">
        <w:rPr>
          <w:rFonts w:cs="Arial"/>
          <w:snapToGrid w:val="0"/>
        </w:rPr>
        <w:t xml:space="preserve">Harmonization of resistance tests for DUS testing:  </w:t>
      </w:r>
      <w:r w:rsidR="00EA79AD">
        <w:rPr>
          <w:rFonts w:cs="Arial"/>
          <w:snapToGrid w:val="0"/>
        </w:rPr>
        <w:t>‘</w:t>
      </w:r>
      <w:proofErr w:type="spellStart"/>
      <w:r w:rsidRPr="00536EA1">
        <w:rPr>
          <w:rFonts w:cs="Arial"/>
          <w:snapToGrid w:val="0"/>
        </w:rPr>
        <w:t>Harmores</w:t>
      </w:r>
      <w:proofErr w:type="spellEnd"/>
      <w:r w:rsidRPr="00536EA1">
        <w:rPr>
          <w:rFonts w:cs="Arial"/>
          <w:snapToGrid w:val="0"/>
        </w:rPr>
        <w:t xml:space="preserve"> 2</w:t>
      </w:r>
      <w:r w:rsidR="00EA79AD">
        <w:rPr>
          <w:rFonts w:cs="Arial"/>
          <w:snapToGrid w:val="0"/>
        </w:rPr>
        <w:t>’</w:t>
      </w:r>
      <w:r w:rsidRPr="00536EA1">
        <w:rPr>
          <w:rFonts w:cs="Arial"/>
          <w:snapToGrid w:val="0"/>
        </w:rPr>
        <w:t>”</w:t>
      </w:r>
      <w:r>
        <w:t>,</w:t>
      </w:r>
      <w:r w:rsidRPr="00D75D49">
        <w:t xml:space="preserve"> </w:t>
      </w:r>
      <w:r w:rsidR="00280EC9">
        <w:t xml:space="preserve">presentation </w:t>
      </w:r>
      <w:r>
        <w:t xml:space="preserve">prepared </w:t>
      </w:r>
      <w:r w:rsidRPr="00D75D49">
        <w:t xml:space="preserve">by an expert from </w:t>
      </w:r>
      <w:r>
        <w:t>the European Union</w:t>
      </w:r>
    </w:p>
    <w:p w:rsidR="00293817" w:rsidRPr="001C3FD8" w:rsidRDefault="00205DFB" w:rsidP="00293817">
      <w:pPr>
        <w:spacing w:before="120" w:after="120"/>
        <w:ind w:left="1843" w:hanging="1276"/>
        <w:rPr>
          <w:rFonts w:eastAsia="MS Mincho"/>
          <w:color w:val="000000"/>
          <w:szCs w:val="24"/>
          <w:lang w:eastAsia="ja-JP"/>
        </w:rPr>
      </w:pPr>
      <w:r>
        <w:rPr>
          <w:rFonts w:eastAsia="MS Mincho"/>
          <w:color w:val="000000"/>
          <w:szCs w:val="24"/>
          <w:lang w:eastAsia="ja-JP"/>
        </w:rPr>
        <w:t>ANNEX IV</w:t>
      </w:r>
      <w:r w:rsidR="00293817" w:rsidRPr="00D75D49">
        <w:rPr>
          <w:rFonts w:eastAsia="MS Mincho"/>
          <w:color w:val="000000"/>
          <w:szCs w:val="24"/>
          <w:lang w:eastAsia="ja-JP"/>
        </w:rPr>
        <w:t xml:space="preserve">: </w:t>
      </w:r>
      <w:r w:rsidR="00293817" w:rsidRPr="00D75D49">
        <w:rPr>
          <w:rFonts w:eastAsia="MS Mincho"/>
          <w:color w:val="000000"/>
          <w:szCs w:val="24"/>
          <w:lang w:eastAsia="ja-JP"/>
        </w:rPr>
        <w:tab/>
      </w:r>
      <w:r w:rsidR="00293817" w:rsidRPr="00D75D49">
        <w:rPr>
          <w:snapToGrid w:val="0"/>
        </w:rPr>
        <w:t>“</w:t>
      </w:r>
      <w:r w:rsidR="00293817" w:rsidRPr="00536EA1">
        <w:rPr>
          <w:rFonts w:cs="Arial"/>
        </w:rPr>
        <w:t>Phasing-in period for asterisked disease resistance characteristics in CPVO vegetable technical protocols</w:t>
      </w:r>
      <w:r w:rsidR="00293817" w:rsidRPr="00D75D49">
        <w:rPr>
          <w:snapToGrid w:val="0"/>
        </w:rPr>
        <w:t>”</w:t>
      </w:r>
      <w:r w:rsidR="00293817">
        <w:rPr>
          <w:snapToGrid w:val="0"/>
        </w:rPr>
        <w:t>,</w:t>
      </w:r>
      <w:r w:rsidR="00293817" w:rsidRPr="00D75D49">
        <w:rPr>
          <w:snapToGrid w:val="0"/>
        </w:rPr>
        <w:t xml:space="preserve"> </w:t>
      </w:r>
      <w:r w:rsidR="00280EC9">
        <w:t xml:space="preserve">presentation </w:t>
      </w:r>
      <w:r w:rsidR="00293817">
        <w:t xml:space="preserve">prepared </w:t>
      </w:r>
      <w:r w:rsidR="00293817">
        <w:rPr>
          <w:snapToGrid w:val="0"/>
        </w:rPr>
        <w:t>by an </w:t>
      </w:r>
      <w:r w:rsidR="00293817" w:rsidRPr="00D75D49">
        <w:rPr>
          <w:snapToGrid w:val="0"/>
        </w:rPr>
        <w:t xml:space="preserve">expert from the </w:t>
      </w:r>
      <w:r w:rsidR="00293817">
        <w:t>European Union</w:t>
      </w:r>
    </w:p>
    <w:p w:rsidR="00293817" w:rsidRPr="0003297F" w:rsidRDefault="00293817" w:rsidP="00293817"/>
    <w:p w:rsidR="00293817" w:rsidRPr="00F72741" w:rsidRDefault="00293817" w:rsidP="00293817">
      <w:pPr>
        <w:pStyle w:val="DecisionParagraphs"/>
      </w:pPr>
      <w:r w:rsidRPr="00F72741">
        <w:fldChar w:fldCharType="begin"/>
      </w:r>
      <w:r w:rsidRPr="00F72741">
        <w:instrText xml:space="preserve"> AUTONUM  </w:instrText>
      </w:r>
      <w:r w:rsidRPr="00F72741">
        <w:fldChar w:fldCharType="end"/>
      </w:r>
      <w:r w:rsidRPr="00F72741">
        <w:tab/>
      </w:r>
      <w:r w:rsidRPr="00293817">
        <w:t xml:space="preserve">The TWA is invited to consider </w:t>
      </w:r>
      <w:r w:rsidR="0096628F" w:rsidRPr="0096628F">
        <w:t xml:space="preserve">the information to be presented </w:t>
      </w:r>
      <w:r w:rsidRPr="00293817">
        <w:t>at its forty-sixth session on the use of disease and insect resistance characteristics in DUS examination,</w:t>
      </w:r>
      <w:r w:rsidR="003E1539">
        <w:t xml:space="preserve"> as presented in Annexes I to IV</w:t>
      </w:r>
      <w:r w:rsidRPr="00293817">
        <w:t xml:space="preserve"> to this document.</w:t>
      </w:r>
    </w:p>
    <w:p w:rsidR="00293817" w:rsidRPr="00F72741" w:rsidRDefault="00293817" w:rsidP="00293817"/>
    <w:p w:rsidR="00293817" w:rsidRPr="001C3FD8" w:rsidRDefault="00293817" w:rsidP="00293817">
      <w:pPr>
        <w:rPr>
          <w:highlight w:val="yellow"/>
        </w:rPr>
      </w:pPr>
    </w:p>
    <w:p w:rsidR="00293817" w:rsidRPr="001C3FD8" w:rsidRDefault="00293817" w:rsidP="00293817">
      <w:pPr>
        <w:rPr>
          <w:highlight w:val="yellow"/>
        </w:rPr>
      </w:pPr>
    </w:p>
    <w:p w:rsidR="00293817" w:rsidRPr="0098080E" w:rsidRDefault="00293817" w:rsidP="00293817">
      <w:pPr>
        <w:jc w:val="right"/>
      </w:pPr>
      <w:r w:rsidRPr="005041E8">
        <w:t>[Annexes follow]</w:t>
      </w:r>
    </w:p>
    <w:p w:rsidR="00756A79" w:rsidRDefault="00756A79" w:rsidP="00756A79"/>
    <w:p w:rsidR="00756A79" w:rsidRDefault="00756A79" w:rsidP="00756A79"/>
    <w:p w:rsidR="00756A79" w:rsidRDefault="00756A79" w:rsidP="00756A79"/>
    <w:p w:rsidR="00756A79" w:rsidRDefault="00756A79" w:rsidP="00756A79">
      <w:pPr>
        <w:sectPr w:rsidR="00756A79" w:rsidSect="00C70434">
          <w:headerReference w:type="default" r:id="rId9"/>
          <w:pgSz w:w="11907" w:h="16840" w:code="9"/>
          <w:pgMar w:top="510" w:right="1134" w:bottom="1134" w:left="1134" w:header="510" w:footer="680" w:gutter="0"/>
          <w:pgNumType w:start="1"/>
          <w:cols w:space="720"/>
          <w:titlePg/>
        </w:sectPr>
      </w:pPr>
    </w:p>
    <w:p w:rsidR="00D47E93" w:rsidRPr="00800F6C" w:rsidRDefault="00D47E93" w:rsidP="00D47E93">
      <w:pPr>
        <w:jc w:val="center"/>
      </w:pPr>
      <w:r>
        <w:lastRenderedPageBreak/>
        <w:t>TWA/46/7</w:t>
      </w:r>
    </w:p>
    <w:p w:rsidR="00D47E93" w:rsidRPr="00800F6C" w:rsidRDefault="00D47E93" w:rsidP="00D47E93">
      <w:pPr>
        <w:jc w:val="center"/>
      </w:pPr>
    </w:p>
    <w:p w:rsidR="00D47E93" w:rsidRPr="00800F6C" w:rsidRDefault="00D47E93" w:rsidP="00D47E93">
      <w:pPr>
        <w:jc w:val="center"/>
      </w:pPr>
      <w:r w:rsidRPr="00800F6C">
        <w:t>ANNEX</w:t>
      </w:r>
      <w:r>
        <w:t xml:space="preserve"> I</w:t>
      </w:r>
    </w:p>
    <w:p w:rsidR="00D47E93" w:rsidRDefault="00D47E93" w:rsidP="00D47E93">
      <w:pPr>
        <w:jc w:val="center"/>
      </w:pPr>
    </w:p>
    <w:p w:rsidR="00884D83" w:rsidRDefault="00884D83" w:rsidP="00D47E93">
      <w:pPr>
        <w:jc w:val="center"/>
      </w:pPr>
    </w:p>
    <w:p w:rsidR="00D47E93" w:rsidRDefault="00FE5364" w:rsidP="00756A79">
      <w:pPr>
        <w:jc w:val="center"/>
      </w:pPr>
      <w:r w:rsidRPr="00FE5364">
        <w:rPr>
          <w:noProof/>
        </w:rPr>
        <w:drawing>
          <wp:inline distT="0" distB="0" distL="0" distR="0" wp14:anchorId="536D3C15" wp14:editId="20A6D9DB">
            <wp:extent cx="5032800" cy="3772800"/>
            <wp:effectExtent l="19050" t="19050" r="1587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585A9B6F" wp14:editId="2709C46C">
            <wp:extent cx="5032800" cy="3772800"/>
            <wp:effectExtent l="19050" t="19050" r="15875"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r>
        <w:br w:type="page"/>
      </w:r>
    </w:p>
    <w:p w:rsidR="00FE5364" w:rsidRDefault="00FE5364" w:rsidP="00756A79">
      <w:pPr>
        <w:jc w:val="center"/>
      </w:pPr>
    </w:p>
    <w:p w:rsidR="00FE5364" w:rsidRDefault="00FE5364" w:rsidP="00756A79">
      <w:pPr>
        <w:jc w:val="center"/>
      </w:pPr>
      <w:r w:rsidRPr="00FE5364">
        <w:rPr>
          <w:noProof/>
        </w:rPr>
        <w:drawing>
          <wp:inline distT="0" distB="0" distL="0" distR="0" wp14:anchorId="025F4D11" wp14:editId="1D1C3BE0">
            <wp:extent cx="5032800" cy="3772800"/>
            <wp:effectExtent l="19050" t="19050" r="15875"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2923562E" wp14:editId="4BADDE21">
            <wp:extent cx="5032800" cy="3772800"/>
            <wp:effectExtent l="19050" t="19050" r="15875"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r>
        <w:br w:type="page"/>
      </w:r>
    </w:p>
    <w:p w:rsidR="00FE5364" w:rsidRDefault="00FE5364" w:rsidP="00756A79">
      <w:pPr>
        <w:jc w:val="center"/>
      </w:pPr>
    </w:p>
    <w:p w:rsidR="00FE5364" w:rsidRDefault="00FE5364" w:rsidP="00756A79">
      <w:pPr>
        <w:jc w:val="center"/>
      </w:pPr>
      <w:r w:rsidRPr="00FE5364">
        <w:rPr>
          <w:noProof/>
        </w:rPr>
        <w:drawing>
          <wp:inline distT="0" distB="0" distL="0" distR="0" wp14:anchorId="103E1F2F" wp14:editId="3A3F1482">
            <wp:extent cx="5032800" cy="3772800"/>
            <wp:effectExtent l="19050" t="19050" r="1587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70718830" wp14:editId="4E828F99">
            <wp:extent cx="5032800" cy="3772800"/>
            <wp:effectExtent l="19050" t="19050" r="1587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r>
        <w:br w:type="page"/>
      </w:r>
    </w:p>
    <w:p w:rsidR="00FE5364" w:rsidRDefault="00FE5364" w:rsidP="00756A79">
      <w:pPr>
        <w:jc w:val="center"/>
      </w:pPr>
    </w:p>
    <w:p w:rsidR="00FE5364" w:rsidRDefault="00FE5364" w:rsidP="00756A79">
      <w:pPr>
        <w:jc w:val="center"/>
      </w:pPr>
      <w:r w:rsidRPr="00FE5364">
        <w:rPr>
          <w:noProof/>
        </w:rPr>
        <w:drawing>
          <wp:inline distT="0" distB="0" distL="0" distR="0" wp14:anchorId="5D696290" wp14:editId="2EF71EEE">
            <wp:extent cx="5032800" cy="3772800"/>
            <wp:effectExtent l="19050" t="19050" r="1587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6327AF7D" wp14:editId="0484483F">
            <wp:extent cx="5032800" cy="3772800"/>
            <wp:effectExtent l="19050" t="19050" r="1587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br w:type="page"/>
      </w:r>
    </w:p>
    <w:p w:rsidR="00FE5364" w:rsidRDefault="00FE5364" w:rsidP="00756A79">
      <w:pPr>
        <w:jc w:val="center"/>
      </w:pPr>
    </w:p>
    <w:p w:rsidR="00FE5364" w:rsidRDefault="00FE5364" w:rsidP="00756A79">
      <w:pPr>
        <w:jc w:val="center"/>
      </w:pPr>
      <w:r w:rsidRPr="00FE5364">
        <w:rPr>
          <w:noProof/>
        </w:rPr>
        <w:drawing>
          <wp:inline distT="0" distB="0" distL="0" distR="0" wp14:anchorId="28516059" wp14:editId="54EA0AED">
            <wp:extent cx="5032800" cy="3772800"/>
            <wp:effectExtent l="19050" t="19050" r="1587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1CC93A40" wp14:editId="6ECC70E1">
            <wp:extent cx="5032800" cy="3772800"/>
            <wp:effectExtent l="19050" t="19050" r="1587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br w:type="page"/>
      </w:r>
    </w:p>
    <w:p w:rsidR="00FE5364" w:rsidRDefault="00FE5364" w:rsidP="00756A79">
      <w:pPr>
        <w:jc w:val="center"/>
      </w:pPr>
    </w:p>
    <w:p w:rsidR="00FE5364" w:rsidRDefault="00FE5364" w:rsidP="00756A79">
      <w:pPr>
        <w:jc w:val="center"/>
      </w:pPr>
      <w:r w:rsidRPr="00FE5364">
        <w:rPr>
          <w:noProof/>
        </w:rPr>
        <w:drawing>
          <wp:inline distT="0" distB="0" distL="0" distR="0" wp14:anchorId="622A3D2B" wp14:editId="0979944F">
            <wp:extent cx="5032800" cy="3772800"/>
            <wp:effectExtent l="19050" t="19050" r="15875"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16F012B7" wp14:editId="130AB858">
            <wp:extent cx="5032800" cy="3772800"/>
            <wp:effectExtent l="19050" t="19050" r="15875"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r>
        <w:br w:type="page"/>
      </w:r>
    </w:p>
    <w:p w:rsidR="00FE5364" w:rsidRDefault="00FE5364" w:rsidP="00756A79">
      <w:pPr>
        <w:jc w:val="center"/>
      </w:pPr>
    </w:p>
    <w:p w:rsidR="00FE5364" w:rsidRDefault="00FE5364" w:rsidP="00756A79">
      <w:pPr>
        <w:jc w:val="center"/>
      </w:pPr>
      <w:r w:rsidRPr="00FE5364">
        <w:rPr>
          <w:noProof/>
        </w:rPr>
        <w:drawing>
          <wp:inline distT="0" distB="0" distL="0" distR="0" wp14:anchorId="6DFFB8B0" wp14:editId="065D2496">
            <wp:extent cx="5032800" cy="3772800"/>
            <wp:effectExtent l="19050" t="19050" r="1587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1FD729D5" wp14:editId="1C6CA62D">
            <wp:extent cx="5032800" cy="3772800"/>
            <wp:effectExtent l="19050" t="19050" r="15875"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r>
        <w:br w:type="page"/>
      </w:r>
    </w:p>
    <w:p w:rsidR="00FE5364" w:rsidRDefault="00FE5364" w:rsidP="00756A79">
      <w:pPr>
        <w:jc w:val="center"/>
      </w:pPr>
    </w:p>
    <w:p w:rsidR="00FE5364" w:rsidRDefault="00FE5364" w:rsidP="00756A79">
      <w:pPr>
        <w:jc w:val="center"/>
      </w:pPr>
      <w:r w:rsidRPr="00FE5364">
        <w:rPr>
          <w:noProof/>
        </w:rPr>
        <w:drawing>
          <wp:inline distT="0" distB="0" distL="0" distR="0" wp14:anchorId="4FE0988F" wp14:editId="7649906B">
            <wp:extent cx="5032800" cy="3772800"/>
            <wp:effectExtent l="19050" t="19050" r="15875"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22461C7D" wp14:editId="76BFBC00">
            <wp:extent cx="5032800" cy="3772800"/>
            <wp:effectExtent l="19050" t="19050" r="15875"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r>
        <w:br w:type="page"/>
      </w:r>
    </w:p>
    <w:p w:rsidR="00FE5364" w:rsidRDefault="00FE5364" w:rsidP="00756A79">
      <w:pPr>
        <w:jc w:val="center"/>
      </w:pPr>
    </w:p>
    <w:p w:rsidR="00FE5364" w:rsidRDefault="00FE5364" w:rsidP="00756A79">
      <w:pPr>
        <w:jc w:val="center"/>
      </w:pPr>
      <w:r w:rsidRPr="00FE5364">
        <w:rPr>
          <w:noProof/>
        </w:rPr>
        <w:drawing>
          <wp:inline distT="0" distB="0" distL="0" distR="0" wp14:anchorId="2D8D57B3" wp14:editId="226A318A">
            <wp:extent cx="5032800" cy="3772800"/>
            <wp:effectExtent l="19050" t="19050" r="1587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032800" cy="3772800"/>
                    </a:xfrm>
                    <a:prstGeom prst="rect">
                      <a:avLst/>
                    </a:prstGeom>
                    <a:ln>
                      <a:solidFill>
                        <a:schemeClr val="tx1"/>
                      </a:solidFill>
                    </a:ln>
                  </pic:spPr>
                </pic:pic>
              </a:graphicData>
            </a:graphic>
          </wp:inline>
        </w:drawing>
      </w:r>
    </w:p>
    <w:p w:rsidR="00FE5364" w:rsidRDefault="00FE5364" w:rsidP="00756A79">
      <w:pPr>
        <w:jc w:val="center"/>
      </w:pPr>
    </w:p>
    <w:p w:rsidR="00FE5364" w:rsidRDefault="00FE5364" w:rsidP="00756A79">
      <w:pPr>
        <w:jc w:val="center"/>
      </w:pPr>
    </w:p>
    <w:p w:rsidR="00FE5364" w:rsidRDefault="00FE5364" w:rsidP="00756A79">
      <w:pPr>
        <w:jc w:val="center"/>
      </w:pPr>
      <w:r w:rsidRPr="00FE5364">
        <w:rPr>
          <w:noProof/>
        </w:rPr>
        <w:drawing>
          <wp:inline distT="0" distB="0" distL="0" distR="0" wp14:anchorId="418FC74A" wp14:editId="43DD3667">
            <wp:extent cx="5032800" cy="3772800"/>
            <wp:effectExtent l="19050" t="19050" r="15875" b="184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032800" cy="3772800"/>
                    </a:xfrm>
                    <a:prstGeom prst="rect">
                      <a:avLst/>
                    </a:prstGeom>
                    <a:ln>
                      <a:solidFill>
                        <a:schemeClr val="tx1"/>
                      </a:solidFill>
                    </a:ln>
                  </pic:spPr>
                </pic:pic>
              </a:graphicData>
            </a:graphic>
          </wp:inline>
        </w:drawing>
      </w:r>
    </w:p>
    <w:p w:rsidR="00FE5364" w:rsidRPr="00800F6C" w:rsidRDefault="00FE5364" w:rsidP="00FE5364"/>
    <w:p w:rsidR="00FE5364" w:rsidRPr="00800F6C" w:rsidRDefault="00FE5364" w:rsidP="00FE5364"/>
    <w:p w:rsidR="00FE5364" w:rsidRPr="00800F6C" w:rsidRDefault="00FE5364" w:rsidP="00FE5364"/>
    <w:p w:rsidR="00FE5364" w:rsidRDefault="00FE5364" w:rsidP="00FE5364">
      <w:pPr>
        <w:jc w:val="right"/>
      </w:pPr>
      <w:r w:rsidRPr="00800F6C">
        <w:t>[</w:t>
      </w:r>
      <w:r>
        <w:t>Annex II follows</w:t>
      </w:r>
      <w:r w:rsidRPr="00800F6C">
        <w:t>]</w:t>
      </w:r>
    </w:p>
    <w:p w:rsidR="00D47E93" w:rsidRDefault="00D47E93" w:rsidP="00756A79">
      <w:pPr>
        <w:jc w:val="center"/>
      </w:pPr>
    </w:p>
    <w:p w:rsidR="00D47E93" w:rsidRDefault="00D47E93" w:rsidP="00756A79">
      <w:pPr>
        <w:jc w:val="center"/>
        <w:sectPr w:rsidR="00D47E93" w:rsidSect="00C70434">
          <w:headerReference w:type="default" r:id="rId28"/>
          <w:pgSz w:w="11907" w:h="16840" w:code="9"/>
          <w:pgMar w:top="510" w:right="1134" w:bottom="1134" w:left="1134" w:header="510" w:footer="680" w:gutter="0"/>
          <w:pgNumType w:start="1"/>
          <w:cols w:space="720"/>
          <w:titlePg/>
        </w:sectPr>
      </w:pPr>
    </w:p>
    <w:p w:rsidR="00756A79" w:rsidRPr="00800F6C" w:rsidRDefault="00756A79" w:rsidP="00756A79">
      <w:pPr>
        <w:jc w:val="center"/>
      </w:pPr>
      <w:r>
        <w:t>TWA/46/7</w:t>
      </w:r>
    </w:p>
    <w:p w:rsidR="00756A79" w:rsidRPr="00800F6C" w:rsidRDefault="00756A79" w:rsidP="00756A79">
      <w:pPr>
        <w:jc w:val="center"/>
      </w:pPr>
    </w:p>
    <w:p w:rsidR="00756A79" w:rsidRPr="00800F6C" w:rsidRDefault="00756A79" w:rsidP="00756A79">
      <w:pPr>
        <w:jc w:val="center"/>
      </w:pPr>
      <w:r w:rsidRPr="00800F6C">
        <w:t>ANNEX</w:t>
      </w:r>
      <w:r>
        <w:t xml:space="preserve"> I</w:t>
      </w:r>
      <w:r w:rsidR="00D47E93">
        <w:t>I</w:t>
      </w:r>
    </w:p>
    <w:p w:rsidR="00756A79" w:rsidRDefault="00756A79" w:rsidP="00756A79">
      <w:pPr>
        <w:jc w:val="center"/>
      </w:pPr>
    </w:p>
    <w:p w:rsidR="00756A79" w:rsidRDefault="00756A79" w:rsidP="00756A79">
      <w:pPr>
        <w:jc w:val="center"/>
      </w:pPr>
      <w:r w:rsidRPr="00756A79">
        <w:t>USE OF DISEASE AND INSECT RESISTANCE CHARACTERISTICS IN DUS EXAMINATION</w:t>
      </w:r>
      <w:r>
        <w:t>:</w:t>
      </w:r>
    </w:p>
    <w:p w:rsidR="00756A79" w:rsidRDefault="00756A79" w:rsidP="00756A79">
      <w:pPr>
        <w:jc w:val="center"/>
        <w:rPr>
          <w:snapToGrid w:val="0"/>
        </w:rPr>
      </w:pPr>
      <w:r w:rsidRPr="00756A79">
        <w:t>EXPERIENCE OF BRAZIL WITH SOYBEAN</w:t>
      </w:r>
    </w:p>
    <w:p w:rsidR="00756A79" w:rsidRDefault="00756A79" w:rsidP="00756A79">
      <w:pPr>
        <w:jc w:val="center"/>
        <w:rPr>
          <w:snapToGrid w:val="0"/>
        </w:rPr>
      </w:pPr>
    </w:p>
    <w:p w:rsidR="00756A79" w:rsidRDefault="00756A79" w:rsidP="00756A79">
      <w:pPr>
        <w:jc w:val="center"/>
        <w:rPr>
          <w:snapToGrid w:val="0"/>
        </w:rPr>
      </w:pPr>
    </w:p>
    <w:p w:rsidR="00756A79" w:rsidRPr="0098080E" w:rsidRDefault="00756A79" w:rsidP="00756A79">
      <w:pPr>
        <w:jc w:val="center"/>
      </w:pPr>
      <w:r w:rsidRPr="0098080E">
        <w:t xml:space="preserve">Document prepared by an expert from </w:t>
      </w:r>
      <w:r>
        <w:rPr>
          <w:snapToGrid w:val="0"/>
        </w:rPr>
        <w:t>Brazil</w:t>
      </w:r>
    </w:p>
    <w:p w:rsidR="00756A79" w:rsidRDefault="00756A79" w:rsidP="00756A79"/>
    <w:p w:rsidR="00BA6D23" w:rsidRPr="00756A79" w:rsidRDefault="00BA6D23" w:rsidP="00756A79"/>
    <w:p w:rsidR="00C70434" w:rsidRPr="00BA6D23" w:rsidRDefault="00612188" w:rsidP="00BA6D23">
      <w:pPr>
        <w:rPr>
          <w:u w:val="single"/>
        </w:rPr>
      </w:pPr>
      <w:r w:rsidRPr="00BA6D23">
        <w:rPr>
          <w:u w:val="single"/>
        </w:rPr>
        <w:t>Disease and insect resistance as a characteristic</w:t>
      </w:r>
    </w:p>
    <w:p w:rsidR="00C70434" w:rsidRPr="00800F6C" w:rsidRDefault="00C70434" w:rsidP="00612188">
      <w:pPr>
        <w:rPr>
          <w:rFonts w:cs="Arial"/>
        </w:rPr>
      </w:pPr>
    </w:p>
    <w:p w:rsidR="00C70434" w:rsidRPr="00800F6C" w:rsidRDefault="00130E23" w:rsidP="00612188">
      <w:pPr>
        <w:rPr>
          <w:rFonts w:cs="Arial"/>
        </w:rPr>
      </w:pPr>
      <w:r w:rsidRPr="00800F6C">
        <w:rPr>
          <w:rFonts w:cs="Arial"/>
        </w:rPr>
        <w:t>Document TG/1/3</w:t>
      </w:r>
      <w:r w:rsidR="00C70434" w:rsidRPr="00800F6C">
        <w:rPr>
          <w:rFonts w:cs="Arial"/>
        </w:rPr>
        <w:t xml:space="preserve">, chapter 4.6.1 states that characteristics based on the response to external factors, such as living organisms, may be used in DUS tests provided that they fulfil the criteria specified for selection of characteristics. Nevertheless, considering the potential variation in such </w:t>
      </w:r>
      <w:r w:rsidR="00545BF0" w:rsidRPr="00800F6C">
        <w:rPr>
          <w:rFonts w:cs="Arial"/>
        </w:rPr>
        <w:t xml:space="preserve">external </w:t>
      </w:r>
      <w:r w:rsidR="00C70434" w:rsidRPr="00800F6C">
        <w:rPr>
          <w:rFonts w:cs="Arial"/>
        </w:rPr>
        <w:t>factors, it is important for those characteristics to be well defined and have an appropriate method established to ensure consistency in the examination.</w:t>
      </w:r>
    </w:p>
    <w:p w:rsidR="00C70434" w:rsidRPr="00800F6C" w:rsidRDefault="00C70434" w:rsidP="00612188">
      <w:pPr>
        <w:rPr>
          <w:rFonts w:cs="Arial"/>
        </w:rPr>
      </w:pPr>
    </w:p>
    <w:p w:rsidR="00C70434" w:rsidRPr="00800F6C" w:rsidRDefault="00C70434" w:rsidP="00612188">
      <w:pPr>
        <w:rPr>
          <w:rFonts w:cs="Arial"/>
        </w:rPr>
      </w:pPr>
      <w:r w:rsidRPr="00800F6C">
        <w:rPr>
          <w:rFonts w:cs="Arial"/>
        </w:rPr>
        <w:t xml:space="preserve">Considering these points, the Brazilian PVP Office (SNPC) started in 2007 a </w:t>
      </w:r>
      <w:proofErr w:type="spellStart"/>
      <w:r w:rsidRPr="00800F6C">
        <w:rPr>
          <w:rFonts w:cs="Arial"/>
        </w:rPr>
        <w:t>workplan</w:t>
      </w:r>
      <w:proofErr w:type="spellEnd"/>
      <w:r w:rsidRPr="00800F6C">
        <w:rPr>
          <w:rFonts w:cs="Arial"/>
        </w:rPr>
        <w:t xml:space="preserve"> in order to define disease resistance characteristics to be used in the DUS tests of soybean (</w:t>
      </w:r>
      <w:r w:rsidRPr="00800F6C">
        <w:rPr>
          <w:rFonts w:cs="Arial"/>
          <w:i/>
        </w:rPr>
        <w:t>Glycine max</w:t>
      </w:r>
      <w:r w:rsidRPr="00800F6C">
        <w:rPr>
          <w:rFonts w:cs="Arial"/>
        </w:rPr>
        <w:t xml:space="preserve"> (L.) Merrill).</w:t>
      </w:r>
    </w:p>
    <w:p w:rsidR="00C70434" w:rsidRDefault="00C70434" w:rsidP="00612188">
      <w:pPr>
        <w:rPr>
          <w:rFonts w:cs="Arial"/>
        </w:rPr>
      </w:pPr>
    </w:p>
    <w:p w:rsidR="00612188" w:rsidRPr="00800F6C" w:rsidRDefault="00612188" w:rsidP="00612188">
      <w:pPr>
        <w:rPr>
          <w:rFonts w:cs="Arial"/>
        </w:rPr>
      </w:pPr>
    </w:p>
    <w:p w:rsidR="00C70434" w:rsidRPr="00800F6C" w:rsidRDefault="00612188" w:rsidP="00612188">
      <w:pPr>
        <w:rPr>
          <w:rFonts w:cs="Arial"/>
          <w:u w:val="single"/>
        </w:rPr>
      </w:pPr>
      <w:r w:rsidRPr="00800F6C">
        <w:rPr>
          <w:rFonts w:cs="Arial"/>
          <w:u w:val="single"/>
        </w:rPr>
        <w:t>Variety protection of soybean in Brazil</w:t>
      </w:r>
    </w:p>
    <w:p w:rsidR="00C70434" w:rsidRPr="00800F6C" w:rsidRDefault="00C70434" w:rsidP="00612188">
      <w:pPr>
        <w:rPr>
          <w:rFonts w:cs="Arial"/>
        </w:rPr>
      </w:pPr>
    </w:p>
    <w:p w:rsidR="00C70434" w:rsidRPr="00800F6C" w:rsidRDefault="00C70434" w:rsidP="00612188">
      <w:pPr>
        <w:rPr>
          <w:rFonts w:cs="Arial"/>
        </w:rPr>
      </w:pPr>
      <w:r w:rsidRPr="00800F6C">
        <w:rPr>
          <w:rFonts w:cs="Arial"/>
        </w:rPr>
        <w:t xml:space="preserve">By the end of 2016, the SNPC had received 1346 PVP applications </w:t>
      </w:r>
      <w:r w:rsidR="00EA79AD">
        <w:rPr>
          <w:rFonts w:cs="Arial"/>
        </w:rPr>
        <w:t>for</w:t>
      </w:r>
      <w:r w:rsidRPr="00800F6C">
        <w:rPr>
          <w:rFonts w:cs="Arial"/>
        </w:rPr>
        <w:t xml:space="preserve"> Soybean</w:t>
      </w:r>
      <w:r w:rsidR="00EA79AD">
        <w:rPr>
          <w:rFonts w:cs="Arial"/>
        </w:rPr>
        <w:t xml:space="preserve"> varieties</w:t>
      </w:r>
      <w:r w:rsidRPr="00800F6C">
        <w:rPr>
          <w:rFonts w:cs="Arial"/>
        </w:rPr>
        <w:t xml:space="preserve">. </w:t>
      </w:r>
    </w:p>
    <w:p w:rsidR="00C70434" w:rsidRPr="00800F6C" w:rsidRDefault="00C70434" w:rsidP="00612188">
      <w:pPr>
        <w:rPr>
          <w:rFonts w:cs="Arial"/>
        </w:rPr>
      </w:pPr>
    </w:p>
    <w:p w:rsidR="00C70434" w:rsidRPr="00800F6C" w:rsidRDefault="00C70434" w:rsidP="00612188">
      <w:pPr>
        <w:rPr>
          <w:rFonts w:cs="Arial"/>
        </w:rPr>
      </w:pPr>
      <w:r w:rsidRPr="00800F6C">
        <w:rPr>
          <w:rFonts w:cs="Arial"/>
        </w:rPr>
        <w:t xml:space="preserve">Despite the high number of applications, the candidate varieties have a narrow genetic basis, </w:t>
      </w:r>
      <w:r w:rsidR="00BA6D23">
        <w:rPr>
          <w:rFonts w:cs="Arial"/>
        </w:rPr>
        <w:t>because of</w:t>
      </w:r>
      <w:r w:rsidRPr="00800F6C">
        <w:rPr>
          <w:rFonts w:cs="Arial"/>
        </w:rPr>
        <w:t xml:space="preserve"> the </w:t>
      </w:r>
      <w:r w:rsidR="00800F6C" w:rsidRPr="00800F6C">
        <w:rPr>
          <w:rFonts w:cs="Arial"/>
        </w:rPr>
        <w:t>low</w:t>
      </w:r>
      <w:r w:rsidRPr="00800F6C">
        <w:rPr>
          <w:rFonts w:cs="Arial"/>
        </w:rPr>
        <w:t xml:space="preserve"> number of ancestors used in the breeding programs. Thus, from 2005</w:t>
      </w:r>
      <w:r w:rsidR="00BA6D23">
        <w:rPr>
          <w:rFonts w:cs="Arial"/>
        </w:rPr>
        <w:t>,</w:t>
      </w:r>
      <w:r w:rsidRPr="00800F6C">
        <w:rPr>
          <w:rFonts w:cs="Arial"/>
        </w:rPr>
        <w:t xml:space="preserve"> the </w:t>
      </w:r>
      <w:r w:rsidR="00800F6C" w:rsidRPr="00800F6C">
        <w:rPr>
          <w:rFonts w:cs="Arial"/>
        </w:rPr>
        <w:t>assessment</w:t>
      </w:r>
      <w:r w:rsidRPr="00800F6C">
        <w:rPr>
          <w:rFonts w:cs="Arial"/>
        </w:rPr>
        <w:t xml:space="preserve"> of distinctness based on morphological characteristics became a problem.</w:t>
      </w:r>
    </w:p>
    <w:p w:rsidR="00C70434" w:rsidRDefault="00C70434" w:rsidP="00612188">
      <w:pPr>
        <w:rPr>
          <w:rFonts w:cs="Arial"/>
        </w:rPr>
      </w:pPr>
    </w:p>
    <w:p w:rsidR="00EC1D1E" w:rsidRDefault="00EC1D1E" w:rsidP="00612188">
      <w:pPr>
        <w:rPr>
          <w:rFonts w:cs="Arial"/>
        </w:rPr>
      </w:pPr>
      <w:r w:rsidRPr="00EA79AD">
        <w:rPr>
          <w:rFonts w:cs="Arial"/>
        </w:rPr>
        <w:t xml:space="preserve">At that time, disease resistance characteristics </w:t>
      </w:r>
      <w:r w:rsidR="00A0314E">
        <w:rPr>
          <w:rFonts w:cs="Arial"/>
        </w:rPr>
        <w:t xml:space="preserve">used in </w:t>
      </w:r>
      <w:r w:rsidR="00A0314E" w:rsidRPr="00EA79AD">
        <w:rPr>
          <w:rFonts w:cs="Arial"/>
        </w:rPr>
        <w:t xml:space="preserve">the </w:t>
      </w:r>
      <w:r w:rsidR="00A0314E">
        <w:rPr>
          <w:rFonts w:cs="Arial"/>
        </w:rPr>
        <w:t xml:space="preserve">national </w:t>
      </w:r>
      <w:r w:rsidR="00A0314E" w:rsidRPr="00EA79AD">
        <w:rPr>
          <w:rFonts w:cs="Arial"/>
        </w:rPr>
        <w:t xml:space="preserve">test guidelines contained </w:t>
      </w:r>
      <w:r w:rsidR="00A0314E">
        <w:rPr>
          <w:rFonts w:cs="Arial"/>
        </w:rPr>
        <w:t>no</w:t>
      </w:r>
      <w:r w:rsidRPr="00EA79AD">
        <w:rPr>
          <w:rFonts w:cs="Arial"/>
        </w:rPr>
        <w:t xml:space="preserve"> harmonized protocol for examination.</w:t>
      </w:r>
    </w:p>
    <w:p w:rsidR="00EC1D1E" w:rsidRPr="00800F6C" w:rsidRDefault="00EC1D1E" w:rsidP="00612188">
      <w:pPr>
        <w:rPr>
          <w:rFonts w:cs="Arial"/>
        </w:rPr>
      </w:pPr>
    </w:p>
    <w:p w:rsidR="00C70434" w:rsidRPr="00800F6C" w:rsidRDefault="00C70434" w:rsidP="00612188">
      <w:pPr>
        <w:rPr>
          <w:rFonts w:cs="Arial"/>
        </w:rPr>
      </w:pPr>
      <w:r w:rsidRPr="00800F6C">
        <w:rPr>
          <w:rFonts w:cs="Arial"/>
        </w:rPr>
        <w:t>Considering that disease resistance is one of the main purpose</w:t>
      </w:r>
      <w:r w:rsidR="00130E23" w:rsidRPr="00800F6C">
        <w:rPr>
          <w:rFonts w:cs="Arial"/>
        </w:rPr>
        <w:t>s</w:t>
      </w:r>
      <w:r w:rsidRPr="00800F6C">
        <w:rPr>
          <w:rFonts w:cs="Arial"/>
        </w:rPr>
        <w:t xml:space="preserve"> of breeding programs and the need of increasing the number of characteristics to </w:t>
      </w:r>
      <w:r w:rsidR="00130E23" w:rsidRPr="00800F6C">
        <w:rPr>
          <w:rFonts w:cs="Arial"/>
        </w:rPr>
        <w:t xml:space="preserve">distinguish </w:t>
      </w:r>
      <w:r w:rsidRPr="00800F6C">
        <w:rPr>
          <w:rFonts w:cs="Arial"/>
        </w:rPr>
        <w:t>the new varieties</w:t>
      </w:r>
      <w:r w:rsidR="003B07CF" w:rsidRPr="00800F6C">
        <w:rPr>
          <w:rFonts w:cs="Arial"/>
        </w:rPr>
        <w:t>,</w:t>
      </w:r>
      <w:r w:rsidRPr="00800F6C">
        <w:rPr>
          <w:rFonts w:cs="Arial"/>
        </w:rPr>
        <w:t xml:space="preserve"> the SNPC decided to improve the use of such characteristics for DUS examination.</w:t>
      </w:r>
    </w:p>
    <w:p w:rsidR="00C70434" w:rsidRPr="00800F6C" w:rsidRDefault="00C70434" w:rsidP="00612188">
      <w:pPr>
        <w:rPr>
          <w:rFonts w:cs="Arial"/>
        </w:rPr>
      </w:pPr>
    </w:p>
    <w:p w:rsidR="00C70434" w:rsidRPr="00800F6C" w:rsidRDefault="003B07CF" w:rsidP="00612188">
      <w:pPr>
        <w:rPr>
          <w:rFonts w:cs="Arial"/>
        </w:rPr>
      </w:pPr>
      <w:r w:rsidRPr="00800F6C">
        <w:rPr>
          <w:rFonts w:cs="Arial"/>
        </w:rPr>
        <w:t xml:space="preserve">In </w:t>
      </w:r>
      <w:r w:rsidR="00C70434" w:rsidRPr="00800F6C">
        <w:rPr>
          <w:rFonts w:cs="Arial"/>
        </w:rPr>
        <w:t xml:space="preserve">this regard, through the indication of breeding companies and invitation of the SNPC, a working group of experts consisting of </w:t>
      </w:r>
      <w:proofErr w:type="spellStart"/>
      <w:r w:rsidR="00C70434" w:rsidRPr="00800F6C">
        <w:rPr>
          <w:rFonts w:cs="Arial"/>
        </w:rPr>
        <w:t>phytopatologists</w:t>
      </w:r>
      <w:proofErr w:type="spellEnd"/>
      <w:r w:rsidR="00C70434" w:rsidRPr="00800F6C">
        <w:rPr>
          <w:rFonts w:cs="Arial"/>
        </w:rPr>
        <w:t xml:space="preserve"> and breeders was established and a schedule of meetings was planned for a year. The objective was to review and suggest disease characteristics to be used on the DUS </w:t>
      </w:r>
      <w:r w:rsidR="004B706A">
        <w:rPr>
          <w:rFonts w:cs="Arial"/>
        </w:rPr>
        <w:t>test g</w:t>
      </w:r>
      <w:r w:rsidR="00C70434" w:rsidRPr="00800F6C">
        <w:rPr>
          <w:rFonts w:cs="Arial"/>
        </w:rPr>
        <w:t>uidelines and to define standard protocols to be used. The work was conducted as follows:</w:t>
      </w:r>
    </w:p>
    <w:p w:rsidR="00C70434" w:rsidRPr="00800F6C" w:rsidRDefault="00C70434" w:rsidP="00612188">
      <w:pPr>
        <w:rPr>
          <w:rFonts w:cs="Arial"/>
        </w:rPr>
      </w:pPr>
    </w:p>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 xml:space="preserve">The SNPC carried out a previous research and conducted a survey with the breeders and </w:t>
      </w:r>
      <w:proofErr w:type="spellStart"/>
      <w:r w:rsidRPr="00800F6C">
        <w:rPr>
          <w:rFonts w:ascii="Arial" w:hAnsi="Arial" w:cs="Arial"/>
          <w:sz w:val="20"/>
          <w:szCs w:val="20"/>
          <w:lang w:val="en-US"/>
        </w:rPr>
        <w:t>phytopatologists</w:t>
      </w:r>
      <w:proofErr w:type="spellEnd"/>
      <w:r w:rsidRPr="00800F6C">
        <w:rPr>
          <w:rFonts w:ascii="Arial" w:hAnsi="Arial" w:cs="Arial"/>
          <w:sz w:val="20"/>
          <w:szCs w:val="20"/>
          <w:lang w:val="en-US"/>
        </w:rPr>
        <w:t xml:space="preserve"> to identify </w:t>
      </w:r>
      <w:r w:rsidR="004B706A">
        <w:rPr>
          <w:rFonts w:ascii="Arial" w:hAnsi="Arial" w:cs="Arial"/>
          <w:sz w:val="20"/>
          <w:szCs w:val="20"/>
          <w:lang w:val="en-US"/>
        </w:rPr>
        <w:t>which disease</w:t>
      </w:r>
      <w:r w:rsidRPr="00800F6C">
        <w:rPr>
          <w:rFonts w:ascii="Arial" w:hAnsi="Arial" w:cs="Arial"/>
          <w:sz w:val="20"/>
          <w:szCs w:val="20"/>
          <w:lang w:val="en-US"/>
        </w:rPr>
        <w:t xml:space="preserve"> characteristics would be appropriate for DUS examination;</w:t>
      </w:r>
    </w:p>
    <w:p w:rsidR="00C70434" w:rsidRPr="00800F6C" w:rsidRDefault="00C70434" w:rsidP="00BA6D23">
      <w:pPr>
        <w:pStyle w:val="ListParagraph"/>
        <w:numPr>
          <w:ilvl w:val="0"/>
          <w:numId w:val="2"/>
        </w:numPr>
        <w:spacing w:after="120" w:line="240" w:lineRule="auto"/>
        <w:contextualSpacing w:val="0"/>
        <w:jc w:val="both"/>
        <w:rPr>
          <w:rFonts w:ascii="Arial" w:hAnsi="Arial" w:cs="Arial"/>
          <w:sz w:val="20"/>
          <w:szCs w:val="20"/>
          <w:lang w:val="en-US"/>
        </w:rPr>
      </w:pPr>
      <w:r w:rsidRPr="00800F6C">
        <w:rPr>
          <w:rFonts w:ascii="Arial" w:hAnsi="Arial" w:cs="Arial"/>
          <w:sz w:val="20"/>
          <w:szCs w:val="20"/>
          <w:lang w:val="en-US"/>
        </w:rPr>
        <w:t xml:space="preserve">The working group of experts decided to distribute the diseases according to the specialty of each member. A protocol for testing would be suggested based on scientific world-wide knowledge, the genetic inheritance of the characteristic and designed according </w:t>
      </w:r>
      <w:r w:rsidR="003B07CF" w:rsidRPr="00800F6C">
        <w:rPr>
          <w:rFonts w:ascii="Arial" w:hAnsi="Arial" w:cs="Arial"/>
          <w:sz w:val="20"/>
          <w:szCs w:val="20"/>
          <w:lang w:val="en-US"/>
        </w:rPr>
        <w:t xml:space="preserve">to </w:t>
      </w:r>
      <w:r w:rsidRPr="00800F6C">
        <w:rPr>
          <w:rFonts w:ascii="Arial" w:hAnsi="Arial" w:cs="Arial"/>
          <w:sz w:val="20"/>
          <w:szCs w:val="20"/>
          <w:lang w:val="en-US"/>
        </w:rPr>
        <w:t xml:space="preserve">the recommendations of UPOV, </w:t>
      </w:r>
      <w:r w:rsidR="00BA6D23">
        <w:rPr>
          <w:rFonts w:ascii="Arial" w:hAnsi="Arial" w:cs="Arial"/>
          <w:sz w:val="20"/>
          <w:szCs w:val="20"/>
          <w:lang w:val="en-US"/>
        </w:rPr>
        <w:t xml:space="preserve">particularly </w:t>
      </w:r>
      <w:r w:rsidRPr="00800F6C">
        <w:rPr>
          <w:rFonts w:ascii="Arial" w:hAnsi="Arial" w:cs="Arial"/>
          <w:sz w:val="20"/>
          <w:szCs w:val="20"/>
          <w:lang w:val="en-US"/>
        </w:rPr>
        <w:t xml:space="preserve">the </w:t>
      </w:r>
      <w:r w:rsidR="003B07CF" w:rsidRPr="00800F6C">
        <w:rPr>
          <w:rFonts w:ascii="Arial" w:hAnsi="Arial" w:cs="Arial"/>
          <w:sz w:val="20"/>
          <w:szCs w:val="20"/>
          <w:lang w:val="en-US"/>
        </w:rPr>
        <w:t xml:space="preserve">guidance provided in document </w:t>
      </w:r>
      <w:r w:rsidRPr="00800F6C">
        <w:rPr>
          <w:rFonts w:ascii="Arial" w:hAnsi="Arial" w:cs="Arial"/>
          <w:sz w:val="20"/>
          <w:szCs w:val="20"/>
          <w:lang w:val="en-US"/>
        </w:rPr>
        <w:t>TGP</w:t>
      </w:r>
      <w:r w:rsidR="003B07CF" w:rsidRPr="00800F6C">
        <w:rPr>
          <w:rFonts w:ascii="Arial" w:hAnsi="Arial" w:cs="Arial"/>
          <w:sz w:val="20"/>
          <w:szCs w:val="20"/>
          <w:lang w:val="en-US"/>
        </w:rPr>
        <w:t>/</w:t>
      </w:r>
      <w:r w:rsidRPr="00800F6C">
        <w:rPr>
          <w:rFonts w:ascii="Arial" w:hAnsi="Arial" w:cs="Arial"/>
          <w:sz w:val="20"/>
          <w:szCs w:val="20"/>
          <w:lang w:val="en-US"/>
        </w:rPr>
        <w:t>12</w:t>
      </w:r>
      <w:r w:rsidR="00BA6D23">
        <w:rPr>
          <w:rFonts w:ascii="Arial" w:hAnsi="Arial" w:cs="Arial"/>
          <w:sz w:val="20"/>
          <w:szCs w:val="20"/>
          <w:lang w:val="en-US"/>
        </w:rPr>
        <w:t xml:space="preserve"> “</w:t>
      </w:r>
      <w:r w:rsidR="00BA6D23" w:rsidRPr="00BA6D23">
        <w:rPr>
          <w:rFonts w:ascii="Arial" w:hAnsi="Arial" w:cs="Arial"/>
          <w:sz w:val="20"/>
          <w:szCs w:val="20"/>
          <w:lang w:val="en-US"/>
        </w:rPr>
        <w:t>Guidance on Certain Physiological Characteristics</w:t>
      </w:r>
      <w:r w:rsidR="00BA6D23">
        <w:rPr>
          <w:rFonts w:ascii="Arial" w:hAnsi="Arial" w:cs="Arial"/>
          <w:sz w:val="20"/>
          <w:szCs w:val="20"/>
          <w:lang w:val="en-US"/>
        </w:rPr>
        <w:t>”</w:t>
      </w:r>
      <w:r w:rsidRPr="00800F6C">
        <w:rPr>
          <w:rFonts w:ascii="Arial" w:hAnsi="Arial" w:cs="Arial"/>
          <w:sz w:val="20"/>
          <w:szCs w:val="20"/>
          <w:lang w:val="en-US"/>
        </w:rPr>
        <w:t>.</w:t>
      </w:r>
      <w:r w:rsidR="00BA6D23">
        <w:rPr>
          <w:rFonts w:ascii="Arial" w:hAnsi="Arial" w:cs="Arial"/>
          <w:sz w:val="20"/>
          <w:szCs w:val="20"/>
          <w:lang w:val="en-US"/>
        </w:rPr>
        <w:t xml:space="preserve"> </w:t>
      </w:r>
      <w:r w:rsidRPr="00800F6C">
        <w:rPr>
          <w:rFonts w:ascii="Arial" w:hAnsi="Arial" w:cs="Arial"/>
          <w:sz w:val="20"/>
          <w:szCs w:val="20"/>
          <w:lang w:val="en-US"/>
        </w:rPr>
        <w:t>The example varieties for each level of expression should also be indicated.</w:t>
      </w:r>
    </w:p>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The designated experts circulated the protocol among them</w:t>
      </w:r>
      <w:r w:rsidR="003B07CF" w:rsidRPr="00800F6C">
        <w:rPr>
          <w:rFonts w:ascii="Arial" w:hAnsi="Arial" w:cs="Arial"/>
          <w:sz w:val="20"/>
          <w:szCs w:val="20"/>
          <w:lang w:val="en-US"/>
        </w:rPr>
        <w:t>selves</w:t>
      </w:r>
      <w:r w:rsidRPr="00800F6C">
        <w:rPr>
          <w:rFonts w:ascii="Arial" w:hAnsi="Arial" w:cs="Arial"/>
          <w:sz w:val="20"/>
          <w:szCs w:val="20"/>
          <w:lang w:val="en-US"/>
        </w:rPr>
        <w:t xml:space="preserve"> for improvements and suggestions before being submitted to the approval of the working group.  </w:t>
      </w:r>
    </w:p>
    <w:p w:rsidR="00C70434" w:rsidRPr="00800F6C" w:rsidRDefault="003B07CF"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 xml:space="preserve">A </w:t>
      </w:r>
      <w:r w:rsidR="00C70434" w:rsidRPr="00800F6C">
        <w:rPr>
          <w:rFonts w:ascii="Arial" w:hAnsi="Arial" w:cs="Arial"/>
          <w:sz w:val="20"/>
          <w:szCs w:val="20"/>
          <w:lang w:val="en-US"/>
        </w:rPr>
        <w:t xml:space="preserve">ring test </w:t>
      </w:r>
      <w:r w:rsidRPr="00800F6C">
        <w:rPr>
          <w:rFonts w:ascii="Arial" w:hAnsi="Arial" w:cs="Arial"/>
          <w:sz w:val="20"/>
          <w:szCs w:val="20"/>
          <w:lang w:val="en-US"/>
        </w:rPr>
        <w:t xml:space="preserve">was organized </w:t>
      </w:r>
      <w:r w:rsidR="00C70434" w:rsidRPr="00800F6C">
        <w:rPr>
          <w:rFonts w:ascii="Arial" w:hAnsi="Arial" w:cs="Arial"/>
          <w:sz w:val="20"/>
          <w:szCs w:val="20"/>
          <w:lang w:val="en-US"/>
        </w:rPr>
        <w:t>with laboratories and breeders to harmonize the methodology and compare the results amongst different companies, locations and over time.</w:t>
      </w:r>
    </w:p>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 xml:space="preserve">The characteristics were classified as mandatory </w:t>
      </w:r>
      <w:r w:rsidR="00DF6996">
        <w:rPr>
          <w:rFonts w:ascii="Arial" w:hAnsi="Arial" w:cs="Arial"/>
          <w:sz w:val="20"/>
          <w:szCs w:val="20"/>
          <w:lang w:val="en-US"/>
        </w:rPr>
        <w:t>or</w:t>
      </w:r>
      <w:r w:rsidRPr="00800F6C">
        <w:rPr>
          <w:rFonts w:ascii="Arial" w:hAnsi="Arial" w:cs="Arial"/>
          <w:sz w:val="20"/>
          <w:szCs w:val="20"/>
          <w:lang w:val="en-US"/>
        </w:rPr>
        <w:t xml:space="preserve"> optional, regarding the fulfill</w:t>
      </w:r>
      <w:r w:rsidR="003B07CF" w:rsidRPr="00800F6C">
        <w:rPr>
          <w:rFonts w:ascii="Arial" w:hAnsi="Arial" w:cs="Arial"/>
          <w:sz w:val="20"/>
          <w:szCs w:val="20"/>
          <w:lang w:val="en-US"/>
        </w:rPr>
        <w:t>ment</w:t>
      </w:r>
      <w:r w:rsidRPr="00800F6C">
        <w:rPr>
          <w:rFonts w:ascii="Arial" w:hAnsi="Arial" w:cs="Arial"/>
          <w:sz w:val="20"/>
          <w:szCs w:val="20"/>
          <w:lang w:val="en-US"/>
        </w:rPr>
        <w:t xml:space="preserve"> of </w:t>
      </w:r>
      <w:r w:rsidR="003B07CF" w:rsidRPr="00800F6C">
        <w:rPr>
          <w:rFonts w:ascii="Arial" w:hAnsi="Arial" w:cs="Arial"/>
          <w:sz w:val="20"/>
          <w:szCs w:val="20"/>
          <w:lang w:val="en-US"/>
        </w:rPr>
        <w:t xml:space="preserve">the </w:t>
      </w:r>
      <w:r w:rsidRPr="00800F6C">
        <w:rPr>
          <w:rFonts w:ascii="Arial" w:hAnsi="Arial" w:cs="Arial"/>
          <w:sz w:val="20"/>
          <w:szCs w:val="20"/>
          <w:lang w:val="en-US"/>
        </w:rPr>
        <w:t>official variety description, according to the reliability of the methodologies to access distinctness, taking into account the repeatability and distribution of occurrence across the country (in the case of field evaluations).</w:t>
      </w:r>
    </w:p>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The working group also identified the critical points that could compromise the performance of the tests when they were carried out by different laboratories or breeders and concluded that once the protocols and example varieties ha</w:t>
      </w:r>
      <w:r w:rsidR="004B706A">
        <w:rPr>
          <w:rFonts w:ascii="Arial" w:hAnsi="Arial" w:cs="Arial"/>
          <w:sz w:val="20"/>
          <w:szCs w:val="20"/>
          <w:lang w:val="en-US"/>
        </w:rPr>
        <w:t>d</w:t>
      </w:r>
      <w:r w:rsidRPr="00800F6C">
        <w:rPr>
          <w:rFonts w:ascii="Arial" w:hAnsi="Arial" w:cs="Arial"/>
          <w:sz w:val="20"/>
          <w:szCs w:val="20"/>
          <w:lang w:val="en-US"/>
        </w:rPr>
        <w:t xml:space="preserve"> been defined, the inoculum should be also standardized, by centralizing its source. Thereby, two institutions were recommended as suppliers of the inoculums to be used in DUS testing.</w:t>
      </w:r>
    </w:p>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 xml:space="preserve">The working group meetings resulted on the publication, </w:t>
      </w:r>
      <w:r w:rsidR="003B07CF" w:rsidRPr="00800F6C">
        <w:rPr>
          <w:rFonts w:ascii="Arial" w:hAnsi="Arial" w:cs="Arial"/>
          <w:sz w:val="20"/>
          <w:szCs w:val="20"/>
          <w:lang w:val="en-US"/>
        </w:rPr>
        <w:t xml:space="preserve">in </w:t>
      </w:r>
      <w:r w:rsidRPr="00800F6C">
        <w:rPr>
          <w:rFonts w:ascii="Arial" w:hAnsi="Arial" w:cs="Arial"/>
          <w:sz w:val="20"/>
          <w:szCs w:val="20"/>
          <w:lang w:val="en-US"/>
        </w:rPr>
        <w:t xml:space="preserve">September 2008, of the new Brazilian DUS </w:t>
      </w:r>
      <w:r w:rsidR="004B706A">
        <w:rPr>
          <w:rFonts w:ascii="Arial" w:hAnsi="Arial" w:cs="Arial"/>
          <w:sz w:val="20"/>
          <w:szCs w:val="20"/>
          <w:lang w:val="en-US"/>
        </w:rPr>
        <w:t>t</w:t>
      </w:r>
      <w:r w:rsidRPr="00800F6C">
        <w:rPr>
          <w:rFonts w:ascii="Arial" w:hAnsi="Arial" w:cs="Arial"/>
          <w:sz w:val="20"/>
          <w:szCs w:val="20"/>
          <w:lang w:val="en-US"/>
        </w:rPr>
        <w:t xml:space="preserve">est </w:t>
      </w:r>
      <w:r w:rsidR="004B706A">
        <w:rPr>
          <w:rFonts w:ascii="Arial" w:hAnsi="Arial" w:cs="Arial"/>
          <w:sz w:val="20"/>
          <w:szCs w:val="20"/>
          <w:lang w:val="en-US"/>
        </w:rPr>
        <w:t>g</w:t>
      </w:r>
      <w:r w:rsidRPr="00800F6C">
        <w:rPr>
          <w:rFonts w:ascii="Arial" w:hAnsi="Arial" w:cs="Arial"/>
          <w:sz w:val="20"/>
          <w:szCs w:val="20"/>
          <w:lang w:val="en-US"/>
        </w:rPr>
        <w:t>uidelines with 8 mandatory and 7 optional disease resistance characteristics and their specific protocols.</w:t>
      </w:r>
    </w:p>
    <w:p w:rsidR="003B07CF"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The characteristics and protocols can be accessed in these two documents (in Portuguese</w:t>
      </w:r>
      <w:r w:rsidR="004B706A" w:rsidRPr="004B706A">
        <w:rPr>
          <w:rFonts w:ascii="Arial" w:hAnsi="Arial" w:cs="Arial"/>
          <w:sz w:val="20"/>
          <w:szCs w:val="20"/>
          <w:lang w:val="en-US"/>
        </w:rPr>
        <w:t xml:space="preserve"> </w:t>
      </w:r>
      <w:r w:rsidR="004B706A" w:rsidRPr="00800F6C">
        <w:rPr>
          <w:rFonts w:ascii="Arial" w:hAnsi="Arial" w:cs="Arial"/>
          <w:sz w:val="20"/>
          <w:szCs w:val="20"/>
          <w:lang w:val="en-US"/>
        </w:rPr>
        <w:t>only</w:t>
      </w:r>
      <w:r w:rsidRPr="00800F6C">
        <w:rPr>
          <w:rFonts w:ascii="Arial" w:hAnsi="Arial" w:cs="Arial"/>
          <w:sz w:val="20"/>
          <w:szCs w:val="20"/>
          <w:lang w:val="en-US"/>
        </w:rPr>
        <w:t>):</w:t>
      </w:r>
    </w:p>
    <w:p w:rsidR="003B07CF" w:rsidRPr="00800F6C" w:rsidRDefault="009D0E44" w:rsidP="00612188">
      <w:pPr>
        <w:pStyle w:val="ListParagraph"/>
        <w:numPr>
          <w:ilvl w:val="1"/>
          <w:numId w:val="2"/>
        </w:numPr>
        <w:spacing w:after="120" w:line="240" w:lineRule="auto"/>
        <w:ind w:left="1434" w:hanging="357"/>
        <w:contextualSpacing w:val="0"/>
        <w:jc w:val="both"/>
        <w:rPr>
          <w:rFonts w:ascii="Arial" w:hAnsi="Arial" w:cs="Arial"/>
          <w:sz w:val="20"/>
          <w:szCs w:val="20"/>
          <w:lang w:val="en-US"/>
        </w:rPr>
      </w:pPr>
      <w:hyperlink r:id="rId29" w:history="1">
        <w:r w:rsidR="00C70434" w:rsidRPr="00800F6C">
          <w:rPr>
            <w:rStyle w:val="Hyperlink"/>
            <w:rFonts w:cs="Arial"/>
            <w:sz w:val="20"/>
            <w:szCs w:val="20"/>
            <w:lang w:val="en-US"/>
          </w:rPr>
          <w:t>http://www.agricultura.gov.br/assuntos/insumos-agropecuarios/insumos-agricolas/protecao-de-cultivar/arquivos-agricolas/soja_formulario_novo_29out2009_p-2.doc</w:t>
        </w:r>
      </w:hyperlink>
      <w:r w:rsidR="003B07CF" w:rsidRPr="00800F6C">
        <w:rPr>
          <w:rFonts w:ascii="Arial" w:hAnsi="Arial" w:cs="Arial"/>
          <w:sz w:val="20"/>
          <w:szCs w:val="20"/>
          <w:lang w:val="en-US"/>
        </w:rPr>
        <w:t>;</w:t>
      </w:r>
      <w:r w:rsidR="00612188">
        <w:rPr>
          <w:rFonts w:ascii="Arial" w:hAnsi="Arial" w:cs="Arial"/>
          <w:sz w:val="20"/>
          <w:szCs w:val="20"/>
          <w:lang w:val="en-US"/>
        </w:rPr>
        <w:t xml:space="preserve"> </w:t>
      </w:r>
      <w:r w:rsidR="003B07CF" w:rsidRPr="00800F6C">
        <w:rPr>
          <w:rFonts w:ascii="Arial" w:hAnsi="Arial" w:cs="Arial"/>
          <w:sz w:val="20"/>
          <w:szCs w:val="20"/>
          <w:lang w:val="en-US"/>
        </w:rPr>
        <w:t xml:space="preserve"> and</w:t>
      </w:r>
    </w:p>
    <w:p w:rsidR="00C70434" w:rsidRPr="00800F6C" w:rsidRDefault="009D0E44" w:rsidP="00612188">
      <w:pPr>
        <w:pStyle w:val="ListParagraph"/>
        <w:numPr>
          <w:ilvl w:val="1"/>
          <w:numId w:val="2"/>
        </w:numPr>
        <w:spacing w:after="0" w:line="240" w:lineRule="auto"/>
        <w:ind w:left="1434" w:hanging="357"/>
        <w:contextualSpacing w:val="0"/>
        <w:jc w:val="both"/>
        <w:rPr>
          <w:rFonts w:ascii="Arial" w:hAnsi="Arial" w:cs="Arial"/>
          <w:sz w:val="20"/>
          <w:szCs w:val="20"/>
          <w:lang w:val="en-US"/>
        </w:rPr>
      </w:pPr>
      <w:hyperlink r:id="rId30" w:history="1">
        <w:r w:rsidR="00C70434" w:rsidRPr="00800F6C">
          <w:rPr>
            <w:rStyle w:val="Hyperlink"/>
            <w:rFonts w:cs="Arial"/>
            <w:sz w:val="20"/>
            <w:szCs w:val="20"/>
            <w:lang w:val="en-US"/>
          </w:rPr>
          <w:t>http://www.agricultura.gov.br/assuntos/insumos-agropecuarios/insumos-agricolas/protecao-de-cultivar/arquivos-agricolas/soja_anexo_ii_-_protocolos_doen-c7as_p.doc</w:t>
        </w:r>
      </w:hyperlink>
      <w:r w:rsidR="00612188">
        <w:rPr>
          <w:rFonts w:ascii="Arial" w:hAnsi="Arial" w:cs="Arial"/>
          <w:sz w:val="20"/>
          <w:szCs w:val="20"/>
          <w:lang w:val="en-US"/>
        </w:rPr>
        <w:t>.</w:t>
      </w:r>
    </w:p>
    <w:p w:rsidR="00C70434" w:rsidRDefault="00C70434" w:rsidP="00612188"/>
    <w:p w:rsidR="00612188" w:rsidRPr="00800F6C" w:rsidRDefault="00612188" w:rsidP="00612188"/>
    <w:p w:rsidR="00C70434" w:rsidRPr="00800F6C" w:rsidRDefault="00612188" w:rsidP="00612188">
      <w:pPr>
        <w:rPr>
          <w:u w:val="single"/>
        </w:rPr>
      </w:pPr>
      <w:r w:rsidRPr="00800F6C">
        <w:rPr>
          <w:u w:val="single"/>
        </w:rPr>
        <w:t>Conclusion</w:t>
      </w:r>
    </w:p>
    <w:p w:rsidR="00C70434" w:rsidRPr="00800F6C" w:rsidRDefault="00C70434" w:rsidP="00612188"/>
    <w:p w:rsidR="00C70434" w:rsidRPr="00800F6C" w:rsidRDefault="00C70434" w:rsidP="00612188">
      <w:r w:rsidRPr="00800F6C">
        <w:t>Considering the work</w:t>
      </w:r>
      <w:r w:rsidR="00F95868" w:rsidRPr="00800F6C">
        <w:t xml:space="preserve"> carried out</w:t>
      </w:r>
      <w:r w:rsidRPr="00800F6C">
        <w:t xml:space="preserve">, we can point out that the use of disease resistance characteristics in DUS is an important tool for the authorities, especially considering its usefulness for </w:t>
      </w:r>
      <w:r w:rsidR="00F95868" w:rsidRPr="00800F6C">
        <w:t>e</w:t>
      </w:r>
      <w:r w:rsidRPr="00800F6C">
        <w:t>stablishing distinctness and for grouping varieties on DUS trials.</w:t>
      </w:r>
    </w:p>
    <w:p w:rsidR="00F95868" w:rsidRPr="00800F6C" w:rsidRDefault="00F95868" w:rsidP="00612188"/>
    <w:p w:rsidR="00C70434" w:rsidRPr="00800F6C" w:rsidRDefault="00C70434" w:rsidP="00612188">
      <w:r w:rsidRPr="00800F6C">
        <w:t xml:space="preserve">Nevertheless, its establishment must be carefully considered and analyzed </w:t>
      </w:r>
      <w:r w:rsidR="00DF6996">
        <w:t>particularly</w:t>
      </w:r>
      <w:r w:rsidRPr="00800F6C">
        <w:t xml:space="preserve"> regarding the following points:</w:t>
      </w:r>
    </w:p>
    <w:p w:rsidR="00C70434" w:rsidRPr="00800F6C" w:rsidRDefault="00C70434" w:rsidP="00612188"/>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 xml:space="preserve">The characteristics shall be defined case by case, considering the peculiarities of the pathogen and the species concerned; </w:t>
      </w:r>
    </w:p>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 xml:space="preserve">The protocols shall be harmonized and ring tested to </w:t>
      </w:r>
      <w:r w:rsidR="00F95868" w:rsidRPr="00800F6C">
        <w:rPr>
          <w:rFonts w:ascii="Arial" w:hAnsi="Arial" w:cs="Arial"/>
          <w:sz w:val="20"/>
          <w:szCs w:val="20"/>
          <w:lang w:val="en-US"/>
        </w:rPr>
        <w:t xml:space="preserve">ensure consistency </w:t>
      </w:r>
      <w:r w:rsidRPr="00800F6C">
        <w:rPr>
          <w:rFonts w:ascii="Arial" w:hAnsi="Arial" w:cs="Arial"/>
          <w:sz w:val="20"/>
          <w:szCs w:val="20"/>
          <w:lang w:val="en-US"/>
        </w:rPr>
        <w:t xml:space="preserve">and </w:t>
      </w:r>
      <w:r w:rsidR="00F95868" w:rsidRPr="00800F6C">
        <w:rPr>
          <w:rFonts w:ascii="Arial" w:hAnsi="Arial" w:cs="Arial"/>
          <w:sz w:val="20"/>
          <w:szCs w:val="20"/>
          <w:lang w:val="en-US"/>
        </w:rPr>
        <w:t>repeatability</w:t>
      </w:r>
      <w:r w:rsidRPr="00800F6C">
        <w:rPr>
          <w:rFonts w:ascii="Arial" w:hAnsi="Arial" w:cs="Arial"/>
          <w:sz w:val="20"/>
          <w:szCs w:val="20"/>
          <w:lang w:val="en-US"/>
        </w:rPr>
        <w:t>;</w:t>
      </w:r>
    </w:p>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The inoculum source shall be as centralized as possible (if tests are carried out by different laboratories);</w:t>
      </w:r>
    </w:p>
    <w:p w:rsidR="00C70434" w:rsidRPr="00800F6C" w:rsidRDefault="00C70434" w:rsidP="00612188">
      <w:pPr>
        <w:pStyle w:val="ListParagraph"/>
        <w:numPr>
          <w:ilvl w:val="0"/>
          <w:numId w:val="2"/>
        </w:numPr>
        <w:spacing w:after="120" w:line="240" w:lineRule="auto"/>
        <w:ind w:left="714" w:hanging="357"/>
        <w:contextualSpacing w:val="0"/>
        <w:jc w:val="both"/>
        <w:rPr>
          <w:rFonts w:ascii="Arial" w:hAnsi="Arial" w:cs="Arial"/>
          <w:sz w:val="20"/>
          <w:szCs w:val="20"/>
          <w:lang w:val="en-US"/>
        </w:rPr>
      </w:pPr>
      <w:r w:rsidRPr="00800F6C">
        <w:rPr>
          <w:rFonts w:ascii="Arial" w:hAnsi="Arial" w:cs="Arial"/>
          <w:sz w:val="20"/>
          <w:szCs w:val="20"/>
          <w:lang w:val="en-US"/>
        </w:rPr>
        <w:t xml:space="preserve">The </w:t>
      </w:r>
      <w:r w:rsidR="004B706A">
        <w:rPr>
          <w:rFonts w:ascii="Arial" w:hAnsi="Arial" w:cs="Arial"/>
          <w:sz w:val="20"/>
          <w:szCs w:val="20"/>
          <w:lang w:val="en-US"/>
        </w:rPr>
        <w:t xml:space="preserve">test </w:t>
      </w:r>
      <w:r w:rsidRPr="00800F6C">
        <w:rPr>
          <w:rFonts w:ascii="Arial" w:hAnsi="Arial" w:cs="Arial"/>
          <w:sz w:val="20"/>
          <w:szCs w:val="20"/>
          <w:lang w:val="en-US"/>
        </w:rPr>
        <w:t>protocols used shall be widely recognized;</w:t>
      </w:r>
    </w:p>
    <w:p w:rsidR="00C70434" w:rsidRPr="00800F6C" w:rsidRDefault="00C70434" w:rsidP="00612188">
      <w:pPr>
        <w:pStyle w:val="ListParagraph"/>
        <w:numPr>
          <w:ilvl w:val="0"/>
          <w:numId w:val="2"/>
        </w:numPr>
        <w:spacing w:after="0" w:line="240" w:lineRule="auto"/>
        <w:jc w:val="both"/>
        <w:rPr>
          <w:rFonts w:ascii="Arial" w:hAnsi="Arial" w:cs="Arial"/>
          <w:sz w:val="20"/>
          <w:szCs w:val="20"/>
          <w:lang w:val="en-US"/>
        </w:rPr>
      </w:pPr>
      <w:r w:rsidRPr="00800F6C">
        <w:rPr>
          <w:rFonts w:ascii="Arial" w:hAnsi="Arial" w:cs="Arial"/>
          <w:sz w:val="20"/>
          <w:szCs w:val="20"/>
          <w:lang w:val="en-US"/>
        </w:rPr>
        <w:t xml:space="preserve">The </w:t>
      </w:r>
      <w:r w:rsidR="004E7AA1">
        <w:rPr>
          <w:rFonts w:ascii="Arial" w:hAnsi="Arial" w:cs="Arial"/>
          <w:sz w:val="20"/>
          <w:szCs w:val="20"/>
          <w:lang w:val="en-US"/>
        </w:rPr>
        <w:t xml:space="preserve">cost associated with the </w:t>
      </w:r>
      <w:r w:rsidRPr="00800F6C">
        <w:rPr>
          <w:rFonts w:ascii="Arial" w:hAnsi="Arial" w:cs="Arial"/>
          <w:sz w:val="20"/>
          <w:szCs w:val="20"/>
          <w:lang w:val="en-US"/>
        </w:rPr>
        <w:t xml:space="preserve">use of disease resistance characteristics for DUS </w:t>
      </w:r>
      <w:r w:rsidR="004E7AA1">
        <w:rPr>
          <w:rFonts w:ascii="Arial" w:hAnsi="Arial" w:cs="Arial"/>
          <w:sz w:val="20"/>
          <w:szCs w:val="20"/>
          <w:lang w:val="en-US"/>
        </w:rPr>
        <w:t xml:space="preserve">examination should </w:t>
      </w:r>
      <w:r w:rsidRPr="00800F6C">
        <w:rPr>
          <w:rFonts w:ascii="Arial" w:hAnsi="Arial" w:cs="Arial"/>
          <w:sz w:val="20"/>
          <w:szCs w:val="20"/>
          <w:lang w:val="en-US"/>
        </w:rPr>
        <w:t>be considered.</w:t>
      </w:r>
    </w:p>
    <w:p w:rsidR="00740866" w:rsidRPr="00800F6C" w:rsidRDefault="00740866" w:rsidP="00612188"/>
    <w:p w:rsidR="00C70434" w:rsidRPr="00800F6C" w:rsidRDefault="00C70434" w:rsidP="00C70434"/>
    <w:p w:rsidR="00740866" w:rsidRPr="00800F6C" w:rsidRDefault="00740866" w:rsidP="00C70434"/>
    <w:p w:rsidR="00C70434" w:rsidRPr="00800F6C" w:rsidRDefault="00C70434" w:rsidP="00C70434">
      <w:pPr>
        <w:jc w:val="right"/>
      </w:pPr>
      <w:r w:rsidRPr="00800F6C">
        <w:t>[</w:t>
      </w:r>
      <w:r w:rsidR="00756A79">
        <w:t>Annex I</w:t>
      </w:r>
      <w:r w:rsidR="00D47E93">
        <w:t>I</w:t>
      </w:r>
      <w:r w:rsidR="00756A79">
        <w:t>I follows</w:t>
      </w:r>
      <w:r w:rsidRPr="00800F6C">
        <w:t>]</w:t>
      </w:r>
    </w:p>
    <w:p w:rsidR="00C70434" w:rsidRDefault="00C70434" w:rsidP="00C70434"/>
    <w:p w:rsidR="00756A79" w:rsidRDefault="00756A79" w:rsidP="00C70434">
      <w:pPr>
        <w:sectPr w:rsidR="00756A79" w:rsidSect="00C70434">
          <w:headerReference w:type="default" r:id="rId31"/>
          <w:pgSz w:w="11907" w:h="16840" w:code="9"/>
          <w:pgMar w:top="510" w:right="1134" w:bottom="1134" w:left="1134" w:header="510" w:footer="680" w:gutter="0"/>
          <w:pgNumType w:start="1"/>
          <w:cols w:space="720"/>
          <w:titlePg/>
        </w:sectPr>
      </w:pPr>
    </w:p>
    <w:p w:rsidR="00756A79" w:rsidRPr="00800F6C" w:rsidRDefault="00756A79" w:rsidP="00756A79">
      <w:pPr>
        <w:jc w:val="center"/>
      </w:pPr>
      <w:r>
        <w:t>TWA/46/7</w:t>
      </w:r>
    </w:p>
    <w:p w:rsidR="00756A79" w:rsidRPr="00800F6C" w:rsidRDefault="00756A79" w:rsidP="00756A79">
      <w:pPr>
        <w:jc w:val="center"/>
      </w:pPr>
    </w:p>
    <w:p w:rsidR="00756A79" w:rsidRPr="00800F6C" w:rsidRDefault="00756A79" w:rsidP="00756A79">
      <w:pPr>
        <w:jc w:val="center"/>
      </w:pPr>
      <w:r w:rsidRPr="00800F6C">
        <w:t>ANNEX</w:t>
      </w:r>
      <w:r>
        <w:t xml:space="preserve"> I</w:t>
      </w:r>
      <w:r w:rsidR="00D47E93">
        <w:t>I</w:t>
      </w:r>
      <w:r>
        <w:t>I</w:t>
      </w:r>
    </w:p>
    <w:p w:rsidR="00756A79" w:rsidRDefault="00756A79" w:rsidP="00756A79">
      <w:pPr>
        <w:jc w:val="center"/>
      </w:pPr>
    </w:p>
    <w:p w:rsidR="00756A79" w:rsidRDefault="00756A79" w:rsidP="00756A79">
      <w:pPr>
        <w:jc w:val="center"/>
        <w:rPr>
          <w:snapToGrid w:val="0"/>
        </w:rPr>
      </w:pPr>
      <w:r w:rsidRPr="00536EA1">
        <w:rPr>
          <w:rFonts w:cs="Arial"/>
          <w:snapToGrid w:val="0"/>
        </w:rPr>
        <w:t>HARMONIZATION OF RESISTANCE TESTS FOR DUS TESTING:  “HARMORES 2”</w:t>
      </w:r>
    </w:p>
    <w:p w:rsidR="00756A79" w:rsidRDefault="00756A79" w:rsidP="00756A79">
      <w:pPr>
        <w:jc w:val="center"/>
        <w:rPr>
          <w:snapToGrid w:val="0"/>
        </w:rPr>
      </w:pPr>
    </w:p>
    <w:p w:rsidR="00756A79" w:rsidRDefault="00756A79" w:rsidP="00756A79">
      <w:pPr>
        <w:jc w:val="center"/>
        <w:rPr>
          <w:snapToGrid w:val="0"/>
        </w:rPr>
      </w:pPr>
    </w:p>
    <w:p w:rsidR="00756A79" w:rsidRPr="00800F6C" w:rsidRDefault="00756A79" w:rsidP="00756A79">
      <w:pPr>
        <w:jc w:val="center"/>
      </w:pPr>
      <w:r w:rsidRPr="0098080E">
        <w:t>Document prepared by an expert from</w:t>
      </w:r>
      <w:r>
        <w:t xml:space="preserve"> the European Union</w:t>
      </w:r>
    </w:p>
    <w:p w:rsidR="00C70434" w:rsidRDefault="00C70434" w:rsidP="00C70434"/>
    <w:p w:rsidR="00756A79" w:rsidRDefault="00756A79" w:rsidP="00C70434"/>
    <w:p w:rsidR="00756A79" w:rsidRDefault="00884D83" w:rsidP="00756A79">
      <w:pPr>
        <w:spacing w:line="360" w:lineRule="auto"/>
        <w:jc w:val="center"/>
      </w:pPr>
      <w:r>
        <w:object w:dxaOrig="7072" w:dyaOrig="5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9.25pt;height:291.7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25" DrawAspect="Content" ObjectID="_1558504237" r:id="rId33"/>
        </w:object>
      </w:r>
    </w:p>
    <w:p w:rsidR="00756A79" w:rsidRDefault="00756A79" w:rsidP="00756A79"/>
    <w:p w:rsidR="00756A79" w:rsidRDefault="00756A79" w:rsidP="00756A79">
      <w:pPr>
        <w:spacing w:line="360" w:lineRule="auto"/>
        <w:jc w:val="left"/>
      </w:pPr>
    </w:p>
    <w:p w:rsidR="00756A79" w:rsidRDefault="00756A79" w:rsidP="00756A79">
      <w:pPr>
        <w:spacing w:line="360" w:lineRule="auto"/>
        <w:jc w:val="center"/>
      </w:pPr>
      <w:r>
        <w:object w:dxaOrig="7830" w:dyaOrig="5865">
          <v:shape id="_x0000_i1026" type="#_x0000_t75" style="width:396pt;height:297pt" o:ole="" o:bordertopcolor="this" o:borderleftcolor="this" o:borderbottomcolor="this" o:borderrightcolor="this" o:allowoverlap="f">
            <v:imagedata r:id="rId34" o:title=""/>
            <w10:bordertop type="single" width="4" shadow="t"/>
            <w10:borderleft type="single" width="4" shadow="t"/>
            <w10:borderbottom type="single" width="4" shadow="t"/>
            <w10:borderright type="single" width="4" shadow="t"/>
          </v:shape>
          <o:OLEObject Type="Embed" ProgID="PowerPoint.Slide.12" ShapeID="_x0000_i1026" DrawAspect="Content" ObjectID="_1558504238" r:id="rId35"/>
        </w:object>
      </w:r>
    </w:p>
    <w:p w:rsidR="00756A79" w:rsidRDefault="00756A79" w:rsidP="00756A79">
      <w:pPr>
        <w:spacing w:line="360" w:lineRule="auto"/>
        <w:jc w:val="left"/>
      </w:pPr>
    </w:p>
    <w:p w:rsidR="00756A79" w:rsidRDefault="00756A79" w:rsidP="00756A79">
      <w:pPr>
        <w:spacing w:line="360" w:lineRule="auto"/>
        <w:jc w:val="left"/>
      </w:pPr>
    </w:p>
    <w:p w:rsidR="00756A79" w:rsidRDefault="00756A79" w:rsidP="00756A79">
      <w:pPr>
        <w:spacing w:line="360" w:lineRule="auto"/>
        <w:jc w:val="center"/>
      </w:pPr>
      <w:r>
        <w:object w:dxaOrig="7830" w:dyaOrig="5865">
          <v:shape id="_x0000_i1027" type="#_x0000_t75" style="width:396pt;height:297pt" o:ole="" o:bordertopcolor="this" o:borderleftcolor="this" o:borderbottomcolor="this" o:borderrightcolor="this" o:allowoverlap="f">
            <v:imagedata r:id="rId36" o:title=""/>
            <w10:bordertop type="single" width="4" shadow="t"/>
            <w10:borderleft type="single" width="4" shadow="t"/>
            <w10:borderbottom type="single" width="4" shadow="t"/>
            <w10:borderright type="single" width="4" shadow="t"/>
          </v:shape>
          <o:OLEObject Type="Embed" ProgID="PowerPoint.Slide.12" ShapeID="_x0000_i1027" DrawAspect="Content" ObjectID="_1558504239" r:id="rId37"/>
        </w:object>
      </w:r>
    </w:p>
    <w:p w:rsidR="00756A79" w:rsidRDefault="00756A79" w:rsidP="00756A79"/>
    <w:p w:rsidR="00756A79" w:rsidRDefault="00756A79" w:rsidP="00756A79"/>
    <w:p w:rsidR="00756A79" w:rsidRDefault="00756A79" w:rsidP="00756A79">
      <w:pPr>
        <w:spacing w:line="360" w:lineRule="auto"/>
        <w:jc w:val="left"/>
      </w:pPr>
    </w:p>
    <w:p w:rsidR="00756A79" w:rsidRDefault="00756A79" w:rsidP="00756A79">
      <w:pPr>
        <w:spacing w:line="360" w:lineRule="auto"/>
        <w:jc w:val="center"/>
      </w:pPr>
      <w:r>
        <w:object w:dxaOrig="7830" w:dyaOrig="5865">
          <v:shape id="_x0000_i1028" type="#_x0000_t75" style="width:396pt;height:297pt" o:ole="" o:bordertopcolor="this" o:borderleftcolor="this" o:borderbottomcolor="this" o:borderrightcolor="this" o:allowoverlap="f">
            <v:imagedata r:id="rId38" o:title=""/>
            <w10:bordertop type="single" width="4" shadow="t"/>
            <w10:borderleft type="single" width="4" shadow="t"/>
            <w10:borderbottom type="single" width="4" shadow="t"/>
            <w10:borderright type="single" width="4" shadow="t"/>
          </v:shape>
          <o:OLEObject Type="Embed" ProgID="PowerPoint.Slide.12" ShapeID="_x0000_i1028" DrawAspect="Content" ObjectID="_1558504240" r:id="rId39"/>
        </w:object>
      </w:r>
    </w:p>
    <w:p w:rsidR="00756A79" w:rsidRDefault="00756A79" w:rsidP="00756A79">
      <w:pPr>
        <w:spacing w:line="360" w:lineRule="auto"/>
        <w:jc w:val="center"/>
      </w:pPr>
    </w:p>
    <w:p w:rsidR="00756A79" w:rsidRDefault="00756A79">
      <w:pPr>
        <w:jc w:val="left"/>
      </w:pPr>
      <w:r>
        <w:br w:type="page"/>
      </w:r>
    </w:p>
    <w:p w:rsidR="00756A79" w:rsidRDefault="00756A79" w:rsidP="00756A79">
      <w:pPr>
        <w:spacing w:line="360" w:lineRule="auto"/>
        <w:jc w:val="left"/>
      </w:pPr>
    </w:p>
    <w:p w:rsidR="00756A79" w:rsidRDefault="00756A79" w:rsidP="00756A79">
      <w:pPr>
        <w:spacing w:line="360" w:lineRule="auto"/>
        <w:jc w:val="center"/>
      </w:pPr>
      <w:r>
        <w:object w:dxaOrig="7830" w:dyaOrig="5865">
          <v:shape id="_x0000_i1029" type="#_x0000_t75" style="width:396pt;height:297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29" DrawAspect="Content" ObjectID="_1558504241" r:id="rId41"/>
        </w:object>
      </w:r>
    </w:p>
    <w:p w:rsidR="00756A79" w:rsidRDefault="00756A79" w:rsidP="00756A79"/>
    <w:p w:rsidR="00756A79" w:rsidRDefault="00756A79" w:rsidP="00756A79"/>
    <w:p w:rsidR="00756A79" w:rsidRPr="00756A79" w:rsidRDefault="00756A79" w:rsidP="00756A79"/>
    <w:p w:rsidR="00756A79" w:rsidRPr="00756A79" w:rsidRDefault="00756A79" w:rsidP="00756A79"/>
    <w:p w:rsidR="00756A79" w:rsidRDefault="00834ED8" w:rsidP="00756A79">
      <w:pPr>
        <w:spacing w:line="360" w:lineRule="auto"/>
        <w:jc w:val="center"/>
      </w:pPr>
      <w:r>
        <w:object w:dxaOrig="7098" w:dyaOrig="5327">
          <v:shape id="_x0000_i1030" type="#_x0000_t75" style="width:397.5pt;height:297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0" DrawAspect="Content" ObjectID="_1558504242" r:id="rId43"/>
        </w:object>
      </w:r>
    </w:p>
    <w:p w:rsidR="00756A79" w:rsidRPr="00756A79" w:rsidRDefault="00756A79" w:rsidP="00756A79"/>
    <w:p w:rsidR="00756A79" w:rsidRDefault="00756A79">
      <w:pPr>
        <w:jc w:val="left"/>
      </w:pPr>
      <w:r>
        <w:br w:type="page"/>
      </w:r>
    </w:p>
    <w:p w:rsidR="00756A79" w:rsidRDefault="00756A79" w:rsidP="00756A79">
      <w:pPr>
        <w:spacing w:line="360" w:lineRule="auto"/>
        <w:jc w:val="left"/>
      </w:pPr>
    </w:p>
    <w:p w:rsidR="00756A79" w:rsidRDefault="00756A79" w:rsidP="00756A79">
      <w:pPr>
        <w:spacing w:line="360" w:lineRule="auto"/>
        <w:jc w:val="center"/>
      </w:pPr>
      <w:r>
        <w:object w:dxaOrig="7830" w:dyaOrig="5865">
          <v:shape id="_x0000_i1031" type="#_x0000_t75" style="width:396pt;height:297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1" DrawAspect="Content" ObjectID="_1558504243" r:id="rId45"/>
        </w:object>
      </w:r>
    </w:p>
    <w:p w:rsidR="00756A79" w:rsidRPr="00756A79" w:rsidRDefault="00756A79" w:rsidP="00756A79"/>
    <w:p w:rsidR="00756A79" w:rsidRDefault="00756A79" w:rsidP="00756A79"/>
    <w:p w:rsidR="00756A79" w:rsidRPr="00756A79" w:rsidRDefault="00756A79" w:rsidP="00756A79"/>
    <w:p w:rsidR="00756A79" w:rsidRDefault="00756A79" w:rsidP="00756A79">
      <w:pPr>
        <w:jc w:val="right"/>
      </w:pPr>
      <w:r>
        <w:t>[Annex I</w:t>
      </w:r>
      <w:r w:rsidR="00D47E93">
        <w:t>V</w:t>
      </w:r>
      <w:r>
        <w:t xml:space="preserve"> follows]</w:t>
      </w:r>
    </w:p>
    <w:p w:rsidR="00756A79" w:rsidRDefault="00756A79" w:rsidP="00C70434"/>
    <w:p w:rsidR="00391C5A" w:rsidRDefault="00391C5A" w:rsidP="00C70434">
      <w:pPr>
        <w:sectPr w:rsidR="00391C5A" w:rsidSect="00C70434">
          <w:headerReference w:type="default" r:id="rId46"/>
          <w:pgSz w:w="11907" w:h="16840" w:code="9"/>
          <w:pgMar w:top="510" w:right="1134" w:bottom="1134" w:left="1134" w:header="510" w:footer="680" w:gutter="0"/>
          <w:pgNumType w:start="1"/>
          <w:cols w:space="720"/>
          <w:titlePg/>
        </w:sectPr>
      </w:pPr>
    </w:p>
    <w:p w:rsidR="00391C5A" w:rsidRPr="00800F6C" w:rsidRDefault="00391C5A" w:rsidP="00391C5A">
      <w:pPr>
        <w:jc w:val="center"/>
      </w:pPr>
      <w:r>
        <w:t>TWA/46/7</w:t>
      </w:r>
    </w:p>
    <w:p w:rsidR="00391C5A" w:rsidRPr="00800F6C" w:rsidRDefault="00391C5A" w:rsidP="00391C5A">
      <w:pPr>
        <w:jc w:val="center"/>
      </w:pPr>
    </w:p>
    <w:p w:rsidR="00391C5A" w:rsidRPr="00800F6C" w:rsidRDefault="00391C5A" w:rsidP="00391C5A">
      <w:pPr>
        <w:jc w:val="center"/>
      </w:pPr>
      <w:r w:rsidRPr="00800F6C">
        <w:t>ANNEX</w:t>
      </w:r>
      <w:r w:rsidR="00D47E93">
        <w:t xml:space="preserve"> IV</w:t>
      </w:r>
    </w:p>
    <w:p w:rsidR="00391C5A" w:rsidRDefault="00391C5A" w:rsidP="00391C5A">
      <w:pPr>
        <w:jc w:val="center"/>
      </w:pPr>
    </w:p>
    <w:p w:rsidR="00391C5A" w:rsidRDefault="00391C5A" w:rsidP="00391C5A">
      <w:pPr>
        <w:jc w:val="center"/>
      </w:pPr>
      <w:r>
        <w:t>PHASING-IN PERIOD FOR ASTERISKED DISEASE RESISTANCE CHARACTERISTICS</w:t>
      </w:r>
      <w:r>
        <w:br/>
        <w:t>IN CPVO VEGETABLE TECHNICAL PROTOCOLS</w:t>
      </w:r>
    </w:p>
    <w:p w:rsidR="00391C5A" w:rsidRDefault="00391C5A" w:rsidP="00391C5A">
      <w:pPr>
        <w:jc w:val="center"/>
        <w:rPr>
          <w:snapToGrid w:val="0"/>
        </w:rPr>
      </w:pPr>
    </w:p>
    <w:p w:rsidR="00391C5A" w:rsidRDefault="00391C5A" w:rsidP="00391C5A">
      <w:pPr>
        <w:jc w:val="center"/>
        <w:rPr>
          <w:snapToGrid w:val="0"/>
        </w:rPr>
      </w:pPr>
    </w:p>
    <w:p w:rsidR="00391C5A" w:rsidRPr="00800F6C" w:rsidRDefault="00391C5A" w:rsidP="00391C5A">
      <w:pPr>
        <w:jc w:val="center"/>
      </w:pPr>
      <w:r w:rsidRPr="0098080E">
        <w:t>Document prepared by an expert from</w:t>
      </w:r>
      <w:r>
        <w:t xml:space="preserve"> the European Union</w:t>
      </w:r>
    </w:p>
    <w:p w:rsidR="00391C5A" w:rsidRDefault="00391C5A" w:rsidP="00391C5A"/>
    <w:p w:rsidR="00391C5A" w:rsidRDefault="00391C5A" w:rsidP="00391C5A">
      <w:pPr>
        <w:spacing w:line="360" w:lineRule="auto"/>
        <w:jc w:val="left"/>
      </w:pPr>
    </w:p>
    <w:p w:rsidR="00391C5A" w:rsidRDefault="00391C5A" w:rsidP="00391C5A">
      <w:pPr>
        <w:spacing w:line="360" w:lineRule="auto"/>
        <w:jc w:val="center"/>
      </w:pPr>
      <w:r>
        <w:object w:dxaOrig="7180" w:dyaOrig="5389">
          <v:shape id="_x0000_i1032" type="#_x0000_t75" style="width:395.25pt;height:296.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2" DrawAspect="Content" ObjectID="_1558504244" r:id="rId48"/>
        </w:object>
      </w:r>
    </w:p>
    <w:p w:rsidR="00391C5A" w:rsidRPr="00391C5A" w:rsidRDefault="00391C5A" w:rsidP="00391C5A"/>
    <w:p w:rsidR="00391C5A" w:rsidRPr="00391C5A" w:rsidRDefault="00391C5A" w:rsidP="00391C5A"/>
    <w:p w:rsidR="00391C5A" w:rsidRDefault="00834ED8" w:rsidP="00391C5A">
      <w:pPr>
        <w:spacing w:line="360" w:lineRule="auto"/>
        <w:jc w:val="center"/>
      </w:pPr>
      <w:r>
        <w:object w:dxaOrig="7108" w:dyaOrig="5334">
          <v:shape id="_x0000_i1033" type="#_x0000_t75" style="width:395.25pt;height:297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3" DrawAspect="Content" ObjectID="_1558504245" r:id="rId50"/>
        </w:object>
      </w:r>
    </w:p>
    <w:p w:rsidR="00391C5A" w:rsidRDefault="00391C5A" w:rsidP="00391C5A">
      <w:pPr>
        <w:spacing w:line="360" w:lineRule="auto"/>
        <w:jc w:val="center"/>
      </w:pPr>
    </w:p>
    <w:p w:rsidR="00391C5A" w:rsidRDefault="00391C5A" w:rsidP="00391C5A">
      <w:pPr>
        <w:spacing w:line="360" w:lineRule="auto"/>
        <w:jc w:val="center"/>
      </w:pPr>
      <w:r>
        <w:object w:dxaOrig="7830" w:dyaOrig="5865">
          <v:shape id="_x0000_i1034" type="#_x0000_t75" style="width:395.25pt;height:296.2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34" DrawAspect="Content" ObjectID="_1558504246" r:id="rId52"/>
        </w:object>
      </w:r>
    </w:p>
    <w:p w:rsidR="00391C5A" w:rsidRPr="00391C5A" w:rsidRDefault="00391C5A" w:rsidP="00391C5A"/>
    <w:p w:rsidR="00391C5A" w:rsidRDefault="00391C5A" w:rsidP="00391C5A"/>
    <w:p w:rsidR="00391C5A" w:rsidRPr="00391C5A" w:rsidRDefault="00391C5A" w:rsidP="00391C5A"/>
    <w:p w:rsidR="00391C5A" w:rsidRPr="00391C5A" w:rsidRDefault="00391C5A" w:rsidP="00391C5A"/>
    <w:p w:rsidR="00391C5A" w:rsidRDefault="00391C5A" w:rsidP="00391C5A">
      <w:pPr>
        <w:spacing w:line="360" w:lineRule="auto"/>
        <w:jc w:val="center"/>
      </w:pPr>
      <w:r>
        <w:object w:dxaOrig="7830" w:dyaOrig="5865">
          <v:shape id="_x0000_i1035" type="#_x0000_t75" style="width:395.25pt;height:296.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35" DrawAspect="Content" ObjectID="_1558504247" r:id="rId54"/>
        </w:object>
      </w:r>
    </w:p>
    <w:p w:rsidR="00391C5A" w:rsidRPr="00391C5A" w:rsidRDefault="00391C5A" w:rsidP="00391C5A"/>
    <w:p w:rsidR="00391C5A" w:rsidRDefault="00391C5A">
      <w:pPr>
        <w:jc w:val="left"/>
      </w:pPr>
      <w:r>
        <w:br w:type="page"/>
      </w:r>
    </w:p>
    <w:p w:rsidR="00391C5A" w:rsidRPr="00391C5A" w:rsidRDefault="00391C5A" w:rsidP="00391C5A"/>
    <w:p w:rsidR="00391C5A" w:rsidRDefault="00391C5A" w:rsidP="00391C5A">
      <w:pPr>
        <w:spacing w:line="360" w:lineRule="auto"/>
        <w:jc w:val="center"/>
      </w:pPr>
      <w:r>
        <w:object w:dxaOrig="7031" w:dyaOrig="5276">
          <v:shape id="_x0000_i1036" type="#_x0000_t75" style="width:395.25pt;height:296.2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36" DrawAspect="Content" ObjectID="_1558504248" r:id="rId56"/>
        </w:object>
      </w:r>
    </w:p>
    <w:p w:rsidR="00391C5A" w:rsidRPr="00391C5A" w:rsidRDefault="00391C5A" w:rsidP="00391C5A"/>
    <w:p w:rsidR="00391C5A" w:rsidRPr="00391C5A" w:rsidRDefault="00391C5A" w:rsidP="00391C5A"/>
    <w:p w:rsidR="00391C5A" w:rsidRPr="00391C5A" w:rsidRDefault="00391C5A" w:rsidP="00391C5A"/>
    <w:p w:rsidR="00391C5A" w:rsidRPr="00391C5A" w:rsidRDefault="00391C5A" w:rsidP="00391C5A"/>
    <w:p w:rsidR="00391C5A" w:rsidRDefault="00391C5A" w:rsidP="00391C5A">
      <w:pPr>
        <w:spacing w:line="360" w:lineRule="auto"/>
        <w:jc w:val="center"/>
      </w:pPr>
      <w:r>
        <w:object w:dxaOrig="6988" w:dyaOrig="5245">
          <v:shape id="_x0000_i1037" type="#_x0000_t75" style="width:395.25pt;height:295.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37" DrawAspect="Content" ObjectID="_1558504249" r:id="rId58"/>
        </w:object>
      </w:r>
    </w:p>
    <w:p w:rsidR="00391C5A" w:rsidRPr="00391C5A" w:rsidRDefault="00391C5A" w:rsidP="00391C5A"/>
    <w:p w:rsidR="00391C5A" w:rsidRDefault="00391C5A">
      <w:pPr>
        <w:jc w:val="left"/>
      </w:pPr>
      <w:r>
        <w:br w:type="page"/>
      </w:r>
    </w:p>
    <w:p w:rsidR="00391C5A" w:rsidRPr="00391C5A" w:rsidRDefault="00391C5A" w:rsidP="00391C5A"/>
    <w:p w:rsidR="00391C5A" w:rsidRDefault="00391C5A" w:rsidP="00391C5A">
      <w:pPr>
        <w:spacing w:line="360" w:lineRule="auto"/>
        <w:jc w:val="center"/>
      </w:pPr>
      <w:r>
        <w:object w:dxaOrig="7830" w:dyaOrig="5865">
          <v:shape id="_x0000_i1038" type="#_x0000_t75" style="width:395.25pt;height:296.2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38" DrawAspect="Content" ObjectID="_1558504250" r:id="rId60"/>
        </w:object>
      </w:r>
    </w:p>
    <w:p w:rsidR="00391C5A" w:rsidRPr="00391C5A" w:rsidRDefault="00391C5A" w:rsidP="00391C5A"/>
    <w:p w:rsidR="00391C5A" w:rsidRDefault="00391C5A" w:rsidP="00391C5A"/>
    <w:p w:rsidR="00391C5A" w:rsidRPr="00391C5A" w:rsidRDefault="00391C5A" w:rsidP="00391C5A"/>
    <w:p w:rsidR="00391C5A" w:rsidRDefault="00DD2725" w:rsidP="00391C5A">
      <w:pPr>
        <w:spacing w:line="360" w:lineRule="auto"/>
        <w:jc w:val="right"/>
      </w:pPr>
      <w:r>
        <w:t>[End of Annex IV</w:t>
      </w:r>
      <w:r w:rsidR="00391C5A">
        <w:t xml:space="preserve"> and of document]</w:t>
      </w:r>
    </w:p>
    <w:p w:rsidR="00391C5A" w:rsidRPr="00800F6C" w:rsidRDefault="00391C5A" w:rsidP="00C70434">
      <w:bookmarkStart w:id="5" w:name="_GoBack"/>
      <w:bookmarkEnd w:id="5"/>
    </w:p>
    <w:sectPr w:rsidR="00391C5A" w:rsidRPr="00800F6C" w:rsidSect="00391C5A">
      <w:headerReference w:type="default" r:id="rId61"/>
      <w:pgSz w:w="11907" w:h="16840" w:code="9"/>
      <w:pgMar w:top="510" w:right="1134" w:bottom="993"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165C" w:rsidRDefault="0045165C" w:rsidP="006655D3">
      <w:r>
        <w:separator/>
      </w:r>
    </w:p>
    <w:p w:rsidR="0045165C" w:rsidRDefault="0045165C" w:rsidP="006655D3"/>
    <w:p w:rsidR="0045165C" w:rsidRDefault="0045165C" w:rsidP="006655D3"/>
  </w:endnote>
  <w:endnote w:type="continuationSeparator" w:id="0">
    <w:p w:rsidR="0045165C" w:rsidRDefault="0045165C" w:rsidP="006655D3">
      <w:r>
        <w:separator/>
      </w:r>
    </w:p>
    <w:p w:rsidR="0045165C" w:rsidRPr="00294751" w:rsidRDefault="0045165C">
      <w:pPr>
        <w:pStyle w:val="Footer"/>
        <w:spacing w:after="60"/>
        <w:rPr>
          <w:sz w:val="18"/>
          <w:lang w:val="fr-FR"/>
        </w:rPr>
      </w:pPr>
      <w:r w:rsidRPr="00294751">
        <w:rPr>
          <w:sz w:val="18"/>
          <w:lang w:val="fr-FR"/>
        </w:rPr>
        <w:t>[Suite de la note de la page précédente]</w:t>
      </w:r>
    </w:p>
    <w:p w:rsidR="0045165C" w:rsidRPr="00294751" w:rsidRDefault="0045165C" w:rsidP="006655D3">
      <w:pPr>
        <w:rPr>
          <w:lang w:val="fr-FR"/>
        </w:rPr>
      </w:pPr>
    </w:p>
    <w:p w:rsidR="0045165C" w:rsidRPr="00294751" w:rsidRDefault="0045165C" w:rsidP="006655D3">
      <w:pPr>
        <w:rPr>
          <w:lang w:val="fr-FR"/>
        </w:rPr>
      </w:pPr>
    </w:p>
  </w:endnote>
  <w:endnote w:type="continuationNotice" w:id="1">
    <w:p w:rsidR="0045165C" w:rsidRPr="00294751" w:rsidRDefault="0045165C" w:rsidP="006655D3">
      <w:pPr>
        <w:rPr>
          <w:lang w:val="fr-FR"/>
        </w:rPr>
      </w:pPr>
      <w:r w:rsidRPr="00294751">
        <w:rPr>
          <w:lang w:val="fr-FR"/>
        </w:rPr>
        <w:t>[Suite de la note page suivante]</w:t>
      </w:r>
    </w:p>
    <w:p w:rsidR="0045165C" w:rsidRPr="00294751" w:rsidRDefault="0045165C" w:rsidP="006655D3">
      <w:pPr>
        <w:rPr>
          <w:lang w:val="fr-FR"/>
        </w:rPr>
      </w:pPr>
    </w:p>
    <w:p w:rsidR="0045165C" w:rsidRPr="00294751" w:rsidRDefault="0045165C"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165C" w:rsidRDefault="0045165C" w:rsidP="006655D3">
      <w:r>
        <w:separator/>
      </w:r>
    </w:p>
  </w:footnote>
  <w:footnote w:type="continuationSeparator" w:id="0">
    <w:p w:rsidR="0045165C" w:rsidRDefault="0045165C" w:rsidP="006655D3">
      <w:r>
        <w:separator/>
      </w:r>
    </w:p>
  </w:footnote>
  <w:footnote w:type="continuationNotice" w:id="1">
    <w:p w:rsidR="0045165C" w:rsidRPr="00AB530F" w:rsidRDefault="0045165C"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0434" w:rsidRPr="00C5280D" w:rsidRDefault="00C70434" w:rsidP="00EB048E">
    <w:pPr>
      <w:pStyle w:val="Header"/>
      <w:rPr>
        <w:rStyle w:val="PageNumber"/>
        <w:lang w:val="en-US"/>
      </w:rPr>
    </w:pPr>
    <w:r>
      <w:rPr>
        <w:rStyle w:val="PageNumber"/>
        <w:lang w:val="en-US"/>
      </w:rPr>
      <w:t>TWA/46/7</w:t>
    </w:r>
  </w:p>
  <w:p w:rsidR="00C70434" w:rsidRPr="00C5280D" w:rsidRDefault="00C70434" w:rsidP="00EB048E">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9D0E44">
      <w:rPr>
        <w:rStyle w:val="PageNumber"/>
        <w:noProof/>
        <w:lang w:val="en-US"/>
      </w:rPr>
      <w:t>2</w:t>
    </w:r>
    <w:r w:rsidRPr="00C5280D">
      <w:rPr>
        <w:rStyle w:val="PageNumber"/>
        <w:lang w:val="en-US"/>
      </w:rPr>
      <w:fldChar w:fldCharType="end"/>
    </w:r>
  </w:p>
  <w:p w:rsidR="00C70434" w:rsidRPr="00C5280D" w:rsidRDefault="00C70434" w:rsidP="006655D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6A79" w:rsidRPr="00C5280D" w:rsidRDefault="00756A79" w:rsidP="00EB048E">
    <w:pPr>
      <w:pStyle w:val="Header"/>
      <w:rPr>
        <w:rStyle w:val="PageNumber"/>
        <w:lang w:val="en-US"/>
      </w:rPr>
    </w:pPr>
    <w:r>
      <w:rPr>
        <w:rStyle w:val="PageNumber"/>
        <w:lang w:val="en-US"/>
      </w:rPr>
      <w:t>TWA/46/7</w:t>
    </w:r>
  </w:p>
  <w:p w:rsidR="00756A79" w:rsidRPr="00C5280D" w:rsidRDefault="00756A79" w:rsidP="00EB048E">
    <w:pPr>
      <w:pStyle w:val="Header"/>
      <w:rPr>
        <w:lang w:val="en-US"/>
      </w:rPr>
    </w:pPr>
    <w:r>
      <w:rPr>
        <w:lang w:val="en-US"/>
      </w:rPr>
      <w:t xml:space="preserve">Annex 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9D0E44">
      <w:rPr>
        <w:rStyle w:val="PageNumber"/>
        <w:noProof/>
        <w:lang w:val="en-US"/>
      </w:rPr>
      <w:t>9</w:t>
    </w:r>
    <w:r w:rsidRPr="00C5280D">
      <w:rPr>
        <w:rStyle w:val="PageNumber"/>
        <w:lang w:val="en-US"/>
      </w:rPr>
      <w:fldChar w:fldCharType="end"/>
    </w:r>
  </w:p>
  <w:p w:rsidR="00756A79" w:rsidRPr="00C5280D" w:rsidRDefault="00756A79"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5364" w:rsidRPr="00C5280D" w:rsidRDefault="00FE5364" w:rsidP="00EB048E">
    <w:pPr>
      <w:pStyle w:val="Header"/>
      <w:rPr>
        <w:rStyle w:val="PageNumber"/>
        <w:lang w:val="en-US"/>
      </w:rPr>
    </w:pPr>
    <w:r>
      <w:rPr>
        <w:rStyle w:val="PageNumber"/>
        <w:lang w:val="en-US"/>
      </w:rPr>
      <w:t>TWA/46/7</w:t>
    </w:r>
  </w:p>
  <w:p w:rsidR="00FE5364" w:rsidRPr="00C5280D" w:rsidRDefault="00FE5364" w:rsidP="00EB048E">
    <w:pPr>
      <w:pStyle w:val="Header"/>
      <w:rPr>
        <w:lang w:val="en-US"/>
      </w:rPr>
    </w:pPr>
    <w:r>
      <w:rPr>
        <w:lang w:val="en-US"/>
      </w:rPr>
      <w:t xml:space="preserve">Annex 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9D0E44">
      <w:rPr>
        <w:rStyle w:val="PageNumber"/>
        <w:noProof/>
        <w:lang w:val="en-US"/>
      </w:rPr>
      <w:t>2</w:t>
    </w:r>
    <w:r w:rsidRPr="00C5280D">
      <w:rPr>
        <w:rStyle w:val="PageNumber"/>
        <w:lang w:val="en-US"/>
      </w:rPr>
      <w:fldChar w:fldCharType="end"/>
    </w:r>
  </w:p>
  <w:p w:rsidR="00FE5364" w:rsidRPr="00C5280D" w:rsidRDefault="00FE5364" w:rsidP="006655D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C5A" w:rsidRPr="00C5280D" w:rsidRDefault="00391C5A" w:rsidP="00EB048E">
    <w:pPr>
      <w:pStyle w:val="Header"/>
      <w:rPr>
        <w:rStyle w:val="PageNumber"/>
        <w:lang w:val="en-US"/>
      </w:rPr>
    </w:pPr>
    <w:r>
      <w:rPr>
        <w:rStyle w:val="PageNumber"/>
        <w:lang w:val="en-US"/>
      </w:rPr>
      <w:t>TWA/46/7</w:t>
    </w:r>
  </w:p>
  <w:p w:rsidR="00391C5A" w:rsidRPr="00C5280D" w:rsidRDefault="00391C5A" w:rsidP="00EB048E">
    <w:pPr>
      <w:pStyle w:val="Header"/>
      <w:rPr>
        <w:lang w:val="en-US"/>
      </w:rPr>
    </w:pPr>
    <w:r>
      <w:rPr>
        <w:lang w:val="en-US"/>
      </w:rPr>
      <w:t xml:space="preserve">Annex </w:t>
    </w:r>
    <w:r w:rsidR="00DD2725">
      <w:rPr>
        <w:lang w:val="en-US"/>
      </w:rPr>
      <w:t>I</w:t>
    </w:r>
    <w:r>
      <w:rPr>
        <w:lang w:val="en-US"/>
      </w:rPr>
      <w:t xml:space="preserve">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9D0E44">
      <w:rPr>
        <w:rStyle w:val="PageNumber"/>
        <w:noProof/>
        <w:lang w:val="en-US"/>
      </w:rPr>
      <w:t>4</w:t>
    </w:r>
    <w:r w:rsidRPr="00C5280D">
      <w:rPr>
        <w:rStyle w:val="PageNumber"/>
        <w:lang w:val="en-US"/>
      </w:rPr>
      <w:fldChar w:fldCharType="end"/>
    </w:r>
  </w:p>
  <w:p w:rsidR="00391C5A" w:rsidRPr="00C5280D" w:rsidRDefault="00391C5A"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C5A" w:rsidRPr="00C5280D" w:rsidRDefault="00391C5A" w:rsidP="00EB048E">
    <w:pPr>
      <w:pStyle w:val="Header"/>
      <w:rPr>
        <w:rStyle w:val="PageNumber"/>
        <w:lang w:val="en-US"/>
      </w:rPr>
    </w:pPr>
    <w:r>
      <w:rPr>
        <w:rStyle w:val="PageNumber"/>
        <w:lang w:val="en-US"/>
      </w:rPr>
      <w:t>TWA/46/7</w:t>
    </w:r>
  </w:p>
  <w:p w:rsidR="00391C5A" w:rsidRPr="00C5280D" w:rsidRDefault="00DD2725" w:rsidP="00EB048E">
    <w:pPr>
      <w:pStyle w:val="Header"/>
      <w:rPr>
        <w:lang w:val="en-US"/>
      </w:rPr>
    </w:pPr>
    <w:r>
      <w:rPr>
        <w:lang w:val="en-US"/>
      </w:rPr>
      <w:t>Annex IV</w:t>
    </w:r>
    <w:r w:rsidR="00391C5A">
      <w:rPr>
        <w:lang w:val="en-US"/>
      </w:rPr>
      <w:t xml:space="preserve">, </w:t>
    </w:r>
    <w:r w:rsidR="00391C5A" w:rsidRPr="00C5280D">
      <w:rPr>
        <w:lang w:val="en-US"/>
      </w:rPr>
      <w:t xml:space="preserve">page </w:t>
    </w:r>
    <w:r w:rsidR="00391C5A" w:rsidRPr="00C5280D">
      <w:rPr>
        <w:rStyle w:val="PageNumber"/>
        <w:lang w:val="en-US"/>
      </w:rPr>
      <w:fldChar w:fldCharType="begin"/>
    </w:r>
    <w:r w:rsidR="00391C5A" w:rsidRPr="00C5280D">
      <w:rPr>
        <w:rStyle w:val="PageNumber"/>
        <w:lang w:val="en-US"/>
      </w:rPr>
      <w:instrText xml:space="preserve"> PAGE </w:instrText>
    </w:r>
    <w:r w:rsidR="00391C5A" w:rsidRPr="00C5280D">
      <w:rPr>
        <w:rStyle w:val="PageNumber"/>
        <w:lang w:val="en-US"/>
      </w:rPr>
      <w:fldChar w:fldCharType="separate"/>
    </w:r>
    <w:r w:rsidR="009D0E44">
      <w:rPr>
        <w:rStyle w:val="PageNumber"/>
        <w:noProof/>
        <w:lang w:val="en-US"/>
      </w:rPr>
      <w:t>4</w:t>
    </w:r>
    <w:r w:rsidR="00391C5A" w:rsidRPr="00C5280D">
      <w:rPr>
        <w:rStyle w:val="PageNumber"/>
        <w:lang w:val="en-US"/>
      </w:rPr>
      <w:fldChar w:fldCharType="end"/>
    </w:r>
  </w:p>
  <w:p w:rsidR="00391C5A" w:rsidRPr="00C5280D" w:rsidRDefault="00391C5A" w:rsidP="006655D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51544E"/>
    <w:multiLevelType w:val="hybridMultilevel"/>
    <w:tmpl w:val="D6C4DF78"/>
    <w:lvl w:ilvl="0" w:tplc="04160001">
      <w:start w:val="1"/>
      <w:numFmt w:val="bullet"/>
      <w:lvlText w:val=""/>
      <w:lvlJc w:val="left"/>
      <w:pPr>
        <w:ind w:left="1140" w:hanging="360"/>
      </w:pPr>
      <w:rPr>
        <w:rFonts w:ascii="Symbol" w:hAnsi="Symbol" w:hint="default"/>
      </w:rPr>
    </w:lvl>
    <w:lvl w:ilvl="1" w:tplc="04160003" w:tentative="1">
      <w:start w:val="1"/>
      <w:numFmt w:val="bullet"/>
      <w:lvlText w:val="o"/>
      <w:lvlJc w:val="left"/>
      <w:pPr>
        <w:ind w:left="1860" w:hanging="360"/>
      </w:pPr>
      <w:rPr>
        <w:rFonts w:ascii="Courier New" w:hAnsi="Courier New" w:cs="Courier New" w:hint="default"/>
      </w:rPr>
    </w:lvl>
    <w:lvl w:ilvl="2" w:tplc="04160005" w:tentative="1">
      <w:start w:val="1"/>
      <w:numFmt w:val="bullet"/>
      <w:lvlText w:val=""/>
      <w:lvlJc w:val="left"/>
      <w:pPr>
        <w:ind w:left="2580" w:hanging="360"/>
      </w:pPr>
      <w:rPr>
        <w:rFonts w:ascii="Wingdings" w:hAnsi="Wingdings" w:hint="default"/>
      </w:rPr>
    </w:lvl>
    <w:lvl w:ilvl="3" w:tplc="04160001" w:tentative="1">
      <w:start w:val="1"/>
      <w:numFmt w:val="bullet"/>
      <w:lvlText w:val=""/>
      <w:lvlJc w:val="left"/>
      <w:pPr>
        <w:ind w:left="3300" w:hanging="360"/>
      </w:pPr>
      <w:rPr>
        <w:rFonts w:ascii="Symbol" w:hAnsi="Symbol" w:hint="default"/>
      </w:rPr>
    </w:lvl>
    <w:lvl w:ilvl="4" w:tplc="04160003" w:tentative="1">
      <w:start w:val="1"/>
      <w:numFmt w:val="bullet"/>
      <w:lvlText w:val="o"/>
      <w:lvlJc w:val="left"/>
      <w:pPr>
        <w:ind w:left="4020" w:hanging="360"/>
      </w:pPr>
      <w:rPr>
        <w:rFonts w:ascii="Courier New" w:hAnsi="Courier New" w:cs="Courier New" w:hint="default"/>
      </w:rPr>
    </w:lvl>
    <w:lvl w:ilvl="5" w:tplc="04160005" w:tentative="1">
      <w:start w:val="1"/>
      <w:numFmt w:val="bullet"/>
      <w:lvlText w:val=""/>
      <w:lvlJc w:val="left"/>
      <w:pPr>
        <w:ind w:left="4740" w:hanging="360"/>
      </w:pPr>
      <w:rPr>
        <w:rFonts w:ascii="Wingdings" w:hAnsi="Wingdings" w:hint="default"/>
      </w:rPr>
    </w:lvl>
    <w:lvl w:ilvl="6" w:tplc="04160001" w:tentative="1">
      <w:start w:val="1"/>
      <w:numFmt w:val="bullet"/>
      <w:lvlText w:val=""/>
      <w:lvlJc w:val="left"/>
      <w:pPr>
        <w:ind w:left="5460" w:hanging="360"/>
      </w:pPr>
      <w:rPr>
        <w:rFonts w:ascii="Symbol" w:hAnsi="Symbol" w:hint="default"/>
      </w:rPr>
    </w:lvl>
    <w:lvl w:ilvl="7" w:tplc="04160003" w:tentative="1">
      <w:start w:val="1"/>
      <w:numFmt w:val="bullet"/>
      <w:lvlText w:val="o"/>
      <w:lvlJc w:val="left"/>
      <w:pPr>
        <w:ind w:left="6180" w:hanging="360"/>
      </w:pPr>
      <w:rPr>
        <w:rFonts w:ascii="Courier New" w:hAnsi="Courier New" w:cs="Courier New" w:hint="default"/>
      </w:rPr>
    </w:lvl>
    <w:lvl w:ilvl="8" w:tplc="04160005" w:tentative="1">
      <w:start w:val="1"/>
      <w:numFmt w:val="bullet"/>
      <w:lvlText w:val=""/>
      <w:lvlJc w:val="left"/>
      <w:pPr>
        <w:ind w:left="6900" w:hanging="360"/>
      </w:pPr>
      <w:rPr>
        <w:rFonts w:ascii="Wingdings" w:hAnsi="Wingdings" w:hint="default"/>
      </w:rPr>
    </w:lvl>
  </w:abstractNum>
  <w:abstractNum w:abstractNumId="1">
    <w:nsid w:val="5A2F0205"/>
    <w:multiLevelType w:val="hybridMultilevel"/>
    <w:tmpl w:val="69AAFB34"/>
    <w:lvl w:ilvl="0" w:tplc="E3CA4FA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E6F3879"/>
    <w:multiLevelType w:val="hybridMultilevel"/>
    <w:tmpl w:val="C608BAA4"/>
    <w:lvl w:ilvl="0" w:tplc="04160001">
      <w:start w:val="1"/>
      <w:numFmt w:val="bullet"/>
      <w:lvlText w:val=""/>
      <w:lvlJc w:val="left"/>
      <w:pPr>
        <w:ind w:left="720" w:hanging="360"/>
      </w:pPr>
      <w:rPr>
        <w:rFonts w:ascii="Symbol" w:hAnsi="Symbol" w:hint="default"/>
      </w:rPr>
    </w:lvl>
    <w:lvl w:ilvl="1" w:tplc="041859DE">
      <w:start w:val="1"/>
      <w:numFmt w:val="bullet"/>
      <w:lvlText w:val="-"/>
      <w:lvlJc w:val="left"/>
      <w:pPr>
        <w:ind w:left="1440" w:hanging="360"/>
      </w:pPr>
      <w:rPr>
        <w:rFonts w:ascii="Arial" w:hAnsi="Arial" w:hint="default"/>
        <w:sz w:val="20"/>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165C"/>
    <w:rsid w:val="00010CF3"/>
    <w:rsid w:val="00011E27"/>
    <w:rsid w:val="000148BC"/>
    <w:rsid w:val="00024AB8"/>
    <w:rsid w:val="00030854"/>
    <w:rsid w:val="00036028"/>
    <w:rsid w:val="00044642"/>
    <w:rsid w:val="000446B9"/>
    <w:rsid w:val="00047E21"/>
    <w:rsid w:val="00050E16"/>
    <w:rsid w:val="00085505"/>
    <w:rsid w:val="000861B3"/>
    <w:rsid w:val="00086A69"/>
    <w:rsid w:val="000B4C7D"/>
    <w:rsid w:val="000B761E"/>
    <w:rsid w:val="000C4E25"/>
    <w:rsid w:val="000C7021"/>
    <w:rsid w:val="000D6BBC"/>
    <w:rsid w:val="000D7780"/>
    <w:rsid w:val="000E636A"/>
    <w:rsid w:val="000E6452"/>
    <w:rsid w:val="000F2F11"/>
    <w:rsid w:val="00105929"/>
    <w:rsid w:val="00110C36"/>
    <w:rsid w:val="001131D5"/>
    <w:rsid w:val="001132F2"/>
    <w:rsid w:val="00130E23"/>
    <w:rsid w:val="00134B8D"/>
    <w:rsid w:val="00141DB8"/>
    <w:rsid w:val="00172084"/>
    <w:rsid w:val="0017474A"/>
    <w:rsid w:val="001758C6"/>
    <w:rsid w:val="00181D8E"/>
    <w:rsid w:val="00182B99"/>
    <w:rsid w:val="001871CA"/>
    <w:rsid w:val="0019297D"/>
    <w:rsid w:val="001A529A"/>
    <w:rsid w:val="001D6303"/>
    <w:rsid w:val="001F7309"/>
    <w:rsid w:val="00205DFB"/>
    <w:rsid w:val="0021332C"/>
    <w:rsid w:val="00213982"/>
    <w:rsid w:val="0024416D"/>
    <w:rsid w:val="00271911"/>
    <w:rsid w:val="002800A0"/>
    <w:rsid w:val="002801B3"/>
    <w:rsid w:val="00280EC9"/>
    <w:rsid w:val="00281060"/>
    <w:rsid w:val="00293817"/>
    <w:rsid w:val="002940E8"/>
    <w:rsid w:val="00294751"/>
    <w:rsid w:val="002A6E50"/>
    <w:rsid w:val="002B4298"/>
    <w:rsid w:val="002C256A"/>
    <w:rsid w:val="00305A7F"/>
    <w:rsid w:val="003152FE"/>
    <w:rsid w:val="00321BFC"/>
    <w:rsid w:val="00327436"/>
    <w:rsid w:val="00334446"/>
    <w:rsid w:val="00335389"/>
    <w:rsid w:val="00344BD6"/>
    <w:rsid w:val="0035528D"/>
    <w:rsid w:val="00361821"/>
    <w:rsid w:val="00361E9E"/>
    <w:rsid w:val="00370BF0"/>
    <w:rsid w:val="00382FF2"/>
    <w:rsid w:val="00391C5A"/>
    <w:rsid w:val="003B07CF"/>
    <w:rsid w:val="003C7FBE"/>
    <w:rsid w:val="003D227C"/>
    <w:rsid w:val="003D2B4D"/>
    <w:rsid w:val="003E1539"/>
    <w:rsid w:val="00425AAB"/>
    <w:rsid w:val="00444A88"/>
    <w:rsid w:val="00446E22"/>
    <w:rsid w:val="0045165C"/>
    <w:rsid w:val="00474DA4"/>
    <w:rsid w:val="00476B4D"/>
    <w:rsid w:val="004805FA"/>
    <w:rsid w:val="004935D2"/>
    <w:rsid w:val="0049744F"/>
    <w:rsid w:val="004B1215"/>
    <w:rsid w:val="004B706A"/>
    <w:rsid w:val="004C39C2"/>
    <w:rsid w:val="004D047D"/>
    <w:rsid w:val="004E7AA1"/>
    <w:rsid w:val="004F1E9E"/>
    <w:rsid w:val="004F305A"/>
    <w:rsid w:val="00512164"/>
    <w:rsid w:val="00520297"/>
    <w:rsid w:val="00521FD4"/>
    <w:rsid w:val="005338F9"/>
    <w:rsid w:val="0054281C"/>
    <w:rsid w:val="00544581"/>
    <w:rsid w:val="00545BF0"/>
    <w:rsid w:val="00545DE3"/>
    <w:rsid w:val="0055268D"/>
    <w:rsid w:val="00560A96"/>
    <w:rsid w:val="00574C0B"/>
    <w:rsid w:val="00576BE4"/>
    <w:rsid w:val="005A400A"/>
    <w:rsid w:val="005B7D32"/>
    <w:rsid w:val="005F7B92"/>
    <w:rsid w:val="00612188"/>
    <w:rsid w:val="00612379"/>
    <w:rsid w:val="006153B6"/>
    <w:rsid w:val="0061555F"/>
    <w:rsid w:val="00621302"/>
    <w:rsid w:val="00633ADD"/>
    <w:rsid w:val="00636CA6"/>
    <w:rsid w:val="00641200"/>
    <w:rsid w:val="006655D3"/>
    <w:rsid w:val="00667404"/>
    <w:rsid w:val="00687EB4"/>
    <w:rsid w:val="00695C56"/>
    <w:rsid w:val="00696463"/>
    <w:rsid w:val="006A5CDE"/>
    <w:rsid w:val="006A614E"/>
    <w:rsid w:val="006A644A"/>
    <w:rsid w:val="006B17D2"/>
    <w:rsid w:val="006C224E"/>
    <w:rsid w:val="006D780A"/>
    <w:rsid w:val="0071271E"/>
    <w:rsid w:val="00732DEC"/>
    <w:rsid w:val="00735BD5"/>
    <w:rsid w:val="00740866"/>
    <w:rsid w:val="007506B3"/>
    <w:rsid w:val="00751613"/>
    <w:rsid w:val="007556F6"/>
    <w:rsid w:val="00756A79"/>
    <w:rsid w:val="00760EEF"/>
    <w:rsid w:val="00763528"/>
    <w:rsid w:val="00777EE5"/>
    <w:rsid w:val="00784836"/>
    <w:rsid w:val="0079023E"/>
    <w:rsid w:val="007A2854"/>
    <w:rsid w:val="007A388C"/>
    <w:rsid w:val="007C1D92"/>
    <w:rsid w:val="007C4CB9"/>
    <w:rsid w:val="007D0B9D"/>
    <w:rsid w:val="007D19B0"/>
    <w:rsid w:val="007D54C0"/>
    <w:rsid w:val="007E3E10"/>
    <w:rsid w:val="007F498F"/>
    <w:rsid w:val="00800F6C"/>
    <w:rsid w:val="0080679D"/>
    <w:rsid w:val="008108B0"/>
    <w:rsid w:val="00811B20"/>
    <w:rsid w:val="008211B5"/>
    <w:rsid w:val="0082296E"/>
    <w:rsid w:val="00824099"/>
    <w:rsid w:val="00834ED8"/>
    <w:rsid w:val="008409FD"/>
    <w:rsid w:val="00846D7C"/>
    <w:rsid w:val="00860A1D"/>
    <w:rsid w:val="00867AC1"/>
    <w:rsid w:val="00884D83"/>
    <w:rsid w:val="00890DF8"/>
    <w:rsid w:val="008A743F"/>
    <w:rsid w:val="008C0970"/>
    <w:rsid w:val="008C459A"/>
    <w:rsid w:val="008D0BC5"/>
    <w:rsid w:val="008D2CF7"/>
    <w:rsid w:val="008F2796"/>
    <w:rsid w:val="00900C26"/>
    <w:rsid w:val="0090197F"/>
    <w:rsid w:val="00906DDC"/>
    <w:rsid w:val="00925B09"/>
    <w:rsid w:val="00934E09"/>
    <w:rsid w:val="00936253"/>
    <w:rsid w:val="00940D46"/>
    <w:rsid w:val="009462C7"/>
    <w:rsid w:val="00952DD4"/>
    <w:rsid w:val="00965AE7"/>
    <w:rsid w:val="0096628F"/>
    <w:rsid w:val="00970FED"/>
    <w:rsid w:val="00992D82"/>
    <w:rsid w:val="00997029"/>
    <w:rsid w:val="009A4B6E"/>
    <w:rsid w:val="009A7339"/>
    <w:rsid w:val="009B440E"/>
    <w:rsid w:val="009D0E44"/>
    <w:rsid w:val="009D690D"/>
    <w:rsid w:val="009E65B6"/>
    <w:rsid w:val="00A0314E"/>
    <w:rsid w:val="00A151E7"/>
    <w:rsid w:val="00A24C10"/>
    <w:rsid w:val="00A42AC3"/>
    <w:rsid w:val="00A430CF"/>
    <w:rsid w:val="00A54309"/>
    <w:rsid w:val="00AB2B93"/>
    <w:rsid w:val="00AB530F"/>
    <w:rsid w:val="00AB7E5B"/>
    <w:rsid w:val="00AC2883"/>
    <w:rsid w:val="00AE0EF1"/>
    <w:rsid w:val="00AE2937"/>
    <w:rsid w:val="00B07301"/>
    <w:rsid w:val="00B11F3E"/>
    <w:rsid w:val="00B224DE"/>
    <w:rsid w:val="00B324D4"/>
    <w:rsid w:val="00B46575"/>
    <w:rsid w:val="00B61777"/>
    <w:rsid w:val="00B84BBD"/>
    <w:rsid w:val="00BA43FB"/>
    <w:rsid w:val="00BA6D23"/>
    <w:rsid w:val="00BB72E1"/>
    <w:rsid w:val="00BC127D"/>
    <w:rsid w:val="00BC1FE6"/>
    <w:rsid w:val="00C061B6"/>
    <w:rsid w:val="00C2446C"/>
    <w:rsid w:val="00C27612"/>
    <w:rsid w:val="00C36AE5"/>
    <w:rsid w:val="00C41F17"/>
    <w:rsid w:val="00C527FA"/>
    <w:rsid w:val="00C5280D"/>
    <w:rsid w:val="00C53EB3"/>
    <w:rsid w:val="00C5791C"/>
    <w:rsid w:val="00C66290"/>
    <w:rsid w:val="00C70434"/>
    <w:rsid w:val="00C72B7A"/>
    <w:rsid w:val="00C973F2"/>
    <w:rsid w:val="00CA304C"/>
    <w:rsid w:val="00CA774A"/>
    <w:rsid w:val="00CC11B0"/>
    <w:rsid w:val="00CC2841"/>
    <w:rsid w:val="00CF1330"/>
    <w:rsid w:val="00CF27E1"/>
    <w:rsid w:val="00CF7E36"/>
    <w:rsid w:val="00D137BF"/>
    <w:rsid w:val="00D171A1"/>
    <w:rsid w:val="00D3708D"/>
    <w:rsid w:val="00D40426"/>
    <w:rsid w:val="00D41312"/>
    <w:rsid w:val="00D44FAE"/>
    <w:rsid w:val="00D47E93"/>
    <w:rsid w:val="00D57C96"/>
    <w:rsid w:val="00D57D18"/>
    <w:rsid w:val="00D7016F"/>
    <w:rsid w:val="00D85A0C"/>
    <w:rsid w:val="00D91203"/>
    <w:rsid w:val="00D95174"/>
    <w:rsid w:val="00DA1712"/>
    <w:rsid w:val="00DA3CC9"/>
    <w:rsid w:val="00DA4499"/>
    <w:rsid w:val="00DA4973"/>
    <w:rsid w:val="00DA6F36"/>
    <w:rsid w:val="00DB596E"/>
    <w:rsid w:val="00DB7773"/>
    <w:rsid w:val="00DC00EA"/>
    <w:rsid w:val="00DC3802"/>
    <w:rsid w:val="00DD2725"/>
    <w:rsid w:val="00DF6996"/>
    <w:rsid w:val="00E07D87"/>
    <w:rsid w:val="00E32F7E"/>
    <w:rsid w:val="00E41FD6"/>
    <w:rsid w:val="00E5267B"/>
    <w:rsid w:val="00E70039"/>
    <w:rsid w:val="00E72D49"/>
    <w:rsid w:val="00E7593C"/>
    <w:rsid w:val="00E7678A"/>
    <w:rsid w:val="00E935F1"/>
    <w:rsid w:val="00E94A81"/>
    <w:rsid w:val="00EA1FFB"/>
    <w:rsid w:val="00EA208C"/>
    <w:rsid w:val="00EA79AD"/>
    <w:rsid w:val="00EB048E"/>
    <w:rsid w:val="00EB4E9C"/>
    <w:rsid w:val="00EC1D1E"/>
    <w:rsid w:val="00EC481C"/>
    <w:rsid w:val="00EC4D6F"/>
    <w:rsid w:val="00EE1AFA"/>
    <w:rsid w:val="00EE34DF"/>
    <w:rsid w:val="00EF2F89"/>
    <w:rsid w:val="00F03E98"/>
    <w:rsid w:val="00F1237A"/>
    <w:rsid w:val="00F22CBD"/>
    <w:rsid w:val="00F272F1"/>
    <w:rsid w:val="00F45372"/>
    <w:rsid w:val="00F560F7"/>
    <w:rsid w:val="00F6334D"/>
    <w:rsid w:val="00F7565B"/>
    <w:rsid w:val="00F95868"/>
    <w:rsid w:val="00FA49AB"/>
    <w:rsid w:val="00FD33CA"/>
    <w:rsid w:val="00FE39C7"/>
    <w:rsid w:val="00FE5364"/>
    <w:rsid w:val="00FF4D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Disclaimer">
    <w:name w:val="Disclaimer"/>
    <w:next w:val="Normal"/>
    <w:qFormat/>
    <w:rsid w:val="00370BF0"/>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370BF0"/>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semiHidden/>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semiHidden/>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styleId="ListParagraph">
    <w:name w:val="List Paragraph"/>
    <w:basedOn w:val="Normal"/>
    <w:uiPriority w:val="34"/>
    <w:qFormat/>
    <w:rsid w:val="00C70434"/>
    <w:pPr>
      <w:spacing w:after="160" w:line="259" w:lineRule="auto"/>
      <w:ind w:left="720"/>
      <w:contextualSpacing/>
      <w:jc w:val="left"/>
    </w:pPr>
    <w:rPr>
      <w:rFonts w:asciiTheme="minorHAnsi" w:eastAsiaTheme="minorHAnsi" w:hAnsiTheme="minorHAnsi" w:cstheme="minorBidi"/>
      <w:sz w:val="22"/>
      <w:szCs w:val="22"/>
      <w:lang w:val="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Disclaimer">
    <w:name w:val="Disclaimer"/>
    <w:next w:val="Normal"/>
    <w:qFormat/>
    <w:rsid w:val="00370BF0"/>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370BF0"/>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semiHidden/>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semiHidden/>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styleId="ListParagraph">
    <w:name w:val="List Paragraph"/>
    <w:basedOn w:val="Normal"/>
    <w:uiPriority w:val="34"/>
    <w:qFormat/>
    <w:rsid w:val="00C70434"/>
    <w:pPr>
      <w:spacing w:after="160" w:line="259" w:lineRule="auto"/>
      <w:ind w:left="720"/>
      <w:contextualSpacing/>
      <w:jc w:val="left"/>
    </w:pPr>
    <w:rPr>
      <w:rFonts w:asciiTheme="minorHAnsi" w:eastAsiaTheme="minorHAnsi" w:hAnsiTheme="minorHAnsi" w:cstheme="minorBidi"/>
      <w:sz w:val="22"/>
      <w:szCs w:val="22"/>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package" Target="embeddings/Microsoft_PowerPoint_Slide4.sldx"/><Relationship Id="rId21" Type="http://schemas.openxmlformats.org/officeDocument/2006/relationships/image" Target="media/image13.png"/><Relationship Id="rId34" Type="http://schemas.openxmlformats.org/officeDocument/2006/relationships/image" Target="media/image21.emf"/><Relationship Id="rId42" Type="http://schemas.openxmlformats.org/officeDocument/2006/relationships/image" Target="media/image25.emf"/><Relationship Id="rId47" Type="http://schemas.openxmlformats.org/officeDocument/2006/relationships/image" Target="media/image27.emf"/><Relationship Id="rId50" Type="http://schemas.openxmlformats.org/officeDocument/2006/relationships/package" Target="embeddings/Microsoft_PowerPoint_Slide9.sldx"/><Relationship Id="rId55" Type="http://schemas.openxmlformats.org/officeDocument/2006/relationships/image" Target="media/image31.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www.agricultura.gov.br/assuntos/insumos-agropecuarios/insumos-agricolas/protecao-de-cultivar/arquivos-agricolas/soja_formulario_novo_29out2009_p-2.doc" TargetMode="External"/><Relationship Id="rId41" Type="http://schemas.openxmlformats.org/officeDocument/2006/relationships/package" Target="embeddings/Microsoft_PowerPoint_Slide5.sldx"/><Relationship Id="rId54" Type="http://schemas.openxmlformats.org/officeDocument/2006/relationships/package" Target="embeddings/Microsoft_PowerPoint_Slide11.sldx"/><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0.emf"/><Relationship Id="rId37" Type="http://schemas.openxmlformats.org/officeDocument/2006/relationships/package" Target="embeddings/Microsoft_PowerPoint_Slide3.sldx"/><Relationship Id="rId40" Type="http://schemas.openxmlformats.org/officeDocument/2006/relationships/image" Target="media/image24.emf"/><Relationship Id="rId45" Type="http://schemas.openxmlformats.org/officeDocument/2006/relationships/package" Target="embeddings/Microsoft_PowerPoint_Slide7.sldx"/><Relationship Id="rId53" Type="http://schemas.openxmlformats.org/officeDocument/2006/relationships/image" Target="media/image30.emf"/><Relationship Id="rId58" Type="http://schemas.openxmlformats.org/officeDocument/2006/relationships/package" Target="embeddings/Microsoft_PowerPoint_Slide13.sldx"/><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2.xml"/><Relationship Id="rId36" Type="http://schemas.openxmlformats.org/officeDocument/2006/relationships/image" Target="media/image22.emf"/><Relationship Id="rId49" Type="http://schemas.openxmlformats.org/officeDocument/2006/relationships/image" Target="media/image28.emf"/><Relationship Id="rId57" Type="http://schemas.openxmlformats.org/officeDocument/2006/relationships/image" Target="media/image32.emf"/><Relationship Id="rId61" Type="http://schemas.openxmlformats.org/officeDocument/2006/relationships/header" Target="header5.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3.xml"/><Relationship Id="rId44" Type="http://schemas.openxmlformats.org/officeDocument/2006/relationships/image" Target="media/image26.emf"/><Relationship Id="rId52" Type="http://schemas.openxmlformats.org/officeDocument/2006/relationships/package" Target="embeddings/Microsoft_PowerPoint_Slide10.sldx"/><Relationship Id="rId60" Type="http://schemas.openxmlformats.org/officeDocument/2006/relationships/package" Target="embeddings/Microsoft_PowerPoint_Slide14.sldx"/><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www.agricultura.gov.br/assuntos/insumos-agropecuarios/insumos-agricolas/protecao-de-cultivar/arquivos-agricolas/soja_anexo_ii_-_protocolos_doen-c7as_p.doc" TargetMode="External"/><Relationship Id="rId35" Type="http://schemas.openxmlformats.org/officeDocument/2006/relationships/package" Target="embeddings/Microsoft_PowerPoint_Slide2.sldx"/><Relationship Id="rId43" Type="http://schemas.openxmlformats.org/officeDocument/2006/relationships/package" Target="embeddings/Microsoft_PowerPoint_Slide6.sldx"/><Relationship Id="rId48" Type="http://schemas.openxmlformats.org/officeDocument/2006/relationships/package" Target="embeddings/Microsoft_PowerPoint_Slide8.sldx"/><Relationship Id="rId56" Type="http://schemas.openxmlformats.org/officeDocument/2006/relationships/package" Target="embeddings/Microsoft_PowerPoint_Slide12.sldx"/><Relationship Id="rId8" Type="http://schemas.openxmlformats.org/officeDocument/2006/relationships/image" Target="media/image1.png"/><Relationship Id="rId51" Type="http://schemas.openxmlformats.org/officeDocument/2006/relationships/image" Target="media/image29.emf"/><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package" Target="embeddings/Microsoft_PowerPoint_Slide1.sldx"/><Relationship Id="rId38" Type="http://schemas.openxmlformats.org/officeDocument/2006/relationships/image" Target="media/image23.emf"/><Relationship Id="rId46" Type="http://schemas.openxmlformats.org/officeDocument/2006/relationships/header" Target="header4.xml"/><Relationship Id="rId59" Type="http://schemas.openxmlformats.org/officeDocument/2006/relationships/image" Target="media/image33.emf"/></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WA\Twa46\template\twa_4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twa_46.dotx</Template>
  <TotalTime>384</TotalTime>
  <Pages>21</Pages>
  <Words>1726</Words>
  <Characters>11011</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TWA/46/7</vt:lpstr>
    </vt:vector>
  </TitlesOfParts>
  <Company>UPOV</Company>
  <LinksUpToDate>false</LinksUpToDate>
  <CharactersWithSpaces>12712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TWA/46/7</dc:title>
  <dc:creator>Sanchez vizcaino gomez Rosa Maria</dc:creator>
  <cp:lastModifiedBy>SANCHEZ-VIZCAINO GOMEZ Rosa Maria</cp:lastModifiedBy>
  <cp:revision>62</cp:revision>
  <cp:lastPrinted>2017-06-09T07:03:00Z</cp:lastPrinted>
  <dcterms:created xsi:type="dcterms:W3CDTF">2017-05-15T13:17:00Z</dcterms:created>
  <dcterms:modified xsi:type="dcterms:W3CDTF">2017-06-09T07:04:00Z</dcterms:modified>
</cp:coreProperties>
</file>