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59" w:rsidRDefault="007D3459"/>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62C45" w:rsidP="006655D3">
            <w:pPr>
              <w:pStyle w:val="LogoUPOV"/>
            </w:pPr>
            <w:r>
              <w:rPr>
                <w:noProof/>
                <w:lang w:eastAsia="zh-CN"/>
              </w:rPr>
              <w:drawing>
                <wp:inline distT="0" distB="0" distL="0" distR="0" wp14:anchorId="08C5F4CB" wp14:editId="2D4CCCB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024089">
              <w:t>A</w:t>
            </w:r>
            <w:r>
              <w:t>/4</w:t>
            </w:r>
            <w:r w:rsidR="00024089">
              <w:t>4</w:t>
            </w:r>
            <w:r>
              <w:t>/</w:t>
            </w:r>
            <w:bookmarkStart w:id="0" w:name="Code"/>
            <w:bookmarkEnd w:id="0"/>
            <w:r w:rsidR="000656C9">
              <w:t>10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0526AA">
            <w:pPr>
              <w:pStyle w:val="Docoriginal"/>
            </w:pPr>
            <w:r w:rsidRPr="00B46575">
              <w:rPr>
                <w:spacing w:val="0"/>
              </w:rPr>
              <w:t>DATE</w:t>
            </w:r>
            <w:r w:rsidRPr="000526AA">
              <w:rPr>
                <w:spacing w:val="0"/>
              </w:rPr>
              <w:t>:</w:t>
            </w:r>
            <w:r w:rsidRPr="000526AA">
              <w:rPr>
                <w:rStyle w:val="StyleDocoriginalNotBold1"/>
                <w:spacing w:val="0"/>
              </w:rPr>
              <w:t xml:space="preserve"> </w:t>
            </w:r>
            <w:bookmarkStart w:id="2" w:name="Date"/>
            <w:bookmarkEnd w:id="2"/>
            <w:r w:rsidR="00876C58" w:rsidRPr="000526AA">
              <w:rPr>
                <w:rStyle w:val="StyleDocoriginalNotBold1"/>
                <w:spacing w:val="0"/>
              </w:rPr>
              <w:t xml:space="preserve"> </w:t>
            </w:r>
            <w:r w:rsidR="00DA59CF" w:rsidRPr="000526AA">
              <w:rPr>
                <w:rStyle w:val="StyleDocoriginalNotBold1"/>
                <w:spacing w:val="0"/>
              </w:rPr>
              <w:t xml:space="preserve">May </w:t>
            </w:r>
            <w:r w:rsidR="007D3459">
              <w:rPr>
                <w:rStyle w:val="StyleDocoriginalNotBold1"/>
                <w:spacing w:val="0"/>
              </w:rPr>
              <w:t>27</w:t>
            </w:r>
            <w:r w:rsidR="00CE63BA" w:rsidRPr="000526AA">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544FE6" w:rsidRDefault="00544FE6" w:rsidP="00544FE6">
      <w:pPr>
        <w:pStyle w:val="Sessiontc"/>
      </w:pPr>
      <w:bookmarkStart w:id="3" w:name="TitleOfDoc"/>
      <w:bookmarkStart w:id="4" w:name="Prepared"/>
      <w:bookmarkEnd w:id="3"/>
      <w:bookmarkEnd w:id="4"/>
      <w:r>
        <w:t>Technical working party for Agricultural crops</w:t>
      </w:r>
    </w:p>
    <w:p w:rsidR="00544FE6" w:rsidRDefault="00544FE6" w:rsidP="00544FE6">
      <w:pPr>
        <w:pStyle w:val="Sessiontcplacedate"/>
      </w:pPr>
      <w:r>
        <w:t>Forty-Fourth Session</w:t>
      </w:r>
      <w:r>
        <w:br/>
      </w:r>
      <w:proofErr w:type="spellStart"/>
      <w:r>
        <w:rPr>
          <w:rFonts w:cs="Arial"/>
        </w:rPr>
        <w:t>Obihiro</w:t>
      </w:r>
      <w:proofErr w:type="spellEnd"/>
      <w:r>
        <w:rPr>
          <w:rFonts w:cs="Arial"/>
        </w:rPr>
        <w:t>, Japan</w:t>
      </w:r>
      <w:r>
        <w:t>, July 6 to 10, 2015</w:t>
      </w:r>
    </w:p>
    <w:p w:rsidR="00DA59CF" w:rsidRPr="00C5280D" w:rsidRDefault="00DA59CF" w:rsidP="00DA59CF">
      <w:pPr>
        <w:pStyle w:val="Titleofdoc0"/>
      </w:pPr>
      <w:r w:rsidRPr="00BE4A7F">
        <w:t>Matters concerning variety descriptions</w:t>
      </w:r>
    </w:p>
    <w:p w:rsidR="003776C3" w:rsidRPr="00C5280D" w:rsidRDefault="003776C3" w:rsidP="003776C3">
      <w:pPr>
        <w:pStyle w:val="preparedby1"/>
      </w:pPr>
      <w:r w:rsidRPr="00DA59CF">
        <w:t>Document</w:t>
      </w:r>
      <w:r w:rsidRPr="00C5280D">
        <w:t xml:space="preserve"> prepared by the Office of the Union</w:t>
      </w:r>
      <w:r>
        <w:br/>
      </w:r>
      <w:r>
        <w:br/>
      </w:r>
      <w:r>
        <w:rPr>
          <w:color w:val="A6A6A6" w:themeColor="background1" w:themeShade="A6"/>
        </w:rPr>
        <w:t>Disclaimer:  this document does not represent UPOV policies or guidance</w:t>
      </w:r>
    </w:p>
    <w:p w:rsidR="00910693" w:rsidRDefault="00770DEA" w:rsidP="00910693">
      <w:bookmarkStart w:id="5" w:name="_Toc418531189"/>
      <w:r>
        <w:t>EXECUTIVE SUMMARY</w:t>
      </w:r>
    </w:p>
    <w:p w:rsidR="00770DEA" w:rsidRDefault="00770DEA" w:rsidP="00910693"/>
    <w:p w:rsidR="00FB48E7" w:rsidRDefault="00FB48E7" w:rsidP="00FB48E7">
      <w:pPr>
        <w:rPr>
          <w:snapToGrid w:val="0"/>
        </w:rPr>
      </w:pPr>
      <w:r w:rsidRPr="007C63B0">
        <w:rPr>
          <w:snapToGrid w:val="0"/>
        </w:rPr>
        <w:fldChar w:fldCharType="begin"/>
      </w:r>
      <w:r w:rsidRPr="007C63B0">
        <w:rPr>
          <w:snapToGrid w:val="0"/>
        </w:rPr>
        <w:instrText xml:space="preserve"> AUTONUM  </w:instrText>
      </w:r>
      <w:r w:rsidRPr="007C63B0">
        <w:rPr>
          <w:snapToGrid w:val="0"/>
        </w:rPr>
        <w:fldChar w:fldCharType="end"/>
      </w:r>
      <w:r w:rsidRPr="007C63B0">
        <w:rPr>
          <w:snapToGrid w:val="0"/>
        </w:rPr>
        <w:tab/>
        <w:t xml:space="preserve">The purpose of this document is to </w:t>
      </w:r>
      <w:r>
        <w:rPr>
          <w:snapToGrid w:val="0"/>
        </w:rPr>
        <w:t>consider</w:t>
      </w:r>
      <w:r w:rsidRPr="007C63B0">
        <w:rPr>
          <w:snapToGrid w:val="0"/>
        </w:rPr>
        <w:t xml:space="preserve"> </w:t>
      </w:r>
      <w:r>
        <w:rPr>
          <w:snapToGrid w:val="0"/>
        </w:rPr>
        <w:t xml:space="preserve">matters concerning </w:t>
      </w:r>
      <w:r w:rsidRPr="007C63B0">
        <w:rPr>
          <w:snapToGrid w:val="0"/>
        </w:rPr>
        <w:t xml:space="preserve">the verification of the conformity of </w:t>
      </w:r>
      <w:r>
        <w:rPr>
          <w:snapToGrid w:val="0"/>
        </w:rPr>
        <w:t xml:space="preserve">the maintenance of the variety and </w:t>
      </w:r>
      <w:r>
        <w:t>concerning variety descriptions, which were referred to the T</w:t>
      </w:r>
      <w:r w:rsidR="00761855">
        <w:t xml:space="preserve">echnical Committee </w:t>
      </w:r>
      <w:r>
        <w:t xml:space="preserve">by the </w:t>
      </w:r>
      <w:r w:rsidR="00761855">
        <w:t>Administrative and Legal Committee</w:t>
      </w:r>
      <w:r w:rsidRPr="007C63B0">
        <w:rPr>
          <w:snapToGrid w:val="0"/>
        </w:rPr>
        <w:t>.</w:t>
      </w:r>
    </w:p>
    <w:p w:rsidR="00FB48E7" w:rsidRDefault="00FB48E7" w:rsidP="00FB48E7">
      <w:pPr>
        <w:rPr>
          <w:snapToGrid w:val="0"/>
        </w:rPr>
      </w:pPr>
    </w:p>
    <w:p w:rsidR="00925D62" w:rsidRPr="00925D62" w:rsidRDefault="00925D62" w:rsidP="00925D6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024089">
        <w:rPr>
          <w:snapToGrid w:val="0"/>
        </w:rPr>
        <w:t>The TWA</w:t>
      </w:r>
      <w:r w:rsidRPr="00925D62">
        <w:rPr>
          <w:snapToGrid w:val="0"/>
        </w:rPr>
        <w:t xml:space="preserve"> is invited to consider the:</w:t>
      </w:r>
    </w:p>
    <w:p w:rsidR="00925D62" w:rsidRPr="00925D62" w:rsidRDefault="00925D62" w:rsidP="00925D62">
      <w:pPr>
        <w:rPr>
          <w:snapToGrid w:val="0"/>
        </w:rPr>
      </w:pPr>
    </w:p>
    <w:p w:rsidR="00925D62" w:rsidRDefault="00925D62" w:rsidP="00925D62">
      <w:pPr>
        <w:rPr>
          <w:snapToGrid w:val="0"/>
        </w:rPr>
      </w:pPr>
      <w:r w:rsidRPr="00925D62">
        <w:rPr>
          <w:snapToGrid w:val="0"/>
        </w:rPr>
        <w:tab/>
        <w:t>(a)</w:t>
      </w:r>
      <w:r w:rsidRPr="00925D62">
        <w:rPr>
          <w:snapToGrid w:val="0"/>
        </w:rPr>
        <w:tab/>
      </w:r>
      <w:r w:rsidR="008E65FB" w:rsidRPr="00925D62">
        <w:rPr>
          <w:snapToGrid w:val="0"/>
        </w:rPr>
        <w:t>use of Test Guidelines for verifying the maintenance of the variety that were different from the Test Guidelines used for the examination of DUS</w:t>
      </w:r>
      <w:r w:rsidRPr="00925D62">
        <w:rPr>
          <w:snapToGrid w:val="0"/>
        </w:rPr>
        <w:t>; and</w:t>
      </w:r>
    </w:p>
    <w:p w:rsidR="00761855" w:rsidRPr="00925D62" w:rsidRDefault="00761855" w:rsidP="00925D62">
      <w:pPr>
        <w:rPr>
          <w:snapToGrid w:val="0"/>
        </w:rPr>
      </w:pPr>
    </w:p>
    <w:p w:rsidR="00FB48E7" w:rsidRDefault="00925D62" w:rsidP="00925D62">
      <w:pPr>
        <w:rPr>
          <w:snapToGrid w:val="0"/>
        </w:rPr>
      </w:pPr>
      <w:r w:rsidRPr="00925D62">
        <w:rPr>
          <w:snapToGrid w:val="0"/>
        </w:rPr>
        <w:tab/>
        <w:t>(b)</w:t>
      </w:r>
      <w:r w:rsidRPr="00925D62">
        <w:rPr>
          <w:snapToGrid w:val="0"/>
        </w:rPr>
        <w:tab/>
      </w:r>
      <w:r w:rsidR="008E65FB" w:rsidRPr="00925D62">
        <w:rPr>
          <w:snapToGrid w:val="0"/>
        </w:rPr>
        <w:t>experiences presented by experts with regard to the use of information, documents or material provided by the breeder for verifying the maintenance of the variety</w:t>
      </w:r>
      <w:r w:rsidRPr="00925D62">
        <w:rPr>
          <w:snapToGrid w:val="0"/>
        </w:rPr>
        <w:t>.</w:t>
      </w:r>
    </w:p>
    <w:p w:rsidR="00FB48E7" w:rsidRDefault="00FB48E7" w:rsidP="00FB48E7">
      <w:pPr>
        <w:rPr>
          <w:snapToGrid w:val="0"/>
        </w:rPr>
      </w:pPr>
    </w:p>
    <w:p w:rsidR="007D5126" w:rsidRDefault="007D5126" w:rsidP="007D5126">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7D5126">
        <w:rPr>
          <w:snapToGrid w:val="0"/>
        </w:rPr>
        <w:t>The TW</w:t>
      </w:r>
      <w:r w:rsidR="00AE6002">
        <w:rPr>
          <w:snapToGrid w:val="0"/>
        </w:rPr>
        <w:t>A</w:t>
      </w:r>
      <w:r w:rsidRPr="007D5126">
        <w:rPr>
          <w:snapToGrid w:val="0"/>
        </w:rPr>
        <w:t xml:space="preserve"> is </w:t>
      </w:r>
      <w:r>
        <w:rPr>
          <w:snapToGrid w:val="0"/>
        </w:rPr>
        <w:t xml:space="preserve">also </w:t>
      </w:r>
      <w:r w:rsidRPr="007D5126">
        <w:rPr>
          <w:snapToGrid w:val="0"/>
        </w:rPr>
        <w:t>invited to consider the experiences presented by experts with regard to:</w:t>
      </w:r>
    </w:p>
    <w:p w:rsidR="00761855" w:rsidRPr="007D5126" w:rsidRDefault="00761855" w:rsidP="007D5126">
      <w:pPr>
        <w:rPr>
          <w:snapToGrid w:val="0"/>
        </w:rPr>
      </w:pPr>
    </w:p>
    <w:p w:rsidR="007D5126" w:rsidRDefault="007D5126" w:rsidP="007D5126">
      <w:pPr>
        <w:rPr>
          <w:snapToGrid w:val="0"/>
        </w:rPr>
      </w:pPr>
      <w:r w:rsidRPr="007D5126">
        <w:rPr>
          <w:snapToGrid w:val="0"/>
        </w:rPr>
        <w:tab/>
        <w:t>(a)</w:t>
      </w:r>
      <w:r w:rsidRPr="007D5126">
        <w:rPr>
          <w:snapToGrid w:val="0"/>
        </w:rPr>
        <w:tab/>
        <w:t xml:space="preserve">how variety descriptions </w:t>
      </w:r>
      <w:r w:rsidR="00761855">
        <w:rPr>
          <w:snapToGrid w:val="0"/>
        </w:rPr>
        <w:t>are</w:t>
      </w:r>
      <w:r w:rsidRPr="007D5126">
        <w:rPr>
          <w:snapToGrid w:val="0"/>
        </w:rPr>
        <w:t xml:space="preserve"> generated in DUS examination;</w:t>
      </w:r>
    </w:p>
    <w:p w:rsidR="00761855" w:rsidRPr="007D5126" w:rsidRDefault="00761855" w:rsidP="007D5126">
      <w:pPr>
        <w:rPr>
          <w:snapToGrid w:val="0"/>
        </w:rPr>
      </w:pPr>
    </w:p>
    <w:p w:rsidR="007D5126" w:rsidRDefault="007D5126" w:rsidP="007D5126">
      <w:pPr>
        <w:rPr>
          <w:snapToGrid w:val="0"/>
        </w:rPr>
      </w:pPr>
      <w:r w:rsidRPr="007D5126">
        <w:rPr>
          <w:snapToGrid w:val="0"/>
        </w:rPr>
        <w:tab/>
        <w:t>(b)</w:t>
      </w:r>
      <w:r w:rsidRPr="007D5126">
        <w:rPr>
          <w:snapToGrid w:val="0"/>
        </w:rPr>
        <w:tab/>
        <w:t xml:space="preserve">how variety descriptions </w:t>
      </w:r>
      <w:r w:rsidR="00761855">
        <w:rPr>
          <w:snapToGrid w:val="0"/>
        </w:rPr>
        <w:t>are</w:t>
      </w:r>
      <w:r w:rsidR="00761855" w:rsidRPr="007D5126">
        <w:rPr>
          <w:snapToGrid w:val="0"/>
        </w:rPr>
        <w:t xml:space="preserve"> </w:t>
      </w:r>
      <w:r w:rsidRPr="007D5126">
        <w:rPr>
          <w:snapToGrid w:val="0"/>
        </w:rPr>
        <w:t>used after the granting of a breeders’ right;</w:t>
      </w:r>
    </w:p>
    <w:p w:rsidR="00761855" w:rsidRPr="007D5126" w:rsidRDefault="00761855" w:rsidP="007D5126">
      <w:pPr>
        <w:rPr>
          <w:snapToGrid w:val="0"/>
        </w:rPr>
      </w:pPr>
    </w:p>
    <w:p w:rsidR="007D5126" w:rsidRDefault="007D5126" w:rsidP="007D5126">
      <w:pPr>
        <w:rPr>
          <w:snapToGrid w:val="0"/>
        </w:rPr>
      </w:pPr>
      <w:r w:rsidRPr="007D5126">
        <w:rPr>
          <w:snapToGrid w:val="0"/>
        </w:rPr>
        <w:tab/>
        <w:t>(c)</w:t>
      </w:r>
      <w:r w:rsidRPr="007D5126">
        <w:rPr>
          <w:snapToGrid w:val="0"/>
        </w:rPr>
        <w:tab/>
        <w:t xml:space="preserve">how variety maintenance </w:t>
      </w:r>
      <w:r w:rsidR="00761855">
        <w:rPr>
          <w:snapToGrid w:val="0"/>
        </w:rPr>
        <w:t>is</w:t>
      </w:r>
      <w:r w:rsidRPr="007D5126">
        <w:rPr>
          <w:snapToGrid w:val="0"/>
        </w:rPr>
        <w:t xml:space="preserve"> verified; and</w:t>
      </w:r>
    </w:p>
    <w:p w:rsidR="00761855" w:rsidRPr="007D5126" w:rsidRDefault="00761855" w:rsidP="007D5126">
      <w:pPr>
        <w:rPr>
          <w:snapToGrid w:val="0"/>
        </w:rPr>
      </w:pPr>
    </w:p>
    <w:p w:rsidR="007D5126" w:rsidRDefault="007D5126" w:rsidP="007D5126">
      <w:pPr>
        <w:rPr>
          <w:snapToGrid w:val="0"/>
        </w:rPr>
      </w:pPr>
      <w:r w:rsidRPr="007D5126">
        <w:rPr>
          <w:snapToGrid w:val="0"/>
        </w:rPr>
        <w:tab/>
        <w:t>(d)</w:t>
      </w:r>
      <w:r w:rsidRPr="007D5126">
        <w:rPr>
          <w:snapToGrid w:val="0"/>
        </w:rPr>
        <w:tab/>
        <w:t>the role of the plant material used as</w:t>
      </w:r>
      <w:r w:rsidR="00D85669">
        <w:rPr>
          <w:snapToGrid w:val="0"/>
        </w:rPr>
        <w:t xml:space="preserve"> the</w:t>
      </w:r>
      <w:r w:rsidRPr="007D5126">
        <w:rPr>
          <w:snapToGrid w:val="0"/>
        </w:rPr>
        <w:t xml:space="preserve"> basis for the DUS examination in relation to:</w:t>
      </w:r>
    </w:p>
    <w:p w:rsidR="007D5126" w:rsidRDefault="007D5126" w:rsidP="007D5126">
      <w:pPr>
        <w:rPr>
          <w:snapToGrid w:val="0"/>
        </w:rPr>
      </w:pPr>
      <w:r>
        <w:rPr>
          <w:snapToGrid w:val="0"/>
        </w:rPr>
        <w:tab/>
      </w:r>
      <w:r w:rsidRPr="007D5126">
        <w:rPr>
          <w:snapToGrid w:val="0"/>
        </w:rPr>
        <w:tab/>
        <w:t>-</w:t>
      </w:r>
      <w:r w:rsidRPr="007D5126">
        <w:rPr>
          <w:snapToGrid w:val="0"/>
        </w:rPr>
        <w:tab/>
        <w:t>the verification of conformity of plant material to a protected variety;</w:t>
      </w:r>
    </w:p>
    <w:p w:rsidR="007D5126" w:rsidRPr="007D5126" w:rsidRDefault="007D5126" w:rsidP="007D5126">
      <w:pPr>
        <w:rPr>
          <w:snapToGrid w:val="0"/>
        </w:rPr>
      </w:pPr>
      <w:r>
        <w:rPr>
          <w:snapToGrid w:val="0"/>
        </w:rPr>
        <w:tab/>
      </w:r>
      <w:r w:rsidRPr="007D5126">
        <w:rPr>
          <w:snapToGrid w:val="0"/>
        </w:rPr>
        <w:tab/>
        <w:t>-</w:t>
      </w:r>
      <w:r w:rsidRPr="007D5126">
        <w:rPr>
          <w:snapToGrid w:val="0"/>
        </w:rPr>
        <w:tab/>
        <w:t xml:space="preserve">a modified variety description; or </w:t>
      </w:r>
    </w:p>
    <w:p w:rsidR="00FB48E7" w:rsidRDefault="007D5126" w:rsidP="007D5126">
      <w:pPr>
        <w:rPr>
          <w:snapToGrid w:val="0"/>
        </w:rPr>
      </w:pPr>
      <w:r>
        <w:rPr>
          <w:snapToGrid w:val="0"/>
        </w:rPr>
        <w:tab/>
      </w:r>
      <w:r w:rsidRPr="007D5126">
        <w:rPr>
          <w:snapToGrid w:val="0"/>
        </w:rPr>
        <w:tab/>
        <w:t>-</w:t>
      </w:r>
      <w:r w:rsidRPr="007D5126">
        <w:rPr>
          <w:snapToGrid w:val="0"/>
        </w:rPr>
        <w:tab/>
        <w:t>where an error is subsequently discovered in the initial variety description.</w:t>
      </w:r>
    </w:p>
    <w:p w:rsidR="00DD445C" w:rsidRDefault="00DD445C" w:rsidP="007D5126">
      <w:pPr>
        <w:rPr>
          <w:snapToGrid w:val="0"/>
        </w:rPr>
      </w:pPr>
    </w:p>
    <w:p w:rsidR="00FB48E7" w:rsidRDefault="00FB48E7" w:rsidP="00FB48E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70DEA" w:rsidRDefault="00770DEA" w:rsidP="00910693"/>
    <w:p w:rsidR="00FB48E7" w:rsidRDefault="00FB48E7">
      <w:pPr>
        <w:pStyle w:val="TOC1"/>
        <w:rPr>
          <w:rStyle w:val="Hyperlink"/>
        </w:rPr>
      </w:pPr>
      <w:r>
        <w:fldChar w:fldCharType="begin"/>
      </w:r>
      <w:r>
        <w:instrText xml:space="preserve"> TOC \o "1-3" \h \z \u </w:instrText>
      </w:r>
      <w:r>
        <w:fldChar w:fldCharType="separate"/>
      </w:r>
      <w:hyperlink w:anchor="_Toc418608091" w:history="1">
        <w:r w:rsidRPr="00D82829">
          <w:rPr>
            <w:rStyle w:val="Hyperlink"/>
          </w:rPr>
          <w:t>Verifying the maintenance of the variety</w:t>
        </w:r>
        <w:r>
          <w:rPr>
            <w:webHidden/>
          </w:rPr>
          <w:tab/>
        </w:r>
        <w:r>
          <w:rPr>
            <w:webHidden/>
          </w:rPr>
          <w:fldChar w:fldCharType="begin"/>
        </w:r>
        <w:r>
          <w:rPr>
            <w:webHidden/>
          </w:rPr>
          <w:instrText xml:space="preserve"> PAGEREF _Toc418608091 \h </w:instrText>
        </w:r>
        <w:r>
          <w:rPr>
            <w:webHidden/>
          </w:rPr>
        </w:r>
        <w:r>
          <w:rPr>
            <w:webHidden/>
          </w:rPr>
          <w:fldChar w:fldCharType="separate"/>
        </w:r>
        <w:r w:rsidR="007D3459">
          <w:rPr>
            <w:webHidden/>
          </w:rPr>
          <w:t>2</w:t>
        </w:r>
        <w:r>
          <w:rPr>
            <w:webHidden/>
          </w:rPr>
          <w:fldChar w:fldCharType="end"/>
        </w:r>
      </w:hyperlink>
    </w:p>
    <w:p w:rsidR="00342383" w:rsidRPr="00342383" w:rsidRDefault="00342383" w:rsidP="00342383">
      <w:pPr>
        <w:rPr>
          <w:noProof/>
        </w:rPr>
      </w:pPr>
    </w:p>
    <w:p w:rsidR="00FB48E7" w:rsidRDefault="007D3459">
      <w:pPr>
        <w:pStyle w:val="TOC1"/>
        <w:rPr>
          <w:rFonts w:asciiTheme="minorHAnsi" w:eastAsiaTheme="minorEastAsia" w:hAnsiTheme="minorHAnsi" w:cstheme="minorBidi"/>
          <w:caps w:val="0"/>
          <w:sz w:val="22"/>
          <w:szCs w:val="22"/>
        </w:rPr>
      </w:pPr>
      <w:hyperlink w:anchor="_Toc418608092" w:history="1">
        <w:r w:rsidR="00FB48E7" w:rsidRPr="00D82829">
          <w:rPr>
            <w:rStyle w:val="Hyperlink"/>
          </w:rPr>
          <w:t>Matters concerning variety descriptions</w:t>
        </w:r>
        <w:r w:rsidR="00FB48E7">
          <w:rPr>
            <w:webHidden/>
          </w:rPr>
          <w:tab/>
        </w:r>
        <w:r w:rsidR="00FB48E7">
          <w:rPr>
            <w:webHidden/>
          </w:rPr>
          <w:fldChar w:fldCharType="begin"/>
        </w:r>
        <w:r w:rsidR="00FB48E7">
          <w:rPr>
            <w:webHidden/>
          </w:rPr>
          <w:instrText xml:space="preserve"> PAGEREF _Toc418608092 \h </w:instrText>
        </w:r>
        <w:r w:rsidR="00FB48E7">
          <w:rPr>
            <w:webHidden/>
          </w:rPr>
        </w:r>
        <w:r w:rsidR="00FB48E7">
          <w:rPr>
            <w:webHidden/>
          </w:rPr>
          <w:fldChar w:fldCharType="separate"/>
        </w:r>
        <w:r>
          <w:rPr>
            <w:webHidden/>
          </w:rPr>
          <w:t>4</w:t>
        </w:r>
        <w:r w:rsidR="00FB48E7">
          <w:rPr>
            <w:webHidden/>
          </w:rPr>
          <w:fldChar w:fldCharType="end"/>
        </w:r>
      </w:hyperlink>
    </w:p>
    <w:p w:rsidR="00FB48E7" w:rsidRDefault="007D3459">
      <w:pPr>
        <w:pStyle w:val="TOC2"/>
        <w:rPr>
          <w:rFonts w:asciiTheme="minorHAnsi" w:eastAsiaTheme="minorEastAsia" w:hAnsiTheme="minorHAnsi" w:cstheme="minorBidi"/>
          <w:sz w:val="22"/>
          <w:szCs w:val="22"/>
        </w:rPr>
      </w:pPr>
      <w:hyperlink w:anchor="_Toc418608093" w:history="1">
        <w:r w:rsidR="00FB48E7" w:rsidRPr="00D82829">
          <w:rPr>
            <w:rStyle w:val="Hyperlink"/>
          </w:rPr>
          <w:t>Developments in the CAJ in 2014</w:t>
        </w:r>
        <w:r w:rsidR="00FB48E7">
          <w:rPr>
            <w:webHidden/>
          </w:rPr>
          <w:tab/>
        </w:r>
        <w:r w:rsidR="00FB48E7">
          <w:rPr>
            <w:webHidden/>
          </w:rPr>
          <w:fldChar w:fldCharType="begin"/>
        </w:r>
        <w:r w:rsidR="00FB48E7">
          <w:rPr>
            <w:webHidden/>
          </w:rPr>
          <w:instrText xml:space="preserve"> PAGEREF _Toc418608093 \h </w:instrText>
        </w:r>
        <w:r w:rsidR="00FB48E7">
          <w:rPr>
            <w:webHidden/>
          </w:rPr>
        </w:r>
        <w:r w:rsidR="00FB48E7">
          <w:rPr>
            <w:webHidden/>
          </w:rPr>
          <w:fldChar w:fldCharType="separate"/>
        </w:r>
        <w:r>
          <w:rPr>
            <w:webHidden/>
          </w:rPr>
          <w:t>4</w:t>
        </w:r>
        <w:r w:rsidR="00FB48E7">
          <w:rPr>
            <w:webHidden/>
          </w:rPr>
          <w:fldChar w:fldCharType="end"/>
        </w:r>
      </w:hyperlink>
    </w:p>
    <w:p w:rsidR="00FB48E7" w:rsidRDefault="007D3459">
      <w:pPr>
        <w:pStyle w:val="TOC2"/>
        <w:rPr>
          <w:rFonts w:asciiTheme="minorHAnsi" w:eastAsiaTheme="minorEastAsia" w:hAnsiTheme="minorHAnsi" w:cstheme="minorBidi"/>
          <w:sz w:val="22"/>
          <w:szCs w:val="22"/>
        </w:rPr>
      </w:pPr>
      <w:hyperlink w:anchor="_Toc418608094" w:history="1">
        <w:r w:rsidR="00FB48E7" w:rsidRPr="00D82829">
          <w:rPr>
            <w:rStyle w:val="Hyperlink"/>
          </w:rPr>
          <w:t>Developments in the Technical Committee in 2015</w:t>
        </w:r>
        <w:r w:rsidR="00FB48E7">
          <w:rPr>
            <w:webHidden/>
          </w:rPr>
          <w:tab/>
        </w:r>
        <w:r w:rsidR="00FB48E7">
          <w:rPr>
            <w:webHidden/>
          </w:rPr>
          <w:fldChar w:fldCharType="begin"/>
        </w:r>
        <w:r w:rsidR="00FB48E7">
          <w:rPr>
            <w:webHidden/>
          </w:rPr>
          <w:instrText xml:space="preserve"> PAGEREF _Toc418608094 \h </w:instrText>
        </w:r>
        <w:r w:rsidR="00FB48E7">
          <w:rPr>
            <w:webHidden/>
          </w:rPr>
        </w:r>
        <w:r w:rsidR="00FB48E7">
          <w:rPr>
            <w:webHidden/>
          </w:rPr>
          <w:fldChar w:fldCharType="separate"/>
        </w:r>
        <w:r>
          <w:rPr>
            <w:webHidden/>
          </w:rPr>
          <w:t>4</w:t>
        </w:r>
        <w:r w:rsidR="00FB48E7">
          <w:rPr>
            <w:webHidden/>
          </w:rPr>
          <w:fldChar w:fldCharType="end"/>
        </w:r>
      </w:hyperlink>
    </w:p>
    <w:p w:rsidR="00FB48E7" w:rsidRDefault="007D3459">
      <w:pPr>
        <w:pStyle w:val="TOC2"/>
        <w:rPr>
          <w:rStyle w:val="Hyperlink"/>
        </w:rPr>
      </w:pPr>
      <w:hyperlink w:anchor="_Toc418608095" w:history="1">
        <w:r w:rsidR="00FB48E7" w:rsidRPr="00D82829">
          <w:rPr>
            <w:rStyle w:val="Hyperlink"/>
          </w:rPr>
          <w:t>Developments in the CAJ in 2015</w:t>
        </w:r>
        <w:r w:rsidR="00FB48E7">
          <w:rPr>
            <w:webHidden/>
          </w:rPr>
          <w:tab/>
        </w:r>
        <w:r w:rsidR="00FB48E7">
          <w:rPr>
            <w:webHidden/>
          </w:rPr>
          <w:fldChar w:fldCharType="begin"/>
        </w:r>
        <w:r w:rsidR="00FB48E7">
          <w:rPr>
            <w:webHidden/>
          </w:rPr>
          <w:instrText xml:space="preserve"> PAGEREF _Toc418608095 \h </w:instrText>
        </w:r>
        <w:r w:rsidR="00FB48E7">
          <w:rPr>
            <w:webHidden/>
          </w:rPr>
        </w:r>
        <w:r w:rsidR="00FB48E7">
          <w:rPr>
            <w:webHidden/>
          </w:rPr>
          <w:fldChar w:fldCharType="separate"/>
        </w:r>
        <w:r>
          <w:rPr>
            <w:webHidden/>
          </w:rPr>
          <w:t>5</w:t>
        </w:r>
        <w:r w:rsidR="00FB48E7">
          <w:rPr>
            <w:webHidden/>
          </w:rPr>
          <w:fldChar w:fldCharType="end"/>
        </w:r>
      </w:hyperlink>
    </w:p>
    <w:p w:rsidR="00FB48E7" w:rsidRDefault="00FB48E7" w:rsidP="00910693">
      <w:pPr>
        <w:ind w:left="851" w:hanging="851"/>
      </w:pPr>
      <w:r>
        <w:fldChar w:fldCharType="end"/>
      </w:r>
    </w:p>
    <w:p w:rsidR="007D5126" w:rsidRDefault="00910693" w:rsidP="00761855">
      <w:pPr>
        <w:ind w:left="851" w:hanging="851"/>
      </w:pPr>
      <w:r w:rsidRPr="000B7667">
        <w:rPr>
          <w:caps/>
          <w:snapToGrid w:val="0"/>
        </w:rPr>
        <w:lastRenderedPageBreak/>
        <w:t xml:space="preserve">ANNEX: </w:t>
      </w:r>
      <w:r w:rsidRPr="000B7667">
        <w:rPr>
          <w:caps/>
          <w:snapToGrid w:val="0"/>
        </w:rPr>
        <w:tab/>
      </w:r>
      <w:r w:rsidRPr="000B7667">
        <w:rPr>
          <w:caps/>
          <w:snapToGrid w:val="0"/>
        </w:rPr>
        <w:tab/>
      </w:r>
      <w:r w:rsidRPr="000B7667">
        <w:rPr>
          <w:caps/>
          <w:color w:val="000000"/>
          <w:szCs w:val="24"/>
        </w:rPr>
        <w:t>guidance on UPOV VARIETY DESCRIPTION</w:t>
      </w:r>
    </w:p>
    <w:p w:rsidR="007D5126" w:rsidRPr="00803FBF" w:rsidRDefault="007D5126" w:rsidP="007D5126">
      <w:pPr>
        <w:rPr>
          <w:rFonts w:cs="Arial"/>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7D5126" w:rsidRPr="00803FBF" w:rsidRDefault="007D5126" w:rsidP="007D5126">
      <w:pPr>
        <w:ind w:left="1701" w:hanging="1134"/>
        <w:rPr>
          <w:rFonts w:cs="Arial"/>
        </w:rPr>
      </w:pPr>
    </w:p>
    <w:p w:rsidR="007D5126" w:rsidRPr="00803FBF" w:rsidRDefault="007D5126" w:rsidP="007D5126">
      <w:pPr>
        <w:ind w:left="1701" w:hanging="1134"/>
        <w:rPr>
          <w:rFonts w:cs="Arial"/>
        </w:rPr>
      </w:pPr>
      <w:r w:rsidRPr="00803FBF">
        <w:rPr>
          <w:rFonts w:cs="Arial"/>
        </w:rPr>
        <w:t xml:space="preserve">CAJ:  </w:t>
      </w:r>
      <w:r w:rsidRPr="00803FBF">
        <w:rPr>
          <w:rFonts w:cs="Arial"/>
        </w:rPr>
        <w:tab/>
        <w:t xml:space="preserve">Administrative and Legal Committee </w:t>
      </w:r>
    </w:p>
    <w:p w:rsidR="007D5126" w:rsidRPr="00803FBF" w:rsidRDefault="007D5126" w:rsidP="007D5126">
      <w:pPr>
        <w:ind w:left="1701" w:hanging="1134"/>
        <w:rPr>
          <w:rFonts w:cs="Arial"/>
        </w:rPr>
      </w:pPr>
      <w:r w:rsidRPr="00803FBF">
        <w:rPr>
          <w:rFonts w:cs="Arial"/>
        </w:rPr>
        <w:t xml:space="preserve">TC:  </w:t>
      </w:r>
      <w:r w:rsidRPr="00803FBF">
        <w:rPr>
          <w:rFonts w:cs="Arial"/>
        </w:rPr>
        <w:tab/>
        <w:t>Technical Committee</w:t>
      </w:r>
    </w:p>
    <w:p w:rsidR="007D5126" w:rsidRPr="00803FBF" w:rsidRDefault="007D5126" w:rsidP="007D5126">
      <w:pPr>
        <w:ind w:left="1701" w:hanging="1134"/>
        <w:rPr>
          <w:rFonts w:cs="Arial"/>
        </w:rPr>
      </w:pPr>
      <w:r w:rsidRPr="00803FBF">
        <w:rPr>
          <w:rFonts w:cs="Arial"/>
        </w:rPr>
        <w:t xml:space="preserve">TC-EDC:  </w:t>
      </w:r>
      <w:r w:rsidRPr="00803FBF">
        <w:rPr>
          <w:rFonts w:cs="Arial"/>
        </w:rPr>
        <w:tab/>
        <w:t>Enlarged Editorial Committee</w:t>
      </w:r>
    </w:p>
    <w:p w:rsidR="007D5126" w:rsidRPr="00803FBF" w:rsidRDefault="007D5126" w:rsidP="007D5126">
      <w:pPr>
        <w:ind w:left="1701" w:hanging="1134"/>
        <w:rPr>
          <w:rFonts w:cs="Arial"/>
        </w:rPr>
      </w:pPr>
      <w:r w:rsidRPr="00803FBF">
        <w:rPr>
          <w:rFonts w:cs="Arial"/>
        </w:rPr>
        <w:t xml:space="preserve">TWA:  </w:t>
      </w:r>
      <w:r w:rsidRPr="00803FBF">
        <w:rPr>
          <w:rFonts w:cs="Arial"/>
        </w:rPr>
        <w:tab/>
        <w:t>Technical Working Party for Agricultural Crops</w:t>
      </w:r>
    </w:p>
    <w:p w:rsidR="007D5126" w:rsidRPr="00803FBF" w:rsidRDefault="007D5126" w:rsidP="007D5126">
      <w:pPr>
        <w:ind w:left="1701" w:hanging="1134"/>
        <w:rPr>
          <w:rFonts w:cs="Arial"/>
        </w:rPr>
      </w:pPr>
      <w:r w:rsidRPr="00803FBF">
        <w:rPr>
          <w:rFonts w:cs="Arial"/>
        </w:rPr>
        <w:t xml:space="preserve">TWC:  </w:t>
      </w:r>
      <w:r w:rsidRPr="00803FBF">
        <w:rPr>
          <w:rFonts w:cs="Arial"/>
        </w:rPr>
        <w:tab/>
        <w:t>Technical Working Party on Automation and Computer Programs</w:t>
      </w:r>
    </w:p>
    <w:p w:rsidR="007D5126" w:rsidRPr="00803FBF" w:rsidRDefault="007D5126" w:rsidP="007D5126">
      <w:pPr>
        <w:ind w:left="1701" w:hanging="1134"/>
        <w:rPr>
          <w:rFonts w:cs="Arial"/>
        </w:rPr>
      </w:pPr>
      <w:r w:rsidRPr="00803FBF">
        <w:rPr>
          <w:rFonts w:cs="Arial"/>
        </w:rPr>
        <w:t xml:space="preserve">TWF:  </w:t>
      </w:r>
      <w:r w:rsidRPr="00803FBF">
        <w:rPr>
          <w:rFonts w:cs="Arial"/>
        </w:rPr>
        <w:tab/>
        <w:t xml:space="preserve">Technical Working Party for Fruit Crops </w:t>
      </w:r>
    </w:p>
    <w:p w:rsidR="007D5126" w:rsidRPr="00803FBF" w:rsidRDefault="007D5126" w:rsidP="007D5126">
      <w:pPr>
        <w:ind w:left="1701" w:hanging="1134"/>
        <w:rPr>
          <w:rFonts w:cs="Arial"/>
        </w:rPr>
      </w:pPr>
      <w:r w:rsidRPr="00F02A6A">
        <w:rPr>
          <w:rFonts w:cs="Arial"/>
        </w:rPr>
        <w:t xml:space="preserve">TWO:  </w:t>
      </w:r>
      <w:r w:rsidRPr="00F02A6A">
        <w:rPr>
          <w:rFonts w:cs="Arial"/>
        </w:rPr>
        <w:tab/>
        <w:t>Technical Working Party for Ornamental Plants and Forest Trees</w:t>
      </w:r>
      <w:r w:rsidRPr="00803FBF">
        <w:rPr>
          <w:rFonts w:cs="Arial"/>
        </w:rPr>
        <w:t xml:space="preserve"> </w:t>
      </w:r>
    </w:p>
    <w:p w:rsidR="007D5126" w:rsidRPr="00803FBF" w:rsidRDefault="007D5126" w:rsidP="007D5126">
      <w:pPr>
        <w:ind w:left="1701" w:hanging="1134"/>
        <w:rPr>
          <w:rFonts w:cs="Arial"/>
        </w:rPr>
      </w:pPr>
      <w:r w:rsidRPr="00803FBF">
        <w:rPr>
          <w:rFonts w:cs="Arial"/>
        </w:rPr>
        <w:t xml:space="preserve">TWV:  </w:t>
      </w:r>
      <w:r w:rsidRPr="00803FBF">
        <w:rPr>
          <w:rFonts w:cs="Arial"/>
        </w:rPr>
        <w:tab/>
        <w:t>Technical Working Party for Vegetables</w:t>
      </w:r>
    </w:p>
    <w:p w:rsidR="007D5126" w:rsidRDefault="007D5126" w:rsidP="007D5126">
      <w:pPr>
        <w:ind w:firstLine="567"/>
        <w:rPr>
          <w:rFonts w:cs="Arial"/>
          <w:color w:val="000000"/>
        </w:rPr>
      </w:pPr>
      <w:r w:rsidRPr="00803FBF">
        <w:rPr>
          <w:rFonts w:cs="Arial"/>
          <w:color w:val="000000"/>
        </w:rPr>
        <w:t>TWPs:</w:t>
      </w:r>
      <w:r w:rsidRPr="00803FBF">
        <w:rPr>
          <w:rFonts w:cs="Arial"/>
          <w:color w:val="000000"/>
        </w:rPr>
        <w:tab/>
        <w:t>Technical Working Parties</w:t>
      </w:r>
    </w:p>
    <w:p w:rsidR="007D5126" w:rsidRDefault="007D5126" w:rsidP="007D5126">
      <w:pPr>
        <w:ind w:firstLine="567"/>
        <w:rPr>
          <w:snapToGrid w:val="0"/>
        </w:rPr>
      </w:pPr>
    </w:p>
    <w:p w:rsidR="00925D62" w:rsidRDefault="00925D62">
      <w:pPr>
        <w:jc w:val="left"/>
      </w:pPr>
    </w:p>
    <w:p w:rsidR="00DA59CF" w:rsidRPr="00804825" w:rsidRDefault="00DA59CF" w:rsidP="00770DEA">
      <w:pPr>
        <w:pStyle w:val="Heading1"/>
      </w:pPr>
      <w:bookmarkStart w:id="6" w:name="_Toc418531190"/>
      <w:bookmarkStart w:id="7" w:name="_Toc418608091"/>
      <w:bookmarkEnd w:id="5"/>
      <w:r w:rsidRPr="00804825">
        <w:t>Verifying the maintenance of the variety</w:t>
      </w:r>
      <w:bookmarkEnd w:id="6"/>
      <w:bookmarkEnd w:id="7"/>
    </w:p>
    <w:p w:rsidR="00DA59CF" w:rsidRDefault="00DA59CF" w:rsidP="00DA59CF">
      <w:pPr>
        <w:jc w:val="left"/>
      </w:pPr>
    </w:p>
    <w:p w:rsidR="00DA59CF" w:rsidRPr="000B7667" w:rsidRDefault="00DA59CF" w:rsidP="00DA59CF">
      <w:pPr>
        <w:rPr>
          <w:rFonts w:cs="Arial"/>
        </w:rPr>
      </w:pPr>
      <w:r w:rsidRPr="000B7667">
        <w:rPr>
          <w:rFonts w:cs="Arial"/>
        </w:rPr>
        <w:fldChar w:fldCharType="begin"/>
      </w:r>
      <w:r w:rsidRPr="000B7667">
        <w:rPr>
          <w:rFonts w:cs="Arial"/>
        </w:rPr>
        <w:instrText xml:space="preserve"> AUTONUM  </w:instrText>
      </w:r>
      <w:r w:rsidRPr="000B7667">
        <w:rPr>
          <w:rFonts w:cs="Arial"/>
        </w:rPr>
        <w:fldChar w:fldCharType="end"/>
      </w:r>
      <w:r w:rsidRPr="000B7667">
        <w:rPr>
          <w:rFonts w:cs="Arial"/>
        </w:rPr>
        <w:tab/>
        <w:t xml:space="preserve">The CAJ, at its sixty-ninth session, held in Geneva on April 10, 2014, in accordance with the proposal by the CAJ-AG, agreed to the development of guidance on the following matters concerning cancellation of the breeder’s rights, which it invited the Technical Committee (TC) to consider in the first instance </w:t>
      </w:r>
      <w:r w:rsidRPr="000B7667">
        <w:t>(see documents CAJ-AG/13/8/10 “Report”, paragraph 73; and CAJ/69/13 “Report”, paragraph 19)</w:t>
      </w:r>
      <w:r w:rsidRPr="000B7667">
        <w:rPr>
          <w:rFonts w:cs="Arial"/>
        </w:rPr>
        <w:t>:</w:t>
      </w:r>
    </w:p>
    <w:p w:rsidR="00DA59CF" w:rsidRPr="000B7667" w:rsidRDefault="00DA59CF" w:rsidP="00DA59CF">
      <w:pPr>
        <w:tabs>
          <w:tab w:val="left" w:pos="810"/>
        </w:tabs>
        <w:rPr>
          <w:rFonts w:cs="Arial"/>
        </w:rPr>
      </w:pPr>
      <w:r w:rsidRPr="000B7667">
        <w:rPr>
          <w:rFonts w:cs="Arial"/>
        </w:rPr>
        <w:tab/>
      </w:r>
    </w:p>
    <w:p w:rsidR="00DA59CF" w:rsidRPr="000B7667" w:rsidRDefault="00DA59CF" w:rsidP="00DA59CF">
      <w:pPr>
        <w:rPr>
          <w:rFonts w:cs="Arial"/>
        </w:rPr>
      </w:pPr>
      <w:r w:rsidRPr="000B7667">
        <w:rPr>
          <w:rFonts w:cs="Arial"/>
        </w:rPr>
        <w:tab/>
        <w:t>(a)</w:t>
      </w:r>
      <w:r w:rsidRPr="000B7667">
        <w:rPr>
          <w:rFonts w:cs="Arial"/>
        </w:rPr>
        <w:tab/>
        <w:t>use of information, documents or material provided by the breeder for verifying the maintenance of the variety, as set out in paragraph 15 of document CAJ-AG/13/8/4 “Matters concerning cancellation of the breeder's right” (transcribed below), with an explanation that the information, documents or material could be maintained in a different country;</w:t>
      </w:r>
    </w:p>
    <w:p w:rsidR="00DA59CF" w:rsidRPr="000B7667" w:rsidRDefault="00DA59CF" w:rsidP="00DA59CF">
      <w:pPr>
        <w:rPr>
          <w:rFonts w:cs="Arial"/>
        </w:rPr>
      </w:pPr>
    </w:p>
    <w:p w:rsidR="00DA59CF" w:rsidRPr="000B7667" w:rsidRDefault="00DA59CF" w:rsidP="00DA59CF">
      <w:pPr>
        <w:ind w:left="567" w:right="567"/>
        <w:rPr>
          <w:sz w:val="18"/>
        </w:rPr>
      </w:pPr>
      <w:r w:rsidRPr="000B7667">
        <w:rPr>
          <w:sz w:val="18"/>
        </w:rPr>
        <w:t>“15.</w:t>
      </w:r>
      <w:r w:rsidRPr="000B7667">
        <w:rPr>
          <w:sz w:val="18"/>
        </w:rPr>
        <w:tab/>
        <w:t xml:space="preserve">Annexes I, II and III to this document provide examples of cases in which members of the Union have considered the cancellation of a breeder’s right on the basis of information, documents or material provided by the breeder for verifying the maintenance of the variety.  In that regard, the CAJ­AG may wish to consider the development of guidance according to the aspects raised by the European Union in Annex IV to this document: </w:t>
      </w:r>
    </w:p>
    <w:p w:rsidR="00DA59CF" w:rsidRPr="000B7667" w:rsidRDefault="00DA59CF" w:rsidP="00DA59CF">
      <w:pPr>
        <w:ind w:left="567" w:right="567" w:firstLine="27"/>
        <w:rPr>
          <w:sz w:val="18"/>
        </w:rPr>
      </w:pPr>
    </w:p>
    <w:p w:rsidR="00DA59CF" w:rsidRPr="000B7667" w:rsidRDefault="00DA59CF" w:rsidP="00DA59CF">
      <w:pPr>
        <w:ind w:left="851" w:right="1134" w:firstLine="27"/>
        <w:rPr>
          <w:sz w:val="16"/>
          <w:szCs w:val="18"/>
        </w:rPr>
      </w:pPr>
      <w:r w:rsidRPr="000B7667">
        <w:rPr>
          <w:sz w:val="16"/>
          <w:szCs w:val="18"/>
        </w:rPr>
        <w:t xml:space="preserve">‘“If the Uniformity or Stability requirement is being questioned, it may be necessary to make a technical verification. In order for the examination office to be able to compare the results of a technical verification for Stability purposes with the plant material once protected, it is important that the authority keeps plant material of protected varieties in a living reference collection, or, that documents such as the variety description, photos of the variety from the DUS test, notes from the field test </w:t>
      </w:r>
      <w:proofErr w:type="spellStart"/>
      <w:r w:rsidRPr="000B7667">
        <w:rPr>
          <w:sz w:val="16"/>
          <w:szCs w:val="18"/>
        </w:rPr>
        <w:t>etc</w:t>
      </w:r>
      <w:proofErr w:type="spellEnd"/>
      <w:r w:rsidRPr="000B7667">
        <w:rPr>
          <w:sz w:val="16"/>
          <w:szCs w:val="18"/>
        </w:rPr>
        <w:t xml:space="preserve">  are kept by the authority.’” </w:t>
      </w:r>
    </w:p>
    <w:p w:rsidR="00DA59CF" w:rsidRPr="000B7667" w:rsidRDefault="00DA59CF" w:rsidP="00DA59CF">
      <w:pPr>
        <w:rPr>
          <w:rFonts w:cs="Arial"/>
        </w:rPr>
      </w:pPr>
    </w:p>
    <w:p w:rsidR="00DA59CF" w:rsidRPr="000B7667" w:rsidRDefault="00DA59CF" w:rsidP="00DA59CF">
      <w:pPr>
        <w:rPr>
          <w:rFonts w:cs="Arial"/>
        </w:rPr>
      </w:pPr>
      <w:r w:rsidRPr="000B7667">
        <w:rPr>
          <w:rFonts w:cs="Arial"/>
        </w:rPr>
        <w:t>and</w:t>
      </w:r>
    </w:p>
    <w:p w:rsidR="00DA59CF" w:rsidRPr="000B7667" w:rsidRDefault="00DA59CF" w:rsidP="00DA59CF">
      <w:pPr>
        <w:tabs>
          <w:tab w:val="left" w:pos="7500"/>
        </w:tabs>
        <w:rPr>
          <w:rFonts w:cs="Arial"/>
        </w:rPr>
      </w:pPr>
    </w:p>
    <w:p w:rsidR="00DA59CF" w:rsidRPr="000B7667" w:rsidRDefault="00DA59CF" w:rsidP="00DA59CF">
      <w:pPr>
        <w:rPr>
          <w:rFonts w:cs="Arial"/>
        </w:rPr>
      </w:pPr>
      <w:r w:rsidRPr="000B7667">
        <w:rPr>
          <w:rFonts w:cs="Arial"/>
        </w:rPr>
        <w:tab/>
        <w:t>(b)</w:t>
      </w:r>
      <w:r w:rsidRPr="000B7667">
        <w:rPr>
          <w:rFonts w:cs="Arial"/>
        </w:rPr>
        <w:tab/>
        <w:t>use of Test Guidelines for verifying the maintenance of the variety that were different from the Test Guidelines used for the examination of Distinctness, Uniformity and Stability (“DUS”).</w:t>
      </w:r>
    </w:p>
    <w:p w:rsidR="00DA59CF" w:rsidRPr="00804825" w:rsidRDefault="00DA59CF" w:rsidP="00DA59CF">
      <w:pPr>
        <w:jc w:val="left"/>
      </w:pPr>
    </w:p>
    <w:p w:rsidR="00DA59CF" w:rsidRPr="000B7667" w:rsidRDefault="00DA59CF" w:rsidP="00DA59CF">
      <w:pPr>
        <w:rPr>
          <w:rFonts w:cs="Arial"/>
          <w:lang w:val="en-GB"/>
        </w:rPr>
      </w:pPr>
      <w:r w:rsidRPr="000B7667">
        <w:rPr>
          <w:rFonts w:cs="Arial"/>
          <w:lang w:val="en-GB"/>
        </w:rPr>
        <w:fldChar w:fldCharType="begin"/>
      </w:r>
      <w:r w:rsidRPr="000B7667">
        <w:rPr>
          <w:rFonts w:cs="Arial"/>
          <w:lang w:val="en-GB"/>
        </w:rPr>
        <w:instrText xml:space="preserve"> AUTONUM  </w:instrText>
      </w:r>
      <w:r w:rsidRPr="000B7667">
        <w:rPr>
          <w:rFonts w:cs="Arial"/>
          <w:lang w:val="en-GB"/>
        </w:rPr>
        <w:fldChar w:fldCharType="end"/>
      </w:r>
      <w:r w:rsidRPr="000B7667">
        <w:rPr>
          <w:rFonts w:cs="Arial"/>
          <w:lang w:val="en-GB"/>
        </w:rPr>
        <w:tab/>
        <w:t xml:space="preserve">The provisions on the cancellation of the breeder’s right </w:t>
      </w:r>
      <w:r w:rsidRPr="000B7667">
        <w:rPr>
          <w:rFonts w:cs="Arial"/>
        </w:rPr>
        <w:t xml:space="preserve">contained in Article 22 of the 1991 Act of the UPOV Convention and </w:t>
      </w:r>
      <w:r w:rsidRPr="000B7667">
        <w:rPr>
          <w:rFonts w:cs="Arial"/>
          <w:lang w:val="en-GB"/>
        </w:rPr>
        <w:t>Article 10(2) to (4) of the 1978 Act of the UPOV Convention are reproduced below:</w:t>
      </w:r>
    </w:p>
    <w:p w:rsidR="00DA59CF" w:rsidRPr="000B7667" w:rsidRDefault="00DA59CF" w:rsidP="00DA59CF">
      <w:pPr>
        <w:rPr>
          <w:rFonts w:cs="Arial"/>
          <w:lang w:val="en-G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0B7667">
        <w:rPr>
          <w:rFonts w:cs="Arial"/>
          <w:b/>
          <w:lang w:val="en-GB"/>
        </w:rPr>
        <w:t>1991 Act</w:t>
      </w:r>
      <w:r w:rsidRPr="000B7667">
        <w:rPr>
          <w:rFonts w:cs="Arial"/>
          <w:lang w:val="en-GB"/>
        </w:rPr>
        <w:t xml:space="preserve"> of the UPOV Convention</w:t>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0B7667">
        <w:rPr>
          <w:rFonts w:cs="Arial"/>
          <w:b/>
          <w:lang w:val="en-GB"/>
        </w:rPr>
        <w:t>Article 22</w:t>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rPr>
      </w:pPr>
      <w:r w:rsidRPr="000B7667">
        <w:rPr>
          <w:rFonts w:cs="Arial"/>
          <w:b/>
        </w:rPr>
        <w:t>Cancellation of the Breeder’s Right</w:t>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left"/>
        <w:rPr>
          <w:rFonts w:cs="Arial"/>
        </w:rPr>
      </w:pPr>
      <w:r w:rsidRPr="000B7667">
        <w:rPr>
          <w:rFonts w:cs="Arial"/>
          <w:lang w:val="en-GB"/>
        </w:rPr>
        <w:tab/>
      </w:r>
      <w:r w:rsidRPr="000B7667">
        <w:rPr>
          <w:rFonts w:cs="Arial"/>
        </w:rPr>
        <w:t>(1)</w:t>
      </w:r>
      <w:r w:rsidRPr="000B7667">
        <w:rPr>
          <w:rFonts w:cs="Arial"/>
        </w:rPr>
        <w:tab/>
        <w:t>[</w:t>
      </w:r>
      <w:r w:rsidRPr="000B7667">
        <w:rPr>
          <w:rFonts w:cs="Arial"/>
          <w:i/>
        </w:rPr>
        <w:t>Reasons for cancellation</w:t>
      </w:r>
      <w:r w:rsidRPr="000B7667">
        <w:rPr>
          <w:rFonts w:cs="Arial"/>
        </w:rPr>
        <w:t xml:space="preserve">]  </w:t>
      </w:r>
      <w:r w:rsidRPr="000B7667">
        <w:rPr>
          <w:rFonts w:cs="Arial"/>
          <w:i/>
        </w:rPr>
        <w:t>(a)</w:t>
      </w:r>
      <w:r w:rsidRPr="000B7667">
        <w:rPr>
          <w:rFonts w:cs="Arial"/>
        </w:rPr>
        <w:t>  Each Contracting Party may cancel a breeder’s right granted by it if it is established that the conditions laid down in Articles 8 or 9 are no longer fulfilled.</w:t>
      </w:r>
      <w:r w:rsidRPr="000B7667">
        <w:rPr>
          <w:rFonts w:cs="Arial"/>
        </w:rPr>
        <w:br/>
      </w:r>
      <w:r w:rsidRPr="000B7667">
        <w:rPr>
          <w:rFonts w:cs="Arial"/>
        </w:rPr>
        <w:br/>
      </w:r>
      <w:r w:rsidRPr="000B7667">
        <w:rPr>
          <w:rFonts w:cs="Arial"/>
          <w:i/>
        </w:rPr>
        <w:t>(b)</w:t>
      </w:r>
      <w:r w:rsidRPr="000B7667">
        <w:rPr>
          <w:rFonts w:cs="Arial"/>
        </w:rPr>
        <w:t>  Furthermore, each Contracting Party may cancel a breeder’s right granted by it if, after being requested to do so and within a prescribed period,</w:t>
      </w:r>
      <w:r w:rsidRPr="000B7667">
        <w:rPr>
          <w:rFonts w:cs="Arial"/>
        </w:rPr>
        <w:br/>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left"/>
        <w:rPr>
          <w:rFonts w:cs="Arial"/>
        </w:rPr>
      </w:pPr>
      <w:r w:rsidRPr="000B7667">
        <w:rPr>
          <w:rFonts w:cs="Arial"/>
        </w:rPr>
        <w:tab/>
        <w:t>(</w:t>
      </w:r>
      <w:proofErr w:type="spellStart"/>
      <w:r w:rsidRPr="000B7667">
        <w:rPr>
          <w:rFonts w:cs="Arial"/>
        </w:rPr>
        <w:t>i</w:t>
      </w:r>
      <w:proofErr w:type="spellEnd"/>
      <w:r w:rsidRPr="000B7667">
        <w:rPr>
          <w:rFonts w:cs="Arial"/>
        </w:rPr>
        <w:t>)</w:t>
      </w:r>
      <w:r w:rsidRPr="000B7667">
        <w:rPr>
          <w:rFonts w:cs="Arial"/>
        </w:rPr>
        <w:tab/>
        <w:t>the breeder does not provide the authority with the information, documents or material deemed necessary for verifying the maintenance of the variety,</w:t>
      </w:r>
      <w:r w:rsidRPr="000B7667">
        <w:rPr>
          <w:rFonts w:cs="Arial"/>
        </w:rPr>
        <w:br/>
      </w:r>
      <w:r w:rsidRPr="000B7667">
        <w:rPr>
          <w:rFonts w:cs="Arial"/>
        </w:rPr>
        <w:br/>
      </w:r>
      <w:r w:rsidRPr="000B7667">
        <w:rPr>
          <w:rFonts w:cs="Arial"/>
        </w:rPr>
        <w:tab/>
        <w:t>(ii)</w:t>
      </w:r>
      <w:r w:rsidRPr="000B7667">
        <w:rPr>
          <w:rFonts w:cs="Arial"/>
        </w:rPr>
        <w:tab/>
        <w:t>the breeder fails to pay such fees as may be payable to keep his right in force, or</w:t>
      </w:r>
      <w:r w:rsidRPr="000B7667">
        <w:rPr>
          <w:rFonts w:cs="Arial"/>
        </w:rPr>
        <w:br/>
      </w:r>
      <w:r w:rsidRPr="000B7667">
        <w:rPr>
          <w:rFonts w:cs="Arial"/>
        </w:rPr>
        <w:br/>
      </w:r>
      <w:r w:rsidRPr="000B7667">
        <w:rPr>
          <w:rFonts w:cs="Arial"/>
        </w:rPr>
        <w:tab/>
        <w:t>(iii)</w:t>
      </w:r>
      <w:r w:rsidRPr="000B7667">
        <w:rPr>
          <w:rFonts w:cs="Arial"/>
        </w:rPr>
        <w:tab/>
        <w:t>the breeder does not propose, where the denomination of the variety is cancelled after the grant of the right, another suitable denomination.</w:t>
      </w:r>
      <w:r w:rsidRPr="000B7667">
        <w:rPr>
          <w:rFonts w:cs="Arial"/>
        </w:rPr>
        <w:br/>
      </w:r>
      <w:r w:rsidRPr="000B7667">
        <w:rPr>
          <w:rFonts w:cs="Arial"/>
        </w:rPr>
        <w:br/>
      </w:r>
      <w:r w:rsidRPr="000B7667">
        <w:rPr>
          <w:rFonts w:cs="Arial"/>
        </w:rPr>
        <w:tab/>
        <w:t>(2)</w:t>
      </w:r>
      <w:r w:rsidRPr="000B7667">
        <w:rPr>
          <w:rFonts w:cs="Arial"/>
        </w:rPr>
        <w:tab/>
        <w:t>[</w:t>
      </w:r>
      <w:r w:rsidRPr="000B7667">
        <w:rPr>
          <w:rFonts w:cs="Arial"/>
          <w:i/>
        </w:rPr>
        <w:t>Exclusion of other reasons</w:t>
      </w:r>
      <w:r w:rsidRPr="000B7667">
        <w:rPr>
          <w:rFonts w:cs="Arial"/>
        </w:rPr>
        <w:t>] No breeder’s right shall be cancelled for reasons other than those referred to in paragraph (1).</w:t>
      </w:r>
      <w:r w:rsidRPr="000B7667">
        <w:rPr>
          <w:rFonts w:cs="Arial"/>
        </w:rPr>
        <w:br/>
      </w:r>
    </w:p>
    <w:p w:rsidR="00DA59CF" w:rsidRPr="000B7667" w:rsidRDefault="00DA59CF" w:rsidP="00DA59CF">
      <w:pPr>
        <w:rPr>
          <w:caps/>
          <w:lang w:val="en"/>
        </w:rPr>
      </w:pPr>
    </w:p>
    <w:p w:rsidR="00DA59CF" w:rsidRDefault="00DA59CF" w:rsidP="00DA59CF">
      <w:bookmarkStart w:id="8" w:name="_Toc409598026"/>
    </w:p>
    <w:p w:rsidR="00DA59CF" w:rsidRDefault="00DA59CF" w:rsidP="00DA59CF">
      <w:r w:rsidRPr="00804825">
        <w:fldChar w:fldCharType="begin"/>
      </w:r>
      <w:r w:rsidRPr="00804825">
        <w:instrText xml:space="preserve"> AUTONUM  </w:instrText>
      </w:r>
      <w:r w:rsidRPr="00804825">
        <w:fldChar w:fldCharType="end"/>
      </w:r>
      <w:r w:rsidRPr="00804825">
        <w:tab/>
      </w:r>
      <w:r>
        <w:t xml:space="preserve">The TC at its fifty-first session, held in Geneva from March 23 to 25, 2015, </w:t>
      </w:r>
      <w:r w:rsidRPr="00804825">
        <w:t>considered document TC/51/38 “Matters concerning variety descriptions”</w:t>
      </w:r>
      <w:r>
        <w:t xml:space="preserve"> and </w:t>
      </w:r>
      <w:r w:rsidRPr="00804825">
        <w:t>agreed to invite experts to present to the TWPs, at their sessions in 2015, their experiences with regard to the use of information, documents or material provided by the breeder for verifying the maintenance of the variety and the use of versions of Test Guidelines for verifying the maintenance of the variety that were different from the version of the Test Guidelines used for the examination of DUS</w:t>
      </w:r>
      <w:r>
        <w:t xml:space="preserve"> (see document TC/51/39 “Report”, paragraph 215)</w:t>
      </w:r>
      <w:r w:rsidRPr="00804825">
        <w:t>.</w:t>
      </w:r>
    </w:p>
    <w:p w:rsidR="00DA59CF" w:rsidRDefault="00DA59CF" w:rsidP="00DA59CF"/>
    <w:p w:rsidR="00DA59CF" w:rsidRPr="000B03FD" w:rsidRDefault="00DA59CF" w:rsidP="00DA59CF">
      <w:r w:rsidRPr="00ED714A">
        <w:fldChar w:fldCharType="begin"/>
      </w:r>
      <w:r w:rsidRPr="00ED714A">
        <w:instrText xml:space="preserve"> AUTONUM  </w:instrText>
      </w:r>
      <w:r w:rsidRPr="00ED714A">
        <w:fldChar w:fldCharType="end"/>
      </w:r>
      <w:r w:rsidRPr="00ED714A">
        <w:tab/>
        <w:t xml:space="preserve">On May </w:t>
      </w:r>
      <w:r w:rsidR="00964081" w:rsidRPr="00ED714A">
        <w:t>5</w:t>
      </w:r>
      <w:r w:rsidRPr="00ED714A">
        <w:t>, 2015, the TC and TWP experts were invited to</w:t>
      </w:r>
      <w:r w:rsidRPr="00ED714A">
        <w:rPr>
          <w:rFonts w:cs="Arial"/>
        </w:rPr>
        <w:t xml:space="preserve"> present </w:t>
      </w:r>
      <w:r w:rsidRPr="00ED714A">
        <w:t>their experiences with regard to the use of information, documents or material provided by the breeder for verifying the maintenance of the variety and the use of versions of Test Guidelines for verifying the maintenance of the variety that were different from the version of the Test Guidelines used for the examination of DUS (see Circular E</w:t>
      </w:r>
      <w:r w:rsidRPr="00ED714A">
        <w:noBreakHyphen/>
        <w:t>15/</w:t>
      </w:r>
      <w:r w:rsidR="00ED714A" w:rsidRPr="00ED714A">
        <w:t>108</w:t>
      </w:r>
      <w:r w:rsidRPr="00ED714A">
        <w:t xml:space="preserve">).  The presentations received </w:t>
      </w:r>
      <w:r w:rsidR="00031A7F">
        <w:t>will</w:t>
      </w:r>
      <w:r w:rsidRPr="00ED714A">
        <w:t xml:space="preserve"> be provided </w:t>
      </w:r>
      <w:r w:rsidR="003A3C17">
        <w:t>as an Addendum to this document</w:t>
      </w:r>
      <w:r w:rsidRPr="00ED714A">
        <w:t>.</w:t>
      </w:r>
    </w:p>
    <w:p w:rsidR="00DA59CF" w:rsidRDefault="00DA59CF" w:rsidP="00DA59CF"/>
    <w:bookmarkEnd w:id="8"/>
    <w:p w:rsidR="00DA59CF" w:rsidRDefault="00DA59CF" w:rsidP="00DA59CF">
      <w:pPr>
        <w:tabs>
          <w:tab w:val="left" w:pos="5387"/>
        </w:tabs>
        <w:ind w:left="4820"/>
        <w:rPr>
          <w:i/>
        </w:rPr>
      </w:pPr>
      <w:r w:rsidRPr="000B7667">
        <w:rPr>
          <w:i/>
        </w:rPr>
        <w:fldChar w:fldCharType="begin"/>
      </w:r>
      <w:r w:rsidRPr="000B7667">
        <w:rPr>
          <w:i/>
        </w:rPr>
        <w:instrText xml:space="preserve"> AUTONUM  </w:instrText>
      </w:r>
      <w:r w:rsidRPr="000B7667">
        <w:rPr>
          <w:i/>
        </w:rPr>
        <w:fldChar w:fldCharType="end"/>
      </w:r>
      <w:r w:rsidRPr="000B7667">
        <w:rPr>
          <w:i/>
        </w:rPr>
        <w:tab/>
        <w:t xml:space="preserve">The </w:t>
      </w:r>
      <w:r w:rsidR="00024089">
        <w:rPr>
          <w:i/>
        </w:rPr>
        <w:t>TWA</w:t>
      </w:r>
      <w:r w:rsidRPr="000B7667">
        <w:rPr>
          <w:i/>
        </w:rPr>
        <w:t xml:space="preserve"> is invited to </w:t>
      </w:r>
      <w:r>
        <w:rPr>
          <w:i/>
        </w:rPr>
        <w:t>consider the:</w:t>
      </w:r>
    </w:p>
    <w:p w:rsidR="00DA59CF" w:rsidRDefault="00DA59CF" w:rsidP="00DA59CF">
      <w:pPr>
        <w:tabs>
          <w:tab w:val="left" w:pos="5387"/>
          <w:tab w:val="left" w:pos="5954"/>
        </w:tabs>
        <w:ind w:left="4820"/>
        <w:rPr>
          <w:rFonts w:cs="Arial"/>
          <w:i/>
        </w:rPr>
      </w:pPr>
    </w:p>
    <w:p w:rsidR="00031A7F" w:rsidRDefault="00DA59CF" w:rsidP="00031A7F">
      <w:pPr>
        <w:tabs>
          <w:tab w:val="left" w:pos="5387"/>
          <w:tab w:val="left" w:pos="5954"/>
        </w:tabs>
        <w:ind w:left="4820"/>
        <w:rPr>
          <w:rFonts w:cs="Arial"/>
          <w:i/>
        </w:rPr>
      </w:pPr>
      <w:r>
        <w:rPr>
          <w:rFonts w:cs="Arial"/>
          <w:i/>
        </w:rPr>
        <w:tab/>
        <w:t>(</w:t>
      </w:r>
      <w:r w:rsidR="00031A7F">
        <w:rPr>
          <w:rFonts w:cs="Arial"/>
          <w:i/>
        </w:rPr>
        <w:t>a</w:t>
      </w:r>
      <w:r>
        <w:rPr>
          <w:rFonts w:cs="Arial"/>
          <w:i/>
        </w:rPr>
        <w:t>)</w:t>
      </w:r>
      <w:r>
        <w:rPr>
          <w:rFonts w:cs="Arial"/>
          <w:i/>
        </w:rPr>
        <w:tab/>
      </w:r>
      <w:r w:rsidRPr="000B7667">
        <w:rPr>
          <w:rFonts w:cs="Arial"/>
          <w:i/>
        </w:rPr>
        <w:t xml:space="preserve">use of Test Guidelines for verifying the maintenance of the variety that were different from the Test Guidelines </w:t>
      </w:r>
      <w:r w:rsidR="00031A7F">
        <w:rPr>
          <w:rFonts w:cs="Arial"/>
          <w:i/>
        </w:rPr>
        <w:t>used for the examination of DUS; and</w:t>
      </w:r>
    </w:p>
    <w:p w:rsidR="00031A7F" w:rsidRDefault="00031A7F" w:rsidP="00031A7F">
      <w:pPr>
        <w:tabs>
          <w:tab w:val="left" w:pos="5387"/>
          <w:tab w:val="left" w:pos="5954"/>
        </w:tabs>
        <w:ind w:left="4820"/>
        <w:rPr>
          <w:i/>
        </w:rPr>
      </w:pPr>
    </w:p>
    <w:p w:rsidR="00031A7F" w:rsidRDefault="00031A7F" w:rsidP="00031A7F">
      <w:pPr>
        <w:tabs>
          <w:tab w:val="left" w:pos="5387"/>
          <w:tab w:val="left" w:pos="5954"/>
        </w:tabs>
        <w:ind w:left="4820"/>
        <w:rPr>
          <w:rFonts w:cs="Arial"/>
          <w:i/>
        </w:rPr>
      </w:pPr>
      <w:r>
        <w:rPr>
          <w:i/>
        </w:rPr>
        <w:tab/>
        <w:t>(b)</w:t>
      </w:r>
      <w:r>
        <w:rPr>
          <w:i/>
        </w:rPr>
        <w:tab/>
      </w:r>
      <w:r w:rsidRPr="000B7667">
        <w:rPr>
          <w:i/>
        </w:rPr>
        <w:t xml:space="preserve">experiences </w:t>
      </w:r>
      <w:r>
        <w:rPr>
          <w:i/>
        </w:rPr>
        <w:t xml:space="preserve">presented by experts </w:t>
      </w:r>
      <w:r w:rsidRPr="000B7667">
        <w:rPr>
          <w:i/>
        </w:rPr>
        <w:t xml:space="preserve">with regard to the </w:t>
      </w:r>
      <w:r w:rsidRPr="000B7667">
        <w:rPr>
          <w:rFonts w:cs="Arial"/>
          <w:i/>
        </w:rPr>
        <w:t>use of information, documents or material provided by the breeder for verifying the maintenance of the variety</w:t>
      </w:r>
      <w:r>
        <w:rPr>
          <w:rFonts w:cs="Arial"/>
          <w:i/>
        </w:rPr>
        <w:t>.</w:t>
      </w:r>
    </w:p>
    <w:p w:rsidR="00DA59CF" w:rsidRPr="000B7667" w:rsidRDefault="00DA59CF" w:rsidP="00DA59CF">
      <w:pPr>
        <w:tabs>
          <w:tab w:val="left" w:pos="5387"/>
          <w:tab w:val="left" w:pos="5954"/>
        </w:tabs>
        <w:ind w:left="4820"/>
        <w:rPr>
          <w:i/>
        </w:rPr>
      </w:pPr>
    </w:p>
    <w:p w:rsidR="00DD445C" w:rsidRDefault="00DD445C">
      <w:pPr>
        <w:jc w:val="left"/>
      </w:pPr>
      <w:r>
        <w:br w:type="page"/>
      </w:r>
    </w:p>
    <w:p w:rsidR="00DA59CF" w:rsidRPr="000B7667" w:rsidRDefault="00DA59CF" w:rsidP="00770DEA">
      <w:pPr>
        <w:pStyle w:val="Heading1"/>
      </w:pPr>
      <w:bookmarkStart w:id="9" w:name="_Toc409598027"/>
      <w:bookmarkStart w:id="10" w:name="_Toc418531191"/>
      <w:bookmarkStart w:id="11" w:name="_Toc418608092"/>
      <w:r w:rsidRPr="000B7667">
        <w:lastRenderedPageBreak/>
        <w:t>Matters concerning variety descriptions</w:t>
      </w:r>
      <w:bookmarkEnd w:id="9"/>
      <w:bookmarkEnd w:id="10"/>
      <w:bookmarkEnd w:id="11"/>
    </w:p>
    <w:p w:rsidR="00DA59CF" w:rsidRDefault="00DA59CF" w:rsidP="00DA59CF"/>
    <w:p w:rsidR="00912121" w:rsidRDefault="00912121" w:rsidP="00912121">
      <w:pPr>
        <w:pStyle w:val="Heading2"/>
      </w:pPr>
      <w:bookmarkStart w:id="12" w:name="_Toc418608093"/>
      <w:r>
        <w:t>Developments in the CAJ in 2014</w:t>
      </w:r>
      <w:bookmarkEnd w:id="12"/>
    </w:p>
    <w:p w:rsidR="00912121" w:rsidRPr="000B7667" w:rsidRDefault="00912121" w:rsidP="00DA59CF"/>
    <w:p w:rsidR="00DA59CF" w:rsidRPr="000B7667" w:rsidRDefault="00DA59CF" w:rsidP="00DA59CF">
      <w:pPr>
        <w:rPr>
          <w:rFonts w:cs="Arial"/>
        </w:rPr>
      </w:pPr>
      <w:r w:rsidRPr="000B7667">
        <w:rPr>
          <w:rFonts w:cs="Arial"/>
        </w:rPr>
        <w:fldChar w:fldCharType="begin"/>
      </w:r>
      <w:r w:rsidRPr="000B7667">
        <w:rPr>
          <w:rFonts w:cs="Arial"/>
        </w:rPr>
        <w:instrText xml:space="preserve"> AUTONUM  </w:instrText>
      </w:r>
      <w:r w:rsidRPr="000B7667">
        <w:rPr>
          <w:rFonts w:cs="Arial"/>
        </w:rPr>
        <w:fldChar w:fldCharType="end"/>
      </w:r>
      <w:r w:rsidRPr="000B7667">
        <w:rPr>
          <w:rFonts w:cs="Arial"/>
        </w:rPr>
        <w:tab/>
        <w:t xml:space="preserve">The CAJ, at its sixty-ninth session, held in Geneva on April 10, 2014, in accordance with the proposal by the CAJ-AG, agreed to propose that the following matters in document CAJ-AG/13/8/7 “Matters concerning variety descriptions”, paragraph 4, should be considered by the TC in the first instance </w:t>
      </w:r>
      <w:r w:rsidRPr="000B7667">
        <w:t>(see documents CAJ-AG/13/8/10 “Report”, paragraph 74; and CAJ/69/13 “Report”, paragraph 19)</w:t>
      </w:r>
      <w:r w:rsidRPr="000B7667">
        <w:rPr>
          <w:rFonts w:cs="Arial"/>
        </w:rPr>
        <w:t>:</w:t>
      </w:r>
    </w:p>
    <w:p w:rsidR="00DA59CF" w:rsidRPr="000B7667" w:rsidRDefault="00DA59CF" w:rsidP="00DA59CF">
      <w:pPr>
        <w:rPr>
          <w:rFonts w:cs="Arial"/>
        </w:rPr>
      </w:pPr>
    </w:p>
    <w:p w:rsidR="00DA59CF" w:rsidRPr="000B7667" w:rsidRDefault="00DA59CF" w:rsidP="00DA59CF">
      <w:pPr>
        <w:ind w:left="567" w:right="567"/>
        <w:rPr>
          <w:sz w:val="18"/>
          <w:szCs w:val="18"/>
        </w:rPr>
      </w:pPr>
      <w:r w:rsidRPr="000B7667">
        <w:rPr>
          <w:sz w:val="18"/>
          <w:szCs w:val="18"/>
        </w:rPr>
        <w:t>“[…]</w:t>
      </w:r>
    </w:p>
    <w:p w:rsidR="00DA59CF" w:rsidRPr="000B7667" w:rsidRDefault="00DA59CF" w:rsidP="00DA59CF">
      <w:pPr>
        <w:ind w:left="567" w:right="567"/>
        <w:rPr>
          <w:sz w:val="18"/>
          <w:szCs w:val="18"/>
        </w:rPr>
      </w:pPr>
    </w:p>
    <w:p w:rsidR="00DA59CF" w:rsidRPr="000B7667" w:rsidRDefault="00DA59CF" w:rsidP="00DA59CF">
      <w:pPr>
        <w:ind w:left="567" w:right="567"/>
        <w:rPr>
          <w:sz w:val="18"/>
          <w:szCs w:val="18"/>
        </w:rPr>
      </w:pPr>
      <w:r w:rsidRPr="000B7667">
        <w:rPr>
          <w:sz w:val="18"/>
          <w:szCs w:val="18"/>
        </w:rPr>
        <w:t>“(b)</w:t>
      </w:r>
      <w:r w:rsidRPr="000B7667">
        <w:rPr>
          <w:sz w:val="18"/>
          <w:szCs w:val="18"/>
        </w:rPr>
        <w:tab/>
        <w:t>the status of the original variety description in relation to the verification of the conformity of plant material to a protected variety for the purposes of:</w:t>
      </w:r>
    </w:p>
    <w:p w:rsidR="00DA59CF" w:rsidRPr="000B7667" w:rsidRDefault="00DA59CF" w:rsidP="00DA59CF">
      <w:pPr>
        <w:ind w:left="567" w:right="567"/>
        <w:rPr>
          <w:sz w:val="18"/>
          <w:szCs w:val="18"/>
        </w:rPr>
      </w:pPr>
    </w:p>
    <w:p w:rsidR="00DA59CF" w:rsidRPr="000B7667" w:rsidRDefault="00DA59CF" w:rsidP="00DA59CF">
      <w:pPr>
        <w:ind w:left="1134" w:right="567"/>
        <w:rPr>
          <w:sz w:val="18"/>
          <w:szCs w:val="18"/>
        </w:rPr>
      </w:pPr>
      <w:r w:rsidRPr="000B7667">
        <w:rPr>
          <w:sz w:val="18"/>
          <w:szCs w:val="18"/>
        </w:rPr>
        <w:t>“(</w:t>
      </w:r>
      <w:proofErr w:type="spellStart"/>
      <w:r w:rsidRPr="000B7667">
        <w:rPr>
          <w:sz w:val="18"/>
          <w:szCs w:val="18"/>
        </w:rPr>
        <w:t>i</w:t>
      </w:r>
      <w:proofErr w:type="spellEnd"/>
      <w:r w:rsidRPr="000B7667">
        <w:rPr>
          <w:sz w:val="18"/>
          <w:szCs w:val="18"/>
        </w:rPr>
        <w:t>)</w:t>
      </w:r>
      <w:r w:rsidRPr="000B7667">
        <w:rPr>
          <w:sz w:val="18"/>
          <w:szCs w:val="18"/>
        </w:rPr>
        <w:tab/>
        <w:t>verifying the maintenance of the variety (Article 22 of the 1991 Act, Article 10 of the 1978 Act);</w:t>
      </w:r>
    </w:p>
    <w:p w:rsidR="00DA59CF" w:rsidRPr="000B7667" w:rsidRDefault="00DA59CF" w:rsidP="00DA59CF">
      <w:pPr>
        <w:ind w:left="1134" w:right="567"/>
        <w:rPr>
          <w:sz w:val="18"/>
          <w:szCs w:val="18"/>
        </w:rPr>
      </w:pPr>
    </w:p>
    <w:p w:rsidR="00DA59CF" w:rsidRPr="000B7667" w:rsidRDefault="00DA59CF" w:rsidP="00DA59CF">
      <w:pPr>
        <w:ind w:left="1134" w:right="567"/>
        <w:rPr>
          <w:sz w:val="18"/>
          <w:szCs w:val="18"/>
        </w:rPr>
      </w:pPr>
      <w:r w:rsidRPr="000B7667">
        <w:rPr>
          <w:sz w:val="18"/>
          <w:szCs w:val="18"/>
        </w:rPr>
        <w:t>“(ii)</w:t>
      </w:r>
      <w:r w:rsidRPr="000B7667">
        <w:rPr>
          <w:sz w:val="18"/>
          <w:szCs w:val="18"/>
        </w:rPr>
        <w:tab/>
        <w:t>the examination of distinctness, uniformity and stability (“DUS”) of candidate varieties;  and</w:t>
      </w:r>
    </w:p>
    <w:p w:rsidR="00DA59CF" w:rsidRPr="000B7667" w:rsidRDefault="00DA59CF" w:rsidP="00DA59CF">
      <w:pPr>
        <w:ind w:left="567" w:right="567"/>
        <w:rPr>
          <w:sz w:val="18"/>
          <w:szCs w:val="18"/>
        </w:rPr>
      </w:pPr>
    </w:p>
    <w:p w:rsidR="00DA59CF" w:rsidRPr="000B7667" w:rsidRDefault="00DA59CF" w:rsidP="00DA59CF">
      <w:pPr>
        <w:spacing w:after="240"/>
        <w:ind w:left="567" w:right="567" w:firstLine="567"/>
        <w:rPr>
          <w:sz w:val="18"/>
          <w:szCs w:val="18"/>
        </w:rPr>
      </w:pPr>
      <w:r w:rsidRPr="000B7667">
        <w:rPr>
          <w:sz w:val="18"/>
          <w:szCs w:val="18"/>
        </w:rPr>
        <w:t>“[…]</w:t>
      </w:r>
    </w:p>
    <w:p w:rsidR="00DA59CF" w:rsidRPr="000B7667" w:rsidRDefault="00DA59CF" w:rsidP="00DA59CF">
      <w:pPr>
        <w:ind w:left="567" w:right="567"/>
        <w:rPr>
          <w:sz w:val="18"/>
          <w:szCs w:val="18"/>
        </w:rPr>
      </w:pPr>
      <w:r w:rsidRPr="000B7667">
        <w:rPr>
          <w:sz w:val="18"/>
          <w:szCs w:val="18"/>
        </w:rPr>
        <w:t>“(c)</w:t>
      </w:r>
      <w:r w:rsidRPr="000B7667">
        <w:rPr>
          <w:sz w:val="18"/>
          <w:szCs w:val="18"/>
        </w:rPr>
        <w:tab/>
        <w:t>the status of a modified variety description in relation to (a</w:t>
      </w:r>
      <w:r w:rsidRPr="000B7667">
        <w:rPr>
          <w:sz w:val="18"/>
          <w:szCs w:val="18"/>
          <w:vertAlign w:val="superscript"/>
        </w:rPr>
        <w:footnoteReference w:id="2"/>
      </w:r>
      <w:r w:rsidRPr="000B7667">
        <w:rPr>
          <w:sz w:val="18"/>
          <w:szCs w:val="18"/>
        </w:rPr>
        <w:t>) and (b) above produced, for example, as a result of:</w:t>
      </w:r>
    </w:p>
    <w:p w:rsidR="00DA59CF" w:rsidRPr="000B7667" w:rsidRDefault="00DA59CF" w:rsidP="00DA59CF">
      <w:pPr>
        <w:ind w:left="567" w:right="567"/>
        <w:rPr>
          <w:sz w:val="18"/>
          <w:szCs w:val="18"/>
        </w:rPr>
      </w:pPr>
    </w:p>
    <w:p w:rsidR="00DA59CF" w:rsidRPr="000B7667" w:rsidRDefault="00DA59CF" w:rsidP="00DA59CF">
      <w:pPr>
        <w:spacing w:after="60"/>
        <w:ind w:left="1701" w:right="567" w:hanging="567"/>
        <w:rPr>
          <w:sz w:val="18"/>
          <w:szCs w:val="18"/>
        </w:rPr>
      </w:pPr>
      <w:r w:rsidRPr="000B7667">
        <w:rPr>
          <w:sz w:val="18"/>
          <w:szCs w:val="18"/>
        </w:rPr>
        <w:t>“(</w:t>
      </w:r>
      <w:proofErr w:type="spellStart"/>
      <w:r w:rsidRPr="000B7667">
        <w:rPr>
          <w:sz w:val="18"/>
          <w:szCs w:val="18"/>
        </w:rPr>
        <w:t>i</w:t>
      </w:r>
      <w:proofErr w:type="spellEnd"/>
      <w:r w:rsidRPr="000B7667">
        <w:rPr>
          <w:sz w:val="18"/>
          <w:szCs w:val="18"/>
        </w:rPr>
        <w:t>)</w:t>
      </w:r>
      <w:r w:rsidRPr="000B7667">
        <w:rPr>
          <w:sz w:val="18"/>
          <w:szCs w:val="18"/>
        </w:rPr>
        <w:tab/>
        <w:t>a recalibration of the scale in the Test Guidelines (particularly for non</w:t>
      </w:r>
      <w:r w:rsidRPr="000B7667">
        <w:rPr>
          <w:sz w:val="18"/>
          <w:szCs w:val="18"/>
        </w:rPr>
        <w:noBreakHyphen/>
        <w:t>asterisked characteristics</w:t>
      </w:r>
      <w:r w:rsidRPr="000B7667">
        <w:rPr>
          <w:sz w:val="18"/>
          <w:szCs w:val="18"/>
          <w:vertAlign w:val="superscript"/>
        </w:rPr>
        <w:footnoteReference w:id="3"/>
      </w:r>
      <w:r w:rsidRPr="000B7667">
        <w:rPr>
          <w:sz w:val="18"/>
          <w:szCs w:val="18"/>
        </w:rPr>
        <w:t>);</w:t>
      </w:r>
    </w:p>
    <w:p w:rsidR="00DA59CF" w:rsidRPr="000B7667" w:rsidRDefault="00DA59CF" w:rsidP="00DA59CF">
      <w:pPr>
        <w:spacing w:after="60"/>
        <w:ind w:left="1701" w:right="567" w:hanging="567"/>
        <w:rPr>
          <w:sz w:val="18"/>
          <w:szCs w:val="18"/>
        </w:rPr>
      </w:pPr>
      <w:r w:rsidRPr="000B7667">
        <w:rPr>
          <w:sz w:val="18"/>
          <w:szCs w:val="18"/>
        </w:rPr>
        <w:t>“(ii)</w:t>
      </w:r>
      <w:r w:rsidRPr="000B7667">
        <w:rPr>
          <w:sz w:val="18"/>
          <w:szCs w:val="18"/>
        </w:rPr>
        <w:tab/>
        <w:t>variation due to the environmental conditions of the years of testing for characteristics that are influenced by the environment;</w:t>
      </w:r>
    </w:p>
    <w:p w:rsidR="00DA59CF" w:rsidRPr="000B7667" w:rsidRDefault="00DA59CF" w:rsidP="00DA59CF">
      <w:pPr>
        <w:spacing w:after="60"/>
        <w:ind w:left="1701" w:right="567" w:hanging="567"/>
        <w:rPr>
          <w:sz w:val="18"/>
          <w:szCs w:val="18"/>
        </w:rPr>
      </w:pPr>
      <w:r w:rsidRPr="000B7667">
        <w:rPr>
          <w:sz w:val="18"/>
          <w:szCs w:val="18"/>
        </w:rPr>
        <w:t>“(iii)</w:t>
      </w:r>
      <w:r w:rsidRPr="000B7667">
        <w:rPr>
          <w:sz w:val="18"/>
          <w:szCs w:val="18"/>
        </w:rPr>
        <w:tab/>
        <w:t>variation due to observation by different experts;  or</w:t>
      </w:r>
    </w:p>
    <w:p w:rsidR="00DA59CF" w:rsidRPr="000B7667" w:rsidRDefault="00DA59CF" w:rsidP="00DA59CF">
      <w:pPr>
        <w:ind w:left="1701" w:right="567" w:hanging="567"/>
        <w:rPr>
          <w:sz w:val="18"/>
          <w:szCs w:val="18"/>
        </w:rPr>
      </w:pPr>
      <w:r w:rsidRPr="000B7667">
        <w:rPr>
          <w:sz w:val="18"/>
          <w:szCs w:val="18"/>
        </w:rPr>
        <w:t>“(iv)</w:t>
      </w:r>
      <w:r w:rsidRPr="000B7667">
        <w:rPr>
          <w:sz w:val="18"/>
          <w:szCs w:val="18"/>
        </w:rPr>
        <w:tab/>
        <w:t>the use of different versions of scales (e.g. different versions of the RHS Color Chart).</w:t>
      </w:r>
    </w:p>
    <w:p w:rsidR="00DA59CF" w:rsidRPr="000B7667" w:rsidRDefault="00DA59CF" w:rsidP="00DA59CF">
      <w:pPr>
        <w:ind w:left="567" w:right="567"/>
        <w:rPr>
          <w:sz w:val="18"/>
          <w:szCs w:val="18"/>
        </w:rPr>
      </w:pPr>
    </w:p>
    <w:p w:rsidR="00DA59CF" w:rsidRPr="000B7667" w:rsidRDefault="00DA59CF" w:rsidP="00DA59CF">
      <w:pPr>
        <w:ind w:left="567" w:right="567"/>
        <w:rPr>
          <w:sz w:val="18"/>
          <w:szCs w:val="18"/>
        </w:rPr>
      </w:pPr>
      <w:r w:rsidRPr="000B7667">
        <w:rPr>
          <w:sz w:val="18"/>
          <w:szCs w:val="18"/>
        </w:rPr>
        <w:t>“(d)</w:t>
      </w:r>
      <w:r w:rsidRPr="000B7667">
        <w:rPr>
          <w:sz w:val="18"/>
          <w:szCs w:val="18"/>
        </w:rPr>
        <w:tab/>
        <w:t>situations where an error is subsequently discovered in the initial variety description.”</w:t>
      </w:r>
    </w:p>
    <w:p w:rsidR="00DA59CF" w:rsidRPr="000B7667" w:rsidRDefault="00DA59CF" w:rsidP="00DA59CF">
      <w:pPr>
        <w:ind w:left="567" w:right="567"/>
        <w:rPr>
          <w:sz w:val="18"/>
          <w:szCs w:val="18"/>
        </w:rPr>
      </w:pPr>
    </w:p>
    <w:p w:rsidR="00964081" w:rsidRDefault="00964081" w:rsidP="00DA59CF">
      <w:pPr>
        <w:ind w:left="567" w:right="567"/>
        <w:rPr>
          <w:sz w:val="18"/>
          <w:szCs w:val="18"/>
        </w:rPr>
      </w:pPr>
    </w:p>
    <w:p w:rsidR="00ED714A" w:rsidRPr="00804825" w:rsidRDefault="00ED714A" w:rsidP="00912121">
      <w:pPr>
        <w:pStyle w:val="Heading2"/>
      </w:pPr>
      <w:bookmarkStart w:id="13" w:name="_Toc418531193"/>
      <w:bookmarkStart w:id="14" w:name="_Toc418608094"/>
      <w:r>
        <w:t>Developments in the Technical Committee</w:t>
      </w:r>
      <w:bookmarkEnd w:id="13"/>
      <w:r w:rsidR="00912121">
        <w:t xml:space="preserve"> in 2015</w:t>
      </w:r>
      <w:bookmarkEnd w:id="14"/>
    </w:p>
    <w:p w:rsidR="00ED714A" w:rsidRPr="00804825" w:rsidRDefault="00ED714A" w:rsidP="00ED714A">
      <w:pPr>
        <w:jc w:val="left"/>
      </w:pPr>
    </w:p>
    <w:p w:rsidR="00ED714A" w:rsidRPr="00804825" w:rsidRDefault="00ED714A" w:rsidP="00ED714A">
      <w:r w:rsidRPr="00804825">
        <w:fldChar w:fldCharType="begin"/>
      </w:r>
      <w:r w:rsidRPr="00804825">
        <w:instrText xml:space="preserve"> AUTONUM  </w:instrText>
      </w:r>
      <w:r w:rsidRPr="00804825">
        <w:fldChar w:fldCharType="end"/>
      </w:r>
      <w:r w:rsidRPr="00804825">
        <w:tab/>
      </w:r>
      <w:r>
        <w:t xml:space="preserve">The TC at its fifty-first session, held in Geneva from March 23 to 25, 2015, </w:t>
      </w:r>
      <w:r w:rsidRPr="00804825">
        <w:t>considered document TC/51/38 “Matters concerning variety descriptions”</w:t>
      </w:r>
      <w:r>
        <w:t xml:space="preserve"> and </w:t>
      </w:r>
      <w:r w:rsidRPr="00804825">
        <w:t>noted the existence of different approaches for generating variety descriptions and verifying the maintenance of varieties in different UPOV members and under different DUS testing systems</w:t>
      </w:r>
      <w:r w:rsidR="00912121">
        <w:t xml:space="preserve"> (see document TC/51/39 “Report”, paragraphs 214 to 219)</w:t>
      </w:r>
      <w:r w:rsidRPr="00804825">
        <w:t xml:space="preserve">.  </w:t>
      </w:r>
    </w:p>
    <w:p w:rsidR="00ED714A" w:rsidRPr="00804825" w:rsidRDefault="00ED714A" w:rsidP="00ED714A"/>
    <w:p w:rsidR="00ED714A" w:rsidRPr="00804825" w:rsidRDefault="00ED714A" w:rsidP="00ED714A">
      <w:r w:rsidRPr="00804825">
        <w:fldChar w:fldCharType="begin"/>
      </w:r>
      <w:r w:rsidRPr="00804825">
        <w:instrText xml:space="preserve"> AUTONUM  </w:instrText>
      </w:r>
      <w:r w:rsidRPr="00804825">
        <w:fldChar w:fldCharType="end"/>
      </w:r>
      <w:r w:rsidRPr="00804825">
        <w:tab/>
        <w:t xml:space="preserve">The TC </w:t>
      </w:r>
      <w:r>
        <w:t xml:space="preserve">noted the information in document </w:t>
      </w:r>
      <w:r w:rsidRPr="00804825">
        <w:t>TC/51/38, paragraphs 9 to 12</w:t>
      </w:r>
      <w:r>
        <w:t>, in relation</w:t>
      </w:r>
      <w:r w:rsidRPr="00804825">
        <w:t xml:space="preserve"> to the matters concerning va</w:t>
      </w:r>
      <w:r>
        <w:t xml:space="preserve">riety description presented in </w:t>
      </w:r>
      <w:r w:rsidRPr="00804825">
        <w:t>document TC/51/38, paragraph 8.</w:t>
      </w:r>
      <w:r>
        <w:t xml:space="preserve"> </w:t>
      </w:r>
    </w:p>
    <w:p w:rsidR="00ED714A" w:rsidRPr="00804825" w:rsidRDefault="00ED714A" w:rsidP="00ED714A"/>
    <w:p w:rsidR="00ED714A" w:rsidRDefault="00ED714A" w:rsidP="00ED714A">
      <w:r w:rsidRPr="00804825">
        <w:fldChar w:fldCharType="begin"/>
      </w:r>
      <w:r w:rsidRPr="00804825">
        <w:instrText xml:space="preserve"> AUTONUM  </w:instrText>
      </w:r>
      <w:r w:rsidRPr="00804825">
        <w:fldChar w:fldCharType="end"/>
      </w:r>
      <w:r w:rsidRPr="00804825">
        <w:tab/>
        <w:t>The TC agreed to invite experts to present to the TWPs, at their sessions in 2015, how variety descriptions were generated in DUS examination, how were they used after the granting of a breeders’ right and how variety maintenance was verified</w:t>
      </w:r>
      <w:r>
        <w:t>.  In particular, the TC noted the possible impact of the interaction genotype x environment in generating the variety description.</w:t>
      </w:r>
    </w:p>
    <w:p w:rsidR="00ED714A" w:rsidRPr="00804825" w:rsidRDefault="00ED714A" w:rsidP="00ED714A"/>
    <w:p w:rsidR="00ED714A" w:rsidRPr="000B03FD" w:rsidRDefault="00ED714A" w:rsidP="00ED714A">
      <w:r w:rsidRPr="00804825">
        <w:fldChar w:fldCharType="begin"/>
      </w:r>
      <w:r w:rsidRPr="00804825">
        <w:instrText xml:space="preserve"> AUTONUM  </w:instrText>
      </w:r>
      <w:r w:rsidRPr="00804825">
        <w:fldChar w:fldCharType="end"/>
      </w:r>
      <w:r w:rsidRPr="00804825">
        <w:tab/>
        <w:t>The TC agreed that experts should also be invited to present to the TWPs, at their sessions in 2015, the role of the plant material used as basis for the DUS examination in relation to matters presented in document TC/51/38, paragraph 8.</w:t>
      </w:r>
    </w:p>
    <w:p w:rsidR="00ED714A" w:rsidRDefault="00ED714A" w:rsidP="00ED714A">
      <w:pPr>
        <w:rPr>
          <w:rFonts w:cs="Arial"/>
        </w:rPr>
      </w:pPr>
    </w:p>
    <w:p w:rsidR="00ED714A" w:rsidRPr="000B03FD" w:rsidRDefault="00ED714A" w:rsidP="00ED714A">
      <w:r w:rsidRPr="00ED714A">
        <w:fldChar w:fldCharType="begin"/>
      </w:r>
      <w:r w:rsidRPr="00ED714A">
        <w:instrText xml:space="preserve"> AUTONUM  </w:instrText>
      </w:r>
      <w:r w:rsidRPr="00ED714A">
        <w:fldChar w:fldCharType="end"/>
      </w:r>
      <w:r w:rsidRPr="00ED714A">
        <w:tab/>
        <w:t xml:space="preserve">On May 5, 2015, the TC and TWP experts were invited to present to the TWPs, at their sessions in 2015, how variety descriptions </w:t>
      </w:r>
      <w:r w:rsidR="003A3C17">
        <w:t>are</w:t>
      </w:r>
      <w:r w:rsidRPr="00ED714A">
        <w:t xml:space="preserve"> generated in DUS examination, how they </w:t>
      </w:r>
      <w:r w:rsidR="003A3C17">
        <w:t xml:space="preserve">are </w:t>
      </w:r>
      <w:r w:rsidRPr="00ED714A">
        <w:t xml:space="preserve">used after the granting of a breeders’ right; how variety maintenance </w:t>
      </w:r>
      <w:r w:rsidR="003A3C17">
        <w:t>is</w:t>
      </w:r>
      <w:r w:rsidRPr="00ED714A">
        <w:t xml:space="preserve"> verified; and </w:t>
      </w:r>
      <w:r w:rsidRPr="00ED714A">
        <w:rPr>
          <w:rFonts w:cs="Arial"/>
        </w:rPr>
        <w:t xml:space="preserve">the role of the plant material used as basis for the DUS examination in relation to the verification of conformity of plant material to a protected variety, a </w:t>
      </w:r>
      <w:r w:rsidRPr="00ED714A">
        <w:rPr>
          <w:rFonts w:cs="Arial"/>
        </w:rPr>
        <w:lastRenderedPageBreak/>
        <w:t>modified variety description or where an error is subsequently discovered in the initial variety description</w:t>
      </w:r>
      <w:r w:rsidRPr="00ED714A">
        <w:t xml:space="preserve"> (see Circular E</w:t>
      </w:r>
      <w:r w:rsidRPr="00ED714A">
        <w:noBreakHyphen/>
        <w:t>15/108</w:t>
      </w:r>
      <w:r>
        <w:t xml:space="preserve">).  The presentations received </w:t>
      </w:r>
      <w:r w:rsidR="003A3C17">
        <w:t>will</w:t>
      </w:r>
      <w:r>
        <w:t xml:space="preserve"> be provided </w:t>
      </w:r>
      <w:r w:rsidR="003A3C17">
        <w:t>as an Addendum to this document</w:t>
      </w:r>
      <w:r>
        <w:t>.</w:t>
      </w:r>
    </w:p>
    <w:p w:rsidR="00ED714A" w:rsidRDefault="00ED714A" w:rsidP="00DA59CF">
      <w:pPr>
        <w:ind w:left="567" w:right="567"/>
        <w:rPr>
          <w:sz w:val="18"/>
          <w:szCs w:val="18"/>
        </w:rPr>
      </w:pPr>
    </w:p>
    <w:p w:rsidR="00ED714A" w:rsidRDefault="00912121" w:rsidP="00912121">
      <w:pPr>
        <w:pStyle w:val="Heading2"/>
      </w:pPr>
      <w:bookmarkStart w:id="15" w:name="_Toc418608095"/>
      <w:r>
        <w:t>Developments in the CAJ in 2015</w:t>
      </w:r>
      <w:bookmarkEnd w:id="15"/>
    </w:p>
    <w:p w:rsidR="00912121" w:rsidRDefault="00912121" w:rsidP="00DA59CF">
      <w:pPr>
        <w:ind w:left="567" w:right="567"/>
        <w:rPr>
          <w:sz w:val="18"/>
          <w:szCs w:val="18"/>
        </w:rPr>
      </w:pPr>
    </w:p>
    <w:p w:rsidR="00964081" w:rsidRPr="007528A3" w:rsidRDefault="00964081" w:rsidP="00964081">
      <w:r w:rsidRPr="007528A3">
        <w:fldChar w:fldCharType="begin"/>
      </w:r>
      <w:r w:rsidRPr="007528A3">
        <w:instrText xml:space="preserve"> AUTONUM  </w:instrText>
      </w:r>
      <w:r w:rsidRPr="007528A3">
        <w:fldChar w:fldCharType="end"/>
      </w:r>
      <w:r w:rsidRPr="007528A3">
        <w:tab/>
        <w:t>The CAJ</w:t>
      </w:r>
      <w:r>
        <w:t>, at its seventy-first session, held in Geneva on March 26, 2015,</w:t>
      </w:r>
      <w:r w:rsidRPr="007528A3">
        <w:t xml:space="preserve"> endorsed the conclusion of the CAJ-AG, at its ninth session, on the purpose(s) of the variety description developed at the time of the grant of the breeder’s right (original variety description), as set out in document CAJ/71/2, paragraph 37, as follows</w:t>
      </w:r>
      <w:r>
        <w:t xml:space="preserve"> (see document </w:t>
      </w:r>
      <w:r w:rsidR="00ED714A">
        <w:t>CAJ/71/10 “Report on the conclusions”, paragraphs 21 to 24)</w:t>
      </w:r>
      <w:r w:rsidRPr="007528A3">
        <w:t>:</w:t>
      </w:r>
    </w:p>
    <w:p w:rsidR="00964081" w:rsidRPr="007528A3" w:rsidRDefault="00964081" w:rsidP="00964081"/>
    <w:p w:rsidR="00964081" w:rsidRPr="007528A3" w:rsidRDefault="00964081" w:rsidP="00964081">
      <w:pPr>
        <w:ind w:left="567" w:right="567"/>
        <w:rPr>
          <w:sz w:val="18"/>
        </w:rPr>
      </w:pPr>
      <w:r w:rsidRPr="007528A3">
        <w:rPr>
          <w:sz w:val="18"/>
        </w:rPr>
        <w:t>“37.</w:t>
      </w:r>
      <w:r w:rsidRPr="007528A3">
        <w:rPr>
          <w:sz w:val="18"/>
        </w:rPr>
        <w:tab/>
        <w:t>The CAJ-AG agreed that, on the basis of document TGP/5 “Experience and Cooperation in DUS Testing”, Section 6 “UPOV Report on Technical Examination and UPOV Variety Description”, the purpose of the variety description developed at the time of the grant of the breeder’s right (original variety description) might be summarized as follows:</w:t>
      </w:r>
    </w:p>
    <w:p w:rsidR="00964081" w:rsidRPr="007528A3" w:rsidRDefault="00964081" w:rsidP="00964081">
      <w:pPr>
        <w:ind w:left="567" w:right="567"/>
        <w:rPr>
          <w:sz w:val="18"/>
        </w:rPr>
      </w:pPr>
    </w:p>
    <w:p w:rsidR="00964081" w:rsidRPr="007528A3" w:rsidRDefault="00964081" w:rsidP="00964081">
      <w:pPr>
        <w:ind w:left="1134" w:right="567"/>
        <w:rPr>
          <w:sz w:val="18"/>
        </w:rPr>
      </w:pPr>
      <w:r w:rsidRPr="007528A3">
        <w:rPr>
          <w:sz w:val="18"/>
        </w:rPr>
        <w:t>(a)</w:t>
      </w:r>
      <w:r w:rsidRPr="007528A3">
        <w:rPr>
          <w:sz w:val="18"/>
        </w:rPr>
        <w:tab/>
        <w:t>to describe the characteristics of the variety; and</w:t>
      </w:r>
    </w:p>
    <w:p w:rsidR="00964081" w:rsidRPr="007528A3" w:rsidRDefault="00964081" w:rsidP="00964081">
      <w:pPr>
        <w:ind w:left="1134" w:right="567"/>
        <w:rPr>
          <w:sz w:val="18"/>
        </w:rPr>
      </w:pPr>
      <w:r w:rsidRPr="007528A3">
        <w:rPr>
          <w:sz w:val="18"/>
        </w:rPr>
        <w:t>(b)</w:t>
      </w:r>
      <w:r w:rsidRPr="007528A3">
        <w:rPr>
          <w:sz w:val="18"/>
        </w:rPr>
        <w:tab/>
        <w:t xml:space="preserve">to identify and list similar varieties and differences from these varieties; </w:t>
      </w:r>
    </w:p>
    <w:p w:rsidR="00964081" w:rsidRPr="007528A3" w:rsidRDefault="00964081" w:rsidP="00964081">
      <w:pPr>
        <w:ind w:left="2835" w:right="567" w:hanging="1134"/>
        <w:rPr>
          <w:sz w:val="18"/>
        </w:rPr>
      </w:pPr>
      <w:r w:rsidRPr="007528A3">
        <w:rPr>
          <w:sz w:val="18"/>
        </w:rPr>
        <w:t>combined with the information on the basis for (a) and (b), namely:</w:t>
      </w:r>
    </w:p>
    <w:p w:rsidR="00964081" w:rsidRPr="007528A3" w:rsidRDefault="00964081" w:rsidP="00964081">
      <w:pPr>
        <w:ind w:left="1701" w:right="567"/>
        <w:rPr>
          <w:sz w:val="18"/>
        </w:rPr>
      </w:pPr>
      <w:r w:rsidRPr="007528A3">
        <w:rPr>
          <w:rFonts w:cs="Arial"/>
          <w:sz w:val="18"/>
        </w:rPr>
        <w:t>▪</w:t>
      </w:r>
      <w:r w:rsidRPr="007528A3">
        <w:rPr>
          <w:sz w:val="18"/>
        </w:rPr>
        <w:tab/>
        <w:t>Date and document number of UPOV Test Guidelines;</w:t>
      </w:r>
    </w:p>
    <w:p w:rsidR="00964081" w:rsidRPr="007528A3" w:rsidRDefault="00964081" w:rsidP="00964081">
      <w:pPr>
        <w:ind w:left="1701" w:right="567"/>
        <w:rPr>
          <w:sz w:val="18"/>
        </w:rPr>
      </w:pPr>
      <w:r w:rsidRPr="007528A3">
        <w:rPr>
          <w:rFonts w:cs="Arial"/>
          <w:sz w:val="18"/>
        </w:rPr>
        <w:t>▪</w:t>
      </w:r>
      <w:r w:rsidRPr="007528A3">
        <w:rPr>
          <w:sz w:val="18"/>
        </w:rPr>
        <w:tab/>
        <w:t>Date and/or document number of Reporting Authority’s test guidelines;</w:t>
      </w:r>
    </w:p>
    <w:p w:rsidR="00964081" w:rsidRPr="007528A3" w:rsidRDefault="00964081" w:rsidP="00964081">
      <w:pPr>
        <w:ind w:left="1701" w:right="567"/>
        <w:rPr>
          <w:sz w:val="18"/>
        </w:rPr>
      </w:pPr>
      <w:r w:rsidRPr="007528A3">
        <w:rPr>
          <w:rFonts w:cs="Arial"/>
          <w:sz w:val="18"/>
        </w:rPr>
        <w:t>▪</w:t>
      </w:r>
      <w:r w:rsidRPr="007528A3">
        <w:rPr>
          <w:sz w:val="18"/>
        </w:rPr>
        <w:tab/>
        <w:t>Reporting Authority;</w:t>
      </w:r>
    </w:p>
    <w:p w:rsidR="00964081" w:rsidRPr="007528A3" w:rsidRDefault="00964081" w:rsidP="00964081">
      <w:pPr>
        <w:ind w:left="1701" w:right="567"/>
        <w:rPr>
          <w:sz w:val="18"/>
        </w:rPr>
      </w:pPr>
      <w:r w:rsidRPr="007528A3">
        <w:rPr>
          <w:rFonts w:cs="Arial"/>
          <w:sz w:val="18"/>
        </w:rPr>
        <w:t>▪</w:t>
      </w:r>
      <w:r w:rsidRPr="007528A3">
        <w:rPr>
          <w:sz w:val="18"/>
        </w:rPr>
        <w:tab/>
        <w:t>Testing station(s) and place(s);</w:t>
      </w:r>
    </w:p>
    <w:p w:rsidR="00964081" w:rsidRPr="007528A3" w:rsidRDefault="00964081" w:rsidP="00964081">
      <w:pPr>
        <w:ind w:left="1701" w:right="567"/>
        <w:rPr>
          <w:sz w:val="18"/>
        </w:rPr>
      </w:pPr>
      <w:r w:rsidRPr="007528A3">
        <w:rPr>
          <w:rFonts w:cs="Arial"/>
          <w:sz w:val="18"/>
        </w:rPr>
        <w:t>▪</w:t>
      </w:r>
      <w:r w:rsidRPr="007528A3">
        <w:rPr>
          <w:sz w:val="18"/>
        </w:rPr>
        <w:tab/>
        <w:t>Period of testing;</w:t>
      </w:r>
    </w:p>
    <w:p w:rsidR="00964081" w:rsidRPr="007528A3" w:rsidRDefault="00964081" w:rsidP="00964081">
      <w:pPr>
        <w:ind w:left="1701" w:right="567"/>
        <w:rPr>
          <w:sz w:val="18"/>
        </w:rPr>
      </w:pPr>
      <w:r w:rsidRPr="007528A3">
        <w:rPr>
          <w:rFonts w:cs="Arial"/>
          <w:sz w:val="18"/>
        </w:rPr>
        <w:t>▪</w:t>
      </w:r>
      <w:r w:rsidRPr="007528A3">
        <w:rPr>
          <w:sz w:val="18"/>
        </w:rPr>
        <w:tab/>
        <w:t>Date and place of issue of document;</w:t>
      </w:r>
    </w:p>
    <w:p w:rsidR="00964081" w:rsidRPr="007528A3" w:rsidRDefault="00964081" w:rsidP="00964081">
      <w:pPr>
        <w:ind w:left="1701" w:right="567"/>
        <w:rPr>
          <w:sz w:val="18"/>
        </w:rPr>
      </w:pPr>
      <w:r w:rsidRPr="007528A3">
        <w:rPr>
          <w:rFonts w:cs="Arial"/>
          <w:sz w:val="18"/>
        </w:rPr>
        <w:t>▪</w:t>
      </w:r>
      <w:r w:rsidRPr="007528A3">
        <w:rPr>
          <w:sz w:val="18"/>
        </w:rPr>
        <w:tab/>
        <w:t>Group: (Table: Characteristics; States of Expression; Note; Remarks);</w:t>
      </w:r>
    </w:p>
    <w:p w:rsidR="00964081" w:rsidRPr="007528A3" w:rsidRDefault="00964081" w:rsidP="00964081">
      <w:pPr>
        <w:ind w:left="1701" w:right="567"/>
        <w:rPr>
          <w:sz w:val="18"/>
        </w:rPr>
      </w:pPr>
      <w:r w:rsidRPr="007528A3">
        <w:rPr>
          <w:rFonts w:cs="Arial"/>
          <w:sz w:val="18"/>
        </w:rPr>
        <w:t>▪</w:t>
      </w:r>
      <w:r w:rsidRPr="007528A3">
        <w:rPr>
          <w:sz w:val="18"/>
        </w:rPr>
        <w:tab/>
        <w:t>Additional Information;</w:t>
      </w:r>
    </w:p>
    <w:p w:rsidR="00964081" w:rsidRPr="007528A3" w:rsidRDefault="00964081" w:rsidP="00964081">
      <w:pPr>
        <w:ind w:left="1701" w:right="567"/>
        <w:rPr>
          <w:sz w:val="18"/>
        </w:rPr>
      </w:pPr>
      <w:r w:rsidRPr="007528A3">
        <w:rPr>
          <w:sz w:val="18"/>
        </w:rPr>
        <w:tab/>
        <w:t>(a)</w:t>
      </w:r>
      <w:r w:rsidRPr="007528A3">
        <w:rPr>
          <w:sz w:val="18"/>
        </w:rPr>
        <w:tab/>
        <w:t>Additional Data</w:t>
      </w:r>
    </w:p>
    <w:p w:rsidR="00964081" w:rsidRPr="007528A3" w:rsidRDefault="00964081" w:rsidP="00964081">
      <w:pPr>
        <w:ind w:left="1701" w:right="567"/>
        <w:rPr>
          <w:sz w:val="18"/>
        </w:rPr>
      </w:pPr>
      <w:r w:rsidRPr="007528A3">
        <w:rPr>
          <w:sz w:val="18"/>
        </w:rPr>
        <w:tab/>
        <w:t>(b)</w:t>
      </w:r>
      <w:r w:rsidRPr="007528A3">
        <w:rPr>
          <w:sz w:val="18"/>
        </w:rPr>
        <w:tab/>
        <w:t>Photograph (if appropriate)</w:t>
      </w:r>
    </w:p>
    <w:p w:rsidR="00964081" w:rsidRPr="007528A3" w:rsidRDefault="00964081" w:rsidP="00964081">
      <w:pPr>
        <w:ind w:left="1701" w:right="567"/>
        <w:rPr>
          <w:sz w:val="18"/>
        </w:rPr>
      </w:pPr>
      <w:r w:rsidRPr="007528A3">
        <w:rPr>
          <w:sz w:val="18"/>
        </w:rPr>
        <w:tab/>
        <w:t>(c)</w:t>
      </w:r>
      <w:r w:rsidRPr="007528A3">
        <w:rPr>
          <w:sz w:val="18"/>
        </w:rPr>
        <w:tab/>
        <w:t xml:space="preserve">RHS </w:t>
      </w:r>
      <w:proofErr w:type="spellStart"/>
      <w:r w:rsidRPr="007528A3">
        <w:rPr>
          <w:sz w:val="18"/>
        </w:rPr>
        <w:t>Colour</w:t>
      </w:r>
      <w:proofErr w:type="spellEnd"/>
      <w:r w:rsidRPr="007528A3">
        <w:rPr>
          <w:sz w:val="18"/>
        </w:rPr>
        <w:t xml:space="preserve"> Chart version used (if appropriate)</w:t>
      </w:r>
    </w:p>
    <w:p w:rsidR="00964081" w:rsidRPr="007528A3" w:rsidRDefault="00964081" w:rsidP="00964081">
      <w:pPr>
        <w:ind w:left="1701" w:right="567"/>
        <w:rPr>
          <w:sz w:val="18"/>
        </w:rPr>
      </w:pPr>
      <w:r w:rsidRPr="007528A3">
        <w:rPr>
          <w:sz w:val="18"/>
        </w:rPr>
        <w:tab/>
        <w:t>(d)</w:t>
      </w:r>
      <w:r w:rsidRPr="007528A3">
        <w:rPr>
          <w:sz w:val="18"/>
        </w:rPr>
        <w:tab/>
        <w:t>Remarks.”</w:t>
      </w:r>
    </w:p>
    <w:p w:rsidR="00964081" w:rsidRPr="007528A3" w:rsidRDefault="00964081" w:rsidP="00964081"/>
    <w:p w:rsidR="00964081" w:rsidRPr="007528A3" w:rsidRDefault="00964081" w:rsidP="00964081">
      <w:r w:rsidRPr="007528A3">
        <w:fldChar w:fldCharType="begin"/>
      </w:r>
      <w:r w:rsidRPr="007528A3">
        <w:instrText xml:space="preserve"> AUTONUM  </w:instrText>
      </w:r>
      <w:r w:rsidRPr="007528A3">
        <w:fldChar w:fldCharType="end"/>
      </w:r>
      <w:r w:rsidRPr="007528A3">
        <w:tab/>
        <w:t>The CAJ endorsed the conclusion of the CAJ-AG, at its ninth session, on the status of the original variety description in relation to the verification of the conformity of plant material to a protected variety for enforcement of the breeder’s right, as set out in document CAJ/71/2, paragraphs 38 and 39, as follows:</w:t>
      </w:r>
    </w:p>
    <w:p w:rsidR="00964081" w:rsidRPr="007528A3" w:rsidRDefault="00964081" w:rsidP="00964081"/>
    <w:p w:rsidR="00964081" w:rsidRPr="007528A3" w:rsidRDefault="00964081" w:rsidP="00964081">
      <w:pPr>
        <w:ind w:left="567" w:right="567"/>
        <w:rPr>
          <w:snapToGrid w:val="0"/>
          <w:spacing w:val="-2"/>
          <w:sz w:val="18"/>
          <w:szCs w:val="18"/>
        </w:rPr>
      </w:pPr>
      <w:r w:rsidRPr="007528A3">
        <w:rPr>
          <w:snapToGrid w:val="0"/>
          <w:spacing w:val="-2"/>
          <w:sz w:val="18"/>
          <w:szCs w:val="18"/>
        </w:rPr>
        <w:t>“38.</w:t>
      </w:r>
      <w:r w:rsidRPr="007528A3">
        <w:rPr>
          <w:snapToGrid w:val="0"/>
          <w:spacing w:val="-2"/>
          <w:sz w:val="18"/>
          <w:szCs w:val="18"/>
        </w:rPr>
        <w:tab/>
        <w:t>The CAJ-AG</w:t>
      </w:r>
      <w:r w:rsidRPr="007528A3">
        <w:rPr>
          <w:spacing w:val="-2"/>
          <w:sz w:val="18"/>
          <w:szCs w:val="18"/>
        </w:rPr>
        <w:t xml:space="preserve"> </w:t>
      </w:r>
      <w:r w:rsidRPr="007528A3">
        <w:rPr>
          <w:snapToGrid w:val="0"/>
          <w:spacing w:val="-2"/>
          <w:sz w:val="18"/>
          <w:szCs w:val="18"/>
        </w:rPr>
        <w:t>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w:t>
      </w:r>
      <w:r w:rsidRPr="007528A3">
        <w:rPr>
          <w:rStyle w:val="FootnoteReference"/>
          <w:snapToGrid w:val="0"/>
          <w:spacing w:val="-2"/>
          <w:sz w:val="18"/>
          <w:szCs w:val="18"/>
        </w:rPr>
        <w:footnoteReference w:id="4"/>
      </w:r>
      <w:r w:rsidRPr="007528A3">
        <w:rPr>
          <w:snapToGrid w:val="0"/>
          <w:spacing w:val="-2"/>
          <w:sz w:val="18"/>
          <w:szCs w:val="18"/>
        </w:rPr>
        <w:t xml:space="preserve">: </w:t>
      </w:r>
    </w:p>
    <w:p w:rsidR="00964081" w:rsidRPr="007528A3" w:rsidRDefault="00964081" w:rsidP="00964081">
      <w:pPr>
        <w:pStyle w:val="ListParagraph"/>
        <w:ind w:left="567" w:right="567"/>
        <w:rPr>
          <w:snapToGrid w:val="0"/>
          <w:sz w:val="18"/>
          <w:szCs w:val="18"/>
        </w:rPr>
      </w:pPr>
    </w:p>
    <w:p w:rsidR="00964081" w:rsidRPr="007528A3" w:rsidRDefault="00964081" w:rsidP="00964081">
      <w:pPr>
        <w:pStyle w:val="ListParagraph"/>
        <w:ind w:left="567" w:right="567"/>
        <w:rPr>
          <w:snapToGrid w:val="0"/>
          <w:sz w:val="18"/>
          <w:szCs w:val="18"/>
        </w:rPr>
      </w:pPr>
      <w:r w:rsidRPr="007528A3">
        <w:rPr>
          <w:snapToGrid w:val="0"/>
          <w:sz w:val="18"/>
          <w:szCs w:val="18"/>
        </w:rPr>
        <w:t xml:space="preserve">“SECTION II: Some possible measures for the enforcement of breeders’ rights </w:t>
      </w:r>
    </w:p>
    <w:p w:rsidR="00964081" w:rsidRPr="007528A3" w:rsidRDefault="00964081" w:rsidP="00964081">
      <w:pPr>
        <w:pStyle w:val="ListParagraph"/>
        <w:ind w:left="567" w:right="567"/>
        <w:rPr>
          <w:snapToGrid w:val="0"/>
          <w:sz w:val="18"/>
          <w:szCs w:val="18"/>
        </w:rPr>
      </w:pPr>
    </w:p>
    <w:p w:rsidR="00964081" w:rsidRPr="007528A3" w:rsidRDefault="00964081" w:rsidP="00964081">
      <w:pPr>
        <w:pStyle w:val="ListParagraph"/>
        <w:ind w:left="567" w:right="567"/>
        <w:rPr>
          <w:snapToGrid w:val="0"/>
          <w:sz w:val="18"/>
          <w:szCs w:val="18"/>
        </w:rPr>
      </w:pPr>
      <w:r w:rsidRPr="007528A3">
        <w:rPr>
          <w:snapToGrid w:val="0"/>
          <w:sz w:val="18"/>
          <w:szCs w:val="18"/>
        </w:rPr>
        <w:t>“While the UPOV Convention requires members of the Union to provide for appropriate legal remedies for the effective enforcement of breeders’ rights, it is a matter for breeders to enforce their rights.”</w:t>
      </w:r>
    </w:p>
    <w:p w:rsidR="00964081" w:rsidRPr="007528A3" w:rsidRDefault="00964081" w:rsidP="00964081">
      <w:pPr>
        <w:pStyle w:val="ListParagraph"/>
        <w:ind w:left="567" w:right="567"/>
        <w:rPr>
          <w:snapToGrid w:val="0"/>
          <w:sz w:val="18"/>
          <w:szCs w:val="18"/>
        </w:rPr>
      </w:pPr>
      <w:r w:rsidRPr="007528A3">
        <w:rPr>
          <w:snapToGrid w:val="0"/>
          <w:sz w:val="18"/>
          <w:szCs w:val="18"/>
        </w:rPr>
        <w:t>[…]</w:t>
      </w:r>
    </w:p>
    <w:p w:rsidR="00964081" w:rsidRPr="007528A3" w:rsidRDefault="00964081" w:rsidP="00964081">
      <w:pPr>
        <w:ind w:left="567" w:right="567"/>
        <w:rPr>
          <w:snapToGrid w:val="0"/>
          <w:sz w:val="18"/>
          <w:szCs w:val="18"/>
        </w:rPr>
      </w:pPr>
      <w:r w:rsidRPr="007528A3">
        <w:rPr>
          <w:snapToGrid w:val="0"/>
          <w:sz w:val="18"/>
          <w:szCs w:val="18"/>
        </w:rPr>
        <w:t>“39.</w:t>
      </w:r>
      <w:r w:rsidRPr="007528A3">
        <w:rPr>
          <w:snapToGrid w:val="0"/>
          <w:sz w:val="18"/>
          <w:szCs w:val="18"/>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r w:rsidRPr="007528A3">
        <w:rPr>
          <w:rStyle w:val="FootnoteReference"/>
          <w:snapToGrid w:val="0"/>
          <w:sz w:val="18"/>
          <w:szCs w:val="18"/>
        </w:rPr>
        <w:footnoteReference w:id="5"/>
      </w:r>
      <w:r w:rsidRPr="007528A3">
        <w:rPr>
          <w:snapToGrid w:val="0"/>
          <w:sz w:val="18"/>
          <w:szCs w:val="18"/>
        </w:rPr>
        <w:t>:</w:t>
      </w:r>
    </w:p>
    <w:p w:rsidR="00964081" w:rsidRPr="007528A3" w:rsidRDefault="00964081" w:rsidP="00964081">
      <w:pPr>
        <w:ind w:left="567" w:right="567"/>
        <w:rPr>
          <w:snapToGrid w:val="0"/>
          <w:sz w:val="18"/>
          <w:szCs w:val="18"/>
        </w:rPr>
      </w:pPr>
    </w:p>
    <w:p w:rsidR="00964081" w:rsidRPr="007528A3" w:rsidRDefault="00964081" w:rsidP="00964081">
      <w:pPr>
        <w:pStyle w:val="ListParagraph"/>
        <w:keepNext/>
        <w:numPr>
          <w:ilvl w:val="2"/>
          <w:numId w:val="12"/>
        </w:numPr>
        <w:tabs>
          <w:tab w:val="left" w:pos="567"/>
          <w:tab w:val="left" w:pos="1560"/>
        </w:tabs>
        <w:spacing w:line="276" w:lineRule="auto"/>
        <w:ind w:left="567" w:right="567" w:firstLine="0"/>
        <w:rPr>
          <w:sz w:val="18"/>
          <w:szCs w:val="18"/>
        </w:rPr>
      </w:pPr>
      <w:r w:rsidRPr="007528A3">
        <w:rPr>
          <w:sz w:val="18"/>
          <w:szCs w:val="18"/>
        </w:rPr>
        <w:t>Date and document number of UPOV Test Guidelines</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Date and/or document number of Reporting Authority’s test guidelines</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Reporting Authority</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Testing station(s) and place(s)</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Period of testing</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Date and place of issue of document</w:t>
      </w:r>
      <w:r w:rsidRPr="007528A3">
        <w:rPr>
          <w:snapToGrid w:val="0"/>
          <w:sz w:val="18"/>
          <w:szCs w:val="18"/>
        </w:rPr>
        <w:t>;</w:t>
      </w:r>
    </w:p>
    <w:p w:rsidR="00964081" w:rsidRPr="007528A3" w:rsidRDefault="00964081" w:rsidP="00964081">
      <w:pPr>
        <w:pStyle w:val="ListParagraph"/>
        <w:numPr>
          <w:ilvl w:val="2"/>
          <w:numId w:val="12"/>
        </w:numPr>
        <w:tabs>
          <w:tab w:val="left" w:pos="1560"/>
        </w:tabs>
        <w:spacing w:line="276" w:lineRule="auto"/>
        <w:ind w:left="567" w:right="567" w:firstLine="0"/>
        <w:rPr>
          <w:sz w:val="18"/>
          <w:szCs w:val="18"/>
        </w:rPr>
      </w:pPr>
      <w:r w:rsidRPr="007528A3">
        <w:rPr>
          <w:sz w:val="18"/>
          <w:szCs w:val="18"/>
        </w:rPr>
        <w:t>Group: (Table: Characteristics; States of Expression; Note; Remarks)</w:t>
      </w:r>
      <w:r w:rsidRPr="007528A3">
        <w:rPr>
          <w:snapToGrid w:val="0"/>
          <w:sz w:val="18"/>
          <w:szCs w:val="18"/>
        </w:rPr>
        <w:t>;</w:t>
      </w:r>
    </w:p>
    <w:p w:rsidR="00964081" w:rsidRPr="007528A3" w:rsidRDefault="00964081" w:rsidP="00964081">
      <w:pPr>
        <w:pStyle w:val="ListParagraph"/>
        <w:numPr>
          <w:ilvl w:val="2"/>
          <w:numId w:val="12"/>
        </w:numPr>
        <w:tabs>
          <w:tab w:val="left" w:pos="1560"/>
        </w:tabs>
        <w:spacing w:line="276" w:lineRule="auto"/>
        <w:ind w:left="567" w:right="567" w:firstLine="0"/>
        <w:rPr>
          <w:sz w:val="18"/>
          <w:szCs w:val="18"/>
        </w:rPr>
      </w:pPr>
      <w:r w:rsidRPr="007528A3">
        <w:rPr>
          <w:sz w:val="18"/>
          <w:szCs w:val="18"/>
        </w:rPr>
        <w:t>Additional Information;</w:t>
      </w:r>
    </w:p>
    <w:p w:rsidR="00964081" w:rsidRPr="007528A3" w:rsidRDefault="00964081" w:rsidP="00964081">
      <w:pPr>
        <w:spacing w:line="276" w:lineRule="auto"/>
        <w:ind w:left="567" w:right="567"/>
        <w:rPr>
          <w:sz w:val="18"/>
          <w:szCs w:val="18"/>
        </w:rPr>
      </w:pPr>
      <w:r w:rsidRPr="007528A3">
        <w:rPr>
          <w:sz w:val="18"/>
          <w:szCs w:val="18"/>
        </w:rPr>
        <w:tab/>
        <w:t>(a)</w:t>
      </w:r>
      <w:r w:rsidRPr="007528A3">
        <w:rPr>
          <w:sz w:val="18"/>
          <w:szCs w:val="18"/>
        </w:rPr>
        <w:tab/>
        <w:t>Additional Data</w:t>
      </w:r>
    </w:p>
    <w:p w:rsidR="00964081" w:rsidRPr="007528A3" w:rsidRDefault="00964081" w:rsidP="00964081">
      <w:pPr>
        <w:spacing w:line="276" w:lineRule="auto"/>
        <w:ind w:left="567" w:right="567"/>
        <w:rPr>
          <w:color w:val="000000"/>
          <w:sz w:val="18"/>
          <w:szCs w:val="18"/>
        </w:rPr>
      </w:pPr>
      <w:r w:rsidRPr="007528A3">
        <w:rPr>
          <w:sz w:val="18"/>
          <w:szCs w:val="18"/>
        </w:rPr>
        <w:tab/>
      </w:r>
      <w:r w:rsidRPr="007528A3">
        <w:rPr>
          <w:color w:val="000000"/>
          <w:sz w:val="18"/>
          <w:szCs w:val="18"/>
        </w:rPr>
        <w:t>(b)</w:t>
      </w:r>
      <w:r w:rsidRPr="007528A3">
        <w:rPr>
          <w:color w:val="000000"/>
          <w:sz w:val="18"/>
          <w:szCs w:val="18"/>
        </w:rPr>
        <w:tab/>
        <w:t>Photograph (if appropriate)</w:t>
      </w:r>
    </w:p>
    <w:p w:rsidR="00964081" w:rsidRPr="007528A3" w:rsidRDefault="00964081" w:rsidP="00964081">
      <w:pPr>
        <w:spacing w:line="276" w:lineRule="auto"/>
        <w:ind w:left="567" w:right="567"/>
        <w:rPr>
          <w:color w:val="000000"/>
          <w:sz w:val="18"/>
          <w:szCs w:val="18"/>
        </w:rPr>
      </w:pPr>
      <w:r w:rsidRPr="007528A3">
        <w:rPr>
          <w:sz w:val="18"/>
          <w:szCs w:val="18"/>
        </w:rPr>
        <w:tab/>
      </w:r>
      <w:r w:rsidRPr="007528A3">
        <w:rPr>
          <w:color w:val="000000"/>
          <w:sz w:val="18"/>
          <w:szCs w:val="18"/>
        </w:rPr>
        <w:t>(c)</w:t>
      </w:r>
      <w:r w:rsidRPr="007528A3">
        <w:rPr>
          <w:color w:val="000000"/>
          <w:sz w:val="18"/>
          <w:szCs w:val="18"/>
        </w:rPr>
        <w:tab/>
        <w:t xml:space="preserve">RHS </w:t>
      </w:r>
      <w:proofErr w:type="spellStart"/>
      <w:r w:rsidRPr="007528A3">
        <w:rPr>
          <w:color w:val="000000"/>
          <w:sz w:val="18"/>
          <w:szCs w:val="18"/>
        </w:rPr>
        <w:t>Colour</w:t>
      </w:r>
      <w:proofErr w:type="spellEnd"/>
      <w:r w:rsidRPr="007528A3">
        <w:rPr>
          <w:color w:val="000000"/>
          <w:sz w:val="18"/>
          <w:szCs w:val="18"/>
        </w:rPr>
        <w:t xml:space="preserve"> Chart version used (if appropriate)</w:t>
      </w:r>
    </w:p>
    <w:p w:rsidR="00964081" w:rsidRPr="007528A3" w:rsidRDefault="00964081" w:rsidP="00964081">
      <w:pPr>
        <w:tabs>
          <w:tab w:val="left" w:pos="284"/>
        </w:tabs>
        <w:spacing w:line="276" w:lineRule="auto"/>
        <w:ind w:left="567" w:right="567"/>
        <w:rPr>
          <w:sz w:val="18"/>
          <w:szCs w:val="18"/>
        </w:rPr>
      </w:pPr>
      <w:r w:rsidRPr="007528A3">
        <w:rPr>
          <w:sz w:val="18"/>
          <w:szCs w:val="18"/>
        </w:rPr>
        <w:tab/>
        <w:t>(d)</w:t>
      </w:r>
      <w:r w:rsidRPr="007528A3">
        <w:rPr>
          <w:sz w:val="18"/>
          <w:szCs w:val="18"/>
        </w:rPr>
        <w:tab/>
        <w:t>Remarks”</w:t>
      </w:r>
    </w:p>
    <w:p w:rsidR="00964081" w:rsidRPr="007528A3" w:rsidRDefault="00964081" w:rsidP="00964081"/>
    <w:p w:rsidR="00964081" w:rsidRPr="007528A3" w:rsidRDefault="00964081" w:rsidP="00964081">
      <w:r w:rsidRPr="007528A3">
        <w:fldChar w:fldCharType="begin"/>
      </w:r>
      <w:r w:rsidRPr="007528A3">
        <w:instrText xml:space="preserve"> AUTONUM  </w:instrText>
      </w:r>
      <w:r w:rsidRPr="007528A3">
        <w:fldChar w:fldCharType="end"/>
      </w:r>
      <w:r w:rsidRPr="007528A3">
        <w:tab/>
        <w:t xml:space="preserve">The CAJ noted that the TC had noted the existence of different approaches for generating variety descriptions and verifying the maintenance of varieties in different UPOV members and under different DUS testing systems.  It also noted that the TC had agreed to invite experts to present to the TWPs, at their sessions in 2015, how variety descriptions were generated in DUS examination, how they </w:t>
      </w:r>
      <w:r w:rsidR="00D85669" w:rsidRPr="007528A3">
        <w:t xml:space="preserve">were </w:t>
      </w:r>
      <w:r w:rsidRPr="007528A3">
        <w:t>used after the granting of a breeders’ right and how variety maintenance was verified.  The CAJ further noted that the TC had agreed that experts should also be invited to present to the TWPs, at their sessions in 2015, the role of the plant material used as the basis for the DUS examination in relation to matters presented in document TC/51/38, paragraph 8.</w:t>
      </w:r>
    </w:p>
    <w:p w:rsidR="00964081" w:rsidRPr="007528A3" w:rsidRDefault="00964081" w:rsidP="00964081"/>
    <w:p w:rsidR="00964081" w:rsidRPr="007528A3" w:rsidRDefault="00964081" w:rsidP="00964081">
      <w:r w:rsidRPr="007528A3">
        <w:fldChar w:fldCharType="begin"/>
      </w:r>
      <w:r w:rsidRPr="007528A3">
        <w:instrText xml:space="preserve"> AUTONUM  </w:instrText>
      </w:r>
      <w:r w:rsidRPr="007528A3">
        <w:fldChar w:fldCharType="end"/>
      </w:r>
      <w:r w:rsidRPr="007528A3">
        <w:tab/>
        <w:t>The CAJ noted that the TC had agreed to include discussion on variety descriptions and the role of plant material, including minimum number of growing cycles for DUS examination, during its fifty-second session, to be held in Geneva in 2016.</w:t>
      </w:r>
    </w:p>
    <w:p w:rsidR="00DA59CF" w:rsidRPr="000B7667" w:rsidRDefault="00DA59CF" w:rsidP="00DA59CF">
      <w:pPr>
        <w:rPr>
          <w:rFonts w:cs="Arial"/>
        </w:rPr>
      </w:pPr>
    </w:p>
    <w:p w:rsidR="00DA59CF" w:rsidRPr="00A42C06" w:rsidRDefault="00DA59CF" w:rsidP="00DA59CF">
      <w:pPr>
        <w:tabs>
          <w:tab w:val="left" w:pos="5387"/>
        </w:tabs>
        <w:ind w:left="4820"/>
        <w:rPr>
          <w:i/>
        </w:rPr>
      </w:pPr>
      <w:r w:rsidRPr="00A42C06">
        <w:rPr>
          <w:i/>
        </w:rPr>
        <w:fldChar w:fldCharType="begin"/>
      </w:r>
      <w:r w:rsidRPr="00A42C06">
        <w:rPr>
          <w:i/>
        </w:rPr>
        <w:instrText xml:space="preserve"> AUTONUM  </w:instrText>
      </w:r>
      <w:r w:rsidRPr="00A42C06">
        <w:rPr>
          <w:i/>
        </w:rPr>
        <w:fldChar w:fldCharType="end"/>
      </w:r>
      <w:r w:rsidR="00024089">
        <w:rPr>
          <w:i/>
        </w:rPr>
        <w:tab/>
        <w:t>The TWA</w:t>
      </w:r>
      <w:r w:rsidRPr="00A42C06">
        <w:rPr>
          <w:i/>
        </w:rPr>
        <w:t xml:space="preserve"> is invited to consider the </w:t>
      </w:r>
      <w:r w:rsidRPr="00A42C06">
        <w:rPr>
          <w:i/>
        </w:rPr>
        <w:tab/>
        <w:t>experiences presented by experts with regard to:</w:t>
      </w:r>
    </w:p>
    <w:p w:rsidR="00DA59CF" w:rsidRPr="00A42C06" w:rsidRDefault="00DA59CF" w:rsidP="00DA59CF">
      <w:pPr>
        <w:tabs>
          <w:tab w:val="left" w:pos="5387"/>
        </w:tabs>
        <w:ind w:left="4820"/>
        <w:rPr>
          <w:i/>
        </w:rPr>
      </w:pPr>
    </w:p>
    <w:p w:rsidR="00DA59CF" w:rsidRDefault="00DA59CF" w:rsidP="00DA59CF">
      <w:pPr>
        <w:tabs>
          <w:tab w:val="left" w:pos="5387"/>
          <w:tab w:val="left" w:pos="5954"/>
        </w:tabs>
        <w:ind w:left="4820"/>
        <w:rPr>
          <w:i/>
        </w:rPr>
      </w:pPr>
      <w:r w:rsidRPr="00A42C06">
        <w:rPr>
          <w:i/>
        </w:rPr>
        <w:tab/>
        <w:t>(a)</w:t>
      </w:r>
      <w:r w:rsidRPr="00A42C06">
        <w:rPr>
          <w:i/>
        </w:rPr>
        <w:tab/>
        <w:t xml:space="preserve">how variety descriptions </w:t>
      </w:r>
      <w:r w:rsidR="00D85669">
        <w:rPr>
          <w:i/>
        </w:rPr>
        <w:t>are</w:t>
      </w:r>
      <w:r w:rsidRPr="00A42C06">
        <w:rPr>
          <w:i/>
        </w:rPr>
        <w:t xml:space="preserve"> generated in DUS examination;</w:t>
      </w:r>
    </w:p>
    <w:p w:rsidR="00DA59CF" w:rsidRPr="00A42C06" w:rsidRDefault="00DA59CF" w:rsidP="00DA59CF">
      <w:pPr>
        <w:tabs>
          <w:tab w:val="left" w:pos="5387"/>
          <w:tab w:val="left" w:pos="5954"/>
        </w:tabs>
        <w:ind w:left="4820"/>
        <w:rPr>
          <w:i/>
        </w:rPr>
      </w:pPr>
    </w:p>
    <w:p w:rsidR="00DA59CF" w:rsidRPr="00A42C06" w:rsidRDefault="00DA59CF" w:rsidP="00DA59CF">
      <w:pPr>
        <w:tabs>
          <w:tab w:val="left" w:pos="5387"/>
          <w:tab w:val="left" w:pos="5954"/>
        </w:tabs>
        <w:ind w:left="4820"/>
        <w:rPr>
          <w:i/>
        </w:rPr>
      </w:pPr>
      <w:r w:rsidRPr="00A42C06">
        <w:rPr>
          <w:i/>
        </w:rPr>
        <w:tab/>
        <w:t>(b)</w:t>
      </w:r>
      <w:r w:rsidRPr="00A42C06">
        <w:rPr>
          <w:i/>
        </w:rPr>
        <w:tab/>
        <w:t xml:space="preserve">how variety descriptions </w:t>
      </w:r>
      <w:r w:rsidR="00D85669">
        <w:rPr>
          <w:i/>
        </w:rPr>
        <w:t xml:space="preserve">are </w:t>
      </w:r>
      <w:r w:rsidRPr="00A42C06">
        <w:rPr>
          <w:i/>
        </w:rPr>
        <w:t>used after the granting of a breeders’ right;</w:t>
      </w:r>
    </w:p>
    <w:p w:rsidR="00DA59CF" w:rsidRPr="00A42C06" w:rsidRDefault="00DA59CF" w:rsidP="00DA59CF">
      <w:pPr>
        <w:tabs>
          <w:tab w:val="left" w:pos="5387"/>
          <w:tab w:val="left" w:pos="5954"/>
        </w:tabs>
        <w:ind w:left="4820"/>
        <w:rPr>
          <w:i/>
        </w:rPr>
      </w:pPr>
    </w:p>
    <w:p w:rsidR="00DA59CF" w:rsidRPr="00A42C06" w:rsidRDefault="00DA59CF" w:rsidP="00DA59CF">
      <w:pPr>
        <w:tabs>
          <w:tab w:val="left" w:pos="5387"/>
          <w:tab w:val="left" w:pos="5954"/>
        </w:tabs>
        <w:ind w:left="4820"/>
        <w:rPr>
          <w:i/>
        </w:rPr>
      </w:pPr>
      <w:r w:rsidRPr="00A42C06">
        <w:rPr>
          <w:i/>
        </w:rPr>
        <w:tab/>
        <w:t>(c)</w:t>
      </w:r>
      <w:r w:rsidRPr="00A42C06">
        <w:rPr>
          <w:i/>
        </w:rPr>
        <w:tab/>
        <w:t xml:space="preserve">how variety maintenance </w:t>
      </w:r>
      <w:r w:rsidR="00D85669">
        <w:rPr>
          <w:i/>
        </w:rPr>
        <w:t>is</w:t>
      </w:r>
      <w:r w:rsidRPr="00A42C06">
        <w:rPr>
          <w:i/>
        </w:rPr>
        <w:t xml:space="preserve"> verified; and</w:t>
      </w:r>
    </w:p>
    <w:p w:rsidR="00DA59CF" w:rsidRPr="00A42C06" w:rsidRDefault="00DA59CF" w:rsidP="00DA59CF">
      <w:pPr>
        <w:tabs>
          <w:tab w:val="left" w:pos="5387"/>
          <w:tab w:val="left" w:pos="5954"/>
        </w:tabs>
        <w:ind w:left="4820"/>
        <w:rPr>
          <w:i/>
        </w:rPr>
      </w:pPr>
    </w:p>
    <w:p w:rsidR="00DA59CF" w:rsidRDefault="00DA59CF" w:rsidP="00DA59CF">
      <w:pPr>
        <w:tabs>
          <w:tab w:val="left" w:pos="5387"/>
          <w:tab w:val="left" w:pos="5954"/>
        </w:tabs>
        <w:ind w:left="4820"/>
        <w:rPr>
          <w:rFonts w:cs="Arial"/>
          <w:i/>
        </w:rPr>
      </w:pPr>
      <w:r w:rsidRPr="00A42C06">
        <w:rPr>
          <w:i/>
        </w:rPr>
        <w:tab/>
        <w:t>(d)</w:t>
      </w:r>
      <w:r w:rsidRPr="00A42C06">
        <w:rPr>
          <w:i/>
        </w:rPr>
        <w:tab/>
      </w:r>
      <w:r w:rsidRPr="00A42C06">
        <w:rPr>
          <w:rFonts w:cs="Arial"/>
          <w:i/>
        </w:rPr>
        <w:t xml:space="preserve">the role of the plant material used as </w:t>
      </w:r>
      <w:r w:rsidR="00D85669">
        <w:rPr>
          <w:rFonts w:cs="Arial"/>
          <w:i/>
        </w:rPr>
        <w:t xml:space="preserve">the </w:t>
      </w:r>
      <w:r w:rsidRPr="00A42C06">
        <w:rPr>
          <w:rFonts w:cs="Arial"/>
          <w:i/>
        </w:rPr>
        <w:t>basis for the DUS examination in relation to:</w:t>
      </w:r>
    </w:p>
    <w:p w:rsidR="00DA59CF" w:rsidRPr="00A42C06" w:rsidRDefault="00DA59CF" w:rsidP="00DA59CF">
      <w:pPr>
        <w:tabs>
          <w:tab w:val="left" w:pos="5387"/>
          <w:tab w:val="left" w:pos="5954"/>
        </w:tabs>
        <w:ind w:left="4820"/>
        <w:rPr>
          <w:rFonts w:cs="Arial"/>
          <w:i/>
        </w:rPr>
      </w:pPr>
    </w:p>
    <w:p w:rsidR="00DA59CF" w:rsidRDefault="00DA59CF" w:rsidP="00DA59CF">
      <w:pPr>
        <w:tabs>
          <w:tab w:val="left" w:pos="5954"/>
          <w:tab w:val="left" w:pos="6237"/>
        </w:tabs>
        <w:ind w:left="4820"/>
        <w:rPr>
          <w:rFonts w:cs="Arial"/>
          <w:i/>
        </w:rPr>
      </w:pPr>
      <w:r w:rsidRPr="00A42C06">
        <w:rPr>
          <w:rFonts w:cs="Arial"/>
          <w:i/>
        </w:rPr>
        <w:tab/>
        <w:t>-</w:t>
      </w:r>
      <w:r w:rsidRPr="00A42C06">
        <w:rPr>
          <w:rFonts w:cs="Arial"/>
          <w:i/>
        </w:rPr>
        <w:tab/>
        <w:t>the verification of conformity of plant material to a protected variety;</w:t>
      </w:r>
    </w:p>
    <w:p w:rsidR="00DA59CF" w:rsidRPr="00A42C06" w:rsidRDefault="00DA59CF" w:rsidP="00DA59CF">
      <w:pPr>
        <w:tabs>
          <w:tab w:val="left" w:pos="5954"/>
          <w:tab w:val="left" w:pos="6237"/>
        </w:tabs>
        <w:ind w:left="4820"/>
        <w:rPr>
          <w:rFonts w:cs="Arial"/>
          <w:i/>
        </w:rPr>
      </w:pPr>
    </w:p>
    <w:p w:rsidR="00DA59CF" w:rsidRDefault="00DA59CF" w:rsidP="00DA59CF">
      <w:pPr>
        <w:tabs>
          <w:tab w:val="left" w:pos="5954"/>
          <w:tab w:val="left" w:pos="6237"/>
        </w:tabs>
        <w:ind w:left="4820"/>
        <w:rPr>
          <w:rFonts w:cs="Arial"/>
          <w:i/>
        </w:rPr>
      </w:pPr>
      <w:r w:rsidRPr="00A42C06">
        <w:rPr>
          <w:rFonts w:cs="Arial"/>
          <w:i/>
        </w:rPr>
        <w:tab/>
        <w:t>-</w:t>
      </w:r>
      <w:r w:rsidRPr="00A42C06">
        <w:rPr>
          <w:rFonts w:cs="Arial"/>
          <w:i/>
        </w:rPr>
        <w:tab/>
        <w:t xml:space="preserve">a modified variety description; or </w:t>
      </w:r>
    </w:p>
    <w:p w:rsidR="00DA59CF" w:rsidRPr="00A42C06" w:rsidRDefault="00DA59CF" w:rsidP="00DA59CF">
      <w:pPr>
        <w:tabs>
          <w:tab w:val="left" w:pos="5954"/>
          <w:tab w:val="left" w:pos="6237"/>
        </w:tabs>
        <w:ind w:left="4820"/>
        <w:rPr>
          <w:rFonts w:cs="Arial"/>
          <w:i/>
        </w:rPr>
      </w:pPr>
    </w:p>
    <w:p w:rsidR="00DA59CF" w:rsidRPr="00A42C06" w:rsidRDefault="00DA59CF" w:rsidP="00DA59CF">
      <w:pPr>
        <w:tabs>
          <w:tab w:val="left" w:pos="5954"/>
        </w:tabs>
        <w:ind w:left="4820"/>
        <w:rPr>
          <w:i/>
        </w:rPr>
      </w:pPr>
      <w:r w:rsidRPr="00A42C06">
        <w:rPr>
          <w:rFonts w:cs="Arial"/>
          <w:i/>
        </w:rPr>
        <w:tab/>
        <w:t>-</w:t>
      </w:r>
      <w:r w:rsidRPr="00A42C06">
        <w:rPr>
          <w:rFonts w:cs="Arial"/>
          <w:i/>
        </w:rPr>
        <w:tab/>
        <w:t>where an error is subsequently discovered in the initial variety description.</w:t>
      </w:r>
    </w:p>
    <w:p w:rsidR="00DA59CF" w:rsidRDefault="00DA59CF" w:rsidP="00DA59CF">
      <w:pPr>
        <w:tabs>
          <w:tab w:val="left" w:pos="5387"/>
        </w:tabs>
        <w:ind w:left="4820"/>
        <w:rPr>
          <w:rFonts w:eastAsia="SimSun"/>
        </w:rPr>
      </w:pPr>
    </w:p>
    <w:p w:rsidR="00DA59CF" w:rsidRPr="000B7667" w:rsidRDefault="00DA59CF" w:rsidP="00DA59CF">
      <w:pPr>
        <w:tabs>
          <w:tab w:val="left" w:pos="5387"/>
        </w:tabs>
        <w:ind w:left="4820"/>
        <w:rPr>
          <w:rFonts w:eastAsia="SimSun"/>
        </w:rPr>
      </w:pPr>
    </w:p>
    <w:p w:rsidR="00DA59CF" w:rsidRPr="000B7667" w:rsidRDefault="00DA59CF" w:rsidP="00DA59CF">
      <w:pPr>
        <w:keepNext/>
        <w:tabs>
          <w:tab w:val="left" w:pos="5245"/>
        </w:tabs>
        <w:ind w:left="4678"/>
        <w:jc w:val="right"/>
        <w:rPr>
          <w:rFonts w:eastAsia="SimSun"/>
          <w:iCs/>
        </w:rPr>
      </w:pPr>
      <w:bookmarkStart w:id="16" w:name="_GoBack"/>
      <w:bookmarkEnd w:id="16"/>
      <w:r w:rsidRPr="000B7667">
        <w:rPr>
          <w:rFonts w:eastAsia="SimSun"/>
          <w:iCs/>
        </w:rPr>
        <w:t>[Annex follows]</w:t>
      </w:r>
    </w:p>
    <w:p w:rsidR="00DA59CF" w:rsidRPr="000B7667" w:rsidRDefault="00DA59CF" w:rsidP="00DA59CF">
      <w:pPr>
        <w:keepNext/>
        <w:tabs>
          <w:tab w:val="left" w:pos="5245"/>
        </w:tabs>
        <w:ind w:left="4678"/>
        <w:rPr>
          <w:rFonts w:eastAsia="SimSun"/>
          <w:i/>
          <w:iCs/>
        </w:rPr>
        <w:sectPr w:rsidR="00DA59CF" w:rsidRPr="000B7667" w:rsidSect="004A74AB">
          <w:headerReference w:type="default" r:id="rId10"/>
          <w:pgSz w:w="11907" w:h="16840" w:code="9"/>
          <w:pgMar w:top="510" w:right="1134" w:bottom="1134" w:left="1134" w:header="510" w:footer="680" w:gutter="0"/>
          <w:pgNumType w:start="1"/>
          <w:cols w:space="720"/>
          <w:titlePg/>
        </w:sectPr>
      </w:pPr>
    </w:p>
    <w:p w:rsidR="00DA59CF" w:rsidRPr="000B7667" w:rsidRDefault="00DA59CF" w:rsidP="00DA59CF">
      <w:pPr>
        <w:jc w:val="center"/>
        <w:rPr>
          <w:caps/>
        </w:rPr>
      </w:pPr>
      <w:r w:rsidRPr="000B7667">
        <w:rPr>
          <w:caps/>
        </w:rPr>
        <w:lastRenderedPageBreak/>
        <w:t>UPOV guidance on variety description</w:t>
      </w:r>
    </w:p>
    <w:p w:rsidR="00DA59CF" w:rsidRPr="000B7667" w:rsidRDefault="00DA59CF" w:rsidP="00DA59CF"/>
    <w:p w:rsidR="00DA59CF" w:rsidRPr="000B7667" w:rsidRDefault="00DA59CF" w:rsidP="00DA59CF">
      <w:pPr>
        <w:rPr>
          <w:u w:val="single"/>
        </w:rPr>
      </w:pPr>
      <w:r w:rsidRPr="000B7667">
        <w:rPr>
          <w:u w:val="single"/>
        </w:rPr>
        <w:t>Reference to “variety description” in the UPOV Convention</w:t>
      </w:r>
    </w:p>
    <w:p w:rsidR="00DA59CF" w:rsidRPr="000B7667" w:rsidRDefault="00DA59CF" w:rsidP="00DA59CF"/>
    <w:p w:rsidR="00DA59CF" w:rsidRPr="000B7667" w:rsidRDefault="00DA59CF" w:rsidP="00DA59CF">
      <w:pPr>
        <w:rPr>
          <w:snapToGrid w:val="0"/>
          <w:sz w:val="18"/>
          <w:lang w:val="en"/>
        </w:rPr>
      </w:pPr>
      <w:r w:rsidRPr="000B7667">
        <w:rPr>
          <w:snapToGrid w:val="0"/>
          <w:lang w:val="en"/>
        </w:rPr>
        <w:t xml:space="preserve">The 1991 Act of the UPOV Convention does not make reference to “variety description”. </w:t>
      </w:r>
    </w:p>
    <w:p w:rsidR="00DA59CF" w:rsidRPr="000B7667" w:rsidRDefault="00DA59CF" w:rsidP="00DA59CF">
      <w:pPr>
        <w:rPr>
          <w:snapToGrid w:val="0"/>
          <w:lang w:val="en"/>
        </w:rPr>
      </w:pPr>
    </w:p>
    <w:p w:rsidR="00DA59CF" w:rsidRPr="000B7667" w:rsidRDefault="00DA59CF" w:rsidP="00DA59CF">
      <w:pPr>
        <w:rPr>
          <w:snapToGrid w:val="0"/>
          <w:lang w:val="en"/>
        </w:rPr>
      </w:pPr>
      <w:r w:rsidRPr="000B7667">
        <w:rPr>
          <w:snapToGrid w:val="0"/>
          <w:lang w:val="en"/>
        </w:rPr>
        <w:t xml:space="preserve">The 1978 Act of the UPOV Convention makes the following references to </w:t>
      </w:r>
      <w:r w:rsidRPr="000B7667">
        <w:rPr>
          <w:snapToGrid w:val="0"/>
        </w:rPr>
        <w:t>“</w:t>
      </w:r>
      <w:r w:rsidRPr="000B7667">
        <w:rPr>
          <w:snapToGrid w:val="0"/>
          <w:lang w:val="en"/>
        </w:rPr>
        <w:t>description”:</w:t>
      </w:r>
    </w:p>
    <w:p w:rsidR="00DA59CF" w:rsidRPr="000B7667" w:rsidRDefault="00DA59CF" w:rsidP="00DA59CF">
      <w:pPr>
        <w:ind w:firstLine="567"/>
        <w:rPr>
          <w:snapToGrid w:val="0"/>
          <w:lang w:val="en"/>
        </w:rPr>
      </w:pPr>
    </w:p>
    <w:p w:rsidR="00DA59CF" w:rsidRPr="000B7667" w:rsidRDefault="00DA59CF" w:rsidP="00DA59CF">
      <w:pPr>
        <w:ind w:left="567" w:right="567" w:firstLine="567"/>
        <w:rPr>
          <w:bCs/>
          <w:snapToGrid w:val="0"/>
          <w:sz w:val="18"/>
        </w:rPr>
      </w:pPr>
      <w:r w:rsidRPr="000B7667">
        <w:rPr>
          <w:bCs/>
          <w:snapToGrid w:val="0"/>
          <w:sz w:val="18"/>
        </w:rPr>
        <w:t>“Article 6: Conditions Required for Protection</w:t>
      </w:r>
    </w:p>
    <w:p w:rsidR="00DA59CF" w:rsidRPr="000B7667" w:rsidRDefault="00DA59CF" w:rsidP="00DA59CF">
      <w:pPr>
        <w:ind w:left="567" w:right="567" w:firstLine="567"/>
        <w:rPr>
          <w:bCs/>
          <w:snapToGrid w:val="0"/>
          <w:sz w:val="18"/>
        </w:rPr>
      </w:pPr>
    </w:p>
    <w:p w:rsidR="00DA59CF" w:rsidRPr="000B7667" w:rsidRDefault="00DA59CF" w:rsidP="00DA59CF">
      <w:pPr>
        <w:ind w:left="567" w:right="567" w:firstLine="567"/>
        <w:rPr>
          <w:snapToGrid w:val="0"/>
          <w:sz w:val="18"/>
        </w:rPr>
      </w:pPr>
      <w:r w:rsidRPr="000B7667">
        <w:rPr>
          <w:snapToGrid w:val="0"/>
          <w:sz w:val="18"/>
        </w:rPr>
        <w:t>“(1)</w:t>
      </w:r>
      <w:r w:rsidRPr="000B7667">
        <w:rPr>
          <w:snapToGrid w:val="0"/>
          <w:sz w:val="18"/>
        </w:rPr>
        <w:tab/>
        <w:t>The breeder shall benefit from the protection provided for in this Convention when the following conditions are satisfied:</w:t>
      </w:r>
    </w:p>
    <w:p w:rsidR="00DA59CF" w:rsidRPr="000B7667" w:rsidRDefault="00DA59CF" w:rsidP="00DA59CF">
      <w:pPr>
        <w:ind w:left="567" w:right="567" w:firstLine="567"/>
        <w:rPr>
          <w:snapToGrid w:val="0"/>
          <w:sz w:val="18"/>
        </w:rPr>
      </w:pPr>
    </w:p>
    <w:p w:rsidR="00DA59CF" w:rsidRPr="000B7667" w:rsidRDefault="00DA59CF" w:rsidP="00DA59CF">
      <w:pPr>
        <w:ind w:left="567" w:right="567" w:firstLine="851"/>
        <w:rPr>
          <w:snapToGrid w:val="0"/>
          <w:sz w:val="18"/>
          <w:lang w:val="en"/>
        </w:rPr>
      </w:pPr>
      <w:r w:rsidRPr="000B7667">
        <w:rPr>
          <w:iCs/>
          <w:snapToGrid w:val="0"/>
          <w:sz w:val="18"/>
        </w:rPr>
        <w:t>“(a)</w:t>
      </w:r>
      <w:r w:rsidRPr="000B7667">
        <w:rPr>
          <w:iCs/>
          <w:snapToGrid w:val="0"/>
          <w:sz w:val="18"/>
        </w:rPr>
        <w:tab/>
      </w:r>
      <w:r w:rsidRPr="000B7667">
        <w:rPr>
          <w:i/>
          <w:iCs/>
          <w:snapToGrid w:val="0"/>
          <w:sz w:val="18"/>
        </w:rPr>
        <w:tab/>
      </w:r>
      <w:r w:rsidRPr="000B7667">
        <w:rPr>
          <w:snapToGrid w:val="0"/>
          <w:sz w:val="18"/>
        </w:rPr>
        <w:t>Whatever may be the origin, artificial or natural, of the initial variation from which it has resulted, the variety must be clearly distinguishable by one or more important characteristics from any other variety whose existence is a matter of common knowledge at the time when protection is applied for. Common knowledge may be established by reference to various factors such as: cultivation or marketing already in progress, entry in an official register of varieties already made or in the course of being made, inclusion in a reference collection, or precise description in a publication. The characteristics which permit a variety to be defined and distinguished must be capable of precise recognition and description.</w:t>
      </w:r>
    </w:p>
    <w:p w:rsidR="00DA59CF" w:rsidRPr="000B7667" w:rsidRDefault="00DA59CF" w:rsidP="00DA59CF">
      <w:pPr>
        <w:ind w:left="1418" w:right="567"/>
        <w:rPr>
          <w:snapToGrid w:val="0"/>
          <w:sz w:val="18"/>
        </w:rPr>
      </w:pPr>
      <w:r w:rsidRPr="000B7667">
        <w:rPr>
          <w:snapToGrid w:val="0"/>
          <w:sz w:val="18"/>
        </w:rPr>
        <w:t>[…]</w:t>
      </w:r>
    </w:p>
    <w:p w:rsidR="00DA59CF" w:rsidRPr="000B7667" w:rsidRDefault="00DA59CF" w:rsidP="00DA59CF">
      <w:pPr>
        <w:ind w:left="567" w:right="567" w:firstLine="851"/>
        <w:rPr>
          <w:snapToGrid w:val="0"/>
          <w:sz w:val="18"/>
        </w:rPr>
      </w:pPr>
      <w:r w:rsidRPr="000B7667">
        <w:rPr>
          <w:snapToGrid w:val="0"/>
          <w:sz w:val="18"/>
        </w:rPr>
        <w:t>“(d)</w:t>
      </w:r>
      <w:r w:rsidRPr="000B7667">
        <w:rPr>
          <w:snapToGrid w:val="0"/>
          <w:sz w:val="18"/>
        </w:rPr>
        <w:tab/>
      </w:r>
      <w:r w:rsidRPr="000B7667">
        <w:rPr>
          <w:snapToGrid w:val="0"/>
          <w:sz w:val="18"/>
        </w:rPr>
        <w:tab/>
      </w:r>
      <w:r w:rsidRPr="000B7667">
        <w:rPr>
          <w:sz w:val="18"/>
        </w:rPr>
        <w:t>The variety must be stable in its essential characteristics, that is to say, it must remain true to its description after repeated reproduction or propagation or, where the breeder has defined a particular cycle of reproduction or multiplication, at the end of each cycle.”</w:t>
      </w:r>
      <w:r w:rsidRPr="000B7667">
        <w:rPr>
          <w:snapToGrid w:val="0"/>
          <w:sz w:val="18"/>
        </w:rPr>
        <w:t xml:space="preserve"> </w:t>
      </w:r>
    </w:p>
    <w:p w:rsidR="00DA59CF" w:rsidRPr="000B7667" w:rsidRDefault="00DA59CF" w:rsidP="00DA59CF">
      <w:pPr>
        <w:rPr>
          <w:snapToGrid w:val="0"/>
        </w:rPr>
      </w:pPr>
    </w:p>
    <w:p w:rsidR="00DA59CF" w:rsidRPr="000B7667" w:rsidRDefault="00DA59CF" w:rsidP="00DA59CF">
      <w:pPr>
        <w:rPr>
          <w:snapToGrid w:val="0"/>
        </w:rPr>
      </w:pPr>
    </w:p>
    <w:p w:rsidR="00DA59CF" w:rsidRPr="000B7667" w:rsidRDefault="00DA59CF" w:rsidP="00DA59CF">
      <w:pPr>
        <w:rPr>
          <w:snapToGrid w:val="0"/>
          <w:vanish/>
          <w:sz w:val="18"/>
          <w:lang w:val="en"/>
        </w:rPr>
      </w:pPr>
    </w:p>
    <w:p w:rsidR="00DA59CF" w:rsidRPr="000B7667" w:rsidRDefault="00DA59CF" w:rsidP="00DA59CF">
      <w:pPr>
        <w:rPr>
          <w:b/>
          <w:u w:val="single"/>
        </w:rPr>
      </w:pPr>
      <w:r w:rsidRPr="000B7667">
        <w:rPr>
          <w:u w:val="single"/>
        </w:rPr>
        <w:t>Document TGP/5 “Experience and Cooperation in DUS Testing”, Section 6 “UPOV Report on Technical Examination and UPOV Variety Description”</w:t>
      </w:r>
    </w:p>
    <w:p w:rsidR="00DA59CF" w:rsidRPr="000B7667" w:rsidRDefault="00DA59CF" w:rsidP="00DA59CF">
      <w:pPr>
        <w:rPr>
          <w:snapToGrid w:val="0"/>
          <w:lang w:val="en"/>
        </w:rPr>
      </w:pPr>
    </w:p>
    <w:p w:rsidR="00DA59CF" w:rsidRPr="000B7667" w:rsidRDefault="00DA59CF" w:rsidP="00DA59CF">
      <w:r w:rsidRPr="000B7667">
        <w:t xml:space="preserve">Components of a variety description are presented in the Annex “UPOV Variety Description” to document TGP/5 “Experience and Cooperation in DUS Testing”, Section 6 “UPOV Report on Technical Examination and UPOV Variety Description”, a copy of which is attached as an Annex to this document. The items forming the UPOV variety description are as follows: </w:t>
      </w:r>
    </w:p>
    <w:p w:rsidR="00DA59CF" w:rsidRPr="000B7667" w:rsidRDefault="00DA59CF" w:rsidP="00DA59CF"/>
    <w:p w:rsidR="00DA59CF" w:rsidRPr="000B7667" w:rsidRDefault="00DA59CF" w:rsidP="00DA59CF">
      <w:pPr>
        <w:spacing w:line="276" w:lineRule="auto"/>
        <w:ind w:left="567"/>
      </w:pPr>
      <w:r w:rsidRPr="000B7667">
        <w:t>1.</w:t>
      </w:r>
      <w:r w:rsidRPr="000B7667">
        <w:tab/>
        <w:t>Reference number of Reporting Authority</w:t>
      </w:r>
    </w:p>
    <w:p w:rsidR="00DA59CF" w:rsidRPr="000B7667" w:rsidRDefault="00DA59CF" w:rsidP="00DA59CF">
      <w:pPr>
        <w:spacing w:line="276" w:lineRule="auto"/>
        <w:ind w:left="567"/>
      </w:pPr>
      <w:r w:rsidRPr="000B7667">
        <w:t>2.</w:t>
      </w:r>
      <w:r w:rsidRPr="000B7667">
        <w:tab/>
        <w:t>Reference number of Requesting Authority</w:t>
      </w:r>
    </w:p>
    <w:p w:rsidR="00DA59CF" w:rsidRPr="000B7667" w:rsidRDefault="00DA59CF" w:rsidP="00DA59CF">
      <w:pPr>
        <w:spacing w:line="276" w:lineRule="auto"/>
        <w:ind w:left="567"/>
      </w:pPr>
      <w:r w:rsidRPr="000B7667">
        <w:t>3.</w:t>
      </w:r>
      <w:r w:rsidRPr="000B7667">
        <w:tab/>
        <w:t>Breeder’s reference</w:t>
      </w:r>
    </w:p>
    <w:p w:rsidR="00DA59CF" w:rsidRPr="000B7667" w:rsidRDefault="00DA59CF" w:rsidP="00DA59CF">
      <w:pPr>
        <w:spacing w:line="276" w:lineRule="auto"/>
        <w:ind w:left="567"/>
      </w:pPr>
      <w:r w:rsidRPr="000B7667">
        <w:t>4.</w:t>
      </w:r>
      <w:r w:rsidRPr="000B7667">
        <w:tab/>
        <w:t>Applicant (name and address)</w:t>
      </w:r>
    </w:p>
    <w:p w:rsidR="00DA59CF" w:rsidRPr="000B7667" w:rsidRDefault="00DA59CF" w:rsidP="00DA59CF">
      <w:pPr>
        <w:spacing w:line="276" w:lineRule="auto"/>
        <w:ind w:left="567"/>
      </w:pPr>
      <w:r w:rsidRPr="000B7667">
        <w:t>5.</w:t>
      </w:r>
      <w:r w:rsidRPr="000B7667">
        <w:tab/>
        <w:t>(a)  Botanical name of taxon</w:t>
      </w:r>
    </w:p>
    <w:p w:rsidR="00DA59CF" w:rsidRPr="000B7667" w:rsidRDefault="00DA59CF" w:rsidP="00DA59CF">
      <w:pPr>
        <w:spacing w:line="276" w:lineRule="auto"/>
        <w:ind w:left="709"/>
      </w:pPr>
      <w:r w:rsidRPr="000B7667">
        <w:tab/>
        <w:t>(b)  UPOV code</w:t>
      </w:r>
    </w:p>
    <w:p w:rsidR="00DA59CF" w:rsidRPr="000B7667" w:rsidRDefault="00DA59CF" w:rsidP="00DA59CF">
      <w:pPr>
        <w:spacing w:line="276" w:lineRule="auto"/>
        <w:ind w:left="567"/>
      </w:pPr>
      <w:r w:rsidRPr="000B7667">
        <w:t xml:space="preserve">6. </w:t>
      </w:r>
      <w:r w:rsidRPr="000B7667">
        <w:tab/>
        <w:t>Common name of taxon</w:t>
      </w:r>
    </w:p>
    <w:p w:rsidR="00DA59CF" w:rsidRPr="000B7667" w:rsidRDefault="00DA59CF" w:rsidP="00DA59CF">
      <w:pPr>
        <w:spacing w:line="276" w:lineRule="auto"/>
        <w:ind w:left="567"/>
      </w:pPr>
      <w:r w:rsidRPr="000B7667">
        <w:t>7.</w:t>
      </w:r>
      <w:r w:rsidRPr="000B7667">
        <w:tab/>
        <w:t>Variety denomination</w:t>
      </w:r>
    </w:p>
    <w:p w:rsidR="00DA59CF" w:rsidRPr="000B7667" w:rsidRDefault="00DA59CF" w:rsidP="00DA59CF">
      <w:pPr>
        <w:spacing w:line="276" w:lineRule="auto"/>
        <w:ind w:left="567"/>
      </w:pPr>
      <w:r w:rsidRPr="000B7667">
        <w:t>8.</w:t>
      </w:r>
      <w:r w:rsidRPr="000B7667">
        <w:tab/>
        <w:t>Date and document number of UPOV Test Guidelines</w:t>
      </w:r>
    </w:p>
    <w:p w:rsidR="00DA59CF" w:rsidRPr="000B7667" w:rsidRDefault="00DA59CF" w:rsidP="00DA59CF">
      <w:pPr>
        <w:spacing w:line="276" w:lineRule="auto"/>
        <w:ind w:left="567"/>
      </w:pPr>
      <w:r w:rsidRPr="000B7667">
        <w:t>9.</w:t>
      </w:r>
      <w:r w:rsidRPr="000B7667">
        <w:tab/>
        <w:t>Date and/or document number of Reporting Authority’s test guidelines</w:t>
      </w:r>
    </w:p>
    <w:p w:rsidR="00DA59CF" w:rsidRPr="000B7667" w:rsidRDefault="00DA59CF" w:rsidP="00DA59CF">
      <w:pPr>
        <w:spacing w:line="276" w:lineRule="auto"/>
        <w:ind w:left="567"/>
      </w:pPr>
      <w:r w:rsidRPr="000B7667">
        <w:t>10.</w:t>
      </w:r>
      <w:r w:rsidRPr="000B7667">
        <w:tab/>
        <w:t>Reporting Authority</w:t>
      </w:r>
    </w:p>
    <w:p w:rsidR="00DA59CF" w:rsidRPr="000B7667" w:rsidRDefault="00DA59CF" w:rsidP="00DA59CF">
      <w:pPr>
        <w:spacing w:line="276" w:lineRule="auto"/>
        <w:ind w:left="567"/>
      </w:pPr>
      <w:r w:rsidRPr="000B7667">
        <w:t>11.</w:t>
      </w:r>
      <w:r w:rsidRPr="000B7667">
        <w:tab/>
        <w:t>Testing station(s) and place(s)</w:t>
      </w:r>
    </w:p>
    <w:p w:rsidR="00DA59CF" w:rsidRPr="000B7667" w:rsidRDefault="00DA59CF" w:rsidP="00DA59CF">
      <w:pPr>
        <w:spacing w:line="276" w:lineRule="auto"/>
        <w:ind w:left="567"/>
      </w:pPr>
      <w:r w:rsidRPr="000B7667">
        <w:t>12.</w:t>
      </w:r>
      <w:r w:rsidRPr="000B7667">
        <w:tab/>
        <w:t>Period of testing</w:t>
      </w:r>
    </w:p>
    <w:p w:rsidR="00DA59CF" w:rsidRPr="000B7667" w:rsidRDefault="00DA59CF" w:rsidP="00DA59CF">
      <w:pPr>
        <w:spacing w:line="276" w:lineRule="auto"/>
        <w:ind w:left="567"/>
      </w:pPr>
      <w:r w:rsidRPr="000B7667">
        <w:t>13.</w:t>
      </w:r>
      <w:r w:rsidRPr="000B7667">
        <w:tab/>
        <w:t>Date and place of issue of document</w:t>
      </w:r>
    </w:p>
    <w:p w:rsidR="00DA59CF" w:rsidRPr="000B7667" w:rsidRDefault="00DA59CF" w:rsidP="00DA59CF">
      <w:pPr>
        <w:spacing w:line="276" w:lineRule="auto"/>
        <w:ind w:left="1134" w:hanging="567"/>
      </w:pPr>
      <w:r w:rsidRPr="000B7667">
        <w:t>14.</w:t>
      </w:r>
      <w:r w:rsidRPr="000B7667">
        <w:tab/>
        <w:t>Group:   (Table: Characteristics; States of Expression; Note; Remarks)</w:t>
      </w:r>
    </w:p>
    <w:p w:rsidR="00DA59CF" w:rsidRPr="000B7667" w:rsidRDefault="00DA59CF" w:rsidP="00DA59CF">
      <w:pPr>
        <w:spacing w:line="276" w:lineRule="auto"/>
        <w:ind w:left="1134" w:hanging="567"/>
      </w:pPr>
      <w:r w:rsidRPr="000B7667">
        <w:t>15.</w:t>
      </w:r>
      <w:r w:rsidRPr="000B7667">
        <w:tab/>
        <w:t>Characteristics Included in the UPOV Test Guidelines or Reporting Authority’s Test Guidelines (Table: Characteristics; States of Expression; Note; Remarks)</w:t>
      </w:r>
    </w:p>
    <w:p w:rsidR="00DA59CF" w:rsidRPr="000B7667" w:rsidRDefault="00DA59CF" w:rsidP="00DA59CF">
      <w:pPr>
        <w:spacing w:line="276" w:lineRule="auto"/>
        <w:ind w:left="567"/>
      </w:pPr>
      <w:r w:rsidRPr="000B7667">
        <w:t>16.</w:t>
      </w:r>
      <w:r w:rsidRPr="000B7667">
        <w:tab/>
        <w:t>Similar Varieties and Differences from These Varieties</w:t>
      </w:r>
    </w:p>
    <w:p w:rsidR="00DA59CF" w:rsidRPr="000B7667" w:rsidRDefault="00DA59CF" w:rsidP="00DA59CF">
      <w:pPr>
        <w:spacing w:line="276" w:lineRule="auto"/>
        <w:ind w:left="567"/>
      </w:pPr>
      <w:r w:rsidRPr="000B7667">
        <w:t>17.</w:t>
      </w:r>
      <w:r w:rsidRPr="000B7667">
        <w:tab/>
        <w:t>Additional Information</w:t>
      </w:r>
    </w:p>
    <w:p w:rsidR="00DA59CF" w:rsidRPr="000B7667" w:rsidRDefault="00DA59CF" w:rsidP="00DA59CF">
      <w:pPr>
        <w:spacing w:line="276" w:lineRule="auto"/>
        <w:ind w:left="567"/>
      </w:pPr>
      <w:r w:rsidRPr="000B7667">
        <w:tab/>
        <w:t>(a)</w:t>
      </w:r>
      <w:r w:rsidRPr="000B7667">
        <w:tab/>
        <w:t>Additional Data</w:t>
      </w:r>
    </w:p>
    <w:p w:rsidR="00DA59CF" w:rsidRPr="000B7667" w:rsidRDefault="00DA59CF" w:rsidP="00DA59CF">
      <w:pPr>
        <w:spacing w:line="276" w:lineRule="auto"/>
        <w:ind w:left="567"/>
        <w:rPr>
          <w:color w:val="000000"/>
        </w:rPr>
      </w:pPr>
      <w:r w:rsidRPr="000B7667">
        <w:tab/>
      </w:r>
      <w:r w:rsidRPr="000B7667">
        <w:rPr>
          <w:color w:val="000000"/>
        </w:rPr>
        <w:t>(b)</w:t>
      </w:r>
      <w:r w:rsidRPr="000B7667">
        <w:rPr>
          <w:color w:val="000000"/>
        </w:rPr>
        <w:tab/>
        <w:t>Photograph (if appropriate)</w:t>
      </w:r>
    </w:p>
    <w:p w:rsidR="00DA59CF" w:rsidRPr="000B7667" w:rsidRDefault="00DA59CF" w:rsidP="00DA59CF">
      <w:pPr>
        <w:spacing w:line="276" w:lineRule="auto"/>
        <w:ind w:left="567"/>
        <w:rPr>
          <w:color w:val="000000"/>
        </w:rPr>
      </w:pPr>
      <w:r w:rsidRPr="000B7667">
        <w:tab/>
      </w:r>
      <w:r w:rsidRPr="000B7667">
        <w:rPr>
          <w:color w:val="000000"/>
        </w:rPr>
        <w:t>(c)</w:t>
      </w:r>
      <w:r w:rsidRPr="000B7667">
        <w:rPr>
          <w:color w:val="000000"/>
        </w:rPr>
        <w:tab/>
        <w:t xml:space="preserve">RHS </w:t>
      </w:r>
      <w:proofErr w:type="spellStart"/>
      <w:r w:rsidRPr="000B7667">
        <w:rPr>
          <w:color w:val="000000"/>
        </w:rPr>
        <w:t>Colour</w:t>
      </w:r>
      <w:proofErr w:type="spellEnd"/>
      <w:r w:rsidRPr="000B7667">
        <w:rPr>
          <w:color w:val="000000"/>
        </w:rPr>
        <w:t xml:space="preserve"> Chart version used (if appropriate)</w:t>
      </w:r>
    </w:p>
    <w:p w:rsidR="00DA59CF" w:rsidRPr="000B7667" w:rsidRDefault="00DA59CF" w:rsidP="00DA59CF">
      <w:pPr>
        <w:spacing w:line="276" w:lineRule="auto"/>
        <w:ind w:left="567"/>
      </w:pPr>
      <w:r w:rsidRPr="000B7667">
        <w:tab/>
        <w:t>(d)</w:t>
      </w:r>
      <w:r w:rsidRPr="000B7667">
        <w:tab/>
        <w:t>Remarks</w:t>
      </w:r>
    </w:p>
    <w:p w:rsidR="00DA59CF" w:rsidRPr="000B7667" w:rsidRDefault="00DA59CF" w:rsidP="00DA59CF">
      <w:pPr>
        <w:rPr>
          <w:snapToGrid w:val="0"/>
          <w:vanish/>
          <w:sz w:val="18"/>
          <w:lang w:val="en"/>
        </w:rPr>
      </w:pPr>
    </w:p>
    <w:p w:rsidR="00DA59CF" w:rsidRPr="000B7667" w:rsidRDefault="00DA59CF" w:rsidP="00DA59CF">
      <w:pPr>
        <w:rPr>
          <w:snapToGrid w:val="0"/>
          <w:lang w:val="en"/>
        </w:rPr>
      </w:pPr>
      <w:r w:rsidRPr="000B7667">
        <w:rPr>
          <w:snapToGrid w:val="0"/>
          <w:lang w:val="en"/>
        </w:rPr>
        <w:t>The “UPOV Variety Description” clarifies that the description is not composed of a description of the characteristics (item 15) in isolation. In particular, the key elements of a variety description at the time of grant of the breeder’s right might be summarized as follows:</w:t>
      </w:r>
    </w:p>
    <w:p w:rsidR="00DA59CF" w:rsidRPr="000B7667" w:rsidRDefault="00DA59CF" w:rsidP="00DA59CF">
      <w:pPr>
        <w:rPr>
          <w:snapToGrid w:val="0"/>
          <w:lang w:val="en"/>
        </w:rPr>
      </w:pPr>
    </w:p>
    <w:p w:rsidR="00DA59CF" w:rsidRPr="000B7667" w:rsidRDefault="00DA59CF" w:rsidP="00DA59CF">
      <w:pPr>
        <w:numPr>
          <w:ilvl w:val="0"/>
          <w:numId w:val="11"/>
        </w:numPr>
        <w:ind w:left="993" w:hanging="426"/>
        <w:contextualSpacing/>
        <w:rPr>
          <w:snapToGrid w:val="0"/>
          <w:lang w:val="en"/>
        </w:rPr>
      </w:pPr>
      <w:r w:rsidRPr="000B7667">
        <w:rPr>
          <w:snapToGrid w:val="0"/>
          <w:lang w:val="en"/>
        </w:rPr>
        <w:t>characteristics of the variety (Item 15); and</w:t>
      </w:r>
    </w:p>
    <w:p w:rsidR="00DA59CF" w:rsidRPr="000B7667" w:rsidRDefault="00DA59CF" w:rsidP="00DA59CF">
      <w:pPr>
        <w:numPr>
          <w:ilvl w:val="0"/>
          <w:numId w:val="11"/>
        </w:numPr>
        <w:ind w:left="993" w:hanging="426"/>
        <w:contextualSpacing/>
        <w:rPr>
          <w:snapToGrid w:val="0"/>
          <w:lang w:val="en"/>
        </w:rPr>
      </w:pPr>
      <w:r w:rsidRPr="000B7667">
        <w:rPr>
          <w:snapToGrid w:val="0"/>
          <w:lang w:val="en"/>
        </w:rPr>
        <w:t xml:space="preserve">similar varieties and differences from these varieties (Item 16); </w:t>
      </w:r>
    </w:p>
    <w:p w:rsidR="00DA59CF" w:rsidRPr="000B7667" w:rsidRDefault="00DA59CF" w:rsidP="00DA59CF">
      <w:pPr>
        <w:ind w:left="993" w:hanging="426"/>
        <w:rPr>
          <w:snapToGrid w:val="0"/>
          <w:lang w:val="en"/>
        </w:rPr>
      </w:pPr>
      <w:r w:rsidRPr="000B7667">
        <w:rPr>
          <w:snapToGrid w:val="0"/>
          <w:lang w:val="en"/>
        </w:rPr>
        <w:t>combined with</w:t>
      </w:r>
    </w:p>
    <w:p w:rsidR="00DA59CF" w:rsidRPr="000B7667" w:rsidRDefault="00DA59CF" w:rsidP="00DA59CF">
      <w:pPr>
        <w:numPr>
          <w:ilvl w:val="0"/>
          <w:numId w:val="11"/>
        </w:numPr>
        <w:ind w:left="993" w:hanging="426"/>
        <w:contextualSpacing/>
        <w:rPr>
          <w:snapToGrid w:val="0"/>
          <w:lang w:val="en"/>
        </w:rPr>
      </w:pPr>
      <w:r w:rsidRPr="000B7667">
        <w:rPr>
          <w:snapToGrid w:val="0"/>
          <w:lang w:val="en"/>
        </w:rPr>
        <w:t>the information on the basis for (a) and (b), namely:</w:t>
      </w:r>
    </w:p>
    <w:p w:rsidR="00DA59CF" w:rsidRPr="000B7667" w:rsidRDefault="00DA59CF" w:rsidP="00DA59CF">
      <w:pPr>
        <w:numPr>
          <w:ilvl w:val="2"/>
          <w:numId w:val="12"/>
        </w:numPr>
        <w:tabs>
          <w:tab w:val="left" w:pos="567"/>
          <w:tab w:val="left" w:pos="1560"/>
        </w:tabs>
        <w:spacing w:line="276" w:lineRule="auto"/>
        <w:ind w:left="1701" w:hanging="567"/>
        <w:contextualSpacing/>
      </w:pPr>
      <w:r w:rsidRPr="000B7667">
        <w:t xml:space="preserve">Date and document number of UPOV Test Guidelines </w:t>
      </w:r>
      <w:r w:rsidRPr="000B7667">
        <w:rPr>
          <w:snapToGrid w:val="0"/>
          <w:lang w:val="en"/>
        </w:rPr>
        <w:t>(Item 8);</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Date and/or document number of Reporting Authority’s test guidelines </w:t>
      </w:r>
      <w:r w:rsidRPr="000B7667">
        <w:rPr>
          <w:snapToGrid w:val="0"/>
          <w:lang w:val="en"/>
        </w:rPr>
        <w:t>(Item 9);</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Reporting Authority </w:t>
      </w:r>
      <w:r w:rsidRPr="000B7667">
        <w:rPr>
          <w:snapToGrid w:val="0"/>
          <w:lang w:val="en"/>
        </w:rPr>
        <w:t>(Item 10);</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Testing station(s) and place(s) </w:t>
      </w:r>
      <w:r w:rsidRPr="000B7667">
        <w:rPr>
          <w:snapToGrid w:val="0"/>
          <w:lang w:val="en"/>
        </w:rPr>
        <w:t>(Item 11);</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Period of testing </w:t>
      </w:r>
      <w:r w:rsidRPr="000B7667">
        <w:rPr>
          <w:snapToGrid w:val="0"/>
          <w:lang w:val="en"/>
        </w:rPr>
        <w:t>(Item 12);</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Date and place of issue of document </w:t>
      </w:r>
      <w:r w:rsidRPr="000B7667">
        <w:rPr>
          <w:snapToGrid w:val="0"/>
          <w:lang w:val="en"/>
        </w:rPr>
        <w:t>(Item 13);</w:t>
      </w:r>
    </w:p>
    <w:p w:rsidR="00DA59CF" w:rsidRPr="000B7667" w:rsidRDefault="00DA59CF" w:rsidP="00DA59CF">
      <w:pPr>
        <w:numPr>
          <w:ilvl w:val="2"/>
          <w:numId w:val="12"/>
        </w:numPr>
        <w:tabs>
          <w:tab w:val="left" w:pos="1276"/>
          <w:tab w:val="left" w:pos="1560"/>
        </w:tabs>
        <w:spacing w:line="276" w:lineRule="auto"/>
        <w:ind w:left="1560" w:hanging="426"/>
        <w:contextualSpacing/>
      </w:pPr>
      <w:r w:rsidRPr="000B7667">
        <w:t xml:space="preserve">     Group: (Table: Characteristics; States of Expression; Note; Remarks) </w:t>
      </w:r>
      <w:r w:rsidRPr="000B7667">
        <w:rPr>
          <w:snapToGrid w:val="0"/>
          <w:lang w:val="en"/>
        </w:rPr>
        <w:t>(Item 14);</w:t>
      </w:r>
    </w:p>
    <w:p w:rsidR="00DA59CF" w:rsidRPr="000B7667" w:rsidRDefault="00DA59CF" w:rsidP="00DA59CF">
      <w:pPr>
        <w:numPr>
          <w:ilvl w:val="2"/>
          <w:numId w:val="12"/>
        </w:numPr>
        <w:tabs>
          <w:tab w:val="left" w:pos="1560"/>
        </w:tabs>
        <w:spacing w:line="276" w:lineRule="auto"/>
        <w:ind w:left="1701" w:hanging="567"/>
        <w:contextualSpacing/>
      </w:pPr>
      <w:r w:rsidRPr="000B7667">
        <w:t xml:space="preserve">Additional Information </w:t>
      </w:r>
      <w:r w:rsidRPr="000B7667">
        <w:rPr>
          <w:snapToGrid w:val="0"/>
          <w:lang w:val="en"/>
        </w:rPr>
        <w:t>(Item 17);</w:t>
      </w:r>
    </w:p>
    <w:p w:rsidR="00DA59CF" w:rsidRPr="000B7667" w:rsidRDefault="00DA59CF" w:rsidP="00DA59CF">
      <w:pPr>
        <w:spacing w:line="276" w:lineRule="auto"/>
        <w:ind w:left="1134"/>
      </w:pPr>
      <w:r w:rsidRPr="000B7667">
        <w:tab/>
        <w:t>(a)</w:t>
      </w:r>
      <w:r w:rsidRPr="000B7667">
        <w:tab/>
        <w:t>Additional Data</w:t>
      </w:r>
    </w:p>
    <w:p w:rsidR="00DA59CF" w:rsidRPr="000B7667" w:rsidRDefault="00DA59CF" w:rsidP="00DA59CF">
      <w:pPr>
        <w:spacing w:line="276" w:lineRule="auto"/>
        <w:ind w:left="1134"/>
        <w:rPr>
          <w:color w:val="000000"/>
        </w:rPr>
      </w:pPr>
      <w:r w:rsidRPr="000B7667">
        <w:tab/>
      </w:r>
      <w:r w:rsidRPr="000B7667">
        <w:rPr>
          <w:color w:val="000000"/>
        </w:rPr>
        <w:t>(b)</w:t>
      </w:r>
      <w:r w:rsidRPr="000B7667">
        <w:rPr>
          <w:color w:val="000000"/>
        </w:rPr>
        <w:tab/>
        <w:t>Photograph (if appropriate)</w:t>
      </w:r>
    </w:p>
    <w:p w:rsidR="00DA59CF" w:rsidRPr="000B7667" w:rsidRDefault="00DA59CF" w:rsidP="00DA59CF">
      <w:pPr>
        <w:spacing w:line="276" w:lineRule="auto"/>
        <w:ind w:left="1134"/>
        <w:rPr>
          <w:color w:val="000000"/>
        </w:rPr>
      </w:pPr>
      <w:r w:rsidRPr="000B7667">
        <w:tab/>
      </w:r>
      <w:r w:rsidRPr="000B7667">
        <w:rPr>
          <w:color w:val="000000"/>
        </w:rPr>
        <w:t>(c)</w:t>
      </w:r>
      <w:r w:rsidRPr="000B7667">
        <w:rPr>
          <w:color w:val="000000"/>
        </w:rPr>
        <w:tab/>
        <w:t xml:space="preserve">RHS </w:t>
      </w:r>
      <w:proofErr w:type="spellStart"/>
      <w:r w:rsidRPr="000B7667">
        <w:rPr>
          <w:color w:val="000000"/>
        </w:rPr>
        <w:t>Colour</w:t>
      </w:r>
      <w:proofErr w:type="spellEnd"/>
      <w:r w:rsidRPr="000B7667">
        <w:rPr>
          <w:color w:val="000000"/>
        </w:rPr>
        <w:t xml:space="preserve"> Chart version used (if appropriate)</w:t>
      </w:r>
    </w:p>
    <w:p w:rsidR="00DA59CF" w:rsidRPr="000B7667" w:rsidRDefault="00DA59CF" w:rsidP="00DA59CF">
      <w:pPr>
        <w:tabs>
          <w:tab w:val="left" w:pos="284"/>
        </w:tabs>
        <w:spacing w:line="276" w:lineRule="auto"/>
        <w:ind w:left="1134"/>
      </w:pPr>
      <w:r w:rsidRPr="000B7667">
        <w:tab/>
        <w:t>(d)</w:t>
      </w:r>
      <w:r w:rsidRPr="000B7667">
        <w:tab/>
        <w:t>Remarks</w:t>
      </w:r>
    </w:p>
    <w:p w:rsidR="00DA59CF" w:rsidRPr="000B7667" w:rsidRDefault="00DA59CF" w:rsidP="00DA59CF">
      <w:pPr>
        <w:rPr>
          <w:snapToGrid w:val="0"/>
          <w:vanish/>
          <w:sz w:val="18"/>
          <w:lang w:val="en"/>
        </w:rPr>
      </w:pPr>
    </w:p>
    <w:p w:rsidR="00DA59CF" w:rsidRPr="000B7667" w:rsidRDefault="00DA59CF" w:rsidP="00DA59CF">
      <w:pPr>
        <w:rPr>
          <w:snapToGrid w:val="0"/>
          <w:lang w:val="en"/>
        </w:rPr>
      </w:pPr>
      <w:r w:rsidRPr="000B7667">
        <w:rPr>
          <w:snapToGrid w:val="0"/>
          <w:lang w:val="en"/>
        </w:rPr>
        <w:t xml:space="preserve">The characteristics </w:t>
      </w:r>
      <w:r w:rsidRPr="000B7667">
        <w:t xml:space="preserve">used in the growing trial for establishing distinctness and the differences in state of expression between </w:t>
      </w:r>
      <w:r w:rsidRPr="000B7667">
        <w:rPr>
          <w:snapToGrid w:val="0"/>
          <w:lang w:val="en"/>
        </w:rPr>
        <w:t>candidate and the most similar variety(</w:t>
      </w:r>
      <w:proofErr w:type="spellStart"/>
      <w:r w:rsidRPr="000B7667">
        <w:rPr>
          <w:snapToGrid w:val="0"/>
          <w:lang w:val="en"/>
        </w:rPr>
        <w:t>ies</w:t>
      </w:r>
      <w:proofErr w:type="spellEnd"/>
      <w:r w:rsidRPr="000B7667">
        <w:rPr>
          <w:snapToGrid w:val="0"/>
          <w:lang w:val="en"/>
        </w:rPr>
        <w:t xml:space="preserve">) </w:t>
      </w:r>
      <w:r w:rsidRPr="000B7667">
        <w:t>should be provided in the variety description, as detailed in the addendum to item 16 “Similar Varieties and Differences from These Varieties”</w:t>
      </w:r>
      <w:r w:rsidRPr="000B7667">
        <w:rPr>
          <w:snapToGrid w:val="0"/>
          <w:lang w:val="en"/>
        </w:rPr>
        <w:t xml:space="preserve"> as follows:</w:t>
      </w:r>
    </w:p>
    <w:p w:rsidR="00DA59CF" w:rsidRPr="000B7667" w:rsidRDefault="00DA59CF" w:rsidP="00DA59CF">
      <w:pPr>
        <w:rPr>
          <w:snapToGrid w:val="0"/>
          <w:lang w:val="en"/>
        </w:rPr>
      </w:pPr>
    </w:p>
    <w:p w:rsidR="00DA59CF" w:rsidRPr="000B7667" w:rsidRDefault="00DA59CF" w:rsidP="00DA59CF">
      <w:pPr>
        <w:rPr>
          <w:snapToGrid w:val="0"/>
          <w:vanish/>
          <w:sz w:val="18"/>
          <w:lang w:val="en"/>
        </w:rPr>
      </w:pPr>
    </w:p>
    <w:p w:rsidR="00DA59CF" w:rsidRPr="000B7667" w:rsidRDefault="00DA59CF" w:rsidP="00DA59CF">
      <w:pPr>
        <w:ind w:left="567" w:right="567"/>
        <w:rPr>
          <w:sz w:val="18"/>
        </w:rPr>
      </w:pPr>
      <w:r w:rsidRPr="000B7667">
        <w:rPr>
          <w:sz w:val="18"/>
        </w:rPr>
        <w:t>“18.</w:t>
      </w:r>
      <w:r w:rsidRPr="000B7667">
        <w:rPr>
          <w:sz w:val="18"/>
        </w:rPr>
        <w:tab/>
      </w:r>
      <w:r w:rsidRPr="000B7667">
        <w:rPr>
          <w:sz w:val="18"/>
          <w:u w:val="single"/>
        </w:rPr>
        <w:t>Explanatory Notes to the Annex: UPOV VARIETY DESCRIPTION</w:t>
      </w:r>
    </w:p>
    <w:p w:rsidR="00DA59CF" w:rsidRPr="000B7667" w:rsidRDefault="00DA59CF" w:rsidP="00DA59CF">
      <w:pPr>
        <w:ind w:left="567" w:right="567" w:firstLine="567"/>
        <w:rPr>
          <w:sz w:val="18"/>
        </w:rPr>
      </w:pPr>
      <w:r w:rsidRPr="000B7667">
        <w:rPr>
          <w:sz w:val="18"/>
        </w:rPr>
        <w:t>[…]</w:t>
      </w:r>
    </w:p>
    <w:p w:rsidR="00DA59CF" w:rsidRPr="000B7667" w:rsidRDefault="00DA59CF" w:rsidP="00DA59CF">
      <w:pPr>
        <w:ind w:left="567" w:right="567"/>
        <w:rPr>
          <w:sz w:val="18"/>
        </w:rPr>
      </w:pPr>
      <w:r w:rsidRPr="000B7667">
        <w:rPr>
          <w:sz w:val="18"/>
        </w:rPr>
        <w:tab/>
        <w:t>“(d)</w:t>
      </w:r>
      <w:r w:rsidRPr="000B7667">
        <w:rPr>
          <w:sz w:val="18"/>
        </w:rPr>
        <w:tab/>
      </w:r>
      <w:r w:rsidRPr="000B7667">
        <w:rPr>
          <w:sz w:val="18"/>
          <w:u w:val="single"/>
        </w:rPr>
        <w:t>Ad Number 16 (Annex: UPOV Variety Description)</w:t>
      </w:r>
    </w:p>
    <w:p w:rsidR="00DA59CF" w:rsidRPr="000B7667" w:rsidRDefault="00DA59CF" w:rsidP="00DA59CF">
      <w:pPr>
        <w:ind w:left="567" w:right="567"/>
        <w:rPr>
          <w:sz w:val="18"/>
        </w:rPr>
      </w:pPr>
    </w:p>
    <w:p w:rsidR="00DA59CF" w:rsidRPr="000B7667" w:rsidRDefault="00DA59CF" w:rsidP="00DA59CF">
      <w:pPr>
        <w:ind w:left="567" w:right="567" w:hanging="567"/>
        <w:rPr>
          <w:sz w:val="18"/>
        </w:rPr>
      </w:pPr>
      <w:r w:rsidRPr="000B7667">
        <w:rPr>
          <w:sz w:val="18"/>
        </w:rPr>
        <w:tab/>
      </w:r>
      <w:r w:rsidRPr="000B7667">
        <w:rPr>
          <w:sz w:val="18"/>
        </w:rPr>
        <w:tab/>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p>
    <w:p w:rsidR="00DA59CF" w:rsidRPr="000B7667" w:rsidRDefault="00DA59CF" w:rsidP="00DA59CF"/>
    <w:p w:rsidR="00DA59CF" w:rsidRPr="000B7667" w:rsidRDefault="00DA59CF" w:rsidP="00DA59CF"/>
    <w:p w:rsidR="00DA59CF" w:rsidRPr="000B7667" w:rsidRDefault="00DA59CF" w:rsidP="00DA59CF">
      <w:pPr>
        <w:rPr>
          <w:u w:val="single"/>
        </w:rPr>
      </w:pPr>
      <w:bookmarkStart w:id="17" w:name="_6_1_b"/>
      <w:bookmarkEnd w:id="17"/>
      <w:r w:rsidRPr="000B7667">
        <w:rPr>
          <w:u w:val="single"/>
        </w:rPr>
        <w:t>Reference to variety description in other UPOV documents</w:t>
      </w:r>
    </w:p>
    <w:p w:rsidR="00DA59CF" w:rsidRPr="000B7667" w:rsidRDefault="00DA59CF" w:rsidP="00DA59CF">
      <w:pPr>
        <w:rPr>
          <w:snapToGrid w:val="0"/>
        </w:rPr>
      </w:pPr>
    </w:p>
    <w:p w:rsidR="00DA59CF" w:rsidRPr="000B7667" w:rsidRDefault="00DA59CF" w:rsidP="00DA59CF">
      <w:pPr>
        <w:rPr>
          <w:snapToGrid w:val="0"/>
        </w:rPr>
      </w:pPr>
      <w:r w:rsidRPr="000B7667">
        <w:rPr>
          <w:snapToGrid w:val="0"/>
        </w:rPr>
        <w:t>Document TG/1/3 “General introduction to the examination of distinctness, uniformity and stability and the development of harmonized descriptions of new varieties of plants” and associated TGP documents make several mentions to variety descriptions with respect to the DUS examination. However, the purpose and status of the variety description generated at the time of the grant of the breeder’s right are not discussed.</w:t>
      </w:r>
    </w:p>
    <w:p w:rsidR="00DA59CF" w:rsidRPr="000B7667" w:rsidRDefault="00DA59CF" w:rsidP="00DA59CF">
      <w:pPr>
        <w:rPr>
          <w:snapToGrid w:val="0"/>
        </w:rPr>
      </w:pPr>
    </w:p>
    <w:p w:rsidR="00DA59CF" w:rsidRPr="000B7667" w:rsidRDefault="00DA59CF" w:rsidP="00DA59CF">
      <w:pPr>
        <w:rPr>
          <w:snapToGrid w:val="0"/>
        </w:rPr>
      </w:pPr>
    </w:p>
    <w:p w:rsidR="00DA59CF" w:rsidRPr="000B7667" w:rsidRDefault="00DA59CF" w:rsidP="00DA59CF">
      <w:pPr>
        <w:rPr>
          <w:snapToGrid w:val="0"/>
        </w:rPr>
      </w:pPr>
    </w:p>
    <w:p w:rsidR="00DF474C" w:rsidRDefault="00DA59CF" w:rsidP="007D5126">
      <w:pPr>
        <w:jc w:val="right"/>
        <w:rPr>
          <w:snapToGrid w:val="0"/>
        </w:rPr>
      </w:pPr>
      <w:r w:rsidRPr="000B7667">
        <w:rPr>
          <w:snapToGrid w:val="0"/>
        </w:rPr>
        <w:t>[End of Annex and of document]</w:t>
      </w:r>
    </w:p>
    <w:sectPr w:rsidR="00DF474C" w:rsidSect="00DA59CF">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C9" w:rsidRDefault="000656C9" w:rsidP="006655D3">
      <w:r>
        <w:separator/>
      </w:r>
    </w:p>
    <w:p w:rsidR="000656C9" w:rsidRDefault="000656C9" w:rsidP="006655D3"/>
    <w:p w:rsidR="000656C9" w:rsidRDefault="000656C9" w:rsidP="006655D3"/>
  </w:endnote>
  <w:endnote w:type="continuationSeparator" w:id="0">
    <w:p w:rsidR="000656C9" w:rsidRDefault="000656C9" w:rsidP="006655D3">
      <w:r>
        <w:separator/>
      </w:r>
    </w:p>
    <w:p w:rsidR="000656C9" w:rsidRPr="00CC5597" w:rsidRDefault="000656C9">
      <w:pPr>
        <w:pStyle w:val="Footer"/>
        <w:spacing w:after="60"/>
        <w:rPr>
          <w:sz w:val="18"/>
          <w:lang w:val="fr-CH"/>
        </w:rPr>
      </w:pPr>
      <w:r w:rsidRPr="00CC5597">
        <w:rPr>
          <w:sz w:val="18"/>
          <w:lang w:val="fr-CH"/>
        </w:rPr>
        <w:t>[Suite de la note de la page précédente]</w:t>
      </w:r>
    </w:p>
    <w:p w:rsidR="000656C9" w:rsidRPr="00CC5597" w:rsidRDefault="000656C9" w:rsidP="006655D3">
      <w:pPr>
        <w:rPr>
          <w:lang w:val="fr-CH"/>
        </w:rPr>
      </w:pPr>
    </w:p>
    <w:p w:rsidR="000656C9" w:rsidRPr="00CC5597" w:rsidRDefault="000656C9" w:rsidP="006655D3">
      <w:pPr>
        <w:rPr>
          <w:lang w:val="fr-CH"/>
        </w:rPr>
      </w:pPr>
    </w:p>
  </w:endnote>
  <w:endnote w:type="continuationNotice" w:id="1">
    <w:p w:rsidR="000656C9" w:rsidRPr="00CC5597" w:rsidRDefault="000656C9" w:rsidP="006655D3">
      <w:pPr>
        <w:rPr>
          <w:lang w:val="fr-CH"/>
        </w:rPr>
      </w:pPr>
      <w:r w:rsidRPr="00CC5597">
        <w:rPr>
          <w:lang w:val="fr-CH"/>
        </w:rPr>
        <w:t>[Suite de la note page suivante]</w:t>
      </w:r>
    </w:p>
    <w:p w:rsidR="000656C9" w:rsidRPr="00CC5597" w:rsidRDefault="000656C9" w:rsidP="006655D3">
      <w:pPr>
        <w:rPr>
          <w:lang w:val="fr-CH"/>
        </w:rPr>
      </w:pPr>
    </w:p>
    <w:p w:rsidR="000656C9" w:rsidRPr="00CC5597" w:rsidRDefault="000656C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C9" w:rsidRDefault="000656C9" w:rsidP="006655D3">
      <w:r>
        <w:separator/>
      </w:r>
    </w:p>
  </w:footnote>
  <w:footnote w:type="continuationSeparator" w:id="0">
    <w:p w:rsidR="000656C9" w:rsidRDefault="000656C9" w:rsidP="006655D3">
      <w:r>
        <w:separator/>
      </w:r>
    </w:p>
  </w:footnote>
  <w:footnote w:type="continuationNotice" w:id="1">
    <w:p w:rsidR="000656C9" w:rsidRPr="00AB530F" w:rsidRDefault="000656C9" w:rsidP="00AB530F">
      <w:pPr>
        <w:pStyle w:val="Footer"/>
      </w:pPr>
    </w:p>
  </w:footnote>
  <w:footnote w:id="2">
    <w:p w:rsidR="00DA59CF" w:rsidRDefault="00DA59CF" w:rsidP="00DA59CF">
      <w:pPr>
        <w:pStyle w:val="FootnoteText"/>
      </w:pPr>
      <w:r>
        <w:rPr>
          <w:rStyle w:val="FootnoteReference"/>
        </w:rPr>
        <w:footnoteRef/>
      </w:r>
      <w:r>
        <w:t xml:space="preserve"> “</w:t>
      </w:r>
      <w:r w:rsidRPr="00E02B31">
        <w:t>(a)</w:t>
      </w:r>
      <w:r w:rsidRPr="00E02B31">
        <w:tab/>
        <w:t>the purpose(s) of the variety description developed at the time of grant of the right (original variety description),</w:t>
      </w:r>
      <w:r>
        <w:t>”</w:t>
      </w:r>
    </w:p>
  </w:footnote>
  <w:footnote w:id="3">
    <w:p w:rsidR="00DA59CF" w:rsidRPr="0097065B" w:rsidRDefault="00DA59CF" w:rsidP="00DA59CF">
      <w:pPr>
        <w:pStyle w:val="FootnoteText"/>
      </w:pPr>
      <w:r w:rsidRPr="0097065B">
        <w:rPr>
          <w:rStyle w:val="FootnoteReference"/>
        </w:rPr>
        <w:footnoteRef/>
      </w:r>
      <w:r>
        <w:tab/>
      </w:r>
      <w:r w:rsidRPr="0097065B">
        <w:t>“[I]f a characteristic is important for the international harmonization of variety descriptions (asterisked characteristics) and is influenced by the environment (most quantitative and pseudo</w:t>
      </w:r>
      <w:r w:rsidRPr="0097065B">
        <w:noBreakHyphen/>
        <w:t xml:space="preserve">qualitative </w:t>
      </w:r>
      <w:r w:rsidRPr="0097065B">
        <w:rPr>
          <w:lang w:val="en-GB"/>
        </w:rPr>
        <w:t>characteristics</w:t>
      </w:r>
      <w:r w:rsidRPr="0097065B">
        <w:t xml:space="preserve">) […..] </w:t>
      </w:r>
      <w:proofErr w:type="gramStart"/>
      <w:r w:rsidRPr="0097065B">
        <w:t>it</w:t>
      </w:r>
      <w:proofErr w:type="gramEnd"/>
      <w:r w:rsidRPr="0097065B">
        <w:t xml:space="preserve"> is necessary to provide example varieties” in the Test Guidelines (see document TGP/7, Annex 3, Guidance Note GN 28 “Example varieties”, </w:t>
      </w:r>
      <w:r w:rsidRPr="00D540CC">
        <w:t>section 1.3 (iii)).</w:t>
      </w:r>
    </w:p>
    <w:p w:rsidR="00DA59CF" w:rsidRPr="0097065B" w:rsidRDefault="00DA59CF" w:rsidP="00DA59CF">
      <w:pPr>
        <w:pStyle w:val="FootnoteText"/>
      </w:pPr>
      <w:r>
        <w:tab/>
      </w:r>
      <w:r w:rsidRPr="0097065B">
        <w:t>“1.2.3</w:t>
      </w:r>
      <w:r w:rsidRPr="0097065B">
        <w:tab/>
        <w:t xml:space="preserve">Example varieties are important to adjust the description of the </w:t>
      </w:r>
      <w:r w:rsidRPr="0097065B">
        <w:rPr>
          <w:snapToGrid w:val="0"/>
        </w:rPr>
        <w:t xml:space="preserve">characteristics </w:t>
      </w:r>
      <w:r w:rsidRPr="0097065B">
        <w:t>for the year and location effects, as far as possible</w:t>
      </w:r>
      <w:r>
        <w:t xml:space="preserve">.  </w:t>
      </w:r>
      <w:r w:rsidRPr="0097065B">
        <w:t>[…] ” (see document TGP/7, Annex 3, Guidance Note GN 28 “Example varieties”, section 1.2.3)</w:t>
      </w:r>
    </w:p>
  </w:footnote>
  <w:footnote w:id="4">
    <w:p w:rsidR="00964081" w:rsidRPr="00E831EC" w:rsidRDefault="00964081" w:rsidP="00964081">
      <w:pPr>
        <w:pStyle w:val="FootnoteText"/>
      </w:pPr>
      <w:r>
        <w:rPr>
          <w:rStyle w:val="FootnoteReference"/>
        </w:rPr>
        <w:footnoteRef/>
      </w:r>
      <w:r>
        <w:tab/>
      </w:r>
      <w:r w:rsidRPr="00E831EC">
        <w:t>See document CAJ-AG/14/9/6 “Report on the Conclusions”, paragraph 21.</w:t>
      </w:r>
    </w:p>
  </w:footnote>
  <w:footnote w:id="5">
    <w:p w:rsidR="00964081" w:rsidRDefault="00964081" w:rsidP="00964081">
      <w:pPr>
        <w:pStyle w:val="FootnoteText"/>
      </w:pPr>
      <w:r w:rsidRPr="00E831EC">
        <w:rPr>
          <w:rStyle w:val="FootnoteReference"/>
        </w:rPr>
        <w:footnoteRef/>
      </w:r>
      <w:r w:rsidRPr="00E831EC">
        <w:t xml:space="preserve"> </w:t>
      </w:r>
      <w:r>
        <w:tab/>
      </w:r>
      <w:r w:rsidRPr="00E831EC">
        <w:t>See document CAJ-AG/14/9/6 “Report on the Conclusions”, paragraph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CF" w:rsidRDefault="00BE540F" w:rsidP="00CC68E3">
    <w:pPr>
      <w:pStyle w:val="Header"/>
    </w:pPr>
    <w:r>
      <w:t>TWA/44</w:t>
    </w:r>
    <w:r w:rsidR="00DA59CF">
      <w:t>/10</w:t>
    </w:r>
  </w:p>
  <w:p w:rsidR="00DA59CF" w:rsidRPr="00932E80" w:rsidRDefault="00DA59CF" w:rsidP="00CC68E3">
    <w:pPr>
      <w:pStyle w:val="Header"/>
    </w:pPr>
    <w:proofErr w:type="gramStart"/>
    <w:r w:rsidRPr="00932E80">
      <w:t>page</w:t>
    </w:r>
    <w:proofErr w:type="gramEnd"/>
    <w:r w:rsidRPr="00932E80">
      <w:t xml:space="preserve"> </w:t>
    </w:r>
    <w:r w:rsidRPr="00932E80">
      <w:rPr>
        <w:rStyle w:val="PageNumber"/>
      </w:rPr>
      <w:fldChar w:fldCharType="begin"/>
    </w:r>
    <w:r w:rsidRPr="00932E80">
      <w:rPr>
        <w:rStyle w:val="PageNumber"/>
      </w:rPr>
      <w:instrText xml:space="preserve"> PAGE </w:instrText>
    </w:r>
    <w:r w:rsidRPr="00932E80">
      <w:rPr>
        <w:rStyle w:val="PageNumber"/>
      </w:rPr>
      <w:fldChar w:fldCharType="separate"/>
    </w:r>
    <w:r w:rsidR="007D3459">
      <w:rPr>
        <w:rStyle w:val="PageNumber"/>
        <w:noProof/>
      </w:rPr>
      <w:t>6</w:t>
    </w:r>
    <w:r w:rsidRPr="00932E80">
      <w:rPr>
        <w:rStyle w:val="PageNumber"/>
      </w:rPr>
      <w:fldChar w:fldCharType="end"/>
    </w:r>
  </w:p>
  <w:p w:rsidR="00DA59CF" w:rsidRPr="00932E80" w:rsidRDefault="00DA59CF"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BE540F">
      <w:t>A</w:t>
    </w:r>
    <w:r w:rsidR="00FD51B6">
      <w:t>/4</w:t>
    </w:r>
    <w:r w:rsidR="00BE540F">
      <w:t>4</w:t>
    </w:r>
    <w:r w:rsidR="006C7423">
      <w:t>/</w:t>
    </w:r>
    <w:r w:rsidR="00DA59CF">
      <w:t>10</w:t>
    </w:r>
  </w:p>
  <w:p w:rsidR="00903656" w:rsidRPr="00C5280D" w:rsidRDefault="00DA59CF"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7D3459">
      <w:rPr>
        <w:noProof/>
      </w:rPr>
      <w:t>2</w:t>
    </w:r>
    <w:r w:rsidR="00903656"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CF" w:rsidRDefault="00BE540F" w:rsidP="00DA59CF">
    <w:pPr>
      <w:pStyle w:val="Header"/>
    </w:pPr>
    <w:r>
      <w:t>TWA/44</w:t>
    </w:r>
    <w:r w:rsidR="00DA59CF">
      <w:t>/10</w:t>
    </w:r>
  </w:p>
  <w:p w:rsidR="00DA59CF" w:rsidRDefault="00DA59CF">
    <w:pPr>
      <w:pStyle w:val="Header"/>
    </w:pPr>
  </w:p>
  <w:p w:rsidR="00DA59CF" w:rsidRDefault="00DA59CF">
    <w:pPr>
      <w:pStyle w:val="Header"/>
    </w:pPr>
    <w:r>
      <w:t xml:space="preserve">ANNEX </w:t>
    </w:r>
  </w:p>
  <w:p w:rsidR="00DA59CF" w:rsidRDefault="00DA5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D3268D"/>
    <w:multiLevelType w:val="hybridMultilevel"/>
    <w:tmpl w:val="7528F7DA"/>
    <w:lvl w:ilvl="0" w:tplc="F31C057A">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C9"/>
    <w:rsid w:val="00010CF3"/>
    <w:rsid w:val="00011E27"/>
    <w:rsid w:val="000148BC"/>
    <w:rsid w:val="00024089"/>
    <w:rsid w:val="00024AB8"/>
    <w:rsid w:val="00030854"/>
    <w:rsid w:val="00031A7F"/>
    <w:rsid w:val="00036028"/>
    <w:rsid w:val="00044642"/>
    <w:rsid w:val="000446B9"/>
    <w:rsid w:val="00047E21"/>
    <w:rsid w:val="000526AA"/>
    <w:rsid w:val="000656C9"/>
    <w:rsid w:val="00085505"/>
    <w:rsid w:val="000C7021"/>
    <w:rsid w:val="000D6BBC"/>
    <w:rsid w:val="000D7780"/>
    <w:rsid w:val="000F79FC"/>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2383"/>
    <w:rsid w:val="00344BD6"/>
    <w:rsid w:val="0035528D"/>
    <w:rsid w:val="00361821"/>
    <w:rsid w:val="00375D51"/>
    <w:rsid w:val="003776C3"/>
    <w:rsid w:val="003A3C17"/>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44FE6"/>
    <w:rsid w:val="0055268D"/>
    <w:rsid w:val="00576BE4"/>
    <w:rsid w:val="0057736E"/>
    <w:rsid w:val="005A400A"/>
    <w:rsid w:val="005F4849"/>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61855"/>
    <w:rsid w:val="00770DEA"/>
    <w:rsid w:val="00777EE5"/>
    <w:rsid w:val="00784836"/>
    <w:rsid w:val="0079023E"/>
    <w:rsid w:val="007A2854"/>
    <w:rsid w:val="007D0B9D"/>
    <w:rsid w:val="007D19B0"/>
    <w:rsid w:val="007D3459"/>
    <w:rsid w:val="007D5126"/>
    <w:rsid w:val="007F498F"/>
    <w:rsid w:val="0080679D"/>
    <w:rsid w:val="008108B0"/>
    <w:rsid w:val="00811B20"/>
    <w:rsid w:val="0082296E"/>
    <w:rsid w:val="00824099"/>
    <w:rsid w:val="00832298"/>
    <w:rsid w:val="00835CE4"/>
    <w:rsid w:val="00867AC1"/>
    <w:rsid w:val="00876C58"/>
    <w:rsid w:val="008A743F"/>
    <w:rsid w:val="008C0970"/>
    <w:rsid w:val="008D2CF7"/>
    <w:rsid w:val="008E65FB"/>
    <w:rsid w:val="00900C26"/>
    <w:rsid w:val="0090197F"/>
    <w:rsid w:val="00903656"/>
    <w:rsid w:val="00906DDC"/>
    <w:rsid w:val="00910693"/>
    <w:rsid w:val="00912121"/>
    <w:rsid w:val="00925D62"/>
    <w:rsid w:val="00934E09"/>
    <w:rsid w:val="00936253"/>
    <w:rsid w:val="00952DD4"/>
    <w:rsid w:val="00962C45"/>
    <w:rsid w:val="00964081"/>
    <w:rsid w:val="00970FED"/>
    <w:rsid w:val="00997029"/>
    <w:rsid w:val="009B76F6"/>
    <w:rsid w:val="009D690D"/>
    <w:rsid w:val="009E65B6"/>
    <w:rsid w:val="00A24C10"/>
    <w:rsid w:val="00A42AC3"/>
    <w:rsid w:val="00A430CF"/>
    <w:rsid w:val="00A54309"/>
    <w:rsid w:val="00AB2B93"/>
    <w:rsid w:val="00AB530F"/>
    <w:rsid w:val="00AB7E5B"/>
    <w:rsid w:val="00AE0EF1"/>
    <w:rsid w:val="00AE2937"/>
    <w:rsid w:val="00AE6002"/>
    <w:rsid w:val="00B07301"/>
    <w:rsid w:val="00B224DE"/>
    <w:rsid w:val="00B46575"/>
    <w:rsid w:val="00B71144"/>
    <w:rsid w:val="00B75B90"/>
    <w:rsid w:val="00B84BBD"/>
    <w:rsid w:val="00BA43FB"/>
    <w:rsid w:val="00BB0967"/>
    <w:rsid w:val="00BC127D"/>
    <w:rsid w:val="00BC1FE6"/>
    <w:rsid w:val="00BE540F"/>
    <w:rsid w:val="00C061B6"/>
    <w:rsid w:val="00C2446C"/>
    <w:rsid w:val="00C36AE5"/>
    <w:rsid w:val="00C41F17"/>
    <w:rsid w:val="00C5280D"/>
    <w:rsid w:val="00C5791C"/>
    <w:rsid w:val="00C66290"/>
    <w:rsid w:val="00C72B7A"/>
    <w:rsid w:val="00C973F2"/>
    <w:rsid w:val="00CA304C"/>
    <w:rsid w:val="00CA774A"/>
    <w:rsid w:val="00CC11B0"/>
    <w:rsid w:val="00CC5597"/>
    <w:rsid w:val="00CE63BA"/>
    <w:rsid w:val="00CF7E36"/>
    <w:rsid w:val="00D3708D"/>
    <w:rsid w:val="00D40426"/>
    <w:rsid w:val="00D57C96"/>
    <w:rsid w:val="00D85669"/>
    <w:rsid w:val="00D876AA"/>
    <w:rsid w:val="00D91203"/>
    <w:rsid w:val="00D95174"/>
    <w:rsid w:val="00DA59CF"/>
    <w:rsid w:val="00DA6F36"/>
    <w:rsid w:val="00DB596E"/>
    <w:rsid w:val="00DB7773"/>
    <w:rsid w:val="00DC00EA"/>
    <w:rsid w:val="00DD445C"/>
    <w:rsid w:val="00DF474C"/>
    <w:rsid w:val="00E30ACD"/>
    <w:rsid w:val="00E32F7E"/>
    <w:rsid w:val="00E72D49"/>
    <w:rsid w:val="00E7593C"/>
    <w:rsid w:val="00E7678A"/>
    <w:rsid w:val="00E935F1"/>
    <w:rsid w:val="00E94A81"/>
    <w:rsid w:val="00EA1FFB"/>
    <w:rsid w:val="00EB048E"/>
    <w:rsid w:val="00ED714A"/>
    <w:rsid w:val="00EE34DF"/>
    <w:rsid w:val="00EF2F89"/>
    <w:rsid w:val="00F1237A"/>
    <w:rsid w:val="00F22CBD"/>
    <w:rsid w:val="00F45372"/>
    <w:rsid w:val="00F560F7"/>
    <w:rsid w:val="00F6334D"/>
    <w:rsid w:val="00FA49AB"/>
    <w:rsid w:val="00FB48E7"/>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DA59CF"/>
    <w:rPr>
      <w:rFonts w:ascii="Arial" w:hAnsi="Arial"/>
      <w:caps/>
    </w:rPr>
  </w:style>
  <w:style w:type="character" w:customStyle="1" w:styleId="Heading3Char">
    <w:name w:val="Heading 3 Char"/>
    <w:basedOn w:val="DefaultParagraphFont"/>
    <w:link w:val="Heading3"/>
    <w:rsid w:val="00DA59CF"/>
    <w:rPr>
      <w:rFonts w:ascii="Arial" w:hAnsi="Arial"/>
      <w:i/>
    </w:rPr>
  </w:style>
  <w:style w:type="character" w:customStyle="1" w:styleId="HeaderChar">
    <w:name w:val="Header Char"/>
    <w:basedOn w:val="DefaultParagraphFont"/>
    <w:link w:val="Header"/>
    <w:uiPriority w:val="99"/>
    <w:rsid w:val="00DA59CF"/>
    <w:rPr>
      <w:rFonts w:ascii="Arial" w:hAnsi="Arial"/>
    </w:rPr>
  </w:style>
  <w:style w:type="paragraph" w:styleId="ListParagraph">
    <w:name w:val="List Paragraph"/>
    <w:basedOn w:val="Normal"/>
    <w:uiPriority w:val="34"/>
    <w:qFormat/>
    <w:rsid w:val="00964081"/>
    <w:pPr>
      <w:ind w:left="720"/>
      <w:contextualSpacing/>
    </w:pPr>
  </w:style>
  <w:style w:type="character" w:customStyle="1" w:styleId="FootnoteTextChar">
    <w:name w:val="Footnote Text Char"/>
    <w:link w:val="FootnoteText"/>
    <w:rsid w:val="00964081"/>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DA59CF"/>
    <w:rPr>
      <w:rFonts w:ascii="Arial" w:hAnsi="Arial"/>
      <w:caps/>
    </w:rPr>
  </w:style>
  <w:style w:type="character" w:customStyle="1" w:styleId="Heading3Char">
    <w:name w:val="Heading 3 Char"/>
    <w:basedOn w:val="DefaultParagraphFont"/>
    <w:link w:val="Heading3"/>
    <w:rsid w:val="00DA59CF"/>
    <w:rPr>
      <w:rFonts w:ascii="Arial" w:hAnsi="Arial"/>
      <w:i/>
    </w:rPr>
  </w:style>
  <w:style w:type="character" w:customStyle="1" w:styleId="HeaderChar">
    <w:name w:val="Header Char"/>
    <w:basedOn w:val="DefaultParagraphFont"/>
    <w:link w:val="Header"/>
    <w:uiPriority w:val="99"/>
    <w:rsid w:val="00DA59CF"/>
    <w:rPr>
      <w:rFonts w:ascii="Arial" w:hAnsi="Arial"/>
    </w:rPr>
  </w:style>
  <w:style w:type="paragraph" w:styleId="ListParagraph">
    <w:name w:val="List Paragraph"/>
    <w:basedOn w:val="Normal"/>
    <w:uiPriority w:val="34"/>
    <w:qFormat/>
    <w:rsid w:val="00964081"/>
    <w:pPr>
      <w:ind w:left="720"/>
      <w:contextualSpacing/>
    </w:pPr>
  </w:style>
  <w:style w:type="character" w:customStyle="1" w:styleId="FootnoteTextChar">
    <w:name w:val="Footnote Text Char"/>
    <w:link w:val="FootnoteText"/>
    <w:rsid w:val="0096408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8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ABF61-22B1-45D7-B726-0428DC09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14</TotalTime>
  <Pages>8</Pages>
  <Words>3189</Words>
  <Characters>17781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20929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PASIEKA Allie</cp:lastModifiedBy>
  <cp:revision>6</cp:revision>
  <cp:lastPrinted>2015-05-28T12:19:00Z</cp:lastPrinted>
  <dcterms:created xsi:type="dcterms:W3CDTF">2015-05-22T09:41:00Z</dcterms:created>
  <dcterms:modified xsi:type="dcterms:W3CDTF">2015-05-28T12:19:00Z</dcterms:modified>
</cp:coreProperties>
</file>