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962E95">
        <w:trPr>
          <w:trHeight w:val="1760"/>
        </w:trPr>
        <w:tc>
          <w:tcPr>
            <w:tcW w:w="4243" w:type="dxa"/>
          </w:tcPr>
          <w:p w:rsidR="00822961" w:rsidRPr="00C5280D" w:rsidRDefault="00822961" w:rsidP="00377FF4"/>
        </w:tc>
        <w:tc>
          <w:tcPr>
            <w:tcW w:w="1646" w:type="dxa"/>
            <w:vAlign w:val="center"/>
          </w:tcPr>
          <w:p w:rsidR="00822961" w:rsidRPr="00C5280D" w:rsidRDefault="002A199F" w:rsidP="00377FF4">
            <w:pPr>
              <w:pStyle w:val="LogoUPOV"/>
            </w:pPr>
            <w:r>
              <w:rPr>
                <w:noProof/>
              </w:rPr>
              <w:drawing>
                <wp:inline distT="0" distB="0" distL="0" distR="0" wp14:anchorId="1BF7BB34" wp14:editId="09D56D7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C5280D" w:rsidRDefault="00822961" w:rsidP="00377FF4">
            <w:pPr>
              <w:pStyle w:val="Lettrine"/>
            </w:pPr>
            <w:r w:rsidRPr="00C5280D">
              <w:t>E</w:t>
            </w:r>
          </w:p>
          <w:p w:rsidR="00962E95" w:rsidRPr="00C5280D" w:rsidRDefault="002D3F09" w:rsidP="00962E95">
            <w:pPr>
              <w:pStyle w:val="Docoriginal"/>
            </w:pPr>
            <w:r>
              <w:t>TW</w:t>
            </w:r>
            <w:r w:rsidR="004677E0">
              <w:t>A</w:t>
            </w:r>
            <w:r>
              <w:t>/4</w:t>
            </w:r>
            <w:r w:rsidR="004677E0">
              <w:t>3</w:t>
            </w:r>
            <w:r w:rsidR="00962E95">
              <w:t>/</w:t>
            </w:r>
            <w:bookmarkStart w:id="0" w:name="Code"/>
            <w:bookmarkEnd w:id="0"/>
            <w:r w:rsidR="00962E95">
              <w:t>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CA3FF6">
            <w:pPr>
              <w:pStyle w:val="Docoriginal"/>
            </w:pPr>
            <w:r w:rsidRPr="00FA2B2C">
              <w:rPr>
                <w:spacing w:val="0"/>
              </w:rPr>
              <w:t xml:space="preserve">DATE: </w:t>
            </w:r>
            <w:r w:rsidRPr="00FA2B2C">
              <w:rPr>
                <w:rStyle w:val="StyleDocoriginalNotBold1"/>
                <w:spacing w:val="0"/>
              </w:rPr>
              <w:t xml:space="preserve"> </w:t>
            </w:r>
            <w:bookmarkStart w:id="2" w:name="Date"/>
            <w:bookmarkEnd w:id="2"/>
            <w:r w:rsidR="00AB1FF2" w:rsidRPr="00CA3FF6">
              <w:rPr>
                <w:rStyle w:val="StyleDocoriginalNotBold1"/>
                <w:spacing w:val="0"/>
              </w:rPr>
              <w:t>July</w:t>
            </w:r>
            <w:r w:rsidR="00CA3FF6" w:rsidRPr="00CA3FF6">
              <w:rPr>
                <w:rStyle w:val="StyleDocoriginalNotBold1"/>
                <w:spacing w:val="0"/>
              </w:rPr>
              <w:t xml:space="preserve"> 30</w:t>
            </w:r>
            <w:r w:rsidR="00962E95" w:rsidRPr="00CA3FF6">
              <w:rPr>
                <w:rStyle w:val="StyleDocoriginalNotBold1"/>
                <w:spacing w:val="0"/>
              </w:rPr>
              <w:t>, 2014</w:t>
            </w:r>
            <w:bookmarkStart w:id="3" w:name="_GoBack"/>
            <w:bookmarkEnd w:id="3"/>
          </w:p>
        </w:tc>
      </w:tr>
      <w:tr w:rsidR="00822961" w:rsidRPr="00C5280D" w:rsidTr="00962E95">
        <w:tc>
          <w:tcPr>
            <w:tcW w:w="10131"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962E95">
        <w:tc>
          <w:tcPr>
            <w:tcW w:w="10131" w:type="dxa"/>
            <w:gridSpan w:val="3"/>
          </w:tcPr>
          <w:p w:rsidR="00822961" w:rsidRPr="00C5280D" w:rsidRDefault="00822961" w:rsidP="00377FF4">
            <w:pPr>
              <w:pStyle w:val="Country"/>
            </w:pPr>
            <w:r w:rsidRPr="00C5280D">
              <w:t>Geneva</w:t>
            </w:r>
          </w:p>
        </w:tc>
      </w:tr>
    </w:tbl>
    <w:p w:rsidR="00962E95" w:rsidRPr="00C5280D" w:rsidRDefault="004677E0" w:rsidP="00962E95">
      <w:pPr>
        <w:pStyle w:val="Sessiontc"/>
      </w:pPr>
      <w:bookmarkStart w:id="4" w:name="TitleOfDoc"/>
      <w:bookmarkEnd w:id="4"/>
      <w:r w:rsidRPr="00C5280D">
        <w:t xml:space="preserve">TECHNICAL </w:t>
      </w:r>
      <w:r>
        <w:t>WORKING PARTY FOR AGRICULTURAL CROPS</w:t>
      </w:r>
    </w:p>
    <w:p w:rsidR="00962E95" w:rsidRPr="00C5280D" w:rsidRDefault="004677E0" w:rsidP="00962E95">
      <w:pPr>
        <w:pStyle w:val="Sessiontcplacedate"/>
      </w:pPr>
      <w:r w:rsidRPr="00C5280D">
        <w:t>Forty-</w:t>
      </w:r>
      <w:r>
        <w:t>Third</w:t>
      </w:r>
      <w:r w:rsidRPr="00C5280D">
        <w:t xml:space="preserve"> Session</w:t>
      </w:r>
      <w:r>
        <w:br/>
      </w:r>
      <w:r w:rsidRPr="006A2EFC">
        <w:rPr>
          <w:rFonts w:cs="Arial"/>
        </w:rPr>
        <w:t>Mar del Plata, Argentina</w:t>
      </w:r>
      <w:r w:rsidRPr="006A2EFC">
        <w:t>, November 17 to 21, 2014</w:t>
      </w:r>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developments concerning the </w:t>
      </w:r>
      <w:r w:rsidR="000B4AE2">
        <w:rPr>
          <w:rFonts w:cs="Arial"/>
          <w:snapToGrid w:val="0"/>
        </w:rPr>
        <w:t xml:space="preserve">possible </w:t>
      </w:r>
      <w:r w:rsidRPr="00C920D5">
        <w:rPr>
          <w:rFonts w:cs="Arial"/>
        </w:rPr>
        <w:t xml:space="preserve">revision of </w:t>
      </w:r>
      <w:r w:rsidR="000B4AE2" w:rsidRPr="00C920D5">
        <w:rPr>
          <w:rFonts w:cs="Arial"/>
        </w:rPr>
        <w:t xml:space="preserve">document UPOV/INF/12/4 </w:t>
      </w:r>
      <w:r w:rsidRPr="00C920D5">
        <w:rPr>
          <w:rFonts w:cs="Arial"/>
        </w:rPr>
        <w:t>“Explanatory Notes on Variety Denominat</w:t>
      </w:r>
      <w:r w:rsidR="000B4AE2">
        <w:rPr>
          <w:rFonts w:cs="Arial"/>
        </w:rPr>
        <w:t>ions under the UPOV Convention”</w:t>
      </w:r>
      <w:r w:rsidRPr="00C920D5">
        <w:rPr>
          <w:rFonts w:cs="Arial"/>
        </w:rPr>
        <w:t xml:space="preserve">,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3D193B"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7053055" w:history="1">
        <w:r w:rsidR="003D193B" w:rsidRPr="00D953D3">
          <w:rPr>
            <w:rStyle w:val="Hyperlink"/>
            <w:noProof/>
            <w:snapToGrid w:val="0"/>
          </w:rPr>
          <w:t>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revision of document UPOV/INF/12 “Explanatory Notes on Variety Denominations under the UPOV Convention”</w:t>
        </w:r>
        <w:r w:rsidR="003D193B">
          <w:rPr>
            <w:noProof/>
            <w:webHidden/>
          </w:rPr>
          <w:tab/>
        </w:r>
        <w:r w:rsidR="003D193B">
          <w:rPr>
            <w:noProof/>
            <w:webHidden/>
          </w:rPr>
          <w:fldChar w:fldCharType="begin"/>
        </w:r>
        <w:r w:rsidR="003D193B">
          <w:rPr>
            <w:noProof/>
            <w:webHidden/>
          </w:rPr>
          <w:instrText xml:space="preserve"> PAGEREF _Toc387053055 \h </w:instrText>
        </w:r>
        <w:r w:rsidR="003D193B">
          <w:rPr>
            <w:noProof/>
            <w:webHidden/>
          </w:rPr>
        </w:r>
        <w:r w:rsidR="003D193B">
          <w:rPr>
            <w:noProof/>
            <w:webHidden/>
          </w:rPr>
          <w:fldChar w:fldCharType="separate"/>
        </w:r>
        <w:r w:rsidR="00962C97">
          <w:rPr>
            <w:noProof/>
            <w:webHidden/>
          </w:rPr>
          <w:t>2</w:t>
        </w:r>
        <w:r w:rsidR="003D193B">
          <w:rPr>
            <w:noProof/>
            <w:webHidden/>
          </w:rPr>
          <w:fldChar w:fldCharType="end"/>
        </w:r>
      </w:hyperlink>
    </w:p>
    <w:p w:rsidR="003D193B" w:rsidRDefault="00CA3FF6">
      <w:pPr>
        <w:pStyle w:val="TOC2"/>
        <w:rPr>
          <w:rFonts w:asciiTheme="minorHAnsi" w:eastAsiaTheme="minorEastAsia" w:hAnsiTheme="minorHAnsi" w:cstheme="minorBidi"/>
          <w:i w:val="0"/>
          <w:noProof/>
          <w:sz w:val="22"/>
          <w:szCs w:val="22"/>
        </w:rPr>
      </w:pPr>
      <w:hyperlink w:anchor="_Toc387053056" w:history="1">
        <w:r w:rsidR="003D193B" w:rsidRPr="00D953D3">
          <w:rPr>
            <w:rStyle w:val="Hyperlink"/>
            <w:noProof/>
          </w:rPr>
          <w:t>Work of the CAJ-AG on variety denominations</w:t>
        </w:r>
        <w:r w:rsidR="003D193B">
          <w:rPr>
            <w:noProof/>
            <w:webHidden/>
          </w:rPr>
          <w:tab/>
        </w:r>
        <w:r w:rsidR="003D193B">
          <w:rPr>
            <w:noProof/>
            <w:webHidden/>
          </w:rPr>
          <w:fldChar w:fldCharType="begin"/>
        </w:r>
        <w:r w:rsidR="003D193B">
          <w:rPr>
            <w:noProof/>
            <w:webHidden/>
          </w:rPr>
          <w:instrText xml:space="preserve"> PAGEREF _Toc387053056 \h </w:instrText>
        </w:r>
        <w:r w:rsidR="003D193B">
          <w:rPr>
            <w:noProof/>
            <w:webHidden/>
          </w:rPr>
        </w:r>
        <w:r w:rsidR="003D193B">
          <w:rPr>
            <w:noProof/>
            <w:webHidden/>
          </w:rPr>
          <w:fldChar w:fldCharType="separate"/>
        </w:r>
        <w:r w:rsidR="00962C97">
          <w:rPr>
            <w:noProof/>
            <w:webHidden/>
          </w:rPr>
          <w:t>2</w:t>
        </w:r>
        <w:r w:rsidR="003D193B">
          <w:rPr>
            <w:noProof/>
            <w:webHidden/>
          </w:rPr>
          <w:fldChar w:fldCharType="end"/>
        </w:r>
      </w:hyperlink>
    </w:p>
    <w:p w:rsidR="003D193B" w:rsidRDefault="00CA3FF6">
      <w:pPr>
        <w:pStyle w:val="TOC2"/>
        <w:rPr>
          <w:rFonts w:asciiTheme="minorHAnsi" w:eastAsiaTheme="minorEastAsia" w:hAnsiTheme="minorHAnsi" w:cstheme="minorBidi"/>
          <w:i w:val="0"/>
          <w:noProof/>
          <w:sz w:val="22"/>
          <w:szCs w:val="22"/>
        </w:rPr>
      </w:pPr>
      <w:hyperlink w:anchor="_Toc387053057" w:history="1">
        <w:r w:rsidR="003D193B" w:rsidRPr="00D953D3">
          <w:rPr>
            <w:rStyle w:val="Hyperlink"/>
            <w:noProof/>
          </w:rPr>
          <w:t>Other developments</w:t>
        </w:r>
        <w:r w:rsidR="003D193B">
          <w:rPr>
            <w:noProof/>
            <w:webHidden/>
          </w:rPr>
          <w:tab/>
        </w:r>
        <w:r w:rsidR="003D193B">
          <w:rPr>
            <w:noProof/>
            <w:webHidden/>
          </w:rPr>
          <w:fldChar w:fldCharType="begin"/>
        </w:r>
        <w:r w:rsidR="003D193B">
          <w:rPr>
            <w:noProof/>
            <w:webHidden/>
          </w:rPr>
          <w:instrText xml:space="preserve"> PAGEREF _Toc387053057 \h </w:instrText>
        </w:r>
        <w:r w:rsidR="003D193B">
          <w:rPr>
            <w:noProof/>
            <w:webHidden/>
          </w:rPr>
        </w:r>
        <w:r w:rsidR="003D193B">
          <w:rPr>
            <w:noProof/>
            <w:webHidden/>
          </w:rPr>
          <w:fldChar w:fldCharType="separate"/>
        </w:r>
        <w:r w:rsidR="00962C97">
          <w:rPr>
            <w:noProof/>
            <w:webHidden/>
          </w:rPr>
          <w:t>2</w:t>
        </w:r>
        <w:r w:rsidR="003D193B">
          <w:rPr>
            <w:noProof/>
            <w:webHidden/>
          </w:rPr>
          <w:fldChar w:fldCharType="end"/>
        </w:r>
      </w:hyperlink>
    </w:p>
    <w:p w:rsidR="003D193B" w:rsidRDefault="00CA3FF6">
      <w:pPr>
        <w:pStyle w:val="TOC1"/>
        <w:rPr>
          <w:rFonts w:asciiTheme="minorHAnsi" w:eastAsiaTheme="minorEastAsia" w:hAnsiTheme="minorHAnsi" w:cstheme="minorBidi"/>
          <w:bCs w:val="0"/>
          <w:caps w:val="0"/>
          <w:noProof/>
          <w:sz w:val="22"/>
          <w:szCs w:val="22"/>
        </w:rPr>
      </w:pPr>
      <w:hyperlink w:anchor="_Toc387053058" w:history="1">
        <w:r w:rsidR="003D193B" w:rsidRPr="00D953D3">
          <w:rPr>
            <w:rStyle w:val="Hyperlink"/>
            <w:noProof/>
            <w:snapToGrid w:val="0"/>
          </w:rPr>
          <w:t>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Development of a UPOV similarity search tool for variety denomination purposes</w:t>
        </w:r>
        <w:r w:rsidR="003D193B">
          <w:rPr>
            <w:noProof/>
            <w:webHidden/>
          </w:rPr>
          <w:tab/>
        </w:r>
        <w:r w:rsidR="003D193B">
          <w:rPr>
            <w:noProof/>
            <w:webHidden/>
          </w:rPr>
          <w:fldChar w:fldCharType="begin"/>
        </w:r>
        <w:r w:rsidR="003D193B">
          <w:rPr>
            <w:noProof/>
            <w:webHidden/>
          </w:rPr>
          <w:instrText xml:space="preserve"> PAGEREF _Toc387053058 \h </w:instrText>
        </w:r>
        <w:r w:rsidR="003D193B">
          <w:rPr>
            <w:noProof/>
            <w:webHidden/>
          </w:rPr>
        </w:r>
        <w:r w:rsidR="003D193B">
          <w:rPr>
            <w:noProof/>
            <w:webHidden/>
          </w:rPr>
          <w:fldChar w:fldCharType="separate"/>
        </w:r>
        <w:r w:rsidR="00962C97">
          <w:rPr>
            <w:noProof/>
            <w:webHidden/>
          </w:rPr>
          <w:t>3</w:t>
        </w:r>
        <w:r w:rsidR="003D193B">
          <w:rPr>
            <w:noProof/>
            <w:webHidden/>
          </w:rPr>
          <w:fldChar w:fldCharType="end"/>
        </w:r>
      </w:hyperlink>
    </w:p>
    <w:p w:rsidR="003D193B" w:rsidRDefault="00CA3FF6">
      <w:pPr>
        <w:pStyle w:val="TOC2"/>
        <w:rPr>
          <w:rFonts w:asciiTheme="minorHAnsi" w:eastAsiaTheme="minorEastAsia" w:hAnsiTheme="minorHAnsi" w:cstheme="minorBidi"/>
          <w:i w:val="0"/>
          <w:noProof/>
          <w:sz w:val="22"/>
          <w:szCs w:val="22"/>
        </w:rPr>
      </w:pPr>
      <w:hyperlink w:anchor="_Toc387053059" w:history="1">
        <w:r w:rsidR="003D193B" w:rsidRPr="00D953D3">
          <w:rPr>
            <w:rStyle w:val="Hyperlink"/>
            <w:noProof/>
          </w:rPr>
          <w:t>Background</w:t>
        </w:r>
        <w:r w:rsidR="003D193B">
          <w:rPr>
            <w:noProof/>
            <w:webHidden/>
          </w:rPr>
          <w:tab/>
        </w:r>
        <w:r w:rsidR="003D193B">
          <w:rPr>
            <w:noProof/>
            <w:webHidden/>
          </w:rPr>
          <w:fldChar w:fldCharType="begin"/>
        </w:r>
        <w:r w:rsidR="003D193B">
          <w:rPr>
            <w:noProof/>
            <w:webHidden/>
          </w:rPr>
          <w:instrText xml:space="preserve"> PAGEREF _Toc387053059 \h </w:instrText>
        </w:r>
        <w:r w:rsidR="003D193B">
          <w:rPr>
            <w:noProof/>
            <w:webHidden/>
          </w:rPr>
        </w:r>
        <w:r w:rsidR="003D193B">
          <w:rPr>
            <w:noProof/>
            <w:webHidden/>
          </w:rPr>
          <w:fldChar w:fldCharType="separate"/>
        </w:r>
        <w:r w:rsidR="00962C97">
          <w:rPr>
            <w:noProof/>
            <w:webHidden/>
          </w:rPr>
          <w:t>3</w:t>
        </w:r>
        <w:r w:rsidR="003D193B">
          <w:rPr>
            <w:noProof/>
            <w:webHidden/>
          </w:rPr>
          <w:fldChar w:fldCharType="end"/>
        </w:r>
      </w:hyperlink>
    </w:p>
    <w:p w:rsidR="003D193B" w:rsidRDefault="00CA3FF6">
      <w:pPr>
        <w:pStyle w:val="TOC2"/>
        <w:rPr>
          <w:rFonts w:asciiTheme="minorHAnsi" w:eastAsiaTheme="minorEastAsia" w:hAnsiTheme="minorHAnsi" w:cstheme="minorBidi"/>
          <w:i w:val="0"/>
          <w:noProof/>
          <w:sz w:val="22"/>
          <w:szCs w:val="22"/>
        </w:rPr>
      </w:pPr>
      <w:hyperlink w:anchor="_Toc387053060" w:history="1">
        <w:r w:rsidR="003D193B" w:rsidRPr="00D953D3">
          <w:rPr>
            <w:rStyle w:val="Hyperlink"/>
            <w:noProof/>
          </w:rPr>
          <w:t>Establishment of a working group</w:t>
        </w:r>
        <w:r w:rsidR="003D193B">
          <w:rPr>
            <w:noProof/>
            <w:webHidden/>
          </w:rPr>
          <w:tab/>
        </w:r>
        <w:r w:rsidR="003D193B">
          <w:rPr>
            <w:noProof/>
            <w:webHidden/>
          </w:rPr>
          <w:fldChar w:fldCharType="begin"/>
        </w:r>
        <w:r w:rsidR="003D193B">
          <w:rPr>
            <w:noProof/>
            <w:webHidden/>
          </w:rPr>
          <w:instrText xml:space="preserve"> PAGEREF _Toc387053060 \h </w:instrText>
        </w:r>
        <w:r w:rsidR="003D193B">
          <w:rPr>
            <w:noProof/>
            <w:webHidden/>
          </w:rPr>
        </w:r>
        <w:r w:rsidR="003D193B">
          <w:rPr>
            <w:noProof/>
            <w:webHidden/>
          </w:rPr>
          <w:fldChar w:fldCharType="separate"/>
        </w:r>
        <w:r w:rsidR="00962C97">
          <w:rPr>
            <w:noProof/>
            <w:webHidden/>
          </w:rPr>
          <w:t>4</w:t>
        </w:r>
        <w:r w:rsidR="003D193B">
          <w:rPr>
            <w:noProof/>
            <w:webHidden/>
          </w:rPr>
          <w:fldChar w:fldCharType="end"/>
        </w:r>
      </w:hyperlink>
    </w:p>
    <w:p w:rsidR="003D193B" w:rsidRDefault="00CA3FF6">
      <w:pPr>
        <w:pStyle w:val="TOC1"/>
        <w:rPr>
          <w:rFonts w:asciiTheme="minorHAnsi" w:eastAsiaTheme="minorEastAsia" w:hAnsiTheme="minorHAnsi" w:cstheme="minorBidi"/>
          <w:bCs w:val="0"/>
          <w:caps w:val="0"/>
          <w:noProof/>
          <w:sz w:val="22"/>
          <w:szCs w:val="22"/>
        </w:rPr>
      </w:pPr>
      <w:hyperlink w:anchor="_Toc387053061" w:history="1">
        <w:r w:rsidR="003D193B" w:rsidRPr="00D953D3">
          <w:rPr>
            <w:rStyle w:val="Hyperlink"/>
            <w:noProof/>
            <w:snapToGrid w:val="0"/>
          </w:rPr>
          <w:t>III.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Developments concerning potential areas for cooperation with the IUBS Commission and the ISHS Commission</w:t>
        </w:r>
        <w:r w:rsidR="003D193B">
          <w:rPr>
            <w:noProof/>
            <w:webHidden/>
          </w:rPr>
          <w:tab/>
        </w:r>
        <w:r w:rsidR="003D193B">
          <w:rPr>
            <w:noProof/>
            <w:webHidden/>
          </w:rPr>
          <w:fldChar w:fldCharType="begin"/>
        </w:r>
        <w:r w:rsidR="003D193B">
          <w:rPr>
            <w:noProof/>
            <w:webHidden/>
          </w:rPr>
          <w:instrText xml:space="preserve"> PAGEREF _Toc387053061 \h </w:instrText>
        </w:r>
        <w:r w:rsidR="003D193B">
          <w:rPr>
            <w:noProof/>
            <w:webHidden/>
          </w:rPr>
        </w:r>
        <w:r w:rsidR="003D193B">
          <w:rPr>
            <w:noProof/>
            <w:webHidden/>
          </w:rPr>
          <w:fldChar w:fldCharType="separate"/>
        </w:r>
        <w:r w:rsidR="00962C97">
          <w:rPr>
            <w:noProof/>
            <w:webHidden/>
          </w:rPr>
          <w:t>5</w:t>
        </w:r>
        <w:r w:rsidR="003D193B">
          <w:rPr>
            <w:noProof/>
            <w:webHidden/>
          </w:rPr>
          <w:fldChar w:fldCharType="end"/>
        </w:r>
      </w:hyperlink>
    </w:p>
    <w:p w:rsidR="00167FBD" w:rsidRPr="00C920D5" w:rsidRDefault="00822961" w:rsidP="00167FBD">
      <w:pPr>
        <w:rPr>
          <w:snapToGrid w:val="0"/>
        </w:rPr>
      </w:pPr>
      <w:r w:rsidRPr="00C920D5">
        <w:rPr>
          <w:rFonts w:cs="Arial"/>
          <w:snapToGrid w:val="0"/>
        </w:rPr>
        <w:fldChar w:fldCharType="end"/>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7053055"/>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E502E" w:rsidP="00377FF4">
      <w:pPr>
        <w:pStyle w:val="Heading2"/>
      </w:pPr>
      <w:bookmarkStart w:id="7" w:name="_Toc387053056"/>
      <w:r>
        <w:t>W</w:t>
      </w:r>
      <w:r w:rsidR="00822961" w:rsidRPr="00C920D5">
        <w:t>ork of the CAJ-AG on variety denominations</w:t>
      </w:r>
      <w:bookmarkEnd w:id="7"/>
      <w:r w:rsidR="00822961"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r>
      <w:proofErr w:type="gramStart"/>
      <w:r w:rsidRPr="00C920D5">
        <w:t>if</w:t>
      </w:r>
      <w:proofErr w:type="gramEnd"/>
      <w:r w:rsidRPr="00C920D5">
        <w:t xml:space="preserve">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w:t>
      </w:r>
      <w:proofErr w:type="gramStart"/>
      <w:r w:rsidRPr="00C920D5">
        <w:t>if</w:t>
      </w:r>
      <w:proofErr w:type="gramEnd"/>
      <w:r w:rsidRPr="00C920D5">
        <w:t xml:space="preserve">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r>
      <w:proofErr w:type="gramStart"/>
      <w:r w:rsidRPr="00C920D5">
        <w:t>if</w:t>
      </w:r>
      <w:proofErr w:type="gramEnd"/>
      <w:r w:rsidRPr="00C920D5">
        <w:t xml:space="preserve">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w:t>
      </w:r>
      <w:r w:rsidR="00644694">
        <w:t>G on variety denominations w</w:t>
      </w:r>
      <w:r w:rsidR="001D58E5">
        <w:t xml:space="preserve">as </w:t>
      </w:r>
      <w:r w:rsidRPr="00C920D5">
        <w:t>reported to the</w:t>
      </w:r>
      <w:r w:rsidR="001D58E5">
        <w:t xml:space="preserve"> TC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and to the</w:t>
      </w:r>
      <w:r w:rsidRPr="00C920D5">
        <w:t xml:space="preserve"> CAJ at its sixty-ninth session held in Geneva on April 10, 2014 (see document</w:t>
      </w:r>
      <w:r w:rsidR="001D58E5">
        <w:t xml:space="preserve">s </w:t>
      </w:r>
      <w:r w:rsidR="001D58E5" w:rsidRPr="008A572D">
        <w:t>TC/50/36 “Report</w:t>
      </w:r>
      <w:r w:rsidR="001D58E5">
        <w:t xml:space="preserve"> on the Conclusions</w:t>
      </w:r>
      <w:r w:rsidR="001D58E5" w:rsidRPr="008A572D">
        <w:t>”, paragraph</w:t>
      </w:r>
      <w:r w:rsidR="001D58E5">
        <w:t xml:space="preserve"> 87 and </w:t>
      </w:r>
      <w:r w:rsidR="001D58E5" w:rsidRPr="008A572D">
        <w:t>CAJ/69/12 “Report on the Conclusions”, paragraph</w:t>
      </w:r>
      <w:r w:rsidR="001D58E5">
        <w:t xml:space="preserve"> 71</w:t>
      </w:r>
      <w:r w:rsidRPr="00C920D5">
        <w:t>).</w:t>
      </w:r>
    </w:p>
    <w:p w:rsidR="00056D6A" w:rsidRDefault="00056D6A" w:rsidP="00AF145E"/>
    <w:p w:rsidR="001D58E5" w:rsidRPr="008A572D" w:rsidRDefault="001D58E5" w:rsidP="001D58E5">
      <w:r w:rsidRPr="008A572D">
        <w:fldChar w:fldCharType="begin"/>
      </w:r>
      <w:r w:rsidRPr="008A572D">
        <w:instrText xml:space="preserve"> AUTONUM  </w:instrText>
      </w:r>
      <w:r w:rsidRPr="008A572D">
        <w:fldChar w:fldCharType="end"/>
      </w:r>
      <w:r w:rsidRPr="008A572D">
        <w:tab/>
        <w:t>The TC at its fiftieth session</w:t>
      </w:r>
      <w:r>
        <w:t>,</w:t>
      </w:r>
      <w:r w:rsidRPr="008A572D">
        <w:t xml:space="preserve"> </w:t>
      </w:r>
      <w:r>
        <w:t xml:space="preserve">held </w:t>
      </w:r>
      <w:r w:rsidRPr="008A572D">
        <w:t xml:space="preserve">in Geneva from April 7 to 9, 2014, considered document </w:t>
      </w:r>
      <w:r w:rsidRPr="008A572D">
        <w:rPr>
          <w:rFonts w:cs="Arial"/>
          <w:snapToGrid w:val="0"/>
        </w:rPr>
        <w:t>TC/50/14 “Variety Denominations”</w:t>
      </w:r>
      <w:r>
        <w:rPr>
          <w:rFonts w:cs="Arial"/>
          <w:snapToGrid w:val="0"/>
        </w:rPr>
        <w:t>, Section I “Possible</w:t>
      </w:r>
      <w:r w:rsidRPr="00007DA6">
        <w:rPr>
          <w:rFonts w:cs="Arial"/>
          <w:snapToGrid w:val="0"/>
        </w:rPr>
        <w:t xml:space="preserve"> revision of document UPOV/INF/12 “Explanatory Notes on variety denominations under the UPOV convention”</w:t>
      </w:r>
      <w:r>
        <w:rPr>
          <w:rFonts w:cs="Arial"/>
          <w:snapToGrid w:val="0"/>
        </w:rPr>
        <w:t>. The TC</w:t>
      </w:r>
      <w:r w:rsidRPr="008A572D">
        <w:rPr>
          <w:rFonts w:cs="Arial"/>
          <w:snapToGrid w:val="0"/>
        </w:rPr>
        <w:t xml:space="preserve"> </w:t>
      </w:r>
      <w:r w:rsidRPr="008A572D">
        <w:t>noted the ongoing work of the CAJ-AG concerning the development of guidance on variety denominations, as set out in paragraphs 3 to 6 of document TC/50/14 (see document TC/50/36 “Report</w:t>
      </w:r>
      <w:r>
        <w:t xml:space="preserve"> on the Conclusions</w:t>
      </w:r>
      <w:r w:rsidRPr="008A572D">
        <w:t xml:space="preserve">”, paragraph 87).  </w:t>
      </w:r>
    </w:p>
    <w:p w:rsidR="001D58E5" w:rsidRDefault="001D58E5" w:rsidP="00AF145E"/>
    <w:p w:rsidR="00822961" w:rsidRPr="00C920D5" w:rsidRDefault="008E502E" w:rsidP="00377FF4">
      <w:pPr>
        <w:pStyle w:val="Heading2"/>
      </w:pPr>
      <w:bookmarkStart w:id="8" w:name="_Toc387053057"/>
      <w:r>
        <w:t>Other developments</w:t>
      </w:r>
      <w:bookmarkEnd w:id="8"/>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w:t>
      </w:r>
      <w:proofErr w:type="gramStart"/>
      <w:r w:rsidRPr="00C920D5">
        <w:t>)(</w:t>
      </w:r>
      <w:proofErr w:type="spellStart"/>
      <w:proofErr w:type="gramEnd"/>
      <w:r w:rsidRPr="00C920D5">
        <w:t>i</w:t>
      </w:r>
      <w:proofErr w:type="spellEnd"/>
      <w:r w:rsidRPr="00C920D5">
        <w:t>)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w:t>
      </w:r>
      <w:proofErr w:type="spellStart"/>
      <w:r w:rsidRPr="00C920D5">
        <w:rPr>
          <w:sz w:val="18"/>
          <w:szCs w:val="18"/>
        </w:rPr>
        <w:t>i</w:t>
      </w:r>
      <w:proofErr w:type="spellEnd"/>
      <w:r w:rsidRPr="00C920D5">
        <w:rPr>
          <w:sz w:val="18"/>
          <w:szCs w:val="18"/>
        </w:rPr>
        <w:t>)</w:t>
      </w:r>
      <w:r w:rsidRPr="00C920D5">
        <w:rPr>
          <w:sz w:val="18"/>
          <w:szCs w:val="18"/>
        </w:rPr>
        <w:tab/>
      </w:r>
      <w:proofErr w:type="gramStart"/>
      <w:r w:rsidRPr="00C920D5">
        <w:rPr>
          <w:sz w:val="18"/>
          <w:szCs w:val="18"/>
        </w:rPr>
        <w:t>difference</w:t>
      </w:r>
      <w:proofErr w:type="gramEnd"/>
      <w:r w:rsidRPr="00C920D5">
        <w:rPr>
          <w:sz w:val="18"/>
          <w:szCs w:val="18"/>
        </w:rPr>
        <w:t xml:space="preserv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 xml:space="preserve">arry’ would not cause confusion; </w:t>
      </w:r>
      <w:proofErr w:type="gramStart"/>
      <w:r w:rsidRPr="00C920D5">
        <w:rPr>
          <w:color w:val="000000"/>
          <w:sz w:val="18"/>
          <w:szCs w:val="18"/>
        </w:rPr>
        <w:t>However</w:t>
      </w:r>
      <w:proofErr w:type="gramEnd"/>
      <w:r w:rsidRPr="00C920D5">
        <w:rPr>
          <w:color w:val="000000"/>
          <w:sz w:val="18"/>
          <w:szCs w:val="18"/>
        </w:rPr>
        <w:t>,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proofErr w:type="spellStart"/>
      <w:r w:rsidRPr="00C920D5">
        <w:rPr>
          <w:sz w:val="18"/>
          <w:szCs w:val="18"/>
          <w:u w:val="single"/>
        </w:rPr>
        <w:t>R</w:t>
      </w:r>
      <w:r w:rsidRPr="00C920D5">
        <w:rPr>
          <w:sz w:val="18"/>
          <w:szCs w:val="18"/>
        </w:rPr>
        <w:t>aion</w:t>
      </w:r>
      <w:proofErr w:type="spellEnd"/>
      <w:r w:rsidRPr="00C920D5">
        <w:rPr>
          <w:sz w:val="18"/>
          <w:szCs w:val="18"/>
        </w:rPr>
        <w:t>”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lastRenderedPageBreak/>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“The sub-heading (</w:t>
      </w:r>
      <w:proofErr w:type="spellStart"/>
      <w:r w:rsidRPr="00C920D5">
        <w:rPr>
          <w:snapToGrid w:val="0"/>
          <w:sz w:val="18"/>
          <w:szCs w:val="18"/>
        </w:rPr>
        <w:t>i</w:t>
      </w:r>
      <w:proofErr w:type="spellEnd"/>
      <w:r w:rsidRPr="00C920D5">
        <w:rPr>
          <w:snapToGrid w:val="0"/>
          <w:sz w:val="18"/>
          <w:szCs w:val="18"/>
        </w:rPr>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8A572D" w:rsidRDefault="00822961" w:rsidP="00377FF4">
      <w:pPr>
        <w:shd w:val="clear" w:color="auto" w:fill="FFFFFF" w:themeFill="background1"/>
        <w:ind w:left="567" w:right="567"/>
        <w:rPr>
          <w:rFonts w:cs="Arial"/>
          <w:snapToGrid w:val="0"/>
        </w:rPr>
      </w:pPr>
      <w:r w:rsidRPr="00C920D5">
        <w:rPr>
          <w:snapToGrid w:val="0"/>
          <w:sz w:val="18"/>
          <w:szCs w:val="18"/>
        </w:rPr>
        <w:t>“Wou</w:t>
      </w:r>
      <w:r w:rsidRPr="008A572D">
        <w:rPr>
          <w:snapToGrid w:val="0"/>
          <w:sz w:val="18"/>
          <w:szCs w:val="18"/>
        </w:rPr>
        <w:t>ld the case of ‘Bough’ and ‘Bow’ be better covered under a separate sub-heading dealing with phonetic confusion? I guess that my criticism is directed to UPOV/INF/12 as well as to the Module wording.”</w:t>
      </w:r>
    </w:p>
    <w:p w:rsidR="00822961" w:rsidRPr="008A572D" w:rsidRDefault="00822961" w:rsidP="00377FF4"/>
    <w:p w:rsidR="00EB13E8" w:rsidRPr="008A572D" w:rsidRDefault="00EB13E8" w:rsidP="00EB13E8">
      <w:r w:rsidRPr="008A572D">
        <w:fldChar w:fldCharType="begin"/>
      </w:r>
      <w:r w:rsidRPr="008A572D">
        <w:instrText xml:space="preserve"> AUTONUM  </w:instrText>
      </w:r>
      <w:r w:rsidRPr="008A572D">
        <w:fldChar w:fldCharType="end"/>
      </w:r>
      <w:r w:rsidRPr="008A572D">
        <w:tab/>
        <w:t>The TC</w:t>
      </w:r>
      <w:r w:rsidR="000B4AE2">
        <w:t>,</w:t>
      </w:r>
      <w:r w:rsidRPr="008A572D">
        <w:t xml:space="preserve">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xml:space="preserve"> </w:t>
      </w:r>
      <w:r w:rsidRPr="008A572D">
        <w:t xml:space="preserve">noted that the CAJ, at its </w:t>
      </w:r>
      <w:r w:rsidR="008E502E">
        <w:br/>
      </w:r>
      <w:r w:rsidRPr="008A572D">
        <w:t>sixty-ninth session, would be invited to consider whether it would be appropriate to amend document UPOV/INF/12, paragraph 2.3.3(a</w:t>
      </w:r>
      <w:proofErr w:type="gramStart"/>
      <w:r w:rsidRPr="008A572D">
        <w:t>)(</w:t>
      </w:r>
      <w:proofErr w:type="spellStart"/>
      <w:proofErr w:type="gramEnd"/>
      <w:r w:rsidRPr="008A572D">
        <w:t>i</w:t>
      </w:r>
      <w:proofErr w:type="spellEnd"/>
      <w:r w:rsidRPr="008A572D">
        <w:t xml:space="preserve">), as </w:t>
      </w:r>
      <w:r w:rsidR="008E502E">
        <w:t>reproduced</w:t>
      </w:r>
      <w:r w:rsidRPr="008A572D">
        <w:t xml:space="preserve"> in paragraph </w:t>
      </w:r>
      <w:r w:rsidR="000B4AE2">
        <w:t>8</w:t>
      </w:r>
      <w:r w:rsidR="008A572D" w:rsidRPr="008A572D">
        <w:t xml:space="preserve"> of this document</w:t>
      </w:r>
      <w:r w:rsidRPr="008A572D">
        <w:t xml:space="preserve"> (see document TC/50/36 “Report</w:t>
      </w:r>
      <w:r w:rsidR="001D58E5">
        <w:t xml:space="preserve"> on the Conclusions</w:t>
      </w:r>
      <w:r w:rsidRPr="008A572D">
        <w:t>”, paragraph</w:t>
      </w:r>
      <w:r w:rsidR="001D58E5">
        <w:t> </w:t>
      </w:r>
      <w:r w:rsidRPr="008A572D">
        <w:t>88).</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TC agreed that the example “Bough” and “Bow” in document UPOV/INF/12, paragraph 2.3.3(</w:t>
      </w:r>
      <w:proofErr w:type="spellStart"/>
      <w:r w:rsidRPr="008A572D">
        <w:t>i</w:t>
      </w:r>
      <w:proofErr w:type="spellEnd"/>
      <w:r w:rsidRPr="008A572D">
        <w:t>)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(see document TC/50/36 “Report</w:t>
      </w:r>
      <w:r w:rsidR="001D58E5">
        <w:t xml:space="preserve"> on the Conclusions</w:t>
      </w:r>
      <w:r w:rsidRPr="008A572D">
        <w:t xml:space="preserve">”, paragraph 89).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 xml:space="preserve">The CAJ, at its sixty-ninth session in Geneva on April 10, 2014, noted the comments from the TC, at its fiftieth session, as </w:t>
      </w:r>
      <w:r w:rsidR="008E502E">
        <w:t>reproduced</w:t>
      </w:r>
      <w:r w:rsidRPr="008A572D">
        <w:t xml:space="preserve"> in paragraph 10 of this document (see doc</w:t>
      </w:r>
      <w:r w:rsidR="001D58E5">
        <w:t>ument CAJ/69/12 “Report on the C</w:t>
      </w:r>
      <w:r w:rsidRPr="008A572D">
        <w:t xml:space="preserve">onclusions”, paragraph 72).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CAJ, at its sixty-ninth session, considered that it would be appropriate to amend document UPOV/INF/12, paragraph 2.3.3(a)(</w:t>
      </w:r>
      <w:proofErr w:type="spellStart"/>
      <w:r w:rsidRPr="008A572D">
        <w:t>i</w:t>
      </w:r>
      <w:proofErr w:type="spellEnd"/>
      <w:r w:rsidRPr="008A572D">
        <w:t xml:space="preserve">), as set out in document CAJ/69/5, </w:t>
      </w:r>
      <w:r w:rsidR="008A572D" w:rsidRPr="008A572D">
        <w:t xml:space="preserve">and reproduced in </w:t>
      </w:r>
      <w:r w:rsidRPr="008A572D">
        <w:t>paragraph </w:t>
      </w:r>
      <w:r w:rsidR="00A5400F">
        <w:t>8</w:t>
      </w:r>
      <w:r w:rsidR="008A572D" w:rsidRPr="008A572D">
        <w:t xml:space="preserve"> of this document</w:t>
      </w:r>
      <w:r w:rsidRPr="008A572D">
        <w:t xml:space="preserve"> (see document CAJ/69/12 “Report on the </w:t>
      </w:r>
      <w:r w:rsidR="001D58E5" w:rsidRPr="008A572D">
        <w:t>Conclusions</w:t>
      </w:r>
      <w:r w:rsidRPr="008A572D">
        <w:t>”, paragraph 73).</w:t>
      </w:r>
    </w:p>
    <w:p w:rsidR="00EB13E8" w:rsidRPr="008A572D" w:rsidRDefault="00EB13E8" w:rsidP="009B6287">
      <w:pPr>
        <w:rPr>
          <w:color w:val="000000" w:themeColor="text1"/>
        </w:rPr>
      </w:pPr>
    </w:p>
    <w:p w:rsidR="00822961" w:rsidRPr="008A572D" w:rsidRDefault="00822961" w:rsidP="00377FF4"/>
    <w:p w:rsidR="00822961" w:rsidRPr="001960CC" w:rsidRDefault="00822961" w:rsidP="008E502E">
      <w:pPr>
        <w:pStyle w:val="DecisionParagraphs"/>
        <w:rPr>
          <w:spacing w:val="-2"/>
        </w:rPr>
      </w:pPr>
      <w:r w:rsidRPr="008A572D">
        <w:fldChar w:fldCharType="begin"/>
      </w:r>
      <w:r w:rsidRPr="008A572D">
        <w:instrText xml:space="preserve"> AUTONUM  </w:instrText>
      </w:r>
      <w:r w:rsidRPr="008A572D">
        <w:fldChar w:fldCharType="end"/>
      </w:r>
      <w:r w:rsidRPr="008A572D">
        <w:tab/>
        <w:t xml:space="preserve">The </w:t>
      </w:r>
      <w:r w:rsidR="00377FF4" w:rsidRPr="008A572D">
        <w:t>T</w:t>
      </w:r>
      <w:r w:rsidR="00EB13E8" w:rsidRPr="008A572D">
        <w:t>W</w:t>
      </w:r>
      <w:r w:rsidR="00E4755D">
        <w:t>A</w:t>
      </w:r>
      <w:r w:rsidR="008E502E">
        <w:t xml:space="preserve"> is invited to </w:t>
      </w:r>
      <w:r w:rsidR="0074292A" w:rsidRPr="008A572D">
        <w:t xml:space="preserve">note </w:t>
      </w:r>
      <w:r w:rsidR="008E502E">
        <w:t>the plans to revise</w:t>
      </w:r>
      <w:r w:rsidR="00BE10F4" w:rsidRPr="008A572D">
        <w:t xml:space="preserve"> document UPOV/INF/12</w:t>
      </w:r>
      <w:r w:rsidR="00A5400F">
        <w:rPr>
          <w:spacing w:val="-2"/>
        </w:rPr>
        <w:t>.</w:t>
      </w:r>
      <w:r w:rsidR="009B6287" w:rsidRPr="001960CC">
        <w:rPr>
          <w:spacing w:val="-2"/>
        </w:rPr>
        <w:t xml:space="preserve"> </w:t>
      </w:r>
    </w:p>
    <w:p w:rsidR="00822961" w:rsidRPr="001960CC" w:rsidRDefault="00822961" w:rsidP="00377FF4"/>
    <w:p w:rsidR="00822961" w:rsidRPr="00C920D5" w:rsidRDefault="00822961" w:rsidP="00377FF4">
      <w:pPr>
        <w:pStyle w:val="Heading1"/>
        <w:ind w:left="567" w:hanging="567"/>
        <w:rPr>
          <w:snapToGrid w:val="0"/>
        </w:rPr>
      </w:pPr>
      <w:bookmarkStart w:id="9" w:name="_Toc387053058"/>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7053059"/>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lastRenderedPageBreak/>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document</w:t>
            </w:r>
            <w:r w:rsidR="008E502E">
              <w:rPr>
                <w:color w:val="000000" w:themeColor="text1"/>
              </w:rPr>
              <w:t> TC/50/14 “Variety Denominations”</w:t>
            </w:r>
            <w:r w:rsidRPr="00C920D5">
              <w:rPr>
                <w:color w:val="000000" w:themeColor="text1"/>
              </w:rPr>
              <w: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w:t>
            </w:r>
            <w:proofErr w:type="gramStart"/>
            <w:r w:rsidRPr="00C920D5">
              <w:rPr>
                <w:color w:val="000000" w:themeColor="text1"/>
              </w:rPr>
              <w:t xml:space="preserve">the </w:t>
            </w:r>
            <w:hyperlink r:id="rId13" w:anchor="contains" w:history="1">
              <w:r w:rsidRPr="00C920D5">
                <w:rPr>
                  <w:rStyle w:val="Hyperlink"/>
                  <w:color w:val="000000" w:themeColor="text1"/>
                </w:rPr>
                <w:t>contains</w:t>
              </w:r>
              <w:proofErr w:type="gramEnd"/>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9B6287">
      <w:pPr>
        <w:pStyle w:val="Heading2"/>
      </w:pPr>
      <w:bookmarkStart w:id="11" w:name="_Toc387053060"/>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w:t>
      </w:r>
      <w:proofErr w:type="gramStart"/>
      <w:r w:rsidRPr="00C920D5">
        <w:rPr>
          <w:color w:val="000000" w:themeColor="text1"/>
          <w:sz w:val="18"/>
          <w:szCs w:val="18"/>
        </w:rPr>
        <w:t>;  and</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r>
      <w:proofErr w:type="gramStart"/>
      <w:r w:rsidRPr="00C920D5">
        <w:rPr>
          <w:color w:val="000000" w:themeColor="text1"/>
          <w:sz w:val="18"/>
          <w:szCs w:val="18"/>
        </w:rPr>
        <w:t>“(d)</w:t>
      </w:r>
      <w:r w:rsidRPr="00C920D5">
        <w:rPr>
          <w:color w:val="000000" w:themeColor="text1"/>
          <w:sz w:val="18"/>
          <w:szCs w:val="18"/>
        </w:rPr>
        <w:tab/>
        <w:t>Office of the Union.</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Pr="00C920D5">
        <w:rPr>
          <w:color w:val="000000" w:themeColor="text1"/>
          <w:sz w:val="18"/>
          <w:szCs w:val="18"/>
        </w:rPr>
        <w:lastRenderedPageBreak/>
        <w:t xml:space="preserve">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781F67" w:rsidRPr="008A572D" w:rsidRDefault="004B506E" w:rsidP="00781F67">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00007DA6">
        <w:rPr>
          <w:rFonts w:eastAsia="MS Mincho"/>
          <w:snapToGrid w:val="0"/>
        </w:rPr>
        <w:tab/>
      </w:r>
      <w:r w:rsidR="00007DA6" w:rsidRPr="008A572D">
        <w:t>The TC</w:t>
      </w:r>
      <w:r w:rsidR="00A5400F">
        <w:t>,</w:t>
      </w:r>
      <w:r w:rsidR="00007DA6" w:rsidRPr="008A572D">
        <w:t xml:space="preserve"> at its fiftieth session</w:t>
      </w:r>
      <w:r w:rsidR="00D1661C">
        <w:t>,</w:t>
      </w:r>
      <w:r w:rsidR="00007DA6" w:rsidRPr="008A572D">
        <w:t xml:space="preserve"> </w:t>
      </w:r>
      <w:r w:rsidR="00212C4C" w:rsidRPr="00C920D5">
        <w:t>note</w:t>
      </w:r>
      <w:r w:rsidR="00212C4C">
        <w:t>d</w:t>
      </w:r>
      <w:r w:rsidR="00212C4C" w:rsidRPr="00C920D5">
        <w:t xml:space="preserve"> the report concerning the possible development of a UPOV similarity search tool for variety denomination purposes</w:t>
      </w:r>
      <w:r w:rsidR="00212C4C" w:rsidRPr="00C920D5">
        <w:rPr>
          <w:kern w:val="28"/>
        </w:rPr>
        <w:t xml:space="preserve"> provided in </w:t>
      </w:r>
      <w:r w:rsidR="00212C4C">
        <w:rPr>
          <w:kern w:val="28"/>
        </w:rPr>
        <w:t>Section II</w:t>
      </w:r>
      <w:r w:rsidR="00781F67">
        <w:rPr>
          <w:kern w:val="28"/>
        </w:rPr>
        <w:t xml:space="preserve"> of this document </w:t>
      </w:r>
      <w:r w:rsidR="00781F67" w:rsidRPr="008A572D">
        <w:t>(see document TC/50/36 “Report</w:t>
      </w:r>
      <w:r w:rsidR="00A5400F">
        <w:t xml:space="preserve"> </w:t>
      </w:r>
      <w:r w:rsidR="00A5400F" w:rsidRPr="00C920D5">
        <w:t>on the Conclusions</w:t>
      </w:r>
      <w:r w:rsidR="00781F67" w:rsidRPr="008A572D">
        <w:t>”, paragraph 9</w:t>
      </w:r>
      <w:r w:rsidR="00781F67">
        <w:t>0</w:t>
      </w:r>
      <w:r w:rsidR="00781F67" w:rsidRPr="008A572D">
        <w:t xml:space="preserve">). </w:t>
      </w:r>
    </w:p>
    <w:p w:rsidR="00212C4C" w:rsidRDefault="00212C4C" w:rsidP="00007DA6">
      <w:pPr>
        <w:rPr>
          <w:rFonts w:cs="Arial"/>
          <w:snapToGrid w:val="0"/>
        </w:rPr>
      </w:pPr>
    </w:p>
    <w:p w:rsidR="00212C4C" w:rsidRPr="003371D7" w:rsidRDefault="00212C4C" w:rsidP="00212C4C">
      <w:r w:rsidRPr="003371D7">
        <w:fldChar w:fldCharType="begin"/>
      </w:r>
      <w:r w:rsidRPr="003371D7">
        <w:instrText xml:space="preserve"> AUTONUM  </w:instrText>
      </w:r>
      <w:r w:rsidRPr="003371D7">
        <w:fldChar w:fldCharType="end"/>
      </w:r>
      <w:r w:rsidRPr="003371D7">
        <w:tab/>
        <w:t>The TC welcomed the establishment of a working group for the development of a UPOV similarity search tool and invited experts to contribute to its work</w:t>
      </w:r>
      <w:r w:rsidR="00781F67">
        <w:t xml:space="preserve"> </w:t>
      </w:r>
      <w:r w:rsidR="00781F67" w:rsidRPr="008A572D">
        <w:t>(see document TC/50/36 “Report</w:t>
      </w:r>
      <w:r w:rsidR="00A5400F">
        <w:t xml:space="preserve"> </w:t>
      </w:r>
      <w:r w:rsidR="00A5400F" w:rsidRPr="00C920D5">
        <w:t>on the Conclusions</w:t>
      </w:r>
      <w:r w:rsidR="00781F67" w:rsidRPr="008A572D">
        <w:t xml:space="preserve">”, </w:t>
      </w:r>
      <w:r w:rsidR="00A5400F" w:rsidRPr="008A572D">
        <w:t xml:space="preserve">paragraph </w:t>
      </w:r>
      <w:r w:rsidR="00781F67" w:rsidRPr="008A572D">
        <w:t>9</w:t>
      </w:r>
      <w:r w:rsidR="00781F67">
        <w:t>1</w:t>
      </w:r>
      <w:r w:rsidR="00781F67" w:rsidRPr="008A572D">
        <w:t xml:space="preserve">). </w:t>
      </w:r>
      <w:r w:rsidRPr="003371D7">
        <w:t xml:space="preserve"> </w:t>
      </w:r>
    </w:p>
    <w:p w:rsidR="00212C4C" w:rsidRPr="003371D7" w:rsidRDefault="00212C4C" w:rsidP="00212C4C"/>
    <w:p w:rsidR="00212C4C" w:rsidRDefault="00212C4C" w:rsidP="00212C4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w:t>
      </w:r>
      <w:r w:rsidR="00781F67">
        <w:t xml:space="preserve">ning the objectives of its work </w:t>
      </w:r>
      <w:r w:rsidR="00781F67" w:rsidRPr="008A572D">
        <w:t>(see document TC/50/36 “Report</w:t>
      </w:r>
      <w:r w:rsidR="00A5400F">
        <w:t xml:space="preserve"> </w:t>
      </w:r>
      <w:r w:rsidR="00A5400F" w:rsidRPr="00C920D5">
        <w:t>on the Conclusions</w:t>
      </w:r>
      <w:r w:rsidR="00781F67" w:rsidRPr="008A572D">
        <w:t>”, paragraph 9</w:t>
      </w:r>
      <w:r w:rsidR="00781F67">
        <w:t>2</w:t>
      </w:r>
      <w:r w:rsidR="00781F67" w:rsidRPr="008A572D">
        <w:t xml:space="preserve">). </w:t>
      </w:r>
      <w:r>
        <w:t xml:space="preserve"> </w:t>
      </w:r>
    </w:p>
    <w:p w:rsidR="00212C4C" w:rsidRDefault="00212C4C" w:rsidP="00007DA6">
      <w:pPr>
        <w:rPr>
          <w:rFonts w:cs="Arial"/>
          <w:snapToGrid w:val="0"/>
        </w:rPr>
      </w:pPr>
    </w:p>
    <w:p w:rsidR="00212C4C" w:rsidRPr="000A6443" w:rsidRDefault="00212C4C" w:rsidP="00212C4C">
      <w:r w:rsidRPr="000A6443">
        <w:fldChar w:fldCharType="begin"/>
      </w:r>
      <w:r w:rsidRPr="000A6443">
        <w:instrText xml:space="preserve"> AUTONUM  </w:instrText>
      </w:r>
      <w:r w:rsidRPr="000A6443">
        <w:fldChar w:fldCharType="end"/>
      </w:r>
      <w:r w:rsidRPr="000A6443">
        <w:tab/>
        <w:t>The CAJ</w:t>
      </w:r>
      <w:r w:rsidR="00A5400F">
        <w:t>,</w:t>
      </w:r>
      <w:r>
        <w:t xml:space="preserve"> </w:t>
      </w:r>
      <w:r w:rsidRPr="008A572D">
        <w:t xml:space="preserve">at its sixty-ninth session, </w:t>
      </w:r>
      <w:r w:rsidRPr="000A6443">
        <w:t xml:space="preserve">noted that </w:t>
      </w:r>
      <w:r w:rsidRPr="000A6443">
        <w:rPr>
          <w:rFonts w:eastAsia="MS Mincho"/>
          <w:snapToGrid w:val="0"/>
        </w:rPr>
        <w:t>the first meeting of the working group would be arranged for June/July, 2014, and a report would be made to the CAJ at its seventieth session, to be held i</w:t>
      </w:r>
      <w:r>
        <w:rPr>
          <w:rFonts w:eastAsia="MS Mincho"/>
          <w:snapToGrid w:val="0"/>
        </w:rPr>
        <w:t>n Geneva, on October 13 and 14, </w:t>
      </w:r>
      <w:r w:rsidR="00781F67">
        <w:rPr>
          <w:rFonts w:eastAsia="MS Mincho"/>
          <w:snapToGrid w:val="0"/>
        </w:rPr>
        <w:t xml:space="preserve">2014 </w:t>
      </w:r>
      <w:r w:rsidR="00781F67" w:rsidRPr="008A572D">
        <w:t>(see document CAJ/69/12 “Report o</w:t>
      </w:r>
      <w:r w:rsidR="00781F67">
        <w:t xml:space="preserve">n the </w:t>
      </w:r>
      <w:r w:rsidR="00A5400F">
        <w:t>Conclusions</w:t>
      </w:r>
      <w:r w:rsidR="00781F67">
        <w:t>”, paragraph</w:t>
      </w:r>
      <w:r w:rsidR="00A5400F">
        <w:t>s 76 to</w:t>
      </w:r>
      <w:r w:rsidR="00781F67">
        <w:t xml:space="preserve"> 78</w:t>
      </w:r>
      <w:r w:rsidR="00781F67" w:rsidRPr="008A572D">
        <w:t>).</w:t>
      </w:r>
    </w:p>
    <w:p w:rsidR="00212C4C" w:rsidRPr="00007DA6" w:rsidRDefault="00212C4C" w:rsidP="00007DA6">
      <w:pPr>
        <w:rPr>
          <w:rFonts w:cs="Arial"/>
          <w:snapToGrid w:val="0"/>
        </w:rPr>
      </w:pPr>
    </w:p>
    <w:p w:rsidR="004B506E" w:rsidRPr="00C920D5" w:rsidRDefault="004B506E" w:rsidP="00377FF4">
      <w:pPr>
        <w:rPr>
          <w:snapToGrid w:val="0"/>
        </w:rPr>
      </w:pPr>
    </w:p>
    <w:p w:rsidR="00212C4C" w:rsidRPr="00212C4C" w:rsidRDefault="00822961" w:rsidP="008E502E">
      <w:pPr>
        <w:pStyle w:val="dec"/>
        <w:rPr>
          <w:rFonts w:eastAsia="MS Mincho"/>
          <w:snapToGrid w:val="0"/>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w:t>
      </w:r>
      <w:r w:rsidR="00212C4C">
        <w:rPr>
          <w:color w:val="000000" w:themeColor="text1"/>
          <w:spacing w:val="0"/>
        </w:rPr>
        <w:t>W</w:t>
      </w:r>
      <w:r w:rsidR="00E4755D">
        <w:rPr>
          <w:color w:val="000000" w:themeColor="text1"/>
          <w:spacing w:val="0"/>
        </w:rPr>
        <w:t>A</w:t>
      </w:r>
      <w:r w:rsidRPr="00C920D5">
        <w:rPr>
          <w:color w:val="000000" w:themeColor="text1"/>
          <w:spacing w:val="0"/>
        </w:rPr>
        <w:t xml:space="preserve"> is invited to</w:t>
      </w:r>
      <w:r w:rsidR="008E502E">
        <w:rPr>
          <w:color w:val="000000" w:themeColor="text1"/>
          <w:spacing w:val="0"/>
        </w:rPr>
        <w:t xml:space="preserve"> </w:t>
      </w:r>
      <w:r w:rsidR="00B14034" w:rsidRPr="00C920D5">
        <w:rPr>
          <w:color w:val="000000" w:themeColor="text1"/>
          <w:spacing w:val="0"/>
        </w:rPr>
        <w:t xml:space="preserve">note </w:t>
      </w:r>
      <w:r w:rsidR="004B506E" w:rsidRPr="00C920D5">
        <w:rPr>
          <w:color w:val="000000" w:themeColor="text1"/>
          <w:spacing w:val="0"/>
        </w:rPr>
        <w:t>the report concerning the possible development of a UPOV similarity search tool for variety denomination purposes</w:t>
      </w:r>
      <w:r w:rsidR="004B506E" w:rsidRPr="00C920D5">
        <w:rPr>
          <w:spacing w:val="0"/>
          <w:kern w:val="28"/>
        </w:rPr>
        <w:t xml:space="preserve"> </w:t>
      </w:r>
      <w:r w:rsidR="008E502E">
        <w:rPr>
          <w:spacing w:val="0"/>
          <w:kern w:val="28"/>
        </w:rPr>
        <w:t>and</w:t>
      </w:r>
      <w:r w:rsidR="00212C4C">
        <w:rPr>
          <w:rFonts w:eastAsia="MS Mincho"/>
          <w:snapToGrid w:val="0"/>
          <w:spacing w:val="0"/>
        </w:rPr>
        <w:t xml:space="preserve"> </w:t>
      </w:r>
      <w:r w:rsidR="00212C4C" w:rsidRPr="000A6443">
        <w:t xml:space="preserve">that </w:t>
      </w:r>
      <w:r w:rsidR="00212C4C" w:rsidRPr="000A6443">
        <w:rPr>
          <w:rFonts w:eastAsia="MS Mincho"/>
          <w:snapToGrid w:val="0"/>
        </w:rPr>
        <w:t xml:space="preserve">the first meeting of the working group would </w:t>
      </w:r>
      <w:r w:rsidR="008E502E">
        <w:rPr>
          <w:rFonts w:eastAsia="MS Mincho"/>
          <w:snapToGrid w:val="0"/>
        </w:rPr>
        <w:t>be arranged for June/July, 2014</w:t>
      </w:r>
      <w:r w:rsidR="00212C4C">
        <w:rPr>
          <w:rFonts w:eastAsia="MS Mincho"/>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7053061"/>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w:t>
      </w:r>
      <w:r w:rsidR="001925EA">
        <w:rPr>
          <w:rFonts w:cs="Arial"/>
          <w:snapToGrid w:val="0"/>
        </w:rPr>
        <w:t>W</w:t>
      </w:r>
      <w:r w:rsidR="009C45F9">
        <w:rPr>
          <w:rFonts w:cs="Arial"/>
          <w:snapToGrid w:val="0"/>
        </w:rPr>
        <w:t>A</w:t>
      </w:r>
      <w:r w:rsidR="001925EA">
        <w:rPr>
          <w:rFonts w:cs="Arial"/>
          <w:snapToGrid w:val="0"/>
        </w:rPr>
        <w:t>/</w:t>
      </w:r>
      <w:r w:rsidR="009C45F9">
        <w:rPr>
          <w:rFonts w:cs="Arial"/>
          <w:snapToGrid w:val="0"/>
        </w:rPr>
        <w:t>43</w:t>
      </w:r>
      <w:r w:rsidR="001925EA">
        <w:rPr>
          <w:rFonts w:cs="Arial"/>
          <w:snapToGrid w:val="0"/>
        </w:rPr>
        <w:t>/4 “Variety denominations”</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w:t>
      </w:r>
      <w:r w:rsidRPr="001960CC">
        <w:rPr>
          <w:snapToGrid w:val="0"/>
        </w:rPr>
        <w:lastRenderedPageBreak/>
        <w:t>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w:t>
      </w:r>
      <w:proofErr w:type="gramStart"/>
      <w:r w:rsidRPr="00C920D5">
        <w:t>10 ”</w:t>
      </w:r>
      <w:proofErr w:type="gramEnd"/>
      <w:r w:rsidRPr="00C920D5">
        <w:t>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Those proposals were published in July 2013 in Volume 7 of the journal “</w:t>
      </w:r>
      <w:proofErr w:type="spellStart"/>
      <w:r w:rsidRPr="00C920D5">
        <w:rPr>
          <w:rFonts w:cs="Arial"/>
          <w:snapToGrid w:val="0"/>
        </w:rPr>
        <w:t>Hanburyana</w:t>
      </w:r>
      <w:proofErr w:type="spellEnd"/>
      <w:r w:rsidRPr="00C920D5">
        <w:rPr>
          <w:rFonts w:cs="Arial"/>
          <w:snapToGrid w:val="0"/>
        </w:rPr>
        <w:t xml:space="preserve">”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t>Ms. </w:t>
      </w:r>
      <w:r w:rsidRPr="00C920D5">
        <w:rPr>
          <w:rFonts w:cs="Arial"/>
          <w:snapToGrid w:val="0"/>
        </w:rPr>
        <w:t>Janet</w:t>
      </w:r>
      <w:r w:rsidR="007C5CEE" w:rsidRPr="00C920D5">
        <w:rPr>
          <w:rFonts w:cs="Arial"/>
          <w:snapToGrid w:val="0"/>
        </w:rPr>
        <w:t> </w:t>
      </w:r>
      <w:proofErr w:type="spellStart"/>
      <w:r w:rsidRPr="00C920D5">
        <w:rPr>
          <w:rFonts w:cs="Arial"/>
          <w:snapToGrid w:val="0"/>
        </w:rPr>
        <w:t>Cubey</w:t>
      </w:r>
      <w:proofErr w:type="spellEnd"/>
      <w:r w:rsidRPr="00C920D5">
        <w:rPr>
          <w:rFonts w:cs="Arial"/>
          <w:snapToGrid w:val="0"/>
        </w:rPr>
        <w:t xml:space="preserve">,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p>
    <w:p w:rsidR="00D1661C" w:rsidRDefault="00D1661C" w:rsidP="00377FF4">
      <w:pPr>
        <w:rPr>
          <w:rFonts w:eastAsia="MS Mincho"/>
          <w:snapToGrid w:val="0"/>
        </w:rPr>
      </w:pPr>
    </w:p>
    <w:p w:rsidR="00D1661C" w:rsidRPr="00C920D5" w:rsidRDefault="00D1661C" w:rsidP="00D1661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w:t>
      </w:r>
      <w:r>
        <w:rPr>
          <w:snapToGrid w:val="0"/>
        </w:rPr>
        <w:t xml:space="preserve"> </w:t>
      </w:r>
      <w:r w:rsidRPr="008A572D">
        <w:t>at its fiftieth session</w:t>
      </w:r>
      <w:r>
        <w:t>,</w:t>
      </w:r>
      <w:r w:rsidRPr="008A572D">
        <w:t xml:space="preserve"> </w:t>
      </w:r>
      <w:r>
        <w:t xml:space="preserve">held </w:t>
      </w:r>
      <w:r w:rsidRPr="008A572D">
        <w:t>in Geneva from April 7 to 9, 2014,</w:t>
      </w:r>
      <w:r w:rsidRPr="00C920D5">
        <w:rPr>
          <w:snapToGrid w:val="0"/>
        </w:rPr>
        <w:t xml:space="preserve">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781F67">
        <w:rPr>
          <w:snapToGrid w:val="0"/>
        </w:rPr>
        <w:t xml:space="preserve">this </w:t>
      </w:r>
      <w:r>
        <w:rPr>
          <w:snapToGrid w:val="0"/>
        </w:rPr>
        <w:t>document</w:t>
      </w:r>
      <w:r w:rsidR="00781F67">
        <w:rPr>
          <w:snapToGrid w:val="0"/>
        </w:rPr>
        <w:t>,</w:t>
      </w:r>
      <w:r>
        <w:rPr>
          <w:snapToGrid w:val="0"/>
        </w:rPr>
        <w:t xml:space="preserve"> S</w:t>
      </w:r>
      <w:r w:rsidRPr="00C920D5">
        <w:rPr>
          <w:snapToGrid w:val="0"/>
        </w:rPr>
        <w:t>ection III</w:t>
      </w:r>
      <w:r w:rsidR="00781F67">
        <w:rPr>
          <w:snapToGrid w:val="0"/>
        </w:rPr>
        <w:t xml:space="preserve"> </w:t>
      </w:r>
      <w:r w:rsidR="00781F67" w:rsidRPr="008A572D">
        <w:t>(see document TC/50/36 “Report</w:t>
      </w:r>
      <w:r w:rsidR="00A5400F">
        <w:t xml:space="preserve"> </w:t>
      </w:r>
      <w:r w:rsidR="00A5400F" w:rsidRPr="00C920D5">
        <w:t>on the Conclusions</w:t>
      </w:r>
      <w:r w:rsidR="00781F67" w:rsidRPr="008A572D">
        <w:t>”, paragraph 9</w:t>
      </w:r>
      <w:r w:rsidR="00781F67">
        <w:t>3)</w:t>
      </w:r>
      <w:r w:rsidRPr="00C920D5">
        <w:rPr>
          <w:snapToGrid w:val="0"/>
        </w:rPr>
        <w:t>.</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w:t>
      </w:r>
      <w:r w:rsidR="00D1661C">
        <w:rPr>
          <w:snapToGrid w:val="0"/>
        </w:rPr>
        <w:t>W</w:t>
      </w:r>
      <w:r w:rsidR="00E4755D">
        <w:rPr>
          <w:snapToGrid w:val="0"/>
        </w:rPr>
        <w:t>A</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as set out in</w:t>
      </w:r>
      <w:r w:rsidR="00653610">
        <w:rPr>
          <w:snapToGrid w:val="0"/>
        </w:rPr>
        <w:t xml:space="preserve"> </w:t>
      </w:r>
      <w:r w:rsidRPr="00C920D5">
        <w:rPr>
          <w:snapToGrid w:val="0"/>
        </w:rPr>
        <w:t>this document.</w:t>
      </w:r>
    </w:p>
    <w:p w:rsidR="001925EA" w:rsidRDefault="001925EA" w:rsidP="00377FF4">
      <w:pPr>
        <w:jc w:val="right"/>
        <w:rPr>
          <w:iCs/>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 w:id="1">
    <w:p w:rsidR="008E502E" w:rsidRPr="006F1E76" w:rsidRDefault="008E502E"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1E4BD6" w:rsidP="00377FF4">
    <w:pPr>
      <w:pStyle w:val="Header"/>
      <w:rPr>
        <w:rStyle w:val="PageNumber"/>
      </w:rPr>
    </w:pPr>
    <w:r>
      <w:rPr>
        <w:rStyle w:val="PageNumber"/>
      </w:rPr>
      <w:t>TW</w:t>
    </w:r>
    <w:r w:rsidR="00E4755D">
      <w:rPr>
        <w:rStyle w:val="PageNumber"/>
      </w:rPr>
      <w:t>A</w:t>
    </w:r>
    <w:r>
      <w:rPr>
        <w:rStyle w:val="PageNumber"/>
      </w:rPr>
      <w:t>/4</w:t>
    </w:r>
    <w:r w:rsidR="00E4755D">
      <w:rPr>
        <w:rStyle w:val="PageNumber"/>
      </w:rPr>
      <w:t>3</w:t>
    </w:r>
    <w:r>
      <w:rPr>
        <w:rStyle w:val="PageNumber"/>
      </w:rPr>
      <w:t>/</w:t>
    </w:r>
    <w:r w:rsidR="008E502E">
      <w:rPr>
        <w:rStyle w:val="PageNumber"/>
      </w:rPr>
      <w:t>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A3FF6">
      <w:rPr>
        <w:rStyle w:val="PageNumber"/>
        <w:noProof/>
      </w:rPr>
      <w:t>2</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Default="008E502E" w:rsidP="001925EA">
    <w:pPr>
      <w:pStyle w:val="Header"/>
      <w:rPr>
        <w:lang w:val="en-US"/>
      </w:rPr>
    </w:pPr>
  </w:p>
  <w:p w:rsidR="008E502E" w:rsidRPr="00356384" w:rsidRDefault="008E50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67C"/>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4BD6"/>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3F09"/>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76C"/>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677E0"/>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594F"/>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3A9"/>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3C8"/>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0FD9"/>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923"/>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C97"/>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5F9"/>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1FF2"/>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368"/>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FF6"/>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2DF1"/>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0BB"/>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755D"/>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D6993"/>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EDD33-5017-4788-9400-71891874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16</cp:revision>
  <cp:lastPrinted>2014-05-28T07:24:00Z</cp:lastPrinted>
  <dcterms:created xsi:type="dcterms:W3CDTF">2014-05-20T10:41:00Z</dcterms:created>
  <dcterms:modified xsi:type="dcterms:W3CDTF">2014-08-20T08:03:00Z</dcterms:modified>
</cp:coreProperties>
</file>