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67250B66" wp14:editId="1333243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7541D3" w:rsidP="006655D3">
            <w:pPr>
              <w:pStyle w:val="Docoriginal"/>
            </w:pPr>
            <w:r>
              <w:t>TW</w:t>
            </w:r>
            <w:r w:rsidR="00B1545A">
              <w:t>A</w:t>
            </w:r>
            <w:r>
              <w:t>/4</w:t>
            </w:r>
            <w:r w:rsidR="00B1545A">
              <w:t>3</w:t>
            </w:r>
            <w:r w:rsidR="00667404">
              <w:t>/</w:t>
            </w:r>
            <w:bookmarkStart w:id="0" w:name="Code"/>
            <w:bookmarkEnd w:id="0"/>
            <w:r w:rsidR="001D18EE">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AC2F7C">
            <w:pPr>
              <w:pStyle w:val="Docoriginal"/>
            </w:pPr>
            <w:r w:rsidRPr="00502F27">
              <w:rPr>
                <w:spacing w:val="0"/>
              </w:rPr>
              <w:t>DATE</w:t>
            </w:r>
            <w:r w:rsidRPr="005B1516">
              <w:rPr>
                <w:spacing w:val="0"/>
              </w:rPr>
              <w:t>:</w:t>
            </w:r>
            <w:r w:rsidRPr="005B1516">
              <w:rPr>
                <w:rStyle w:val="StyleDocoriginalNotBold1"/>
                <w:spacing w:val="0"/>
              </w:rPr>
              <w:t xml:space="preserve"> </w:t>
            </w:r>
            <w:bookmarkStart w:id="2" w:name="Date"/>
            <w:bookmarkEnd w:id="2"/>
            <w:r w:rsidR="00876C58" w:rsidRPr="005B1516">
              <w:rPr>
                <w:rStyle w:val="StyleDocoriginalNotBold1"/>
                <w:spacing w:val="0"/>
              </w:rPr>
              <w:t xml:space="preserve"> </w:t>
            </w:r>
            <w:r w:rsidR="0096514B" w:rsidRPr="00AC2F7C">
              <w:rPr>
                <w:rStyle w:val="StyleDocoriginalNotBold1"/>
                <w:spacing w:val="0"/>
              </w:rPr>
              <w:t xml:space="preserve">July </w:t>
            </w:r>
            <w:r w:rsidR="00AC2F7C" w:rsidRPr="00AC2F7C">
              <w:rPr>
                <w:rStyle w:val="StyleDocoriginalNotBold1"/>
                <w:spacing w:val="0"/>
              </w:rPr>
              <w:t>30</w:t>
            </w:r>
            <w:r w:rsidR="0096514B" w:rsidRPr="00AC2F7C">
              <w:rPr>
                <w:rStyle w:val="StyleDocoriginalNotBold1"/>
                <w:spacing w:val="0"/>
              </w:rPr>
              <w:t xml:space="preserve"> </w:t>
            </w:r>
            <w:r w:rsidR="00502F27" w:rsidRPr="00AC2F7C">
              <w:rPr>
                <w:rStyle w:val="StyleDocoriginalNotBold1"/>
                <w:spacing w:val="0"/>
              </w:rPr>
              <w:t>, 2014</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7541D3">
        <w:t>FRUIT CROPS</w:t>
      </w:r>
      <w:bookmarkStart w:id="3" w:name="_GoBack"/>
      <w:bookmarkEnd w:id="3"/>
    </w:p>
    <w:p w:rsidR="0018780B" w:rsidRPr="00C5280D" w:rsidRDefault="0061555F" w:rsidP="0018780B">
      <w:pPr>
        <w:pStyle w:val="Sessiontcplacedate"/>
      </w:pPr>
      <w:r w:rsidRPr="00C5280D">
        <w:t>Forty</w:t>
      </w:r>
      <w:r w:rsidR="00867AC1" w:rsidRPr="00C5280D">
        <w:t>-</w:t>
      </w:r>
      <w:r w:rsidR="00B1545A">
        <w:t>Third</w:t>
      </w:r>
      <w:r w:rsidRPr="00C5280D">
        <w:t xml:space="preserve"> S</w:t>
      </w:r>
      <w:r w:rsidR="00867AC1" w:rsidRPr="00C5280D">
        <w:t>ession</w:t>
      </w:r>
      <w:r w:rsidR="00361821" w:rsidRPr="00C5280D">
        <w:br/>
      </w:r>
      <w:r w:rsidR="00883C27">
        <w:rPr>
          <w:rFonts w:cs="Arial"/>
        </w:rPr>
        <w:t>Mar del Plata, Argentina</w:t>
      </w:r>
      <w:r w:rsidR="00883C27">
        <w:t>, November 17 to 21, 2014</w:t>
      </w:r>
    </w:p>
    <w:p w:rsidR="001D18EE" w:rsidRPr="00C5280D" w:rsidRDefault="001D18EE" w:rsidP="001D18EE">
      <w:pPr>
        <w:pStyle w:val="Titleofdoc0"/>
      </w:pPr>
      <w:bookmarkStart w:id="4" w:name="TitleOfDoc"/>
      <w:bookmarkEnd w:id="4"/>
      <w:r w:rsidRPr="00E47719">
        <w:rPr>
          <w:rFonts w:cs="Arial"/>
        </w:rPr>
        <w:t>Revision of document TGP/8: Part II: Selected</w:t>
      </w:r>
      <w:r w:rsidRPr="00192206">
        <w:rPr>
          <w:rFonts w:cs="Arial"/>
        </w:rPr>
        <w:t xml:space="preserve"> Techniqu</w:t>
      </w:r>
      <w:r>
        <w:rPr>
          <w:rFonts w:cs="Arial"/>
        </w:rPr>
        <w:t>es Used in DUS Examination, New </w:t>
      </w:r>
      <w:r w:rsidRPr="00192206">
        <w:rPr>
          <w:rFonts w:cs="Arial"/>
        </w:rPr>
        <w:t>Section: Guidance for Blind Randomized Trials</w:t>
      </w:r>
    </w:p>
    <w:p w:rsidR="001D18EE" w:rsidRPr="00C5280D" w:rsidRDefault="001D18EE" w:rsidP="001D18EE">
      <w:pPr>
        <w:pStyle w:val="preparedby1"/>
      </w:pPr>
      <w:bookmarkStart w:id="5" w:name="Prepared"/>
      <w:bookmarkEnd w:id="5"/>
      <w:r w:rsidRPr="00EA789D">
        <w:t>Document prepared by the Office of the Union</w:t>
      </w:r>
      <w:r>
        <w:br/>
      </w:r>
      <w:r>
        <w:br/>
      </w:r>
      <w:r>
        <w:rPr>
          <w:color w:val="A6A6A6" w:themeColor="background1" w:themeShade="A6"/>
        </w:rPr>
        <w:t>Disclaimer:  this document does not represent UPOV policies or guidance</w:t>
      </w:r>
    </w:p>
    <w:p w:rsidR="001D18EE" w:rsidRDefault="001D18EE" w:rsidP="001D18EE">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1D18EE" w:rsidRDefault="001D18EE" w:rsidP="001D18EE">
      <w:pPr>
        <w:rPr>
          <w:rFonts w:cs="Arial"/>
          <w:lang w:eastAsia="ja-JP"/>
        </w:rPr>
      </w:pPr>
    </w:p>
    <w:p w:rsidR="001D18EE" w:rsidRDefault="001D18EE" w:rsidP="001D18EE">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1D18EE" w:rsidRDefault="001D18EE" w:rsidP="001D18EE">
      <w:pPr>
        <w:rPr>
          <w:rFonts w:cs="Arial"/>
          <w:color w:val="000000"/>
        </w:rPr>
      </w:pPr>
    </w:p>
    <w:p w:rsidR="001D18EE" w:rsidRPr="00322838" w:rsidRDefault="001D18EE" w:rsidP="001D18EE">
      <w:pPr>
        <w:rPr>
          <w:rFonts w:cs="Arial"/>
        </w:rPr>
      </w:pPr>
      <w:r w:rsidRPr="00322838">
        <w:rPr>
          <w:rFonts w:cs="Arial"/>
        </w:rPr>
        <w:tab/>
        <w:t>TC:</w:t>
      </w:r>
      <w:r w:rsidRPr="00322838">
        <w:rPr>
          <w:rFonts w:cs="Arial"/>
        </w:rPr>
        <w:tab/>
      </w:r>
      <w:r w:rsidRPr="00322838">
        <w:rPr>
          <w:rFonts w:cs="Arial"/>
        </w:rPr>
        <w:tab/>
        <w:t>Technical Committee</w:t>
      </w:r>
    </w:p>
    <w:p w:rsidR="001D18EE" w:rsidRPr="00322838" w:rsidRDefault="001D18EE" w:rsidP="001D18E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1D18EE" w:rsidRPr="00322838" w:rsidRDefault="001D18EE" w:rsidP="001D18E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1D18EE" w:rsidRPr="00322838" w:rsidRDefault="001D18EE" w:rsidP="001D18E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1D18EE" w:rsidRPr="00322838" w:rsidRDefault="001D18EE" w:rsidP="001D18E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1D18EE" w:rsidRPr="00322838" w:rsidRDefault="001D18EE" w:rsidP="001D18E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1D18EE" w:rsidRPr="00322838" w:rsidRDefault="001D18EE" w:rsidP="001D18E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1D18EE" w:rsidRPr="00322838" w:rsidRDefault="001D18EE" w:rsidP="001D18E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1D18EE" w:rsidRDefault="001D18EE" w:rsidP="001D18EE"/>
    <w:p w:rsidR="001D18EE" w:rsidRDefault="001D18EE" w:rsidP="001D18E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1D18EE" w:rsidRPr="00A70561" w:rsidRDefault="001D18EE" w:rsidP="001D18EE">
      <w:pPr>
        <w:autoSpaceDE w:val="0"/>
        <w:autoSpaceDN w:val="0"/>
        <w:adjustRightInd w:val="0"/>
        <w:rPr>
          <w:rFonts w:eastAsia="MS Mincho"/>
          <w:color w:val="000000"/>
          <w:szCs w:val="16"/>
          <w:lang w:eastAsia="ja-JP"/>
        </w:rPr>
      </w:pPr>
    </w:p>
    <w:p w:rsidR="0041166B" w:rsidRDefault="001D18EE">
      <w:pPr>
        <w:pStyle w:val="TOC1"/>
        <w:rPr>
          <w:rStyle w:val="Hyperlink"/>
        </w:rPr>
      </w:pPr>
      <w:r>
        <w:rPr>
          <w:caps w:val="0"/>
        </w:rPr>
        <w:fldChar w:fldCharType="begin"/>
      </w:r>
      <w:r>
        <w:rPr>
          <w:caps w:val="0"/>
        </w:rPr>
        <w:instrText xml:space="preserve"> TOC \o "1-3" \h \z \u </w:instrText>
      </w:r>
      <w:r>
        <w:rPr>
          <w:caps w:val="0"/>
        </w:rPr>
        <w:fldChar w:fldCharType="separate"/>
      </w:r>
      <w:hyperlink w:anchor="_Toc387841231" w:history="1">
        <w:r w:rsidR="0041166B" w:rsidRPr="004A1E6B">
          <w:rPr>
            <w:rStyle w:val="Hyperlink"/>
          </w:rPr>
          <w:t>background</w:t>
        </w:r>
        <w:r w:rsidR="0041166B">
          <w:rPr>
            <w:webHidden/>
          </w:rPr>
          <w:tab/>
        </w:r>
        <w:r w:rsidR="0041166B">
          <w:rPr>
            <w:webHidden/>
          </w:rPr>
          <w:fldChar w:fldCharType="begin"/>
        </w:r>
        <w:r w:rsidR="0041166B">
          <w:rPr>
            <w:webHidden/>
          </w:rPr>
          <w:instrText xml:space="preserve"> PAGEREF _Toc387841231 \h </w:instrText>
        </w:r>
        <w:r w:rsidR="0041166B">
          <w:rPr>
            <w:webHidden/>
          </w:rPr>
        </w:r>
        <w:r w:rsidR="0041166B">
          <w:rPr>
            <w:webHidden/>
          </w:rPr>
          <w:fldChar w:fldCharType="separate"/>
        </w:r>
        <w:r w:rsidR="005B1516">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AC2F7C">
      <w:pPr>
        <w:pStyle w:val="TOC1"/>
        <w:rPr>
          <w:rStyle w:val="Hyperlink"/>
        </w:rPr>
      </w:pPr>
      <w:hyperlink w:anchor="_Toc387841232" w:history="1">
        <w:r w:rsidR="0041166B" w:rsidRPr="004A1E6B">
          <w:rPr>
            <w:rStyle w:val="Hyperlink"/>
          </w:rPr>
          <w:t>Comments by the technical committee in 2013</w:t>
        </w:r>
        <w:r w:rsidR="0041166B">
          <w:rPr>
            <w:webHidden/>
          </w:rPr>
          <w:tab/>
        </w:r>
        <w:r w:rsidR="0041166B">
          <w:rPr>
            <w:webHidden/>
          </w:rPr>
          <w:fldChar w:fldCharType="begin"/>
        </w:r>
        <w:r w:rsidR="0041166B">
          <w:rPr>
            <w:webHidden/>
          </w:rPr>
          <w:instrText xml:space="preserve"> PAGEREF _Toc387841232 \h </w:instrText>
        </w:r>
        <w:r w:rsidR="0041166B">
          <w:rPr>
            <w:webHidden/>
          </w:rPr>
        </w:r>
        <w:r w:rsidR="0041166B">
          <w:rPr>
            <w:webHidden/>
          </w:rPr>
          <w:fldChar w:fldCharType="separate"/>
        </w:r>
        <w:r w:rsidR="005B1516">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AC2F7C">
      <w:pPr>
        <w:pStyle w:val="TOC1"/>
        <w:rPr>
          <w:rStyle w:val="Hyperlink"/>
        </w:rPr>
      </w:pPr>
      <w:hyperlink w:anchor="_Toc387841233" w:history="1">
        <w:r w:rsidR="0041166B" w:rsidRPr="004A1E6B">
          <w:rPr>
            <w:rStyle w:val="Hyperlink"/>
          </w:rPr>
          <w:t>Comments by the technical WORKING PARTIES in 2013</w:t>
        </w:r>
        <w:r w:rsidR="0041166B">
          <w:rPr>
            <w:webHidden/>
          </w:rPr>
          <w:tab/>
        </w:r>
        <w:r w:rsidR="0041166B">
          <w:rPr>
            <w:webHidden/>
          </w:rPr>
          <w:fldChar w:fldCharType="begin"/>
        </w:r>
        <w:r w:rsidR="0041166B">
          <w:rPr>
            <w:webHidden/>
          </w:rPr>
          <w:instrText xml:space="preserve"> PAGEREF _Toc387841233 \h </w:instrText>
        </w:r>
        <w:r w:rsidR="0041166B">
          <w:rPr>
            <w:webHidden/>
          </w:rPr>
        </w:r>
        <w:r w:rsidR="0041166B">
          <w:rPr>
            <w:webHidden/>
          </w:rPr>
          <w:fldChar w:fldCharType="separate"/>
        </w:r>
        <w:r w:rsidR="005B1516">
          <w:rPr>
            <w:webHidden/>
          </w:rPr>
          <w:t>2</w:t>
        </w:r>
        <w:r w:rsidR="0041166B">
          <w:rPr>
            <w:webHidden/>
          </w:rPr>
          <w:fldChar w:fldCharType="end"/>
        </w:r>
      </w:hyperlink>
    </w:p>
    <w:p w:rsidR="00EC74A2" w:rsidRPr="00EC74A2" w:rsidRDefault="00EC74A2" w:rsidP="00EC74A2">
      <w:pPr>
        <w:rPr>
          <w:rFonts w:eastAsiaTheme="minorEastAsia"/>
          <w:noProof/>
        </w:rPr>
      </w:pPr>
    </w:p>
    <w:p w:rsidR="0041166B" w:rsidRDefault="00AC2F7C">
      <w:pPr>
        <w:pStyle w:val="TOC1"/>
        <w:rPr>
          <w:rFonts w:asciiTheme="minorHAnsi" w:eastAsiaTheme="minorEastAsia" w:hAnsiTheme="minorHAnsi" w:cstheme="minorBidi"/>
          <w:caps w:val="0"/>
          <w:sz w:val="22"/>
          <w:szCs w:val="22"/>
        </w:rPr>
      </w:pPr>
      <w:hyperlink w:anchor="_Toc387841234" w:history="1">
        <w:r w:rsidR="0041166B" w:rsidRPr="004A1E6B">
          <w:rPr>
            <w:rStyle w:val="Hyperlink"/>
          </w:rPr>
          <w:t>Comments by the technical committee in 2014</w:t>
        </w:r>
        <w:r w:rsidR="0041166B">
          <w:rPr>
            <w:webHidden/>
          </w:rPr>
          <w:tab/>
        </w:r>
        <w:r w:rsidR="0041166B">
          <w:rPr>
            <w:webHidden/>
          </w:rPr>
          <w:fldChar w:fldCharType="begin"/>
        </w:r>
        <w:r w:rsidR="0041166B">
          <w:rPr>
            <w:webHidden/>
          </w:rPr>
          <w:instrText xml:space="preserve"> PAGEREF _Toc387841234 \h </w:instrText>
        </w:r>
        <w:r w:rsidR="0041166B">
          <w:rPr>
            <w:webHidden/>
          </w:rPr>
        </w:r>
        <w:r w:rsidR="0041166B">
          <w:rPr>
            <w:webHidden/>
          </w:rPr>
          <w:fldChar w:fldCharType="separate"/>
        </w:r>
        <w:r w:rsidR="005B1516">
          <w:rPr>
            <w:webHidden/>
          </w:rPr>
          <w:t>3</w:t>
        </w:r>
        <w:r w:rsidR="0041166B">
          <w:rPr>
            <w:webHidden/>
          </w:rPr>
          <w:fldChar w:fldCharType="end"/>
        </w:r>
      </w:hyperlink>
    </w:p>
    <w:p w:rsidR="001D18EE" w:rsidRDefault="001D18EE" w:rsidP="001D18EE">
      <w:pPr>
        <w:rPr>
          <w:rFonts w:eastAsia="MS Mincho"/>
          <w:color w:val="000000"/>
          <w:szCs w:val="24"/>
          <w:lang w:eastAsia="ja-JP"/>
        </w:rPr>
      </w:pPr>
      <w:r>
        <w:rPr>
          <w:caps/>
        </w:rPr>
        <w:fldChar w:fldCharType="end"/>
      </w:r>
    </w:p>
    <w:p w:rsidR="001D18EE" w:rsidRDefault="001D18EE" w:rsidP="001D18EE">
      <w:pPr>
        <w:tabs>
          <w:tab w:val="left" w:pos="1701"/>
        </w:tabs>
        <w:autoSpaceDE w:val="0"/>
        <w:autoSpaceDN w:val="0"/>
        <w:adjustRightInd w:val="0"/>
        <w:spacing w:after="60"/>
        <w:ind w:left="1710" w:hanging="1710"/>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t>Extract from document TGP/8/1: Part I: DUS trial design and data analysis: Section 1.5.3.4 “Blind Randomized Trials”</w:t>
      </w:r>
    </w:p>
    <w:p w:rsidR="001D18EE" w:rsidRPr="00D52743" w:rsidRDefault="001D18EE" w:rsidP="001D18EE">
      <w:pPr>
        <w:spacing w:after="60"/>
        <w:rPr>
          <w:caps/>
        </w:rPr>
      </w:pPr>
      <w:r>
        <w:rPr>
          <w:rFonts w:eastAsia="MS Mincho"/>
          <w:color w:val="000000"/>
          <w:szCs w:val="24"/>
          <w:lang w:eastAsia="ja-JP"/>
        </w:rPr>
        <w:t>ANNEX II:</w:t>
      </w:r>
      <w:r>
        <w:rPr>
          <w:rFonts w:eastAsia="MS Mincho"/>
          <w:color w:val="000000"/>
          <w:szCs w:val="24"/>
          <w:lang w:eastAsia="ja-JP"/>
        </w:rPr>
        <w:tab/>
      </w:r>
      <w:r>
        <w:rPr>
          <w:rFonts w:eastAsia="MS Mincho"/>
          <w:color w:val="000000"/>
          <w:szCs w:val="24"/>
          <w:lang w:eastAsia="ja-JP"/>
        </w:rPr>
        <w:tab/>
        <w:t>Draft guidance considered by the TWPs</w:t>
      </w:r>
      <w:r w:rsidRPr="00D52743">
        <w:t xml:space="preserve"> at their sessions in 2013</w:t>
      </w:r>
    </w:p>
    <w:p w:rsidR="001D18EE" w:rsidRDefault="001D18EE" w:rsidP="001D18EE">
      <w:pPr>
        <w:spacing w:after="60"/>
        <w:ind w:left="1701" w:hanging="1701"/>
      </w:pPr>
      <w:r>
        <w:rPr>
          <w:rFonts w:eastAsia="MS Mincho"/>
          <w:color w:val="000000"/>
          <w:szCs w:val="24"/>
          <w:lang w:eastAsia="ja-JP"/>
        </w:rPr>
        <w:t>ANNEX III:</w:t>
      </w:r>
      <w:r>
        <w:rPr>
          <w:rFonts w:eastAsia="MS Mincho"/>
          <w:color w:val="000000"/>
          <w:szCs w:val="24"/>
          <w:lang w:eastAsia="ja-JP"/>
        </w:rPr>
        <w:tab/>
      </w:r>
      <w:r w:rsidRPr="009C5B3A">
        <w:rPr>
          <w:rFonts w:eastAsia="MS Mincho"/>
          <w:color w:val="000000"/>
          <w:szCs w:val="24"/>
          <w:lang w:eastAsia="ja-JP"/>
        </w:rPr>
        <w:t>Draft guidance for blind randomized trials conducted by the authority or a third party</w:t>
      </w:r>
    </w:p>
    <w:p w:rsidR="001D18EE" w:rsidRPr="0083609F" w:rsidRDefault="001D18EE" w:rsidP="001D18EE">
      <w:pPr>
        <w:tabs>
          <w:tab w:val="left" w:pos="1710"/>
        </w:tabs>
        <w:ind w:left="1710" w:hanging="1710"/>
        <w:rPr>
          <w:caps/>
          <w:u w:val="single"/>
        </w:rPr>
      </w:pPr>
    </w:p>
    <w:p w:rsidR="001D18EE" w:rsidRPr="006E3BB4" w:rsidRDefault="001D18EE" w:rsidP="001D18EE"/>
    <w:p w:rsidR="001D18EE" w:rsidRDefault="001D18EE" w:rsidP="001D18EE">
      <w:pPr>
        <w:pStyle w:val="Heading1"/>
      </w:pPr>
    </w:p>
    <w:p w:rsidR="001D18EE" w:rsidRDefault="001D18EE" w:rsidP="001D18EE">
      <w:pPr>
        <w:pStyle w:val="Heading1"/>
      </w:pPr>
    </w:p>
    <w:p w:rsidR="001D18EE" w:rsidRDefault="001D18EE" w:rsidP="001D18EE">
      <w:pPr>
        <w:pStyle w:val="Heading1"/>
      </w:pPr>
    </w:p>
    <w:p w:rsidR="001D18EE" w:rsidRDefault="001D18EE" w:rsidP="001D18EE"/>
    <w:p w:rsidR="001D18EE" w:rsidRPr="00EA7F8D" w:rsidRDefault="001D18EE" w:rsidP="001D18EE"/>
    <w:p w:rsidR="001D18EE" w:rsidRDefault="001D18EE" w:rsidP="001D18EE">
      <w:pPr>
        <w:pStyle w:val="Heading1"/>
      </w:pPr>
      <w:bookmarkStart w:id="6" w:name="_Toc387841231"/>
      <w:r>
        <w:lastRenderedPageBreak/>
        <w:t>background</w:t>
      </w:r>
      <w:bookmarkEnd w:id="6"/>
    </w:p>
    <w:p w:rsidR="001D18EE" w:rsidRDefault="001D18EE" w:rsidP="001D18EE">
      <w:pPr>
        <w:keepNext/>
      </w:pPr>
    </w:p>
    <w:p w:rsidR="001D18EE" w:rsidRDefault="001D18EE" w:rsidP="001D18EE">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 xml:space="preserve">e resistance and other examples (see document TC/48/22 “Report on conclusions”, paragraph 60). </w:t>
      </w:r>
    </w:p>
    <w:p w:rsidR="001D18EE" w:rsidRDefault="001D18EE" w:rsidP="001D18EE"/>
    <w:p w:rsidR="001D18EE" w:rsidRDefault="001D18EE" w:rsidP="001D18EE">
      <w:r>
        <w:fldChar w:fldCharType="begin"/>
      </w:r>
      <w:r>
        <w:instrText xml:space="preserve"> AUTONUM  </w:instrText>
      </w:r>
      <w:r>
        <w:fldChar w:fldCharType="end"/>
      </w:r>
      <w:r>
        <w:tab/>
        <w:t>Annex I of this document presents an extract from document TGP/8, Part I: DUS Trial Design and Data Analysis, Section 1: DUS Trial Design, with existing guidance on trial layout for blind randomized trials.</w:t>
      </w:r>
    </w:p>
    <w:p w:rsidR="001D18EE" w:rsidRDefault="001D18EE" w:rsidP="001D18EE"/>
    <w:p w:rsidR="001D18EE" w:rsidRDefault="001D18EE" w:rsidP="001D18EE">
      <w:pPr>
        <w:pStyle w:val="Heading1"/>
      </w:pPr>
    </w:p>
    <w:p w:rsidR="001D18EE" w:rsidRDefault="001D18EE" w:rsidP="001D18EE">
      <w:pPr>
        <w:pStyle w:val="Heading1"/>
      </w:pPr>
      <w:bookmarkStart w:id="7" w:name="_Toc387841232"/>
      <w:r w:rsidRPr="00FA7008">
        <w:t xml:space="preserve">Comments by the </w:t>
      </w:r>
      <w:r>
        <w:t xml:space="preserve">technical committee </w:t>
      </w:r>
      <w:r w:rsidRPr="00FA7008">
        <w:t>in 201</w:t>
      </w:r>
      <w:r>
        <w:t>3</w:t>
      </w:r>
      <w:bookmarkEnd w:id="7"/>
      <w:r w:rsidRPr="00FA7008">
        <w:t xml:space="preserve"> </w:t>
      </w:r>
    </w:p>
    <w:p w:rsidR="001D18EE" w:rsidRDefault="001D18EE" w:rsidP="001D18EE">
      <w:pPr>
        <w:keepNext/>
      </w:pPr>
    </w:p>
    <w:p w:rsidR="001D18EE" w:rsidRPr="00AF342C" w:rsidRDefault="001D18EE" w:rsidP="001D18EE">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1D18EE" w:rsidRDefault="001D18EE" w:rsidP="001D18EE"/>
    <w:p w:rsidR="001D18EE" w:rsidRDefault="001D18EE" w:rsidP="001D18EE"/>
    <w:p w:rsidR="001D18EE" w:rsidRDefault="001D18EE" w:rsidP="001D18EE">
      <w:pPr>
        <w:pStyle w:val="Heading1"/>
      </w:pPr>
      <w:bookmarkStart w:id="8" w:name="_Toc387841233"/>
      <w:r w:rsidRPr="00FA7008">
        <w:t xml:space="preserve">Comments by the </w:t>
      </w:r>
      <w:r>
        <w:t xml:space="preserve">technical WORKING PARTIES </w:t>
      </w:r>
      <w:r w:rsidRPr="00FA7008">
        <w:t>in 201</w:t>
      </w:r>
      <w:r>
        <w:t>3</w:t>
      </w:r>
      <w:bookmarkEnd w:id="8"/>
      <w:r w:rsidRPr="00FA7008">
        <w:t xml:space="preserve"> </w:t>
      </w:r>
    </w:p>
    <w:p w:rsidR="001D18EE" w:rsidRPr="00046F70" w:rsidRDefault="001D18EE" w:rsidP="001D18EE"/>
    <w:p w:rsidR="001D18EE" w:rsidRPr="00100526" w:rsidRDefault="001D18EE" w:rsidP="001D18EE">
      <w:pPr>
        <w:keepNext/>
      </w:pPr>
      <w:r w:rsidRPr="00100526">
        <w:fldChar w:fldCharType="begin"/>
      </w:r>
      <w:r w:rsidRPr="00100526">
        <w:instrText xml:space="preserve"> AUTONUM  </w:instrText>
      </w:r>
      <w:r w:rsidRPr="00100526">
        <w:fldChar w:fldCharType="end"/>
      </w:r>
      <w:r w:rsidRPr="00100526">
        <w:tab/>
      </w:r>
      <w:r w:rsidRPr="00100526">
        <w:rPr>
          <w:rFonts w:cs="Arial"/>
        </w:rPr>
        <w:t>At their sessions in 201</w:t>
      </w:r>
      <w:r>
        <w:rPr>
          <w:rFonts w:cs="Arial"/>
        </w:rPr>
        <w:t>3</w:t>
      </w:r>
      <w:r w:rsidRPr="00100526">
        <w:rPr>
          <w:rFonts w:cs="Arial"/>
        </w:rPr>
        <w:t>, the TW</w:t>
      </w:r>
      <w:r>
        <w:rPr>
          <w:rFonts w:cs="Arial"/>
        </w:rPr>
        <w:t>O</w:t>
      </w:r>
      <w:r w:rsidRPr="00100526">
        <w:rPr>
          <w:rFonts w:cs="Arial"/>
        </w:rPr>
        <w:t>, TW</w:t>
      </w:r>
      <w:r>
        <w:rPr>
          <w:rFonts w:cs="Arial"/>
        </w:rPr>
        <w:t>F</w:t>
      </w:r>
      <w:r w:rsidRPr="00100526">
        <w:rPr>
          <w:rFonts w:cs="Arial"/>
        </w:rPr>
        <w:t>, TW</w:t>
      </w:r>
      <w:r>
        <w:rPr>
          <w:rFonts w:cs="Arial"/>
        </w:rPr>
        <w:t>V</w:t>
      </w:r>
      <w:r w:rsidRPr="00100526">
        <w:rPr>
          <w:rFonts w:cs="Arial"/>
        </w:rPr>
        <w:t>, TW</w:t>
      </w:r>
      <w:r>
        <w:rPr>
          <w:rFonts w:cs="Arial"/>
        </w:rPr>
        <w:t>C</w:t>
      </w:r>
      <w:r w:rsidRPr="00100526">
        <w:rPr>
          <w:rFonts w:cs="Arial"/>
        </w:rPr>
        <w:t xml:space="preserve"> and TW</w:t>
      </w:r>
      <w:r>
        <w:rPr>
          <w:rFonts w:cs="Arial"/>
        </w:rPr>
        <w:t>A</w:t>
      </w:r>
      <w:r w:rsidRPr="00100526">
        <w:rPr>
          <w:rFonts w:cs="Arial"/>
        </w:rPr>
        <w:t xml:space="preserve"> considered documents TW</w:t>
      </w:r>
      <w:r>
        <w:rPr>
          <w:rFonts w:cs="Arial"/>
        </w:rPr>
        <w:t>O</w:t>
      </w:r>
      <w:r w:rsidRPr="00100526">
        <w:rPr>
          <w:rFonts w:cs="Arial"/>
        </w:rPr>
        <w:t>/</w:t>
      </w:r>
      <w:r>
        <w:rPr>
          <w:rFonts w:cs="Arial"/>
        </w:rPr>
        <w:t>46</w:t>
      </w:r>
      <w:r w:rsidRPr="00100526">
        <w:rPr>
          <w:rFonts w:cs="Arial"/>
        </w:rPr>
        <w:t>/</w:t>
      </w:r>
      <w:r>
        <w:rPr>
          <w:rFonts w:cs="Arial"/>
        </w:rPr>
        <w:t>19</w:t>
      </w:r>
      <w:r w:rsidRPr="00100526">
        <w:rPr>
          <w:rFonts w:cs="Arial"/>
        </w:rPr>
        <w:t>, TW</w:t>
      </w:r>
      <w:r>
        <w:rPr>
          <w:rFonts w:cs="Arial"/>
        </w:rPr>
        <w:t>F</w:t>
      </w:r>
      <w:r w:rsidRPr="00100526">
        <w:rPr>
          <w:rFonts w:cs="Arial"/>
        </w:rPr>
        <w:t>/</w:t>
      </w:r>
      <w:r>
        <w:rPr>
          <w:rFonts w:cs="Arial"/>
        </w:rPr>
        <w:t>44</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19 and</w:t>
      </w:r>
      <w:r w:rsidRPr="00100526">
        <w:rPr>
          <w:rFonts w:cs="Arial"/>
        </w:rPr>
        <w:t xml:space="preserve"> TW</w:t>
      </w:r>
      <w:r>
        <w:rPr>
          <w:rFonts w:cs="Arial"/>
        </w:rPr>
        <w:t>A</w:t>
      </w:r>
      <w:r w:rsidRPr="00100526">
        <w:rPr>
          <w:rFonts w:cs="Arial"/>
        </w:rPr>
        <w:t>/4</w:t>
      </w:r>
      <w:r>
        <w:rPr>
          <w:rFonts w:cs="Arial"/>
        </w:rPr>
        <w:t>2</w:t>
      </w:r>
      <w:r w:rsidRPr="00100526">
        <w:rPr>
          <w:rFonts w:cs="Arial"/>
        </w:rPr>
        <w:t>/</w:t>
      </w:r>
      <w:r>
        <w:rPr>
          <w:rFonts w:cs="Arial"/>
        </w:rPr>
        <w:t>19</w:t>
      </w:r>
      <w:r w:rsidRPr="00100526">
        <w:rPr>
          <w:rFonts w:cs="Arial"/>
        </w:rPr>
        <w:t xml:space="preserve">, respectively, </w:t>
      </w:r>
      <w:r>
        <w:rPr>
          <w:rFonts w:cs="Arial"/>
        </w:rPr>
        <w:t xml:space="preserve">which contained </w:t>
      </w:r>
      <w:r w:rsidR="00371A39">
        <w:rPr>
          <w:rFonts w:cs="Arial"/>
        </w:rPr>
        <w:t xml:space="preserve">the </w:t>
      </w:r>
      <w:r>
        <w:rPr>
          <w:rFonts w:cs="Arial"/>
        </w:rPr>
        <w:t xml:space="preserve">draft guidance </w:t>
      </w:r>
      <w:r w:rsidR="00371A39">
        <w:rPr>
          <w:rFonts w:cs="Arial"/>
        </w:rPr>
        <w:t xml:space="preserve">reproduced </w:t>
      </w:r>
      <w:r>
        <w:rPr>
          <w:rFonts w:cs="Arial"/>
        </w:rPr>
        <w:t xml:space="preserve">in Annex II </w:t>
      </w:r>
      <w:r w:rsidR="00EA49C2">
        <w:rPr>
          <w:rFonts w:cs="Arial"/>
        </w:rPr>
        <w:t xml:space="preserve">to </w:t>
      </w:r>
      <w:r w:rsidR="00371A39">
        <w:rPr>
          <w:rFonts w:cs="Arial"/>
        </w:rPr>
        <w:t>this document</w:t>
      </w:r>
      <w:r w:rsidR="00EA49C2">
        <w:rPr>
          <w:rFonts w:cs="Arial"/>
        </w:rPr>
        <w:t>.</w:t>
      </w:r>
    </w:p>
    <w:p w:rsidR="001D18EE" w:rsidRDefault="001D18EE" w:rsidP="001D18EE"/>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1D18EE" w:rsidRPr="00FE540A" w:rsidTr="006F6463">
        <w:trPr>
          <w:cantSplit/>
        </w:trPr>
        <w:tc>
          <w:tcPr>
            <w:tcW w:w="1418" w:type="dxa"/>
            <w:shd w:val="clear" w:color="auto" w:fill="auto"/>
          </w:tcPr>
          <w:p w:rsidR="001D18EE" w:rsidRPr="005163AC" w:rsidRDefault="001D18EE" w:rsidP="006F6463">
            <w:pPr>
              <w:jc w:val="left"/>
              <w:rPr>
                <w:rFonts w:cs="Arial"/>
              </w:rPr>
            </w:pPr>
            <w:r w:rsidRPr="005163AC">
              <w:rPr>
                <w:rFonts w:cs="Arial"/>
              </w:rPr>
              <w:t>General</w:t>
            </w:r>
          </w:p>
        </w:tc>
        <w:tc>
          <w:tcPr>
            <w:tcW w:w="7348" w:type="dxa"/>
            <w:shd w:val="clear" w:color="auto" w:fill="auto"/>
          </w:tcPr>
          <w:p w:rsidR="001D18EE" w:rsidRPr="00143E49" w:rsidRDefault="001D18EE" w:rsidP="006F6463">
            <w:r w:rsidRPr="00143E49">
              <w:t>The TWO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44</w:t>
            </w:r>
            <w:r w:rsidRPr="00100526">
              <w:rPr>
                <w:rFonts w:cs="Arial"/>
              </w:rPr>
              <w:t>).</w:t>
            </w:r>
          </w:p>
          <w:p w:rsidR="001D18EE" w:rsidRPr="005163AC" w:rsidRDefault="001D18EE" w:rsidP="006F6463">
            <w:pPr>
              <w:pStyle w:val="Titleofdoc0"/>
              <w:spacing w:before="0"/>
              <w:jc w:val="both"/>
              <w:rPr>
                <w:rFonts w:cs="Arial"/>
              </w:rPr>
            </w:pPr>
          </w:p>
        </w:tc>
        <w:tc>
          <w:tcPr>
            <w:tcW w:w="839" w:type="dxa"/>
            <w:shd w:val="clear" w:color="auto" w:fill="auto"/>
          </w:tcPr>
          <w:p w:rsidR="001D18EE" w:rsidRDefault="001D18EE" w:rsidP="006F6463">
            <w:r>
              <w:t xml:space="preserve">TWO </w:t>
            </w:r>
          </w:p>
        </w:tc>
      </w:tr>
      <w:tr w:rsidR="001D18EE" w:rsidRPr="00FE540A" w:rsidTr="006F6463">
        <w:trPr>
          <w:cantSplit/>
        </w:trPr>
        <w:tc>
          <w:tcPr>
            <w:tcW w:w="1418" w:type="dxa"/>
            <w:shd w:val="clear" w:color="auto" w:fill="auto"/>
          </w:tcPr>
          <w:p w:rsidR="001D18EE" w:rsidRPr="005163AC" w:rsidRDefault="001D18EE" w:rsidP="006F6463">
            <w:pPr>
              <w:keepNext/>
              <w:jc w:val="left"/>
              <w:rPr>
                <w:rFonts w:cs="Arial"/>
              </w:rPr>
            </w:pPr>
          </w:p>
        </w:tc>
        <w:tc>
          <w:tcPr>
            <w:tcW w:w="7348" w:type="dxa"/>
            <w:shd w:val="clear" w:color="auto" w:fill="auto"/>
          </w:tcPr>
          <w:p w:rsidR="001D18EE" w:rsidRPr="00462D28" w:rsidRDefault="001D18EE" w:rsidP="006F6463">
            <w:r w:rsidRPr="00462D28">
              <w:t>The TWF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48</w:t>
            </w:r>
            <w:r w:rsidRPr="00100526">
              <w:rPr>
                <w:rFonts w:cs="Arial"/>
              </w:rPr>
              <w:t>)</w:t>
            </w:r>
            <w:r>
              <w:rPr>
                <w:rFonts w:cs="Arial"/>
              </w:rPr>
              <w:t>.</w:t>
            </w:r>
          </w:p>
          <w:p w:rsidR="001D18EE" w:rsidRPr="00462D28" w:rsidRDefault="001D18EE" w:rsidP="006F6463"/>
          <w:p w:rsidR="001D18EE" w:rsidRPr="00462D28" w:rsidRDefault="001D18EE" w:rsidP="006F6463">
            <w:r w:rsidRPr="00462D28">
              <w:t xml:space="preserve">The TWF agreed that the drafter should further develop the guidance as set out in </w:t>
            </w:r>
            <w:r w:rsidRPr="00462D28">
              <w:rPr>
                <w:bCs/>
              </w:rPr>
              <w:t xml:space="preserve">Annex II to document TWF/44/19 on </w:t>
            </w:r>
            <w:r w:rsidRPr="00462D28">
              <w:rPr>
                <w:rFonts w:cs="Arial"/>
                <w:lang w:eastAsia="ja-JP"/>
              </w:rPr>
              <w:t>draft guidance on data analysis for blind randomized trials for inclusion in a future revision of document TGP/8</w:t>
            </w:r>
            <w:r>
              <w:rPr>
                <w:rFonts w:cs="Arial"/>
                <w:lang w:eastAsia="ja-JP"/>
              </w:rPr>
              <w:t xml:space="preserve"> </w:t>
            </w:r>
            <w:r w:rsidRPr="00100526">
              <w:rPr>
                <w:rFonts w:cs="Arial"/>
              </w:rPr>
              <w:t>(see document</w:t>
            </w:r>
            <w:r>
              <w:rPr>
                <w:rFonts w:cs="Arial"/>
              </w:rPr>
              <w:t> </w:t>
            </w:r>
            <w:r w:rsidRPr="00100526">
              <w:rPr>
                <w:rFonts w:cs="Arial"/>
              </w:rPr>
              <w:t>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49</w:t>
            </w:r>
            <w:r w:rsidRPr="00100526">
              <w:rPr>
                <w:rFonts w:cs="Arial"/>
              </w:rPr>
              <w:t>)</w:t>
            </w:r>
            <w:r w:rsidRPr="00462D28">
              <w:rPr>
                <w:rFonts w:cs="Arial"/>
                <w:lang w:eastAsia="ja-JP"/>
              </w:rPr>
              <w:t>.</w:t>
            </w:r>
          </w:p>
          <w:p w:rsidR="001D18EE" w:rsidRPr="00CC4F79" w:rsidRDefault="001D18EE" w:rsidP="006F6463">
            <w:pPr>
              <w:keepNext/>
            </w:pPr>
          </w:p>
        </w:tc>
        <w:tc>
          <w:tcPr>
            <w:tcW w:w="839" w:type="dxa"/>
            <w:shd w:val="clear" w:color="auto" w:fill="auto"/>
          </w:tcPr>
          <w:p w:rsidR="001D18EE" w:rsidRDefault="001D18EE" w:rsidP="006F6463">
            <w:pPr>
              <w:keepNext/>
            </w:pPr>
            <w:r>
              <w:t xml:space="preserve">TWF </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TWV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48).</w:t>
            </w:r>
          </w:p>
          <w:p w:rsidR="001D18EE" w:rsidRPr="00CC4F79" w:rsidRDefault="001D18EE" w:rsidP="006F6463"/>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considered document TWC/31/19 and noted that the draft guidance should be described in general terms to become suitable for crops tested in plots or as individual plants and for the observation of the different types of characteristics (QN, PQ, QL)</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46)</w:t>
            </w:r>
            <w:r w:rsidRPr="008232BD">
              <w:rPr>
                <w:rFonts w:cs="Arial"/>
                <w:color w:val="000000"/>
              </w:rPr>
              <w:t xml:space="preserve">. </w:t>
            </w:r>
          </w:p>
          <w:p w:rsidR="001D18EE"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p>
        </w:tc>
        <w:tc>
          <w:tcPr>
            <w:tcW w:w="7348" w:type="dxa"/>
            <w:shd w:val="clear" w:color="auto" w:fill="auto"/>
          </w:tcPr>
          <w:p w:rsidR="001D18EE" w:rsidRPr="00BD6040" w:rsidRDefault="001D18EE" w:rsidP="006F6463">
            <w:r w:rsidRPr="00BD6040">
              <w:t>The TW</w:t>
            </w:r>
            <w:r>
              <w:t>A</w:t>
            </w:r>
            <w:r w:rsidRPr="00BD6040">
              <w:t xml:space="preserve"> noted the comments made by the TWPs at their sessions in 2012 and the TC-EDC in 2013, and considered the draft new Section on “Guidance for Data Analysis for Blind Randomized Trials.”</w:t>
            </w:r>
          </w:p>
          <w:p w:rsidR="001D18EE" w:rsidRPr="00BD6040" w:rsidRDefault="001D18EE" w:rsidP="006F6463"/>
          <w:p w:rsidR="001D18EE" w:rsidRDefault="001D18EE" w:rsidP="006F6463">
            <w:r w:rsidRPr="004B6324">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1D18EE" w:rsidRDefault="001D18EE" w:rsidP="006F6463"/>
          <w:p w:rsidR="001D18EE" w:rsidRDefault="001D18EE" w:rsidP="006F6463">
            <w:r>
              <w:t xml:space="preserve">The TWA agreed that blind randomized trials were a useful method for specific circumstances and </w:t>
            </w:r>
            <w:r w:rsidRPr="00D25E50">
              <w:t>recalled</w:t>
            </w:r>
            <w:r>
              <w:t xml:space="preserve"> the role of breeders in identifying their varieties and of DUS experts in the final decision of trials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 “Report”, paragraphs 51 to 53)</w:t>
            </w:r>
            <w:r>
              <w:t>.</w:t>
            </w:r>
          </w:p>
          <w:p w:rsidR="001D18EE" w:rsidRPr="005163AC" w:rsidRDefault="001D18EE" w:rsidP="006F6463">
            <w:pPr>
              <w:keepNext/>
              <w:rPr>
                <w:rFonts w:cs="Arial"/>
              </w:rPr>
            </w:pPr>
          </w:p>
        </w:tc>
        <w:tc>
          <w:tcPr>
            <w:tcW w:w="839" w:type="dxa"/>
            <w:shd w:val="clear" w:color="auto" w:fill="auto"/>
          </w:tcPr>
          <w:p w:rsidR="001D18EE" w:rsidRDefault="001D18EE" w:rsidP="006F6463">
            <w:r>
              <w:t>TWA</w:t>
            </w:r>
          </w:p>
        </w:tc>
      </w:tr>
      <w:tr w:rsidR="001D18EE" w:rsidRPr="00FE540A" w:rsidTr="006F6463">
        <w:trPr>
          <w:cantSplit/>
        </w:trPr>
        <w:tc>
          <w:tcPr>
            <w:tcW w:w="1418" w:type="dxa"/>
            <w:shd w:val="clear" w:color="auto" w:fill="auto"/>
          </w:tcPr>
          <w:p w:rsidR="001D18EE" w:rsidRPr="005163AC" w:rsidRDefault="001D18EE" w:rsidP="006F6463">
            <w:pPr>
              <w:jc w:val="left"/>
              <w:rPr>
                <w:rFonts w:cs="Arial"/>
              </w:rPr>
            </w:pPr>
            <w:r>
              <w:rPr>
                <w:rFonts w:cs="Arial"/>
              </w:rPr>
              <w:t xml:space="preserve">Title </w:t>
            </w:r>
          </w:p>
        </w:tc>
        <w:tc>
          <w:tcPr>
            <w:tcW w:w="7348" w:type="dxa"/>
            <w:shd w:val="clear" w:color="auto" w:fill="auto"/>
          </w:tcPr>
          <w:p w:rsidR="001D18EE" w:rsidRPr="00143E49" w:rsidRDefault="001D18EE" w:rsidP="006F6463">
            <w:pPr>
              <w:pStyle w:val="Titleofdoc0"/>
              <w:spacing w:before="0"/>
              <w:jc w:val="both"/>
              <w:rPr>
                <w:rFonts w:cs="Arial"/>
                <w:caps w:val="0"/>
              </w:rPr>
            </w:pPr>
            <w:r w:rsidRPr="00143E49">
              <w:rPr>
                <w:rFonts w:cs="Arial"/>
                <w:caps w:val="0"/>
              </w:rPr>
              <w:t>The TWO noted that the draft new section related to the DUS trial design and suggested to change the title to “Draft guidance for blind randomized trials conducted by the authority or a third party”</w:t>
            </w:r>
            <w:r>
              <w:rPr>
                <w:rFonts w:cs="Arial"/>
                <w:caps w:val="0"/>
              </w:rPr>
              <w:t xml:space="preserve"> </w:t>
            </w:r>
            <w:r w:rsidRPr="00F059C0">
              <w:rPr>
                <w:rFonts w:cs="Arial"/>
                <w:caps w:val="0"/>
              </w:rPr>
              <w:t xml:space="preserve">(see document TWO/46/29 “Report”, paragraph </w:t>
            </w:r>
            <w:r>
              <w:rPr>
                <w:rFonts w:cs="Arial"/>
                <w:caps w:val="0"/>
              </w:rPr>
              <w:t>45</w:t>
            </w:r>
            <w:r w:rsidRPr="00F059C0">
              <w:rPr>
                <w:rFonts w:cs="Arial"/>
                <w:caps w:val="0"/>
              </w:rPr>
              <w:t>).</w:t>
            </w:r>
          </w:p>
          <w:p w:rsidR="001D18EE" w:rsidRPr="00BD6040" w:rsidRDefault="001D18EE" w:rsidP="006F6463"/>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Introduction</w:t>
            </w:r>
          </w:p>
        </w:tc>
        <w:tc>
          <w:tcPr>
            <w:tcW w:w="7348" w:type="dxa"/>
            <w:shd w:val="clear" w:color="auto" w:fill="auto"/>
          </w:tcPr>
          <w:p w:rsidR="001D18EE" w:rsidRPr="00143E49" w:rsidRDefault="001D18EE" w:rsidP="006F6463">
            <w:pPr>
              <w:pStyle w:val="Titleofdoc0"/>
              <w:spacing w:before="0"/>
              <w:jc w:val="both"/>
              <w:rPr>
                <w:caps w:val="0"/>
              </w:rPr>
            </w:pPr>
            <w:r w:rsidRPr="00143E49">
              <w:rPr>
                <w:rFonts w:cs="Arial"/>
                <w:caps w:val="0"/>
              </w:rPr>
              <w:t>The TWO suggested that the introduction to be provided should be generic and requested the addition of an example for ornamental plants</w:t>
            </w:r>
            <w:r>
              <w:rPr>
                <w:rFonts w:cs="Arial"/>
                <w:caps w:val="0"/>
              </w:rPr>
              <w:t xml:space="preserve"> </w:t>
            </w:r>
            <w:r w:rsidRPr="00F059C0">
              <w:rPr>
                <w:rFonts w:cs="Arial"/>
                <w:caps w:val="0"/>
              </w:rPr>
              <w:t>(see document</w:t>
            </w:r>
            <w:r>
              <w:rPr>
                <w:rFonts w:cs="Arial"/>
                <w:caps w:val="0"/>
              </w:rPr>
              <w:t> </w:t>
            </w:r>
            <w:r w:rsidRPr="00F059C0">
              <w:rPr>
                <w:rFonts w:cs="Arial"/>
                <w:caps w:val="0"/>
              </w:rPr>
              <w:t xml:space="preserve">TWO/46/29 “Report”, paragraph </w:t>
            </w:r>
            <w:r>
              <w:rPr>
                <w:rFonts w:cs="Arial"/>
                <w:caps w:val="0"/>
              </w:rPr>
              <w:t>46</w:t>
            </w:r>
            <w:r w:rsidRPr="00F059C0">
              <w:rPr>
                <w:rFonts w:cs="Arial"/>
                <w:caps w:val="0"/>
              </w:rPr>
              <w:t>).</w:t>
            </w:r>
            <w:r w:rsidRPr="00143E49">
              <w:rPr>
                <w:rFonts w:cs="Arial"/>
                <w:caps w:val="0"/>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TWO</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 xml:space="preserve">Origin of the material / Authorization for use of certain reference varieties </w:t>
            </w:r>
          </w:p>
          <w:p w:rsidR="001D18EE" w:rsidRDefault="001D18EE" w:rsidP="006F6463">
            <w:pPr>
              <w:jc w:val="left"/>
              <w:rPr>
                <w:rFonts w:cs="Arial"/>
              </w:rPr>
            </w:pPr>
          </w:p>
        </w:tc>
        <w:tc>
          <w:tcPr>
            <w:tcW w:w="7348" w:type="dxa"/>
            <w:shd w:val="clear" w:color="auto" w:fill="auto"/>
          </w:tcPr>
          <w:p w:rsidR="001D18EE" w:rsidRPr="00700478" w:rsidRDefault="001D18EE" w:rsidP="006F6463">
            <w:pPr>
              <w:rPr>
                <w:rFonts w:cs="Arial"/>
                <w:lang w:eastAsia="ja-JP"/>
              </w:rPr>
            </w:pPr>
            <w:r w:rsidRPr="00700478">
              <w:t>The TWV agreed that the drafter should further develop the guidance to</w:t>
            </w:r>
            <w:r w:rsidRPr="00700478">
              <w:rPr>
                <w:lang w:eastAsia="ja-JP"/>
              </w:rPr>
              <w:t xml:space="preserve"> include explanations that</w:t>
            </w:r>
            <w:r w:rsidRPr="00700478">
              <w:rPr>
                <w:rFonts w:cs="Arial"/>
                <w:lang w:eastAsia="ja-JP"/>
              </w:rPr>
              <w:t xml:space="preserve"> the origin of the material should not influence the final judgment and that the authorization of the breeder should be </w:t>
            </w:r>
            <w:r w:rsidRPr="00700478">
              <w:rPr>
                <w:lang w:eastAsia="ja-JP"/>
              </w:rPr>
              <w:t>obtained for varieties that were the subject of an application, as well as certain parent lines</w:t>
            </w:r>
            <w:r>
              <w:rPr>
                <w:lang w:eastAsia="ja-JP"/>
              </w:rP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49)</w:t>
            </w:r>
            <w:r w:rsidRPr="00700478">
              <w:rPr>
                <w:rFonts w:cs="Arial"/>
                <w:lang w:eastAsia="ja-JP"/>
              </w:rPr>
              <w:t xml:space="preserve">. </w:t>
            </w:r>
          </w:p>
          <w:p w:rsidR="001D18EE" w:rsidRPr="00143E49" w:rsidRDefault="001D18EE" w:rsidP="006F6463">
            <w:pPr>
              <w:pStyle w:val="Titleofdoc0"/>
              <w:spacing w:before="0"/>
              <w:jc w:val="both"/>
              <w:rPr>
                <w:rFonts w:cs="Arial"/>
                <w:caps w:val="0"/>
              </w:rPr>
            </w:pPr>
          </w:p>
        </w:tc>
        <w:tc>
          <w:tcPr>
            <w:tcW w:w="839" w:type="dxa"/>
            <w:shd w:val="clear" w:color="auto" w:fill="auto"/>
          </w:tcPr>
          <w:p w:rsidR="001D18EE" w:rsidRDefault="001D18EE" w:rsidP="006F6463">
            <w:r>
              <w:t>TWV</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Preparation of the trial</w:t>
            </w:r>
          </w:p>
        </w:tc>
        <w:tc>
          <w:tcPr>
            <w:tcW w:w="7348" w:type="dxa"/>
            <w:shd w:val="clear" w:color="auto" w:fill="auto"/>
          </w:tcPr>
          <w:p w:rsidR="001D18EE" w:rsidRDefault="001D18EE" w:rsidP="006F6463">
            <w:pPr>
              <w:rPr>
                <w:rFonts w:cs="Arial"/>
                <w:color w:val="000000"/>
              </w:rPr>
            </w:pPr>
            <w:r w:rsidRPr="008232BD">
              <w:rPr>
                <w:rFonts w:cs="Arial"/>
                <w:color w:val="000000"/>
              </w:rPr>
              <w:t xml:space="preserve">The TWC agreed that the section describing the method of preparation of the trial should be further developed to clarify the procedure for coding the varieties to be used. The TWC requested </w:t>
            </w:r>
            <w:r>
              <w:rPr>
                <w:rFonts w:cs="Arial"/>
                <w:color w:val="000000"/>
              </w:rPr>
              <w:t xml:space="preserve">an </w:t>
            </w:r>
            <w:r w:rsidRPr="008232BD">
              <w:rPr>
                <w:rFonts w:cs="Arial"/>
                <w:color w:val="000000"/>
              </w:rPr>
              <w:t>improve</w:t>
            </w:r>
            <w:r>
              <w:rPr>
                <w:rFonts w:cs="Arial"/>
                <w:color w:val="000000"/>
              </w:rPr>
              <w:t>ment to</w:t>
            </w:r>
            <w:r w:rsidRPr="008232BD">
              <w:rPr>
                <w:rFonts w:cs="Arial"/>
                <w:color w:val="000000"/>
              </w:rPr>
              <w:t xml:space="preserve"> the example used in paragraph 4 with random allocation of codes and the duplication of all samples used, including “C” (Mixture)</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47)</w:t>
            </w:r>
            <w:r w:rsidRPr="008232BD">
              <w:rPr>
                <w:rFonts w:cs="Arial"/>
                <w:color w:val="000000"/>
              </w:rPr>
              <w:t>.</w:t>
            </w:r>
          </w:p>
          <w:p w:rsidR="001D18EE" w:rsidRDefault="001D18EE" w:rsidP="006F6463">
            <w:pPr>
              <w:rPr>
                <w:rFonts w:cs="Arial"/>
                <w:color w:val="000000"/>
              </w:rPr>
            </w:pPr>
          </w:p>
          <w:p w:rsidR="001D18EE" w:rsidRDefault="001D18EE" w:rsidP="006F6463">
            <w:pPr>
              <w:autoSpaceDE w:val="0"/>
              <w:autoSpaceDN w:val="0"/>
              <w:adjustRightInd w:val="0"/>
              <w:rPr>
                <w:rFonts w:ascii="ArialMT" w:hAnsi="ArialMT" w:cs="ArialMT"/>
              </w:rPr>
            </w:pPr>
            <w:r>
              <w:rPr>
                <w:rFonts w:ascii="ArialMT" w:hAnsi="ArialMT" w:cs="ArialMT"/>
              </w:rPr>
              <w:t xml:space="preserve">The TWC agreed that the guidance should include statistical consideration on the design of the trial, such as that the number of replications should be sufficiently large to ensure that there was only a small probability (e.g. &lt;0.05 or 0.01) that the candidate variety was correctly labeled by chance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48)</w:t>
            </w:r>
            <w:r>
              <w:rPr>
                <w:rFonts w:ascii="ArialMT" w:hAnsi="ArialMT" w:cs="ArialMT"/>
              </w:rPr>
              <w:t xml:space="preserve">. </w:t>
            </w:r>
          </w:p>
          <w:p w:rsidR="001D18EE" w:rsidRPr="00700478" w:rsidRDefault="001D18EE" w:rsidP="006F6463"/>
        </w:tc>
        <w:tc>
          <w:tcPr>
            <w:tcW w:w="839" w:type="dxa"/>
            <w:shd w:val="clear" w:color="auto" w:fill="auto"/>
          </w:tcPr>
          <w:p w:rsidR="001D18EE" w:rsidRDefault="001D18EE" w:rsidP="006F6463">
            <w:r>
              <w:t>TWC</w:t>
            </w:r>
          </w:p>
        </w:tc>
      </w:tr>
      <w:tr w:rsidR="001D18EE" w:rsidRPr="00FE540A" w:rsidTr="006F6463">
        <w:trPr>
          <w:cantSplit/>
        </w:trPr>
        <w:tc>
          <w:tcPr>
            <w:tcW w:w="1418" w:type="dxa"/>
            <w:shd w:val="clear" w:color="auto" w:fill="auto"/>
          </w:tcPr>
          <w:p w:rsidR="001D18EE" w:rsidRDefault="001D18EE" w:rsidP="006F6463">
            <w:pPr>
              <w:jc w:val="left"/>
              <w:rPr>
                <w:rFonts w:cs="Arial"/>
              </w:rPr>
            </w:pPr>
            <w:r>
              <w:rPr>
                <w:rFonts w:cs="Arial"/>
              </w:rPr>
              <w:t>Analysis of results</w:t>
            </w:r>
          </w:p>
        </w:tc>
        <w:tc>
          <w:tcPr>
            <w:tcW w:w="7348" w:type="dxa"/>
            <w:shd w:val="clear" w:color="auto" w:fill="auto"/>
          </w:tcPr>
          <w:p w:rsidR="001D18EE" w:rsidRPr="008232BD" w:rsidRDefault="001D18EE" w:rsidP="006F6463">
            <w:pPr>
              <w:rPr>
                <w:rFonts w:cs="Arial"/>
                <w:color w:val="000000"/>
              </w:rPr>
            </w:pPr>
            <w:r w:rsidRPr="008232BD">
              <w:rPr>
                <w:rFonts w:cs="Arial"/>
                <w:color w:val="000000"/>
              </w:rPr>
              <w:t>The TWC agreed that the draft guidance should provide information about analysis of the results</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49)</w:t>
            </w:r>
            <w:r w:rsidRPr="008232BD">
              <w:rPr>
                <w:rFonts w:cs="Arial"/>
                <w:color w:val="000000"/>
              </w:rPr>
              <w:t xml:space="preserve">. </w:t>
            </w:r>
          </w:p>
          <w:p w:rsidR="001D18EE" w:rsidRPr="008232BD" w:rsidRDefault="001D18EE" w:rsidP="006F6463">
            <w:pPr>
              <w:rPr>
                <w:rFonts w:cs="Arial"/>
                <w:color w:val="000000"/>
              </w:rPr>
            </w:pPr>
          </w:p>
        </w:tc>
        <w:tc>
          <w:tcPr>
            <w:tcW w:w="839" w:type="dxa"/>
            <w:shd w:val="clear" w:color="auto" w:fill="auto"/>
          </w:tcPr>
          <w:p w:rsidR="001D18EE" w:rsidRDefault="001D18EE" w:rsidP="006F6463">
            <w:r>
              <w:t>TWC</w:t>
            </w:r>
          </w:p>
        </w:tc>
      </w:tr>
    </w:tbl>
    <w:p w:rsidR="001D18EE" w:rsidRDefault="001D18EE" w:rsidP="001D18EE"/>
    <w:p w:rsidR="001D18EE" w:rsidRDefault="001D18EE" w:rsidP="001D18EE"/>
    <w:p w:rsidR="00FE0D5E" w:rsidRDefault="00FE0D5E" w:rsidP="00FE0D5E">
      <w:pPr>
        <w:pStyle w:val="Heading1"/>
      </w:pPr>
      <w:bookmarkStart w:id="9" w:name="_Toc387841234"/>
      <w:r w:rsidRPr="00FA7008">
        <w:t xml:space="preserve">Comments by the </w:t>
      </w:r>
      <w:r>
        <w:t xml:space="preserve">technical committee </w:t>
      </w:r>
      <w:r w:rsidRPr="00FA7008">
        <w:t>in 201</w:t>
      </w:r>
      <w:r>
        <w:t>4</w:t>
      </w:r>
      <w:bookmarkEnd w:id="9"/>
      <w:r w:rsidRPr="00FA7008">
        <w:t xml:space="preserve"> </w:t>
      </w:r>
    </w:p>
    <w:p w:rsidR="00FE0D5E" w:rsidRDefault="00FE0D5E" w:rsidP="001D18EE"/>
    <w:p w:rsidR="00FE0D5E" w:rsidRDefault="00FE0D5E" w:rsidP="00FE0D5E">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sidR="00371A39" w:rsidRPr="002F6EFE">
        <w:rPr>
          <w:color w:val="000000"/>
        </w:rPr>
        <w:t>The TC</w:t>
      </w:r>
      <w:r w:rsidR="00371A39">
        <w:rPr>
          <w:rFonts w:cs="Arial"/>
          <w:lang w:eastAsia="ja-JP"/>
        </w:rPr>
        <w:t>,</w:t>
      </w:r>
      <w:r w:rsidR="00371A39" w:rsidRPr="00FF2AF5">
        <w:rPr>
          <w:rFonts w:cs="Arial"/>
          <w:lang w:eastAsia="ja-JP"/>
        </w:rPr>
        <w:t xml:space="preserve"> at its </w:t>
      </w:r>
      <w:r w:rsidR="00371A39">
        <w:rPr>
          <w:rFonts w:cs="Arial"/>
          <w:lang w:eastAsia="ja-JP"/>
        </w:rPr>
        <w:t xml:space="preserve">fiftieth </w:t>
      </w:r>
      <w:r w:rsidR="00371A39" w:rsidRPr="00FF2AF5">
        <w:rPr>
          <w:rFonts w:cs="Arial"/>
          <w:lang w:eastAsia="ja-JP"/>
        </w:rPr>
        <w:t>session</w:t>
      </w:r>
      <w:r w:rsidR="00371A39">
        <w:rPr>
          <w:rFonts w:cs="Arial"/>
          <w:lang w:eastAsia="ja-JP"/>
        </w:rPr>
        <w:t>,</w:t>
      </w:r>
      <w:r w:rsidR="00371A39" w:rsidRPr="00FF2AF5">
        <w:rPr>
          <w:rFonts w:cs="Arial"/>
          <w:lang w:eastAsia="ja-JP"/>
        </w:rPr>
        <w:t xml:space="preserve"> held in Geneva</w:t>
      </w:r>
      <w:r w:rsidR="00371A39">
        <w:rPr>
          <w:rFonts w:cs="Arial"/>
          <w:lang w:eastAsia="ja-JP"/>
        </w:rPr>
        <w:t>,</w:t>
      </w:r>
      <w:r w:rsidR="00371A39" w:rsidRPr="00FF2AF5">
        <w:rPr>
          <w:rFonts w:cs="Arial"/>
          <w:lang w:eastAsia="ja-JP"/>
        </w:rPr>
        <w:t xml:space="preserve"> from </w:t>
      </w:r>
      <w:r w:rsidR="00371A39">
        <w:rPr>
          <w:rFonts w:cs="Arial"/>
          <w:lang w:eastAsia="ja-JP"/>
        </w:rPr>
        <w:t>April 7 to 9</w:t>
      </w:r>
      <w:r w:rsidR="00371A39" w:rsidRPr="00FF2AF5">
        <w:rPr>
          <w:rFonts w:cs="Arial"/>
          <w:lang w:eastAsia="ja-JP"/>
        </w:rPr>
        <w:t>, 201</w:t>
      </w:r>
      <w:r w:rsidR="00371A39">
        <w:rPr>
          <w:rFonts w:cs="Arial"/>
          <w:lang w:eastAsia="ja-JP"/>
        </w:rPr>
        <w:t>4</w:t>
      </w:r>
      <w:r w:rsidR="00371A39" w:rsidRPr="00FF2AF5">
        <w:rPr>
          <w:rFonts w:cs="Arial"/>
          <w:lang w:eastAsia="ja-JP"/>
        </w:rPr>
        <w:t>,</w:t>
      </w:r>
      <w:r w:rsidR="00371A39" w:rsidRPr="002F6EFE">
        <w:rPr>
          <w:color w:val="000000"/>
        </w:rPr>
        <w:t xml:space="preserve"> </w:t>
      </w:r>
      <w:r>
        <w:rPr>
          <w:rFonts w:cs="Arial"/>
        </w:rPr>
        <w:t xml:space="preserve">considered document TC/50/26 </w:t>
      </w:r>
      <w:r w:rsidR="00371A39">
        <w:rPr>
          <w:rFonts w:cs="Arial"/>
        </w:rPr>
        <w:t>which contained the</w:t>
      </w:r>
      <w:r w:rsidR="00EA49C2">
        <w:rPr>
          <w:rFonts w:cs="Arial"/>
        </w:rPr>
        <w:t xml:space="preserve"> draft guidance reproduced in Annex III to this document</w:t>
      </w:r>
      <w:r w:rsidR="005C1413">
        <w:rPr>
          <w:rFonts w:cs="Arial"/>
        </w:rPr>
        <w:t>. The TC</w:t>
      </w:r>
      <w:r>
        <w:rPr>
          <w:rFonts w:cs="Arial"/>
        </w:rPr>
        <w:t xml:space="preserve"> agreed to request that experts from France continue the development of the proposed guidance on the basis of the comments </w:t>
      </w:r>
      <w:r w:rsidR="00EA49C2">
        <w:rPr>
          <w:rFonts w:cs="Arial"/>
        </w:rPr>
        <w:t xml:space="preserve">by the TWPs, as set out in paragraph 7 of this document, and the following comments by the </w:t>
      </w:r>
      <w:r w:rsidR="00EA49C2">
        <w:t>TC-EDC,</w:t>
      </w:r>
      <w:r w:rsidR="00EA49C2" w:rsidRPr="00665728">
        <w:rPr>
          <w:color w:val="000000"/>
        </w:rPr>
        <w:t xml:space="preserve"> </w:t>
      </w:r>
      <w:r w:rsidR="00EA49C2" w:rsidRPr="00FF2AF5">
        <w:rPr>
          <w:rFonts w:cs="Arial"/>
          <w:lang w:eastAsia="ja-JP"/>
        </w:rPr>
        <w:t xml:space="preserve">at its </w:t>
      </w:r>
      <w:r w:rsidR="00EA49C2">
        <w:rPr>
          <w:rFonts w:cs="Arial"/>
          <w:lang w:eastAsia="ja-JP"/>
        </w:rPr>
        <w:t xml:space="preserve">meeting </w:t>
      </w:r>
      <w:r w:rsidR="00EA49C2" w:rsidRPr="00FF2AF5">
        <w:rPr>
          <w:rFonts w:cs="Arial"/>
          <w:lang w:eastAsia="ja-JP"/>
        </w:rPr>
        <w:t xml:space="preserve">held in Geneva </w:t>
      </w:r>
      <w:r w:rsidR="00EA49C2">
        <w:rPr>
          <w:rFonts w:cs="Arial"/>
          <w:lang w:eastAsia="ja-JP"/>
        </w:rPr>
        <w:t>on January 8 and 9</w:t>
      </w:r>
      <w:r w:rsidR="00EA49C2" w:rsidRPr="00FF2AF5">
        <w:rPr>
          <w:rFonts w:cs="Arial"/>
          <w:lang w:eastAsia="ja-JP"/>
        </w:rPr>
        <w:t>, 201</w:t>
      </w:r>
      <w:r w:rsidR="00EA49C2">
        <w:rPr>
          <w:rFonts w:cs="Arial"/>
          <w:lang w:eastAsia="ja-JP"/>
        </w:rPr>
        <w:t>4:</w:t>
      </w:r>
    </w:p>
    <w:p w:rsidR="00EA49C2" w:rsidRDefault="00EA49C2" w:rsidP="00FE0D5E">
      <w:pPr>
        <w:rPr>
          <w:rFonts w:cs="Arial"/>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EA49C2" w:rsidRPr="002302DC" w:rsidTr="006F6463">
        <w:tc>
          <w:tcPr>
            <w:tcW w:w="1701" w:type="dxa"/>
          </w:tcPr>
          <w:p w:rsidR="00EA49C2" w:rsidRPr="002302DC" w:rsidRDefault="00EA49C2" w:rsidP="006F6463">
            <w:pPr>
              <w:jc w:val="left"/>
            </w:pPr>
            <w:r w:rsidRPr="002302DC">
              <w:t>General remark</w:t>
            </w:r>
            <w:r>
              <w:t>s</w:t>
            </w:r>
          </w:p>
        </w:tc>
        <w:tc>
          <w:tcPr>
            <w:tcW w:w="7938" w:type="dxa"/>
          </w:tcPr>
          <w:p w:rsidR="00EA49C2" w:rsidRDefault="00EA49C2" w:rsidP="006F6463">
            <w:r>
              <w:t xml:space="preserve">- The TC-EDC noted that blind randomized trials were used only very rarely and suggested that the TC review whether it was appropriate to include guidance in TGP/8 on a method that is only used in exceptional circumstances on the basis that its inclusion in TGP/8 might imply that it was a routine method.  If it is decided to retain the guidance, it was proposed that it should be clarified that blind randomized trials were a useful means by which authorities could demonstrate to breeders that varieties were </w:t>
            </w:r>
            <w:r>
              <w:lastRenderedPageBreak/>
              <w:t>not distinct, but which also offered the possibility for breeders to demonstrate differences in relevant characteristics that would have clearly distinguished varieties in the growing trial, with suitable knowledge.  The TC-EDC further proposed that the structure of the document be reviewed in order to improve the clarity.</w:t>
            </w:r>
          </w:p>
          <w:p w:rsidR="00EA49C2" w:rsidRPr="002302DC" w:rsidRDefault="00EA49C2" w:rsidP="006F6463">
            <w:r w:rsidRPr="002302DC">
              <w:t xml:space="preserve"> </w:t>
            </w:r>
          </w:p>
        </w:tc>
      </w:tr>
      <w:tr w:rsidR="00EA49C2" w:rsidRPr="002302DC" w:rsidTr="006F6463">
        <w:tc>
          <w:tcPr>
            <w:tcW w:w="1701" w:type="dxa"/>
          </w:tcPr>
          <w:p w:rsidR="00EA49C2" w:rsidRPr="002302DC" w:rsidRDefault="00EA49C2" w:rsidP="006F6463">
            <w:pPr>
              <w:jc w:val="left"/>
            </w:pPr>
            <w:r w:rsidRPr="002302DC">
              <w:lastRenderedPageBreak/>
              <w:t>Cover page</w:t>
            </w:r>
          </w:p>
        </w:tc>
        <w:tc>
          <w:tcPr>
            <w:tcW w:w="7938" w:type="dxa"/>
          </w:tcPr>
          <w:p w:rsidR="00EA49C2" w:rsidRDefault="00EA49C2" w:rsidP="006F6463">
            <w:proofErr w:type="gramStart"/>
            <w:r w:rsidRPr="002302DC">
              <w:t>to</w:t>
            </w:r>
            <w:proofErr w:type="gramEnd"/>
            <w:r w:rsidRPr="002302DC">
              <w:t xml:space="preserve"> check whether to delete “Data analysis”</w:t>
            </w:r>
            <w:r>
              <w:t xml:space="preserve"> from the title of the document.</w:t>
            </w:r>
          </w:p>
          <w:p w:rsidR="00EA49C2" w:rsidRPr="002302DC" w:rsidRDefault="00EA49C2" w:rsidP="006F6463"/>
        </w:tc>
      </w:tr>
    </w:tbl>
    <w:p w:rsidR="00EA49C2" w:rsidRDefault="00EA49C2" w:rsidP="00FE0D5E">
      <w:pPr>
        <w:rPr>
          <w:rFonts w:cs="Arial"/>
        </w:rPr>
      </w:pPr>
    </w:p>
    <w:p w:rsidR="00FE0D5E" w:rsidRDefault="00FE0D5E" w:rsidP="00FE0D5E"/>
    <w:p w:rsidR="00FE0D5E" w:rsidRDefault="00FE0D5E" w:rsidP="00FE0D5E">
      <w:r>
        <w:fldChar w:fldCharType="begin"/>
      </w:r>
      <w:r>
        <w:instrText xml:space="preserve"> AUTONUM  </w:instrText>
      </w:r>
      <w:r>
        <w:fldChar w:fldCharType="end"/>
      </w:r>
      <w:r>
        <w:tab/>
        <w:t xml:space="preserve">The TC agreed that the circumstances under which blind randomized trials would be appropriate should be clarified. </w:t>
      </w:r>
    </w:p>
    <w:p w:rsidR="00FE0D5E" w:rsidRDefault="00FE0D5E" w:rsidP="00FE0D5E"/>
    <w:p w:rsidR="00FE0D5E" w:rsidRDefault="00FE0D5E" w:rsidP="00FE0D5E">
      <w:r>
        <w:fldChar w:fldCharType="begin"/>
      </w:r>
      <w:r>
        <w:instrText xml:space="preserve"> AUTONUM  </w:instrText>
      </w:r>
      <w:r>
        <w:fldChar w:fldCharType="end"/>
      </w:r>
      <w:r>
        <w:tab/>
        <w:t>The TC agreed that the structure of the document should be reviewed in order to improve clarity and that consideration should be given to including guidance on the use of blind randomized trials without data analysis, which would require deletion</w:t>
      </w:r>
      <w:r w:rsidRPr="002302DC">
        <w:t xml:space="preserve"> </w:t>
      </w:r>
      <w:r>
        <w:t xml:space="preserve">of </w:t>
      </w:r>
      <w:r w:rsidRPr="002302DC">
        <w:t>“Data analysis”</w:t>
      </w:r>
      <w:r>
        <w:t xml:space="preserve"> from the title of document.  The TC agreed that the Office of the Union should seek information on the use of blind randomized trials for presentation to the TWPs and the TC (see document TC/50/36 “Report on the conclusions”, paragraphs 59 to 61).</w:t>
      </w:r>
    </w:p>
    <w:p w:rsidR="00FE0D5E" w:rsidRDefault="00FE0D5E" w:rsidP="00FE0D5E"/>
    <w:p w:rsidR="00FE0D5E" w:rsidRPr="00E233DF" w:rsidRDefault="00FE0D5E" w:rsidP="00FE0D5E">
      <w:pPr>
        <w:rPr>
          <w:rFonts w:cs="Arial"/>
        </w:rPr>
      </w:pPr>
      <w:r w:rsidRPr="00E233DF">
        <w:fldChar w:fldCharType="begin"/>
      </w:r>
      <w:r w:rsidRPr="00E233DF">
        <w:instrText xml:space="preserve"> AUTONUM  </w:instrText>
      </w:r>
      <w:r w:rsidRPr="00E233DF">
        <w:fldChar w:fldCharType="end"/>
      </w:r>
      <w:r w:rsidRPr="00E233DF">
        <w:tab/>
      </w:r>
      <w:r w:rsidRPr="00E233DF">
        <w:rPr>
          <w:rFonts w:cs="Arial"/>
        </w:rPr>
        <w:t xml:space="preserve">The expert from </w:t>
      </w:r>
      <w:r>
        <w:rPr>
          <w:rFonts w:cs="Arial"/>
        </w:rPr>
        <w:t>France</w:t>
      </w:r>
      <w:r w:rsidRPr="00E233DF">
        <w:rPr>
          <w:rFonts w:cs="Arial"/>
        </w:rPr>
        <w:t xml:space="preserve"> has informed the Office of the Union that, given the need for extensive redrafting of the text, it will not be possible to produce a text for consideration by the TWPs in 2014.  It is propos</w:t>
      </w:r>
      <w:r>
        <w:rPr>
          <w:rFonts w:cs="Arial"/>
        </w:rPr>
        <w:t xml:space="preserve">ed that a new draft </w:t>
      </w:r>
      <w:r w:rsidRPr="00E233DF">
        <w:rPr>
          <w:rFonts w:cs="Arial"/>
        </w:rPr>
        <w:t>be prepared for consideration by the TC and TWPs in 2015.  In order to facilitate the consideration by the TC,</w:t>
      </w:r>
      <w:r>
        <w:rPr>
          <w:rFonts w:cs="Arial"/>
        </w:rPr>
        <w:t xml:space="preserve"> at its fifty-first session,</w:t>
      </w:r>
      <w:r w:rsidRPr="00E233DF">
        <w:rPr>
          <w:rFonts w:cs="Arial"/>
        </w:rPr>
        <w:t xml:space="preserve"> it is further proposed that an initial draft be prepared for consideration by the TC-EDC at its meeting in January</w:t>
      </w:r>
      <w:r>
        <w:rPr>
          <w:rFonts w:cs="Arial"/>
        </w:rPr>
        <w:t xml:space="preserve"> 7 and 8,</w:t>
      </w:r>
      <w:r w:rsidRPr="00E233DF">
        <w:rPr>
          <w:rFonts w:cs="Arial"/>
        </w:rPr>
        <w:t xml:space="preserve"> 2015</w:t>
      </w:r>
    </w:p>
    <w:p w:rsidR="001D18EE" w:rsidRDefault="001D18EE" w:rsidP="001D18EE"/>
    <w:p w:rsidR="001D18EE" w:rsidRPr="00202818" w:rsidRDefault="001D18EE" w:rsidP="001D18EE">
      <w:pPr>
        <w:pStyle w:val="DecisionParagraphs"/>
        <w:tabs>
          <w:tab w:val="num" w:pos="5387"/>
        </w:tabs>
      </w:pPr>
      <w:r w:rsidRPr="00202818">
        <w:fldChar w:fldCharType="begin"/>
      </w:r>
      <w:r w:rsidRPr="00202818">
        <w:instrText xml:space="preserve"> AUTONUM  </w:instrText>
      </w:r>
      <w:r w:rsidRPr="00202818">
        <w:fldChar w:fldCharType="end"/>
      </w:r>
      <w:r w:rsidRPr="00202818">
        <w:tab/>
        <w:t xml:space="preserve">The </w:t>
      </w:r>
      <w:r w:rsidR="00FE0D5E" w:rsidRPr="00202818">
        <w:t>TW</w:t>
      </w:r>
      <w:r w:rsidR="009A7EF3">
        <w:t>A</w:t>
      </w:r>
      <w:r w:rsidRPr="00202818">
        <w:t xml:space="preserve"> is invited to:</w:t>
      </w:r>
    </w:p>
    <w:p w:rsidR="001D18EE" w:rsidRPr="00202818" w:rsidRDefault="001D18EE" w:rsidP="001D18EE">
      <w:pPr>
        <w:pStyle w:val="DecisionParagraphs"/>
        <w:tabs>
          <w:tab w:val="num" w:pos="5387"/>
        </w:tabs>
      </w:pPr>
    </w:p>
    <w:p w:rsidR="001D18EE" w:rsidRPr="00202818" w:rsidRDefault="00FE0D5E" w:rsidP="001D18EE">
      <w:pPr>
        <w:pStyle w:val="DecisionParagraphs"/>
        <w:numPr>
          <w:ilvl w:val="0"/>
          <w:numId w:val="15"/>
        </w:numPr>
        <w:tabs>
          <w:tab w:val="clear" w:pos="5387"/>
          <w:tab w:val="left" w:pos="5954"/>
        </w:tabs>
        <w:ind w:left="4820" w:firstLine="567"/>
      </w:pPr>
      <w:r w:rsidRPr="00202818">
        <w:t xml:space="preserve">provide information on the use of blind randomized trials at the different UPOV members, including </w:t>
      </w:r>
      <w:r w:rsidR="001D18EE" w:rsidRPr="00202818">
        <w:t xml:space="preserve">the circumstances under which blind randomized trials are used; </w:t>
      </w:r>
      <w:r w:rsidR="00B0257E">
        <w:t xml:space="preserve">and </w:t>
      </w:r>
    </w:p>
    <w:p w:rsidR="001D18EE" w:rsidRPr="00202818" w:rsidRDefault="001D18EE" w:rsidP="001D18EE">
      <w:pPr>
        <w:pStyle w:val="DecisionParagraphs"/>
        <w:tabs>
          <w:tab w:val="clear" w:pos="5387"/>
          <w:tab w:val="left" w:pos="5954"/>
        </w:tabs>
        <w:ind w:left="5103" w:firstLine="567"/>
      </w:pPr>
    </w:p>
    <w:p w:rsidR="00FE0D5E" w:rsidRPr="00FE0D5E" w:rsidRDefault="00FE0D5E" w:rsidP="00FE0D5E">
      <w:pPr>
        <w:pStyle w:val="DecisionParagraphs"/>
        <w:numPr>
          <w:ilvl w:val="0"/>
          <w:numId w:val="15"/>
        </w:numPr>
        <w:tabs>
          <w:tab w:val="clear" w:pos="5387"/>
          <w:tab w:val="left" w:pos="5954"/>
        </w:tabs>
        <w:ind w:left="4820" w:firstLine="567"/>
        <w:rPr>
          <w:iCs/>
          <w:spacing w:val="-4"/>
        </w:rPr>
      </w:pPr>
      <w:proofErr w:type="gramStart"/>
      <w:r w:rsidRPr="00202818">
        <w:rPr>
          <w:iCs/>
          <w:spacing w:val="-4"/>
        </w:rPr>
        <w:t>note</w:t>
      </w:r>
      <w:proofErr w:type="gramEnd"/>
      <w:r w:rsidRPr="00202818">
        <w:rPr>
          <w:iCs/>
          <w:spacing w:val="-4"/>
        </w:rPr>
        <w:t xml:space="preserve"> </w:t>
      </w:r>
      <w:r w:rsidRPr="00202818">
        <w:rPr>
          <w:rFonts w:cs="Arial"/>
          <w:color w:val="000000"/>
        </w:rPr>
        <w:t>the proposal from the expert from</w:t>
      </w:r>
      <w:r w:rsidRPr="00FE0D5E">
        <w:rPr>
          <w:rFonts w:cs="Arial"/>
          <w:color w:val="000000"/>
        </w:rPr>
        <w:t xml:space="preserve"> </w:t>
      </w:r>
      <w:r w:rsidR="00C33BC5">
        <w:rPr>
          <w:rFonts w:cs="Arial"/>
          <w:color w:val="000000"/>
        </w:rPr>
        <w:t>France</w:t>
      </w:r>
      <w:r w:rsidRPr="00FE0D5E">
        <w:rPr>
          <w:rFonts w:cs="Arial"/>
          <w:color w:val="000000"/>
        </w:rPr>
        <w:t xml:space="preserve"> to prepare a new draft for consideration by the TC and the TWPs at their sessions in 2015.</w:t>
      </w:r>
    </w:p>
    <w:p w:rsidR="001D18EE" w:rsidRDefault="001D18EE" w:rsidP="001D18EE"/>
    <w:p w:rsidR="00FE0D5E" w:rsidRDefault="00FE0D5E" w:rsidP="001D18EE"/>
    <w:p w:rsidR="001D18EE" w:rsidRDefault="001D18EE" w:rsidP="001D18EE"/>
    <w:p w:rsidR="001D18EE" w:rsidRDefault="001D18EE" w:rsidP="001D18EE">
      <w:pPr>
        <w:jc w:val="right"/>
      </w:pPr>
      <w:r>
        <w:t>[Annexes follow]</w:t>
      </w:r>
    </w:p>
    <w:p w:rsidR="001D18EE" w:rsidRDefault="001D18EE" w:rsidP="001D18EE"/>
    <w:p w:rsidR="001D18EE" w:rsidRDefault="001D18EE" w:rsidP="001D18EE">
      <w:pPr>
        <w:sectPr w:rsidR="001D18EE" w:rsidSect="00906DDC">
          <w:headerReference w:type="default" r:id="rId9"/>
          <w:pgSz w:w="11907" w:h="16840" w:code="9"/>
          <w:pgMar w:top="510" w:right="1134" w:bottom="1134" w:left="1134" w:header="510" w:footer="680" w:gutter="0"/>
          <w:cols w:space="720"/>
          <w:titlePg/>
        </w:sectPr>
      </w:pPr>
    </w:p>
    <w:p w:rsidR="00C87817" w:rsidRDefault="00C87817" w:rsidP="001D18EE">
      <w:pPr>
        <w:autoSpaceDE w:val="0"/>
        <w:autoSpaceDN w:val="0"/>
        <w:adjustRightInd w:val="0"/>
        <w:rPr>
          <w:rFonts w:eastAsia="MS Mincho"/>
          <w:color w:val="000000"/>
          <w:szCs w:val="24"/>
          <w:lang w:eastAsia="ja-JP"/>
        </w:rPr>
      </w:pPr>
    </w:p>
    <w:p w:rsidR="001D18EE" w:rsidRDefault="001D18EE" w:rsidP="001D18EE">
      <w:pPr>
        <w:autoSpaceDE w:val="0"/>
        <w:autoSpaceDN w:val="0"/>
        <w:adjustRightInd w:val="0"/>
        <w:rPr>
          <w:rFonts w:eastAsia="MS Mincho"/>
          <w:color w:val="000000"/>
          <w:szCs w:val="24"/>
          <w:lang w:eastAsia="ja-JP"/>
        </w:rPr>
      </w:pPr>
      <w:r>
        <w:rPr>
          <w:rFonts w:eastAsia="MS Mincho"/>
          <w:color w:val="000000"/>
          <w:szCs w:val="24"/>
          <w:lang w:eastAsia="ja-JP"/>
        </w:rPr>
        <w:t>EXTRACT FROM DOCUMENT TGP/8/1: PART I: DUS TRIAL DESIGN AND DATA ANALYSIS: SECTION 1.5.3.4 “BLIND RANDOMIZED TRIALS”</w:t>
      </w:r>
    </w:p>
    <w:p w:rsidR="001D18EE" w:rsidRDefault="001D18EE" w:rsidP="001D18EE">
      <w:pPr>
        <w:autoSpaceDE w:val="0"/>
        <w:autoSpaceDN w:val="0"/>
        <w:adjustRightInd w:val="0"/>
        <w:jc w:val="left"/>
        <w:rPr>
          <w:rFonts w:cs="Arial"/>
        </w:rPr>
      </w:pPr>
    </w:p>
    <w:p w:rsidR="001D18EE" w:rsidRPr="00D9707D" w:rsidRDefault="001D18EE" w:rsidP="001D18EE">
      <w:pPr>
        <w:autoSpaceDE w:val="0"/>
        <w:autoSpaceDN w:val="0"/>
        <w:adjustRightInd w:val="0"/>
        <w:jc w:val="left"/>
        <w:rPr>
          <w:rFonts w:cs="Arial"/>
        </w:rPr>
      </w:pPr>
    </w:p>
    <w:p w:rsidR="001D18EE" w:rsidRPr="007A334E" w:rsidRDefault="001D18EE" w:rsidP="001D18EE">
      <w:pPr>
        <w:pStyle w:val="Heading4"/>
        <w:ind w:left="0" w:right="9"/>
        <w:rPr>
          <w:rFonts w:cs="Arial"/>
          <w:i w:val="0"/>
          <w:lang w:val="en-US"/>
        </w:rPr>
      </w:pPr>
      <w:r>
        <w:rPr>
          <w:rFonts w:cs="Arial"/>
          <w:lang w:val="en-US"/>
        </w:rPr>
        <w:t>1.</w:t>
      </w:r>
      <w:r>
        <w:rPr>
          <w:rFonts w:cs="Arial"/>
          <w:lang w:val="en-US"/>
        </w:rPr>
        <w:tab/>
      </w:r>
      <w:r w:rsidRPr="007A334E">
        <w:rPr>
          <w:rFonts w:cs="Arial"/>
          <w:lang w:val="en-US"/>
        </w:rPr>
        <w:t>DUS TRIAL DESIGN</w:t>
      </w:r>
    </w:p>
    <w:p w:rsidR="001D18EE" w:rsidRDefault="001D18EE" w:rsidP="001D18EE"/>
    <w:p w:rsidR="001D18EE" w:rsidRPr="007A334E" w:rsidRDefault="001D18EE" w:rsidP="001D18EE">
      <w:r w:rsidRPr="007A334E">
        <w:t>[…]</w:t>
      </w:r>
    </w:p>
    <w:p w:rsidR="001D18EE" w:rsidRPr="007A334E" w:rsidRDefault="001D18EE" w:rsidP="001D18EE"/>
    <w:p w:rsidR="001D18EE" w:rsidRPr="007A334E" w:rsidRDefault="001D18EE" w:rsidP="001D18EE">
      <w:pPr>
        <w:pStyle w:val="Heading4"/>
        <w:ind w:left="0" w:right="9"/>
        <w:rPr>
          <w:rFonts w:cs="Arial"/>
          <w:i w:val="0"/>
          <w:lang w:val="en-US"/>
        </w:rPr>
      </w:pPr>
      <w:r w:rsidRPr="007A334E">
        <w:rPr>
          <w:rFonts w:cs="Arial"/>
          <w:lang w:val="en-US"/>
        </w:rPr>
        <w:t xml:space="preserve">1.5 </w:t>
      </w:r>
      <w:r>
        <w:rPr>
          <w:rFonts w:cs="Arial"/>
          <w:lang w:val="en-US"/>
        </w:rPr>
        <w:tab/>
      </w:r>
      <w:r w:rsidRPr="007A334E">
        <w:rPr>
          <w:rFonts w:cs="Arial"/>
          <w:lang w:val="en-US"/>
        </w:rPr>
        <w:t>Test Design</w:t>
      </w:r>
    </w:p>
    <w:p w:rsidR="001D18EE" w:rsidRDefault="001D18EE" w:rsidP="001D18EE"/>
    <w:p w:rsidR="001D18EE" w:rsidRPr="007A334E" w:rsidRDefault="001D18EE" w:rsidP="001D18EE">
      <w:r w:rsidRPr="007A334E">
        <w:t>[…]</w:t>
      </w:r>
    </w:p>
    <w:p w:rsidR="001D18EE" w:rsidRPr="007A334E" w:rsidRDefault="001D18EE" w:rsidP="001D18EE"/>
    <w:p w:rsidR="001D18EE" w:rsidRPr="005C3E01" w:rsidRDefault="001D18EE" w:rsidP="001D18EE">
      <w:pPr>
        <w:rPr>
          <w:rFonts w:cs="Arial"/>
          <w:u w:val="single"/>
        </w:rPr>
      </w:pPr>
      <w:r w:rsidRPr="005C3E01">
        <w:rPr>
          <w:rFonts w:cs="Arial"/>
          <w:u w:val="single"/>
        </w:rPr>
        <w:t xml:space="preserve">1.5.3 </w:t>
      </w:r>
      <w:r w:rsidRPr="005C3E01">
        <w:rPr>
          <w:rFonts w:cs="Arial"/>
          <w:u w:val="single"/>
        </w:rPr>
        <w:tab/>
        <w:t>Trial layout</w:t>
      </w:r>
    </w:p>
    <w:p w:rsidR="001D18EE" w:rsidRDefault="001D18EE" w:rsidP="001D18EE"/>
    <w:p w:rsidR="001D18EE" w:rsidRPr="007A334E" w:rsidRDefault="001D18EE" w:rsidP="001D18EE">
      <w:r w:rsidRPr="007A334E">
        <w:t>[…]</w:t>
      </w:r>
    </w:p>
    <w:p w:rsidR="001D18EE" w:rsidRDefault="001D18EE" w:rsidP="001D18EE">
      <w:pPr>
        <w:pStyle w:val="Heading4"/>
        <w:ind w:left="0" w:right="9"/>
        <w:rPr>
          <w:rFonts w:cs="Arial"/>
          <w:lang w:val="en-US"/>
        </w:rPr>
      </w:pPr>
    </w:p>
    <w:p w:rsidR="001D18EE" w:rsidRPr="007A334E" w:rsidRDefault="001D18EE" w:rsidP="001D18EE">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1D18EE" w:rsidRPr="007A334E" w:rsidRDefault="001D18EE" w:rsidP="001D18EE">
      <w:pPr>
        <w:ind w:right="9"/>
      </w:pPr>
    </w:p>
    <w:p w:rsidR="001D18EE" w:rsidRPr="00AC78F4" w:rsidRDefault="001D18EE" w:rsidP="001D18EE">
      <w:pPr>
        <w:pStyle w:val="BodyTextIndent"/>
        <w:tabs>
          <w:tab w:val="left" w:pos="108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1D18EE" w:rsidRPr="00AC78F4" w:rsidRDefault="001D18EE" w:rsidP="001D18EE">
      <w:pPr>
        <w:pStyle w:val="BodyTextIndent"/>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1D18EE" w:rsidRDefault="001D18EE" w:rsidP="001D18EE">
      <w:pPr>
        <w:pStyle w:val="BodyTextIndent"/>
        <w:tabs>
          <w:tab w:val="left" w:pos="1200"/>
        </w:tabs>
        <w:ind w:left="0" w:right="9"/>
        <w:rPr>
          <w:rFonts w:ascii="Arial" w:hAnsi="Arial" w:cs="Arial"/>
          <w:sz w:val="20"/>
        </w:rPr>
      </w:pPr>
    </w:p>
    <w:p w:rsidR="001D18EE" w:rsidRDefault="001D18EE" w:rsidP="001D18EE">
      <w:pPr>
        <w:pStyle w:val="BodyTextIndent"/>
        <w:tabs>
          <w:tab w:val="left" w:pos="1200"/>
        </w:tabs>
        <w:ind w:left="0" w:right="9"/>
        <w:rPr>
          <w:rFonts w:ascii="Arial" w:hAnsi="Arial" w:cs="Arial"/>
          <w:sz w:val="20"/>
        </w:rPr>
      </w:pPr>
    </w:p>
    <w:p w:rsidR="001D18EE" w:rsidRPr="00AC78F4" w:rsidRDefault="001D18EE" w:rsidP="001D18EE">
      <w:pPr>
        <w:pStyle w:val="BodyTextIndent"/>
        <w:tabs>
          <w:tab w:val="left" w:pos="1200"/>
        </w:tabs>
        <w:ind w:left="0" w:right="9"/>
        <w:rPr>
          <w:rFonts w:ascii="Arial" w:hAnsi="Arial" w:cs="Arial"/>
          <w:sz w:val="20"/>
        </w:rPr>
      </w:pPr>
    </w:p>
    <w:p w:rsidR="001D18EE" w:rsidRDefault="001D18EE" w:rsidP="001D18EE">
      <w:pPr>
        <w:jc w:val="right"/>
        <w:rPr>
          <w:rFonts w:cs="Arial"/>
          <w:caps/>
        </w:rPr>
      </w:pPr>
      <w:r>
        <w:rPr>
          <w:u w:val="single"/>
        </w:rPr>
        <w:t>[</w:t>
      </w:r>
      <w:r>
        <w:t>Annex II follows]</w:t>
      </w:r>
    </w:p>
    <w:p w:rsidR="001D18EE" w:rsidRDefault="001D18EE" w:rsidP="001D18EE">
      <w:pPr>
        <w:rPr>
          <w:rFonts w:cs="Arial"/>
          <w:caps/>
        </w:rPr>
      </w:pPr>
    </w:p>
    <w:p w:rsidR="001D18EE" w:rsidRDefault="001D18EE" w:rsidP="001D18EE">
      <w:pPr>
        <w:rPr>
          <w:rFonts w:cs="Arial"/>
          <w:caps/>
        </w:rPr>
      </w:pPr>
    </w:p>
    <w:p w:rsidR="001D18EE" w:rsidRDefault="001D18EE" w:rsidP="001D18EE">
      <w:pPr>
        <w:pStyle w:val="Heading4"/>
        <w:ind w:left="720" w:right="639"/>
        <w:rPr>
          <w:lang w:val="en-US"/>
        </w:rPr>
        <w:sectPr w:rsidR="001D18EE"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1D18EE" w:rsidRDefault="001D18EE" w:rsidP="001D18EE">
      <w:pPr>
        <w:rPr>
          <w:caps/>
        </w:rPr>
      </w:pPr>
    </w:p>
    <w:p w:rsidR="001D18EE" w:rsidRPr="00D52743" w:rsidRDefault="001D18EE" w:rsidP="001D18EE">
      <w:pPr>
        <w:jc w:val="left"/>
        <w:rPr>
          <w:caps/>
        </w:rPr>
      </w:pPr>
      <w:r w:rsidRPr="00D52743">
        <w:rPr>
          <w:caps/>
        </w:rPr>
        <w:t>DRAFT GUIDANCE CONSIDERED BY THE twps at their sessions in 2013</w:t>
      </w:r>
    </w:p>
    <w:p w:rsidR="001D18EE" w:rsidRDefault="001D18EE" w:rsidP="001D18EE">
      <w:pPr>
        <w:jc w:val="center"/>
        <w:rPr>
          <w:rFonts w:cs="Arial"/>
          <w:caps/>
        </w:rPr>
      </w:pPr>
    </w:p>
    <w:p w:rsidR="001D18EE" w:rsidRDefault="001D18EE" w:rsidP="001D18EE">
      <w:pPr>
        <w:jc w:val="center"/>
        <w:rPr>
          <w:rFonts w:cs="Arial"/>
          <w:caps/>
        </w:rPr>
      </w:pPr>
    </w:p>
    <w:p w:rsidR="001D18EE" w:rsidRDefault="001D18EE" w:rsidP="001D18EE">
      <w:pPr>
        <w:jc w:val="left"/>
        <w:rPr>
          <w:rFonts w:cs="Arial"/>
          <w:caps/>
        </w:rPr>
      </w:pPr>
      <w:r>
        <w:rPr>
          <w:rFonts w:cs="Arial"/>
          <w:caps/>
        </w:rPr>
        <w:t xml:space="preserve">draft </w:t>
      </w:r>
      <w:r w:rsidRPr="00AA533F">
        <w:rPr>
          <w:rFonts w:cs="Arial"/>
          <w:caps/>
        </w:rPr>
        <w:t>Guidance of Data Analysis for Blind Randomized Trials</w:t>
      </w:r>
    </w:p>
    <w:p w:rsidR="001D18EE" w:rsidRPr="0083609F" w:rsidRDefault="001D18EE" w:rsidP="001D18EE">
      <w:pPr>
        <w:shd w:val="clear" w:color="auto" w:fill="FFFFFF"/>
        <w:jc w:val="left"/>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1D18EE" w:rsidRPr="00AA533F" w:rsidRDefault="001D18EE" w:rsidP="001D18EE">
      <w:pPr>
        <w:jc w:val="center"/>
        <w:rPr>
          <w:caps/>
        </w:rPr>
      </w:pPr>
    </w:p>
    <w:p w:rsidR="001D18EE" w:rsidRDefault="001D18EE" w:rsidP="001D18EE"/>
    <w:p w:rsidR="001D18EE" w:rsidRDefault="001D18EE" w:rsidP="001D18EE"/>
    <w:p w:rsidR="001D18EE" w:rsidRDefault="001D18EE" w:rsidP="001D18EE">
      <w:pPr>
        <w:rPr>
          <w:u w:val="single"/>
          <w:shd w:val="clear" w:color="auto" w:fill="BFBFBF"/>
        </w:rPr>
      </w:pPr>
      <w:r w:rsidRPr="008B3EB2">
        <w:rPr>
          <w:u w:val="single"/>
          <w:shd w:val="clear" w:color="auto" w:fill="BFBFBF"/>
        </w:rPr>
        <w:t>Introduction:</w:t>
      </w:r>
    </w:p>
    <w:p w:rsidR="001D18EE" w:rsidRDefault="001D18EE" w:rsidP="001D18EE">
      <w:pPr>
        <w:rPr>
          <w:u w:val="single"/>
        </w:rPr>
      </w:pPr>
    </w:p>
    <w:p w:rsidR="001D18EE" w:rsidRPr="0083609F" w:rsidRDefault="001D18EE" w:rsidP="001D18EE">
      <w:r>
        <w:rPr>
          <w:shd w:val="clear" w:color="auto" w:fill="BFBFBF"/>
        </w:rPr>
        <w:t>[To be provided]</w:t>
      </w:r>
    </w:p>
    <w:p w:rsidR="001D18EE" w:rsidRDefault="001D18EE" w:rsidP="001D18EE"/>
    <w:p w:rsidR="001D18EE" w:rsidRDefault="001D18EE" w:rsidP="001D18EE">
      <w:pPr>
        <w:rPr>
          <w:u w:val="single"/>
        </w:rPr>
      </w:pPr>
      <w:r w:rsidRPr="00AA533F">
        <w:rPr>
          <w:u w:val="single"/>
        </w:rPr>
        <w:t>Background:</w:t>
      </w:r>
    </w:p>
    <w:p w:rsidR="001D18EE" w:rsidRPr="00AA533F" w:rsidRDefault="001D18EE" w:rsidP="001D18EE">
      <w:pPr>
        <w:rPr>
          <w:u w:val="single"/>
        </w:rPr>
      </w:pPr>
    </w:p>
    <w:p w:rsidR="001D18EE" w:rsidRDefault="001D18EE" w:rsidP="001D18EE">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1D18EE" w:rsidRDefault="001D18EE" w:rsidP="001D18EE"/>
    <w:p w:rsidR="001D18EE" w:rsidRPr="00C12C6C" w:rsidRDefault="001D18EE" w:rsidP="001D18EE">
      <w:pPr>
        <w:ind w:left="567"/>
      </w:pPr>
      <w:r w:rsidRPr="00C12C6C">
        <w:t>-</w:t>
      </w:r>
      <w:r>
        <w:t xml:space="preserve"> </w:t>
      </w:r>
      <w:r>
        <w:tab/>
      </w:r>
      <w:r w:rsidRPr="00C12C6C">
        <w:t>confirm some characteristics announced by the applicant;</w:t>
      </w:r>
    </w:p>
    <w:p w:rsidR="001D18EE" w:rsidRPr="005E587B" w:rsidRDefault="001D18EE" w:rsidP="001D18EE">
      <w:pPr>
        <w:ind w:left="567"/>
      </w:pPr>
      <w:r w:rsidRPr="005E587B">
        <w:t xml:space="preserve">- </w:t>
      </w:r>
      <w:r w:rsidRPr="005E587B">
        <w:tab/>
        <w:t xml:space="preserve">check some genetic disease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1D18EE" w:rsidRPr="005E587B" w:rsidRDefault="001D18EE" w:rsidP="001D18EE">
      <w:pPr>
        <w:ind w:left="567"/>
      </w:pPr>
    </w:p>
    <w:p w:rsidR="001D18EE" w:rsidRPr="00C12C6C" w:rsidRDefault="001D18EE" w:rsidP="001D18EE">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1D18EE" w:rsidRDefault="001D18EE" w:rsidP="001D18EE"/>
    <w:p w:rsidR="001D18EE" w:rsidRPr="0025055A" w:rsidRDefault="001D18EE" w:rsidP="001D18EE">
      <w:pPr>
        <w:rPr>
          <w:u w:val="single"/>
        </w:rPr>
      </w:pPr>
      <w:r>
        <w:rPr>
          <w:u w:val="single"/>
        </w:rPr>
        <w:t>Preparation of the trial:</w:t>
      </w:r>
    </w:p>
    <w:p w:rsidR="001D18EE" w:rsidRDefault="001D18EE" w:rsidP="001D18EE"/>
    <w:p w:rsidR="001D18EE" w:rsidRPr="00C12C6C" w:rsidRDefault="001D18EE" w:rsidP="001D18EE">
      <w:pPr>
        <w:numPr>
          <w:ilvl w:val="0"/>
          <w:numId w:val="1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1D18EE" w:rsidRPr="00C12C6C" w:rsidRDefault="001D18EE" w:rsidP="001D18EE">
      <w:pPr>
        <w:numPr>
          <w:ilvl w:val="0"/>
          <w:numId w:val="1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1D18EE" w:rsidRDefault="001D18EE" w:rsidP="001D18EE">
      <w:pPr>
        <w:numPr>
          <w:ilvl w:val="0"/>
          <w:numId w:val="1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1D18EE" w:rsidRPr="0083609F" w:rsidRDefault="001D18EE" w:rsidP="001D18EE">
      <w:pPr>
        <w:numPr>
          <w:ilvl w:val="0"/>
          <w:numId w:val="1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1D18EE" w:rsidRPr="00C12C6C" w:rsidRDefault="001D18EE" w:rsidP="001D18EE">
      <w:pPr>
        <w:numPr>
          <w:ilvl w:val="0"/>
          <w:numId w:val="1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1D18EE" w:rsidRDefault="001D18EE" w:rsidP="001D18EE"/>
    <w:p w:rsidR="001D18EE" w:rsidRPr="00C12C6C" w:rsidRDefault="001D18EE" w:rsidP="001D18EE">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1D18EE" w:rsidRDefault="001D18EE" w:rsidP="001D18EE"/>
    <w:p w:rsidR="001D18EE" w:rsidRDefault="001D18EE" w:rsidP="001D18EE">
      <w:pPr>
        <w:rPr>
          <w:u w:val="single"/>
        </w:rPr>
      </w:pPr>
      <w:r>
        <w:rPr>
          <w:u w:val="single"/>
        </w:rPr>
        <w:t>Transmission of results:</w:t>
      </w:r>
    </w:p>
    <w:p w:rsidR="001D18EE" w:rsidRPr="0025055A" w:rsidRDefault="001D18EE" w:rsidP="001D18EE">
      <w:pPr>
        <w:rPr>
          <w:u w:val="single"/>
        </w:rPr>
      </w:pPr>
    </w:p>
    <w:p w:rsidR="001D18EE" w:rsidRDefault="001D18EE" w:rsidP="001D18EE">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1D18EE" w:rsidRPr="00C12C6C" w:rsidRDefault="001D18EE" w:rsidP="001D18EE"/>
    <w:p w:rsidR="001D18EE" w:rsidRPr="00C12C6C" w:rsidRDefault="001D18EE" w:rsidP="001D18EE">
      <w:r>
        <w:tab/>
        <w:t>A = Candidate variety</w:t>
      </w:r>
    </w:p>
    <w:p w:rsidR="001D18EE" w:rsidRPr="00C12C6C" w:rsidRDefault="001D18EE" w:rsidP="001D18EE">
      <w:r>
        <w:tab/>
        <w:t>B = Reference variety</w:t>
      </w:r>
    </w:p>
    <w:p w:rsidR="001D18EE" w:rsidRPr="00C12C6C" w:rsidRDefault="001D18EE" w:rsidP="001D18EE">
      <w:r>
        <w:tab/>
        <w:t>C = Mixture</w:t>
      </w:r>
    </w:p>
    <w:p w:rsidR="001D18EE" w:rsidRPr="00C12C6C" w:rsidRDefault="001D18EE" w:rsidP="001D18EE">
      <w:r>
        <w:tab/>
        <w:t>D = Candidate variety</w:t>
      </w:r>
    </w:p>
    <w:p w:rsidR="001D18EE" w:rsidRPr="00E567A4" w:rsidRDefault="001D18EE" w:rsidP="001D18EE">
      <w:r>
        <w:tab/>
        <w:t>E = Reference variety</w:t>
      </w:r>
    </w:p>
    <w:p w:rsidR="001D18EE" w:rsidRDefault="001D18EE" w:rsidP="001D18EE"/>
    <w:p w:rsidR="001D18EE" w:rsidRPr="00C12C6C" w:rsidRDefault="001D18EE" w:rsidP="001D18EE">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1D18EE" w:rsidRDefault="001D18EE" w:rsidP="001D18EE"/>
    <w:p w:rsidR="001D18EE" w:rsidRPr="004B5667" w:rsidRDefault="001D18EE" w:rsidP="001D18EE">
      <w:r>
        <w:t>6.</w:t>
      </w:r>
      <w:r>
        <w:tab/>
      </w:r>
      <w:r w:rsidRPr="004B5667">
        <w:t>This approach amounts to formalize the results obtained through a non-official test.</w:t>
      </w:r>
    </w:p>
    <w:p w:rsidR="001D18EE" w:rsidRDefault="001D18EE" w:rsidP="001D18EE"/>
    <w:p w:rsidR="001D18EE" w:rsidRDefault="001D18EE" w:rsidP="001D18EE"/>
    <w:p w:rsidR="001D18EE" w:rsidRDefault="001D18EE" w:rsidP="001D18EE">
      <w:pPr>
        <w:jc w:val="right"/>
      </w:pPr>
    </w:p>
    <w:p w:rsidR="001D18EE" w:rsidRDefault="001D18EE" w:rsidP="001D18EE">
      <w:pPr>
        <w:jc w:val="right"/>
      </w:pPr>
      <w:r>
        <w:t>[Annex III follows]</w:t>
      </w:r>
    </w:p>
    <w:p w:rsidR="001D18EE" w:rsidRDefault="001D18EE" w:rsidP="001D18EE">
      <w:pPr>
        <w:jc w:val="right"/>
      </w:pPr>
    </w:p>
    <w:p w:rsidR="001D18EE" w:rsidRDefault="001D18EE" w:rsidP="001D18EE">
      <w:pPr>
        <w:jc w:val="right"/>
        <w:sectPr w:rsidR="001D18EE" w:rsidSect="00906DDC">
          <w:headerReference w:type="default" r:id="rId13"/>
          <w:headerReference w:type="first" r:id="rId14"/>
          <w:footerReference w:type="first" r:id="rId15"/>
          <w:pgSz w:w="11907" w:h="16840" w:code="9"/>
          <w:pgMar w:top="510" w:right="1134" w:bottom="1134" w:left="1134" w:header="510" w:footer="680" w:gutter="0"/>
          <w:cols w:space="720"/>
          <w:titlePg/>
        </w:sectPr>
      </w:pPr>
    </w:p>
    <w:p w:rsidR="001D18EE" w:rsidRDefault="001D18EE" w:rsidP="001D18EE">
      <w:pPr>
        <w:jc w:val="right"/>
      </w:pPr>
    </w:p>
    <w:p w:rsidR="001D18EE" w:rsidRDefault="001D18EE" w:rsidP="001D18EE">
      <w:r>
        <w:rPr>
          <w:rFonts w:cs="Arial"/>
          <w:caps/>
        </w:rPr>
        <w:t xml:space="preserve">draft </w:t>
      </w:r>
      <w:r w:rsidRPr="00AA533F">
        <w:rPr>
          <w:rFonts w:cs="Arial"/>
          <w:caps/>
        </w:rPr>
        <w:t>Guidance for Blind Randomized Trials</w:t>
      </w:r>
      <w:r>
        <w:rPr>
          <w:rFonts w:cs="Arial"/>
          <w:caps/>
        </w:rPr>
        <w:t xml:space="preserve"> </w:t>
      </w:r>
      <w:r>
        <w:t>CONDUCTED BY THE AUTHORITY OR A THIRD PARTY</w:t>
      </w:r>
    </w:p>
    <w:p w:rsidR="001D18EE" w:rsidRDefault="001D18EE" w:rsidP="001D18EE"/>
    <w:p w:rsidR="001D18EE" w:rsidRPr="00A16CEF" w:rsidRDefault="001D18EE" w:rsidP="001D18EE">
      <w:pPr>
        <w:rPr>
          <w:rFonts w:cs="Arial"/>
        </w:rPr>
      </w:pPr>
      <w:r w:rsidRPr="00A16CEF">
        <w:rPr>
          <w:rFonts w:cs="Arial"/>
        </w:rPr>
        <w:t>BACKGROUND</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Technical Committee, at its forty-eighth session, held  in Geneva from March 26 to 28, 2012, agreed that the experts from France should develop guidance on data analysis for blind randomized trials from their experience, including their use of blind randomized trials for disease resistance and other examples (see document TC/48/22 “Report on conclusions” paragraph 60).</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blind randomized trials can be used for many crops in order to:</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Confirm some characteris</w:t>
      </w:r>
      <w:r>
        <w:rPr>
          <w:rFonts w:ascii="Arial" w:hAnsi="Arial" w:cs="Arial"/>
          <w:sz w:val="20"/>
          <w:szCs w:val="20"/>
          <w:lang w:val="en-US"/>
        </w:rPr>
        <w:t>tics announced by the applicant</w:t>
      </w:r>
      <w:r w:rsidRPr="00A16CEF">
        <w:rPr>
          <w:rFonts w:ascii="Arial" w:hAnsi="Arial" w:cs="Arial"/>
          <w:sz w:val="20"/>
          <w:szCs w:val="20"/>
          <w:lang w:val="en-US"/>
        </w:rPr>
        <w:t>;</w:t>
      </w:r>
    </w:p>
    <w:p w:rsidR="001D18EE" w:rsidRPr="00A16CEF" w:rsidRDefault="001D18EE" w:rsidP="001D18EE">
      <w:pPr>
        <w:pStyle w:val="ListParagraph"/>
        <w:numPr>
          <w:ilvl w:val="0"/>
          <w:numId w:val="13"/>
        </w:numPr>
        <w:jc w:val="both"/>
        <w:rPr>
          <w:rFonts w:ascii="Arial" w:hAnsi="Arial" w:cs="Arial"/>
          <w:sz w:val="20"/>
          <w:szCs w:val="20"/>
          <w:lang w:val="en-US"/>
        </w:rPr>
      </w:pPr>
      <w:r w:rsidRPr="00A16CEF">
        <w:rPr>
          <w:rFonts w:ascii="Arial" w:hAnsi="Arial" w:cs="Arial"/>
          <w:sz w:val="20"/>
          <w:szCs w:val="20"/>
          <w:lang w:val="en-US"/>
        </w:rPr>
        <w:t>Check some genetic disease resistances or other characteristics not officially tested by the national authority in charge of DUS examination.</w:t>
      </w:r>
    </w:p>
    <w:p w:rsidR="001D18EE" w:rsidRPr="00A16CEF" w:rsidRDefault="001D18EE" w:rsidP="001D18EE">
      <w:pPr>
        <w:ind w:left="720"/>
        <w:rPr>
          <w:rFonts w:cs="Arial"/>
        </w:rPr>
      </w:pPr>
    </w:p>
    <w:p w:rsidR="001D18EE" w:rsidRPr="00A16CEF" w:rsidRDefault="001D18EE" w:rsidP="001D18EE">
      <w:pPr>
        <w:ind w:left="720"/>
        <w:rPr>
          <w:rFonts w:cs="Arial"/>
        </w:rPr>
      </w:pPr>
      <w:r w:rsidRPr="00A16CEF">
        <w:rPr>
          <w:rFonts w:cs="Arial"/>
        </w:rPr>
        <w:t>In cases of difficulties with distinctness after one or two growing cycles, the blind randomized trials can been used to take account of specific adaptations in DUS test (regional, climatic, etc.).</w:t>
      </w:r>
    </w:p>
    <w:p w:rsidR="001D18EE" w:rsidRPr="00A16CEF" w:rsidRDefault="001D18EE" w:rsidP="001D18EE">
      <w:pPr>
        <w:ind w:left="720"/>
        <w:rPr>
          <w:rFonts w:cs="Arial"/>
        </w:rPr>
      </w:pPr>
    </w:p>
    <w:p w:rsidR="001D18EE" w:rsidRPr="00A16CEF" w:rsidRDefault="001D18EE" w:rsidP="001D18EE">
      <w:pPr>
        <w:ind w:left="720"/>
        <w:rPr>
          <w:rFonts w:cs="Arial"/>
        </w:rPr>
      </w:pPr>
    </w:p>
    <w:p w:rsidR="001D18EE" w:rsidRPr="00A16CEF" w:rsidRDefault="001D18EE" w:rsidP="001D18EE">
      <w:pPr>
        <w:ind w:left="720"/>
        <w:rPr>
          <w:rFonts w:cs="Arial"/>
          <w:u w:val="single"/>
        </w:rPr>
      </w:pPr>
      <w:r w:rsidRPr="00A16CEF">
        <w:rPr>
          <w:rFonts w:cs="Arial"/>
          <w:u w:val="single"/>
        </w:rPr>
        <w:t>Preparation of the trial:</w:t>
      </w:r>
    </w:p>
    <w:p w:rsidR="001D18EE" w:rsidRPr="00A16CEF" w:rsidRDefault="001D18EE" w:rsidP="001D18EE">
      <w:pPr>
        <w:ind w:left="720"/>
        <w:rPr>
          <w:rFonts w:cs="Arial"/>
        </w:rPr>
      </w:pP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has the choice to accept or not this possibility;</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 xml:space="preserve">Seeds are sent to the applicant under code A, B, C, D, </w:t>
      </w:r>
      <w:proofErr w:type="gramStart"/>
      <w:r w:rsidRPr="00A16CEF">
        <w:rPr>
          <w:rFonts w:ascii="Arial" w:hAnsi="Arial" w:cs="Arial"/>
          <w:sz w:val="20"/>
          <w:szCs w:val="20"/>
          <w:lang w:val="en-US"/>
        </w:rPr>
        <w:t>E</w:t>
      </w:r>
      <w:proofErr w:type="gramEnd"/>
      <w:r w:rsidRPr="00A16CEF">
        <w:rPr>
          <w:rFonts w:ascii="Arial" w:hAnsi="Arial" w:cs="Arial"/>
          <w:sz w:val="20"/>
          <w:szCs w:val="20"/>
          <w:lang w:val="en-US"/>
        </w:rPr>
        <w:t>… (variety in DUS test + closed reference variety + mixture); In case a closed reference variety is under test or is a parental line, the authorization of the breeder must be obtained before plant material transmi</w:t>
      </w:r>
      <w:r>
        <w:rPr>
          <w:rFonts w:ascii="Arial" w:hAnsi="Arial" w:cs="Arial"/>
          <w:sz w:val="20"/>
          <w:szCs w:val="20"/>
          <w:lang w:val="en-US"/>
        </w:rPr>
        <w:t>ssion</w:t>
      </w:r>
      <w:r w:rsidRPr="00A16CEF">
        <w:rPr>
          <w:rFonts w:ascii="Arial" w:hAnsi="Arial" w:cs="Arial"/>
          <w:sz w:val="20"/>
          <w:szCs w:val="20"/>
          <w:lang w:val="en-US"/>
        </w:rPr>
        <w:t>;</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trial is conducted in the applicant’s facilities on the base of more than one replication (the number of replications should be sufficiently large to ensure that there was only a small probability that the candidate variety was correctly labeled by chance).</w:t>
      </w:r>
    </w:p>
    <w:p w:rsidR="001D18EE" w:rsidRPr="00A16CEF" w:rsidRDefault="001D18EE" w:rsidP="001D18EE">
      <w:pPr>
        <w:pStyle w:val="ListParagraph"/>
        <w:numPr>
          <w:ilvl w:val="0"/>
          <w:numId w:val="14"/>
        </w:numPr>
        <w:jc w:val="both"/>
        <w:rPr>
          <w:rFonts w:ascii="Arial" w:hAnsi="Arial" w:cs="Arial"/>
          <w:sz w:val="20"/>
          <w:szCs w:val="20"/>
          <w:lang w:val="en-US"/>
        </w:rPr>
      </w:pPr>
      <w:r w:rsidRPr="00A16CEF">
        <w:rPr>
          <w:rFonts w:ascii="Arial" w:hAnsi="Arial" w:cs="Arial"/>
          <w:sz w:val="20"/>
          <w:szCs w:val="20"/>
          <w:lang w:val="en-US"/>
        </w:rPr>
        <w:t>The applicant must inform the national authority on the progress of the trial for an eventual visit.</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In the case of a problem of distinctness, a blind test may be planted in the national authority facilities to avoid identification by other methods (e.g. DNA profiling). The applicant is invited to visit this trial. The protocol of the test is not compulsory but the national authority could ask him and some recommendations are made to the applicant (number of plants to be observed).</w:t>
      </w:r>
    </w:p>
    <w:p w:rsidR="001D18EE" w:rsidRPr="00A16CEF" w:rsidRDefault="001D18EE" w:rsidP="001D18EE">
      <w:pPr>
        <w:rPr>
          <w:rFonts w:cs="Arial"/>
        </w:rPr>
      </w:pPr>
    </w:p>
    <w:p w:rsidR="001D18EE" w:rsidRPr="00A16CEF" w:rsidRDefault="001D18EE" w:rsidP="001D18EE">
      <w:pPr>
        <w:rPr>
          <w:rFonts w:cs="Arial"/>
        </w:rPr>
      </w:pPr>
    </w:p>
    <w:p w:rsidR="001D18EE" w:rsidRPr="00A16CEF" w:rsidRDefault="001D18EE" w:rsidP="001D18EE">
      <w:pPr>
        <w:rPr>
          <w:rFonts w:cs="Arial"/>
          <w:u w:val="single"/>
        </w:rPr>
      </w:pPr>
      <w:r w:rsidRPr="00A16CEF">
        <w:rPr>
          <w:rFonts w:cs="Arial"/>
          <w:u w:val="single"/>
        </w:rPr>
        <w:t>Transmission of results:</w:t>
      </w:r>
    </w:p>
    <w:p w:rsidR="001D18EE" w:rsidRPr="00A16CEF" w:rsidRDefault="001D18EE" w:rsidP="001D18EE">
      <w:pPr>
        <w:rPr>
          <w:rFonts w:cs="Arial"/>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results are transmitted to  the national auth</w:t>
      </w:r>
      <w:r>
        <w:rPr>
          <w:rFonts w:ascii="Arial" w:hAnsi="Arial" w:cs="Arial"/>
          <w:sz w:val="20"/>
          <w:szCs w:val="20"/>
          <w:lang w:val="en-US"/>
        </w:rPr>
        <w:t>ority by the applicant as below</w:t>
      </w:r>
      <w:r w:rsidRPr="00A16CEF">
        <w:rPr>
          <w:rFonts w:ascii="Arial" w:hAnsi="Arial" w:cs="Arial"/>
          <w:sz w:val="20"/>
          <w:szCs w:val="20"/>
          <w:lang w:val="en-US"/>
        </w:rPr>
        <w:t>:</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A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B = Reference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C = Mixture</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D = Candidate variety</w:t>
      </w:r>
    </w:p>
    <w:p w:rsidR="001D18EE" w:rsidRPr="00A16CEF" w:rsidRDefault="001D18EE" w:rsidP="001D18EE">
      <w:pPr>
        <w:pStyle w:val="ListParagraph"/>
        <w:jc w:val="both"/>
        <w:rPr>
          <w:rFonts w:ascii="Arial" w:hAnsi="Arial" w:cs="Arial"/>
          <w:sz w:val="20"/>
          <w:szCs w:val="20"/>
          <w:lang w:val="en-US"/>
        </w:rPr>
      </w:pPr>
      <w:r w:rsidRPr="00A16CEF">
        <w:rPr>
          <w:rFonts w:ascii="Arial" w:hAnsi="Arial" w:cs="Arial"/>
          <w:sz w:val="20"/>
          <w:szCs w:val="20"/>
          <w:lang w:val="en-US"/>
        </w:rPr>
        <w:t>E = Reference variety</w:t>
      </w:r>
    </w:p>
    <w:p w:rsidR="001D18EE" w:rsidRPr="00A16CEF" w:rsidRDefault="001D18EE" w:rsidP="001D18EE">
      <w:pPr>
        <w:pStyle w:val="ListParagraph"/>
        <w:jc w:val="both"/>
        <w:rPr>
          <w:rFonts w:ascii="Arial" w:hAnsi="Arial" w:cs="Arial"/>
          <w:sz w:val="20"/>
          <w:szCs w:val="20"/>
          <w:lang w:val="en-US"/>
        </w:rPr>
      </w:pP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The fact that the applicant gives good results is a very important point, but not enough. The final decision is always taken by the national authority after analysis of all results. In the case of a distinctness problem, the characteristics used by the applicant to distinguish the varieties must be more or less the same as those observed during official cycles.</w:t>
      </w:r>
    </w:p>
    <w:p w:rsidR="001D18EE" w:rsidRPr="00A16CEF" w:rsidRDefault="001D18EE" w:rsidP="001D18EE">
      <w:pPr>
        <w:pStyle w:val="ListParagraph"/>
        <w:numPr>
          <w:ilvl w:val="0"/>
          <w:numId w:val="12"/>
        </w:numPr>
        <w:jc w:val="both"/>
        <w:rPr>
          <w:rFonts w:ascii="Arial" w:hAnsi="Arial" w:cs="Arial"/>
          <w:sz w:val="20"/>
          <w:szCs w:val="20"/>
          <w:lang w:val="en-US"/>
        </w:rPr>
      </w:pPr>
      <w:r w:rsidRPr="00A16CEF">
        <w:rPr>
          <w:rFonts w:ascii="Arial" w:hAnsi="Arial" w:cs="Arial"/>
          <w:sz w:val="20"/>
          <w:szCs w:val="20"/>
          <w:lang w:val="en-US"/>
        </w:rPr>
        <w:t>This approach amounts to formalize the results obtained through a non official test.</w:t>
      </w:r>
    </w:p>
    <w:p w:rsidR="001D18EE" w:rsidRPr="00A16CEF" w:rsidRDefault="001D18EE" w:rsidP="001D18EE">
      <w:pPr>
        <w:ind w:left="360"/>
        <w:rPr>
          <w:rFonts w:cs="Arial"/>
        </w:rPr>
      </w:pPr>
    </w:p>
    <w:p w:rsidR="001D18EE" w:rsidRDefault="001D18EE" w:rsidP="001D18EE"/>
    <w:p w:rsidR="001D18EE" w:rsidRDefault="001D18EE" w:rsidP="001D18EE">
      <w:pPr>
        <w:ind w:right="9"/>
        <w:jc w:val="right"/>
      </w:pPr>
    </w:p>
    <w:p w:rsidR="00DF474C" w:rsidRDefault="001D18EE" w:rsidP="001D18EE">
      <w:pPr>
        <w:ind w:right="9"/>
        <w:jc w:val="right"/>
        <w:rPr>
          <w:snapToGrid w:val="0"/>
        </w:rPr>
      </w:pPr>
      <w:r w:rsidRPr="00AC78F4">
        <w:t>[</w:t>
      </w:r>
      <w:r>
        <w:t xml:space="preserve">End of </w:t>
      </w:r>
      <w:r w:rsidRPr="00AC78F4">
        <w:t>Annex I</w:t>
      </w:r>
      <w:r>
        <w:t>I</w:t>
      </w:r>
      <w:r w:rsidRPr="00AC78F4">
        <w:t>I</w:t>
      </w:r>
      <w:r>
        <w:t xml:space="preserve"> and of document]</w:t>
      </w:r>
      <w:r>
        <w:rPr>
          <w:snapToGrid w:val="0"/>
        </w:rPr>
        <w:t xml:space="preserve"> </w:t>
      </w:r>
    </w:p>
    <w:sectPr w:rsidR="00DF474C" w:rsidSect="00906DDC">
      <w:headerReference w:type="default" r:id="rId16"/>
      <w:headerReference w:type="first" r:id="rId17"/>
      <w:foot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EE" w:rsidRDefault="001D18EE" w:rsidP="006655D3">
      <w:r>
        <w:separator/>
      </w:r>
    </w:p>
    <w:p w:rsidR="001D18EE" w:rsidRDefault="001D18EE" w:rsidP="006655D3"/>
    <w:p w:rsidR="001D18EE" w:rsidRDefault="001D18EE" w:rsidP="006655D3"/>
  </w:endnote>
  <w:endnote w:type="continuationSeparator" w:id="0">
    <w:p w:rsidR="001D18EE" w:rsidRDefault="001D18EE" w:rsidP="006655D3">
      <w:r>
        <w:separator/>
      </w:r>
    </w:p>
    <w:p w:rsidR="001D18EE" w:rsidRPr="008065D2" w:rsidRDefault="001D18EE">
      <w:pPr>
        <w:pStyle w:val="Footer"/>
        <w:spacing w:after="60"/>
        <w:rPr>
          <w:sz w:val="18"/>
          <w:lang w:val="fr-FR"/>
        </w:rPr>
      </w:pPr>
      <w:r w:rsidRPr="008065D2">
        <w:rPr>
          <w:sz w:val="18"/>
          <w:lang w:val="fr-FR"/>
        </w:rPr>
        <w:t>[Suite de la note de la page précédente]</w:t>
      </w:r>
    </w:p>
    <w:p w:rsidR="001D18EE" w:rsidRPr="008065D2" w:rsidRDefault="001D18EE" w:rsidP="006655D3">
      <w:pPr>
        <w:rPr>
          <w:lang w:val="fr-FR"/>
        </w:rPr>
      </w:pPr>
    </w:p>
    <w:p w:rsidR="001D18EE" w:rsidRPr="008065D2" w:rsidRDefault="001D18EE" w:rsidP="006655D3">
      <w:pPr>
        <w:rPr>
          <w:lang w:val="fr-FR"/>
        </w:rPr>
      </w:pPr>
    </w:p>
  </w:endnote>
  <w:endnote w:type="continuationNotice" w:id="1">
    <w:p w:rsidR="001D18EE" w:rsidRPr="008065D2" w:rsidRDefault="001D18EE" w:rsidP="006655D3">
      <w:pPr>
        <w:rPr>
          <w:lang w:val="fr-FR"/>
        </w:rPr>
      </w:pPr>
      <w:r w:rsidRPr="008065D2">
        <w:rPr>
          <w:lang w:val="fr-FR"/>
        </w:rPr>
        <w:t>[Suite de la note page suivante]</w:t>
      </w:r>
    </w:p>
    <w:p w:rsidR="001D18EE" w:rsidRPr="008065D2" w:rsidRDefault="001D18EE" w:rsidP="006655D3">
      <w:pPr>
        <w:rPr>
          <w:lang w:val="fr-FR"/>
        </w:rPr>
      </w:pPr>
    </w:p>
    <w:p w:rsidR="001D18EE" w:rsidRPr="008065D2" w:rsidRDefault="001D18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F19F1" w:rsidRDefault="001D18EE" w:rsidP="00CF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AE0EF1" w:rsidRDefault="001D18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EE" w:rsidRDefault="001D18EE" w:rsidP="006655D3">
      <w:r>
        <w:separator/>
      </w:r>
    </w:p>
  </w:footnote>
  <w:footnote w:type="continuationSeparator" w:id="0">
    <w:p w:rsidR="001D18EE" w:rsidRDefault="001D18EE" w:rsidP="006655D3">
      <w:r>
        <w:separator/>
      </w:r>
    </w:p>
  </w:footnote>
  <w:footnote w:type="continuationNotice" w:id="1">
    <w:p w:rsidR="001D18EE" w:rsidRPr="00AB530F" w:rsidRDefault="001D18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Default="009667C0" w:rsidP="00EB048E">
    <w:pPr>
      <w:pStyle w:val="Header"/>
    </w:pPr>
    <w:r>
      <w:t>TW</w:t>
    </w:r>
    <w:r w:rsidR="005F2ACC">
      <w:t>A</w:t>
    </w:r>
    <w:r>
      <w:t>/4</w:t>
    </w:r>
    <w:r w:rsidR="005F2ACC">
      <w:t>3</w:t>
    </w:r>
    <w:r w:rsidR="001D18EE">
      <w:t>/19</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C2F7C">
      <w:rPr>
        <w:rStyle w:val="PageNumber"/>
        <w:noProof/>
      </w:rPr>
      <w:t>4</w:t>
    </w:r>
    <w:r w:rsidRPr="00C5280D">
      <w:rPr>
        <w:rStyle w:val="PageNumber"/>
      </w:rPr>
      <w:fldChar w:fldCharType="end"/>
    </w:r>
  </w:p>
  <w:p w:rsidR="001D18EE" w:rsidRPr="00C5280D" w:rsidRDefault="001D18E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832298" w:rsidRDefault="001D18EE" w:rsidP="00832298">
    <w:pPr>
      <w:pStyle w:val="Header"/>
    </w:pPr>
    <w:r w:rsidRPr="00832298">
      <w:t>TW</w:t>
    </w:r>
    <w:r>
      <w:t>V/47/</w:t>
    </w:r>
    <w:r w:rsidRPr="00685222">
      <w:rPr>
        <w:highlight w:val="cyan"/>
      </w:rPr>
      <w:t>xx</w:t>
    </w:r>
  </w:p>
  <w:p w:rsidR="001D18EE" w:rsidRPr="00C5280D" w:rsidRDefault="001D18E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33BC5">
      <w:rPr>
        <w:noProof/>
      </w:rPr>
      <w:t>7</w:t>
    </w:r>
    <w:r w:rsidRPr="00832298">
      <w:fldChar w:fldCharType="end"/>
    </w:r>
  </w:p>
  <w:p w:rsidR="001D18EE" w:rsidRPr="00C5280D" w:rsidRDefault="001D18E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9667C0" w:rsidP="00E95CFE">
    <w:pPr>
      <w:pStyle w:val="Header"/>
      <w:rPr>
        <w:rStyle w:val="PageNumber"/>
      </w:rPr>
    </w:pPr>
    <w:r>
      <w:t>TW</w:t>
    </w:r>
    <w:r w:rsidR="005F2ACC">
      <w:t>A</w:t>
    </w:r>
    <w:r>
      <w:t>/4</w:t>
    </w:r>
    <w:r w:rsidR="005F2ACC">
      <w:t>3</w:t>
    </w:r>
    <w:r w:rsidR="001D18EE">
      <w:t>/19</w:t>
    </w:r>
  </w:p>
  <w:p w:rsidR="001D18EE" w:rsidRDefault="001D18EE">
    <w:pPr>
      <w:pStyle w:val="Header"/>
    </w:pPr>
  </w:p>
  <w:p w:rsidR="001D18EE" w:rsidRDefault="001D18EE">
    <w:pPr>
      <w:pStyle w:val="Header"/>
    </w:pPr>
    <w:r>
      <w:t>ANNEX I</w:t>
    </w:r>
  </w:p>
  <w:p w:rsidR="001D18EE" w:rsidRDefault="001D18E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1D18EE" w:rsidP="00EB048E">
    <w:pPr>
      <w:pStyle w:val="Header"/>
      <w:rPr>
        <w:rStyle w:val="PageNumber"/>
      </w:rPr>
    </w:pPr>
    <w:r w:rsidRPr="00C5280D">
      <w:rPr>
        <w:rStyle w:val="PageNumber"/>
      </w:rPr>
      <w:t>TC</w:t>
    </w:r>
    <w:r>
      <w:rPr>
        <w:rStyle w:val="PageNumber"/>
      </w:rPr>
      <w:t>-EDC</w:t>
    </w:r>
    <w:r w:rsidRPr="00C5280D">
      <w:rPr>
        <w:rStyle w:val="PageNumber"/>
      </w:rPr>
      <w:t>/</w:t>
    </w:r>
    <w:r>
      <w:rPr>
        <w:rStyle w:val="PageNumber"/>
      </w:rPr>
      <w:t>Jan14</w:t>
    </w:r>
    <w:r w:rsidRPr="00C5280D">
      <w:rPr>
        <w:rStyle w:val="PageNumber"/>
      </w:rPr>
      <w:t>/</w:t>
    </w:r>
    <w:r>
      <w:rPr>
        <w:rStyle w:val="PageNumber"/>
      </w:rPr>
      <w:t>14</w:t>
    </w:r>
  </w:p>
  <w:p w:rsidR="001D18EE" w:rsidRPr="00C5280D" w:rsidRDefault="001D18EE"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33BC5">
      <w:rPr>
        <w:rStyle w:val="PageNumber"/>
        <w:noProof/>
      </w:rPr>
      <w:t>7</w:t>
    </w:r>
    <w:r w:rsidRPr="00C5280D">
      <w:rPr>
        <w:rStyle w:val="PageNumber"/>
      </w:rPr>
      <w:fldChar w:fldCharType="end"/>
    </w:r>
  </w:p>
  <w:p w:rsidR="001D18EE" w:rsidRPr="00C5280D" w:rsidRDefault="001D18E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9667C0" w:rsidP="00E95CFE">
    <w:pPr>
      <w:pStyle w:val="Header"/>
      <w:rPr>
        <w:rStyle w:val="PageNumber"/>
      </w:rPr>
    </w:pPr>
    <w:r>
      <w:t>TW</w:t>
    </w:r>
    <w:r w:rsidR="005F2ACC">
      <w:t>A</w:t>
    </w:r>
    <w:r>
      <w:t>/4</w:t>
    </w:r>
    <w:r w:rsidR="005F2ACC">
      <w:t>3</w:t>
    </w:r>
    <w:r w:rsidR="001D18EE">
      <w:t>/19</w:t>
    </w:r>
  </w:p>
  <w:p w:rsidR="001D18EE" w:rsidRDefault="001D18EE">
    <w:pPr>
      <w:pStyle w:val="Header"/>
    </w:pPr>
  </w:p>
  <w:p w:rsidR="001D18EE" w:rsidRDefault="001D18EE">
    <w:pPr>
      <w:pStyle w:val="Header"/>
    </w:pPr>
    <w:r>
      <w:t>ANNEX II</w:t>
    </w:r>
  </w:p>
  <w:p w:rsidR="001D18EE" w:rsidRDefault="001D18E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BC40A0">
      <w:t>WO/47</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33BC5">
      <w:rPr>
        <w:noProof/>
      </w:rPr>
      <w:t>7</w:t>
    </w:r>
    <w:r w:rsidRPr="00832298">
      <w:fldChar w:fldCharType="end"/>
    </w:r>
  </w:p>
  <w:p w:rsidR="00903656" w:rsidRPr="00C5280D" w:rsidRDefault="00903656" w:rsidP="0083229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8EE" w:rsidRPr="00C5280D" w:rsidRDefault="009667C0" w:rsidP="00E95CFE">
    <w:pPr>
      <w:pStyle w:val="Header"/>
      <w:rPr>
        <w:rStyle w:val="PageNumber"/>
      </w:rPr>
    </w:pPr>
    <w:r>
      <w:t>TW</w:t>
    </w:r>
    <w:r w:rsidR="005F2ACC">
      <w:t>A</w:t>
    </w:r>
    <w:r>
      <w:t>/4</w:t>
    </w:r>
    <w:r w:rsidR="005F2ACC">
      <w:t>3</w:t>
    </w:r>
    <w:r w:rsidR="001D18EE">
      <w:t>/19</w:t>
    </w:r>
  </w:p>
  <w:p w:rsidR="001D18EE" w:rsidRDefault="001D18EE">
    <w:pPr>
      <w:pStyle w:val="Header"/>
    </w:pPr>
  </w:p>
  <w:p w:rsidR="001D18EE" w:rsidRDefault="001D18EE">
    <w:pPr>
      <w:pStyle w:val="Header"/>
    </w:pPr>
    <w:r>
      <w:t>ANNEX III</w:t>
    </w:r>
  </w:p>
  <w:p w:rsidR="001D18EE" w:rsidRDefault="001D18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DA934BD"/>
    <w:multiLevelType w:val="hybridMultilevel"/>
    <w:tmpl w:val="844E2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AF3602"/>
    <w:multiLevelType w:val="hybridMultilevel"/>
    <w:tmpl w:val="7C3CAC40"/>
    <w:lvl w:ilvl="0" w:tplc="D750B4C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13">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14">
    <w:nsid w:val="7F633BAA"/>
    <w:multiLevelType w:val="hybridMultilevel"/>
    <w:tmpl w:val="E612E800"/>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8EE"/>
    <w:rsid w:val="00010CF3"/>
    <w:rsid w:val="00011E27"/>
    <w:rsid w:val="000148BC"/>
    <w:rsid w:val="00024AB8"/>
    <w:rsid w:val="00030854"/>
    <w:rsid w:val="00036028"/>
    <w:rsid w:val="000374FC"/>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1D18EE"/>
    <w:rsid w:val="00202818"/>
    <w:rsid w:val="0021332C"/>
    <w:rsid w:val="00213982"/>
    <w:rsid w:val="0024416D"/>
    <w:rsid w:val="002800A0"/>
    <w:rsid w:val="002801B3"/>
    <w:rsid w:val="00281060"/>
    <w:rsid w:val="002940E8"/>
    <w:rsid w:val="002A6E50"/>
    <w:rsid w:val="002B7D3F"/>
    <w:rsid w:val="002C256A"/>
    <w:rsid w:val="00305A7F"/>
    <w:rsid w:val="003152FE"/>
    <w:rsid w:val="0032595B"/>
    <w:rsid w:val="00327436"/>
    <w:rsid w:val="00344BD6"/>
    <w:rsid w:val="0035528D"/>
    <w:rsid w:val="00361821"/>
    <w:rsid w:val="00371A39"/>
    <w:rsid w:val="003B3894"/>
    <w:rsid w:val="003D227C"/>
    <w:rsid w:val="003D2B4D"/>
    <w:rsid w:val="0041166B"/>
    <w:rsid w:val="00444A88"/>
    <w:rsid w:val="00474DA4"/>
    <w:rsid w:val="00476B4D"/>
    <w:rsid w:val="004805FA"/>
    <w:rsid w:val="004B1163"/>
    <w:rsid w:val="004D047D"/>
    <w:rsid w:val="004F305A"/>
    <w:rsid w:val="00502F27"/>
    <w:rsid w:val="00512164"/>
    <w:rsid w:val="00520297"/>
    <w:rsid w:val="005338F9"/>
    <w:rsid w:val="0054281C"/>
    <w:rsid w:val="0055268D"/>
    <w:rsid w:val="00576BE4"/>
    <w:rsid w:val="0057736E"/>
    <w:rsid w:val="005A400A"/>
    <w:rsid w:val="005B1516"/>
    <w:rsid w:val="005C1413"/>
    <w:rsid w:val="005F2ACC"/>
    <w:rsid w:val="00612379"/>
    <w:rsid w:val="0061555F"/>
    <w:rsid w:val="00641200"/>
    <w:rsid w:val="006655D3"/>
    <w:rsid w:val="00667404"/>
    <w:rsid w:val="00685222"/>
    <w:rsid w:val="00687EB4"/>
    <w:rsid w:val="006B17D2"/>
    <w:rsid w:val="006C224E"/>
    <w:rsid w:val="006D780A"/>
    <w:rsid w:val="006E1436"/>
    <w:rsid w:val="00732DEC"/>
    <w:rsid w:val="00735BD5"/>
    <w:rsid w:val="007427B1"/>
    <w:rsid w:val="007541D3"/>
    <w:rsid w:val="007556F6"/>
    <w:rsid w:val="00760EEF"/>
    <w:rsid w:val="00777EE5"/>
    <w:rsid w:val="00784836"/>
    <w:rsid w:val="0079023E"/>
    <w:rsid w:val="007A2854"/>
    <w:rsid w:val="007D0B9D"/>
    <w:rsid w:val="007D19B0"/>
    <w:rsid w:val="007F498F"/>
    <w:rsid w:val="008065D2"/>
    <w:rsid w:val="0080679D"/>
    <w:rsid w:val="008108B0"/>
    <w:rsid w:val="00811B20"/>
    <w:rsid w:val="008138C8"/>
    <w:rsid w:val="0082296E"/>
    <w:rsid w:val="00824099"/>
    <w:rsid w:val="00832298"/>
    <w:rsid w:val="0086075E"/>
    <w:rsid w:val="00867AC1"/>
    <w:rsid w:val="00876C58"/>
    <w:rsid w:val="00883C27"/>
    <w:rsid w:val="008A743F"/>
    <w:rsid w:val="008C0970"/>
    <w:rsid w:val="008D2CF7"/>
    <w:rsid w:val="00900C26"/>
    <w:rsid w:val="0090197F"/>
    <w:rsid w:val="00903656"/>
    <w:rsid w:val="00906DDC"/>
    <w:rsid w:val="00934E09"/>
    <w:rsid w:val="00936253"/>
    <w:rsid w:val="00952DD4"/>
    <w:rsid w:val="0096514B"/>
    <w:rsid w:val="009667C0"/>
    <w:rsid w:val="00970FED"/>
    <w:rsid w:val="00997029"/>
    <w:rsid w:val="009A6792"/>
    <w:rsid w:val="009A7EF3"/>
    <w:rsid w:val="009C0A7F"/>
    <w:rsid w:val="009D690D"/>
    <w:rsid w:val="009E65B6"/>
    <w:rsid w:val="00A24C10"/>
    <w:rsid w:val="00A42AC3"/>
    <w:rsid w:val="00A430CF"/>
    <w:rsid w:val="00A54309"/>
    <w:rsid w:val="00AB2B93"/>
    <w:rsid w:val="00AB530F"/>
    <w:rsid w:val="00AB7E5B"/>
    <w:rsid w:val="00AC2F7C"/>
    <w:rsid w:val="00AE0EF1"/>
    <w:rsid w:val="00AE2937"/>
    <w:rsid w:val="00B0257E"/>
    <w:rsid w:val="00B07301"/>
    <w:rsid w:val="00B1545A"/>
    <w:rsid w:val="00B224DE"/>
    <w:rsid w:val="00B46575"/>
    <w:rsid w:val="00B71144"/>
    <w:rsid w:val="00B84BBD"/>
    <w:rsid w:val="00B948DF"/>
    <w:rsid w:val="00BA43FB"/>
    <w:rsid w:val="00BB0967"/>
    <w:rsid w:val="00BC127D"/>
    <w:rsid w:val="00BC1FE6"/>
    <w:rsid w:val="00BC40A0"/>
    <w:rsid w:val="00BF40DA"/>
    <w:rsid w:val="00C061B6"/>
    <w:rsid w:val="00C2446C"/>
    <w:rsid w:val="00C33BC5"/>
    <w:rsid w:val="00C36AE5"/>
    <w:rsid w:val="00C41F17"/>
    <w:rsid w:val="00C5280D"/>
    <w:rsid w:val="00C5791C"/>
    <w:rsid w:val="00C66290"/>
    <w:rsid w:val="00C72B7A"/>
    <w:rsid w:val="00C87817"/>
    <w:rsid w:val="00C973F2"/>
    <w:rsid w:val="00CA304C"/>
    <w:rsid w:val="00CA774A"/>
    <w:rsid w:val="00CC11B0"/>
    <w:rsid w:val="00CD6171"/>
    <w:rsid w:val="00CF7E36"/>
    <w:rsid w:val="00D3708D"/>
    <w:rsid w:val="00D40426"/>
    <w:rsid w:val="00D46562"/>
    <w:rsid w:val="00D57C96"/>
    <w:rsid w:val="00D91203"/>
    <w:rsid w:val="00D95174"/>
    <w:rsid w:val="00D95650"/>
    <w:rsid w:val="00DA6F36"/>
    <w:rsid w:val="00DB596E"/>
    <w:rsid w:val="00DB7773"/>
    <w:rsid w:val="00DC00EA"/>
    <w:rsid w:val="00DF474C"/>
    <w:rsid w:val="00E32F7E"/>
    <w:rsid w:val="00E47A63"/>
    <w:rsid w:val="00E72D49"/>
    <w:rsid w:val="00E7593C"/>
    <w:rsid w:val="00E7678A"/>
    <w:rsid w:val="00E82C35"/>
    <w:rsid w:val="00E935F1"/>
    <w:rsid w:val="00E94A81"/>
    <w:rsid w:val="00EA1FFB"/>
    <w:rsid w:val="00EA49C2"/>
    <w:rsid w:val="00EB048E"/>
    <w:rsid w:val="00EC74A2"/>
    <w:rsid w:val="00EE34DF"/>
    <w:rsid w:val="00EE7953"/>
    <w:rsid w:val="00EF2F89"/>
    <w:rsid w:val="00F1237A"/>
    <w:rsid w:val="00F22CBD"/>
    <w:rsid w:val="00F45372"/>
    <w:rsid w:val="00F560F7"/>
    <w:rsid w:val="00F6334D"/>
    <w:rsid w:val="00FA49AB"/>
    <w:rsid w:val="00FD54E2"/>
    <w:rsid w:val="00FE0D5E"/>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link w:val="Heading1"/>
    <w:rsid w:val="001D18EE"/>
    <w:rPr>
      <w:rFonts w:ascii="Arial" w:hAnsi="Arial"/>
      <w:caps/>
    </w:rPr>
  </w:style>
  <w:style w:type="paragraph" w:styleId="BodyTextIndent">
    <w:name w:val="Body Text Indent"/>
    <w:basedOn w:val="Normal"/>
    <w:link w:val="BodyTextIndentChar"/>
    <w:rsid w:val="001D18EE"/>
    <w:pPr>
      <w:ind w:left="1134"/>
    </w:pPr>
    <w:rPr>
      <w:rFonts w:ascii="Times New Roman" w:hAnsi="Times New Roman"/>
      <w:sz w:val="24"/>
    </w:rPr>
  </w:style>
  <w:style w:type="character" w:customStyle="1" w:styleId="BodyTextIndentChar">
    <w:name w:val="Body Text Indent Char"/>
    <w:basedOn w:val="DefaultParagraphFont"/>
    <w:link w:val="BodyTextIndent"/>
    <w:rsid w:val="001D18EE"/>
    <w:rPr>
      <w:sz w:val="24"/>
    </w:rPr>
  </w:style>
  <w:style w:type="paragraph" w:styleId="ListParagraph">
    <w:name w:val="List Paragraph"/>
    <w:basedOn w:val="Normal"/>
    <w:uiPriority w:val="34"/>
    <w:qFormat/>
    <w:rsid w:val="001D18EE"/>
    <w:pPr>
      <w:spacing w:line="276" w:lineRule="auto"/>
      <w:ind w:left="720"/>
      <w:contextualSpacing/>
      <w:jc w:val="left"/>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two_47</Template>
  <TotalTime>145</TotalTime>
  <Pages>7</Pages>
  <Words>2696</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9</cp:revision>
  <cp:lastPrinted>2014-05-23T13:00:00Z</cp:lastPrinted>
  <dcterms:created xsi:type="dcterms:W3CDTF">2014-07-09T13:23:00Z</dcterms:created>
  <dcterms:modified xsi:type="dcterms:W3CDTF">2014-08-20T08:36:00Z</dcterms:modified>
</cp:coreProperties>
</file>