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E5B25">
              <w:t>A</w:t>
            </w:r>
            <w:r>
              <w:t>/4</w:t>
            </w:r>
            <w:r w:rsidR="00AE5B25">
              <w:t>2</w:t>
            </w:r>
            <w:r>
              <w:t>/</w:t>
            </w:r>
            <w:bookmarkStart w:id="0" w:name="Code"/>
            <w:bookmarkEnd w:id="0"/>
            <w:r w:rsidR="00741445">
              <w:t>18</w:t>
            </w:r>
          </w:p>
          <w:p w:rsidR="000D7780" w:rsidRPr="0040435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404355">
              <w:rPr>
                <w:b w:val="0"/>
                <w:spacing w:val="0"/>
              </w:rPr>
              <w:t>English</w:t>
            </w:r>
          </w:p>
          <w:p w:rsidR="000D7780" w:rsidRPr="00C5280D" w:rsidRDefault="000D7780" w:rsidP="00404355">
            <w:pPr>
              <w:pStyle w:val="Docoriginal"/>
            </w:pPr>
            <w:r w:rsidRPr="00404355">
              <w:rPr>
                <w:spacing w:val="0"/>
              </w:rPr>
              <w:t>DATE:</w:t>
            </w:r>
            <w:r w:rsidRPr="00404355">
              <w:rPr>
                <w:rStyle w:val="StyleDocoriginalNotBold1"/>
                <w:spacing w:val="0"/>
              </w:rPr>
              <w:t xml:space="preserve"> </w:t>
            </w:r>
            <w:bookmarkStart w:id="2" w:name="Date"/>
            <w:bookmarkEnd w:id="2"/>
            <w:r w:rsidR="00876C58" w:rsidRPr="00404355">
              <w:rPr>
                <w:rStyle w:val="StyleDocoriginalNotBold1"/>
                <w:spacing w:val="0"/>
              </w:rPr>
              <w:t xml:space="preserve"> </w:t>
            </w:r>
            <w:r w:rsidR="00741445" w:rsidRPr="00404355">
              <w:rPr>
                <w:rStyle w:val="StyleDocoriginalNotBold1"/>
                <w:spacing w:val="0"/>
              </w:rPr>
              <w:t xml:space="preserve">May </w:t>
            </w:r>
            <w:r w:rsidR="00404355" w:rsidRPr="00404355">
              <w:rPr>
                <w:rStyle w:val="StyleDocoriginalNotBold1"/>
                <w:spacing w:val="0"/>
              </w:rPr>
              <w:t>10</w:t>
            </w:r>
            <w:r w:rsidR="00741445" w:rsidRPr="00404355">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18780B" w:rsidRPr="00C5280D" w:rsidRDefault="0061555F" w:rsidP="0018780B">
      <w:pPr>
        <w:pStyle w:val="Sessiontcplacedate"/>
      </w:pPr>
      <w:r w:rsidRPr="00C5280D">
        <w:t>Forty</w:t>
      </w:r>
      <w:r w:rsidR="00867AC1" w:rsidRPr="00C5280D">
        <w:t>-</w:t>
      </w:r>
      <w:r w:rsidR="00AE5B25">
        <w:t>Second</w:t>
      </w:r>
      <w:r w:rsidRPr="00C5280D">
        <w:t xml:space="preserve"> S</w:t>
      </w:r>
      <w:r w:rsidR="00867AC1" w:rsidRPr="00C5280D">
        <w:t>ession</w:t>
      </w:r>
      <w:r w:rsidR="00361821" w:rsidRPr="00C5280D">
        <w:br/>
      </w:r>
      <w:r w:rsidR="00AE5B25">
        <w:rPr>
          <w:rFonts w:cs="Arial"/>
        </w:rPr>
        <w:t>Kyiv, Ukraine</w:t>
      </w:r>
      <w:r w:rsidR="0018780B" w:rsidRPr="00C5280D">
        <w:t>,</w:t>
      </w:r>
      <w:r w:rsidR="0018780B">
        <w:t xml:space="preserve"> </w:t>
      </w:r>
      <w:r w:rsidR="00AE5B25">
        <w:t>June 17 to 21</w:t>
      </w:r>
      <w:r w:rsidR="0018780B">
        <w:t>, 2013</w:t>
      </w:r>
    </w:p>
    <w:p w:rsidR="00741445" w:rsidRPr="00FD311B" w:rsidRDefault="00741445" w:rsidP="00741445">
      <w:pPr>
        <w:pStyle w:val="Titleofdoc0"/>
      </w:pPr>
      <w:bookmarkStart w:id="3" w:name="TitleOfDoc"/>
      <w:bookmarkEnd w:id="3"/>
      <w:r w:rsidRPr="00FD311B">
        <w:rPr>
          <w:rFonts w:cs="Arial"/>
        </w:rPr>
        <w:t xml:space="preserve">Revision of document TGP/8: Part II: </w:t>
      </w:r>
      <w:r w:rsidRPr="00FD311B">
        <w:rPr>
          <w:rFonts w:cs="Arial"/>
        </w:rPr>
        <w:br/>
        <w:t>New Section: Data Processing for the Assessment of Distinctness and for Producing Variety Descriptions</w:t>
      </w:r>
    </w:p>
    <w:p w:rsidR="00741445" w:rsidRPr="00C5280D" w:rsidRDefault="00741445" w:rsidP="00741445">
      <w:pPr>
        <w:pStyle w:val="preparedby1"/>
      </w:pPr>
      <w:bookmarkStart w:id="4" w:name="Prepared"/>
      <w:bookmarkEnd w:id="4"/>
      <w:r w:rsidRPr="004845DB">
        <w:t>Document</w:t>
      </w:r>
      <w:r w:rsidRPr="00C5280D">
        <w:t xml:space="preserve"> prepared by the Office of the Union</w:t>
      </w:r>
    </w:p>
    <w:p w:rsidR="00741445" w:rsidRDefault="00741445" w:rsidP="00741445">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The purpose of this document is to present the developments concerning a possible new section for document </w:t>
      </w:r>
      <w:r w:rsidRPr="00F32898">
        <w:rPr>
          <w:rFonts w:cs="Arial"/>
        </w:rPr>
        <w:t>TGP/8</w:t>
      </w:r>
      <w:r>
        <w:rPr>
          <w:rFonts w:cs="Arial"/>
        </w:rPr>
        <w:t>: “</w:t>
      </w:r>
      <w:r w:rsidRPr="00F36F19">
        <w:rPr>
          <w:rFonts w:cs="Arial"/>
        </w:rPr>
        <w:t>Data Processing for the Assessment of Distinctness and for Producing Variety Descriptions</w:t>
      </w:r>
      <w:r>
        <w:rPr>
          <w:rFonts w:cs="Arial"/>
        </w:rPr>
        <w:t>”.</w:t>
      </w:r>
    </w:p>
    <w:p w:rsidR="00741445" w:rsidRDefault="00741445" w:rsidP="00741445">
      <w:pPr>
        <w:rPr>
          <w:snapToGrid w:val="0"/>
        </w:rPr>
      </w:pPr>
    </w:p>
    <w:p w:rsidR="00741445" w:rsidRDefault="00741445" w:rsidP="00741445">
      <w:r>
        <w:fldChar w:fldCharType="begin"/>
      </w:r>
      <w:r>
        <w:instrText xml:space="preserve"> AUTONUM  </w:instrText>
      </w:r>
      <w:r>
        <w:fldChar w:fldCharType="end"/>
      </w:r>
      <w:r>
        <w:tab/>
        <w:t>The following abbreviations are used in this document:</w:t>
      </w:r>
    </w:p>
    <w:p w:rsidR="00741445" w:rsidRDefault="00741445" w:rsidP="00741445">
      <w:pPr>
        <w:rPr>
          <w:color w:val="000000"/>
        </w:rPr>
      </w:pPr>
    </w:p>
    <w:p w:rsidR="00741445" w:rsidRDefault="00741445" w:rsidP="00741445">
      <w:pPr>
        <w:ind w:left="1701" w:hanging="1134"/>
      </w:pPr>
      <w:r>
        <w:t xml:space="preserve">CAJ:  </w:t>
      </w:r>
      <w:r>
        <w:tab/>
        <w:t xml:space="preserve">Administrative and Legal Committee </w:t>
      </w:r>
    </w:p>
    <w:p w:rsidR="00741445" w:rsidRDefault="00741445" w:rsidP="00741445">
      <w:pPr>
        <w:ind w:left="1701" w:hanging="1134"/>
      </w:pPr>
      <w:r>
        <w:t xml:space="preserve">TC:  </w:t>
      </w:r>
      <w:r>
        <w:tab/>
        <w:t>Technical Committee</w:t>
      </w:r>
    </w:p>
    <w:p w:rsidR="00741445" w:rsidRDefault="00741445" w:rsidP="00741445">
      <w:pPr>
        <w:ind w:left="1701" w:hanging="1134"/>
      </w:pPr>
      <w:r>
        <w:t xml:space="preserve">TC-EDC:  </w:t>
      </w:r>
      <w:r>
        <w:tab/>
        <w:t>Enlarged Editorial Committee</w:t>
      </w:r>
    </w:p>
    <w:p w:rsidR="00741445" w:rsidRDefault="00741445" w:rsidP="00741445">
      <w:pPr>
        <w:ind w:left="1701" w:hanging="1134"/>
      </w:pPr>
      <w:r>
        <w:t xml:space="preserve">TWA:  </w:t>
      </w:r>
      <w:r>
        <w:tab/>
        <w:t>Technical Working Party for Agricultural Crops</w:t>
      </w:r>
    </w:p>
    <w:p w:rsidR="00741445" w:rsidRDefault="00741445" w:rsidP="00741445">
      <w:pPr>
        <w:ind w:left="1701" w:hanging="1134"/>
      </w:pPr>
      <w:r>
        <w:t xml:space="preserve">TWC:  </w:t>
      </w:r>
      <w:r>
        <w:tab/>
        <w:t>Technical Working Party on Automation and Computer Programs</w:t>
      </w:r>
    </w:p>
    <w:p w:rsidR="00741445" w:rsidRDefault="00741445" w:rsidP="00741445">
      <w:pPr>
        <w:ind w:left="1701" w:hanging="1134"/>
      </w:pPr>
      <w:r>
        <w:t xml:space="preserve">TWF:  </w:t>
      </w:r>
      <w:r>
        <w:tab/>
        <w:t xml:space="preserve">Technical Working Party for Fruit Crops </w:t>
      </w:r>
    </w:p>
    <w:p w:rsidR="00741445" w:rsidRDefault="00741445" w:rsidP="00741445">
      <w:pPr>
        <w:ind w:left="1701" w:hanging="1134"/>
      </w:pPr>
      <w:r>
        <w:t xml:space="preserve">TWO:  </w:t>
      </w:r>
      <w:r>
        <w:tab/>
        <w:t xml:space="preserve">Technical Working Party for Ornamental Plants and </w:t>
      </w:r>
      <w:smartTag w:uri="urn:schemas-microsoft-com:office:smarttags" w:element="place">
        <w:r>
          <w:t>Forest</w:t>
        </w:r>
      </w:smartTag>
      <w:r>
        <w:t xml:space="preserve"> Trees </w:t>
      </w:r>
    </w:p>
    <w:p w:rsidR="00741445" w:rsidRDefault="00741445" w:rsidP="00741445">
      <w:pPr>
        <w:ind w:left="1701" w:hanging="1134"/>
      </w:pPr>
      <w:r>
        <w:t xml:space="preserve">TWV:  </w:t>
      </w:r>
      <w:r>
        <w:tab/>
        <w:t>Technical Working Party for Vegetables</w:t>
      </w:r>
    </w:p>
    <w:p w:rsidR="00741445" w:rsidRDefault="00741445" w:rsidP="00741445">
      <w:pPr>
        <w:ind w:left="1701" w:hanging="1134"/>
        <w:rPr>
          <w:color w:val="000000"/>
        </w:rPr>
      </w:pPr>
      <w:r>
        <w:rPr>
          <w:color w:val="000000"/>
        </w:rPr>
        <w:t>TWPs:</w:t>
      </w:r>
      <w:r>
        <w:rPr>
          <w:color w:val="000000"/>
        </w:rPr>
        <w:tab/>
        <w:t>Technical Working Parties</w:t>
      </w:r>
    </w:p>
    <w:p w:rsidR="00741445" w:rsidRDefault="00741445" w:rsidP="00741445"/>
    <w:p w:rsidR="00741445" w:rsidRDefault="00741445" w:rsidP="00741445"/>
    <w:p w:rsidR="00741445" w:rsidRDefault="00741445" w:rsidP="00741445">
      <w:pPr>
        <w:keepNext/>
        <w:rPr>
          <w:snapToGrid w:val="0"/>
        </w:rPr>
      </w:pPr>
      <w:r>
        <w:fldChar w:fldCharType="begin"/>
      </w:r>
      <w:r>
        <w:instrText xml:space="preserve"> AUTONUM  </w:instrText>
      </w:r>
      <w:r>
        <w:fldChar w:fldCharType="end"/>
      </w:r>
      <w:r>
        <w:tab/>
      </w:r>
      <w:r>
        <w:rPr>
          <w:snapToGrid w:val="0"/>
        </w:rPr>
        <w:t>The structure of this document is as follows:</w:t>
      </w:r>
    </w:p>
    <w:p w:rsidR="00741445" w:rsidRPr="0052445F" w:rsidRDefault="00741445" w:rsidP="00741445">
      <w:pPr>
        <w:keepNext/>
        <w:rPr>
          <w:snapToGrid w:val="0"/>
        </w:rPr>
      </w:pPr>
    </w:p>
    <w:p w:rsidR="00741445" w:rsidRDefault="00741445" w:rsidP="00741445">
      <w:pPr>
        <w:pStyle w:val="TOC1"/>
        <w:rPr>
          <w:rStyle w:val="Hyperlink"/>
        </w:rPr>
      </w:pPr>
      <w:r w:rsidRPr="0052445F">
        <w:rPr>
          <w:rFonts w:cs="Arial"/>
          <w:bCs/>
          <w:snapToGrid w:val="0"/>
        </w:rPr>
        <w:fldChar w:fldCharType="begin"/>
      </w:r>
      <w:r w:rsidRPr="0052445F">
        <w:rPr>
          <w:rFonts w:cs="Arial"/>
          <w:bCs/>
          <w:snapToGrid w:val="0"/>
        </w:rPr>
        <w:instrText xml:space="preserve"> TOC \o "1-3" \h \z \u </w:instrText>
      </w:r>
      <w:r w:rsidRPr="0052445F">
        <w:rPr>
          <w:rFonts w:cs="Arial"/>
          <w:bCs/>
          <w:snapToGrid w:val="0"/>
        </w:rPr>
        <w:fldChar w:fldCharType="separate"/>
      </w:r>
      <w:hyperlink w:anchor="_Toc353368182" w:history="1">
        <w:r w:rsidRPr="00DA0320">
          <w:rPr>
            <w:rStyle w:val="Hyperlink"/>
          </w:rPr>
          <w:t>background</w:t>
        </w:r>
        <w:r>
          <w:rPr>
            <w:webHidden/>
          </w:rPr>
          <w:tab/>
        </w:r>
        <w:r>
          <w:rPr>
            <w:webHidden/>
          </w:rPr>
          <w:fldChar w:fldCharType="begin"/>
        </w:r>
        <w:r>
          <w:rPr>
            <w:webHidden/>
          </w:rPr>
          <w:instrText xml:space="preserve"> PAGEREF _Toc353368182 \h </w:instrText>
        </w:r>
        <w:r>
          <w:rPr>
            <w:webHidden/>
          </w:rPr>
        </w:r>
        <w:r>
          <w:rPr>
            <w:webHidden/>
          </w:rPr>
          <w:fldChar w:fldCharType="separate"/>
        </w:r>
        <w:r w:rsidR="006F4366">
          <w:rPr>
            <w:webHidden/>
          </w:rPr>
          <w:t>2</w:t>
        </w:r>
        <w:r>
          <w:rPr>
            <w:webHidden/>
          </w:rPr>
          <w:fldChar w:fldCharType="end"/>
        </w:r>
      </w:hyperlink>
    </w:p>
    <w:p w:rsidR="00741445" w:rsidRPr="00B65656" w:rsidRDefault="00741445" w:rsidP="00741445">
      <w:pPr>
        <w:rPr>
          <w:rFonts w:eastAsia="MS Mincho"/>
          <w:noProof/>
        </w:rPr>
      </w:pPr>
    </w:p>
    <w:p w:rsidR="00741445" w:rsidRDefault="006F4366" w:rsidP="00741445">
      <w:pPr>
        <w:pStyle w:val="TOC1"/>
        <w:rPr>
          <w:rFonts w:ascii="Times New Roman" w:eastAsia="MS Mincho" w:hAnsi="Times New Roman"/>
          <w:caps w:val="0"/>
          <w:sz w:val="24"/>
          <w:szCs w:val="24"/>
          <w:lang w:eastAsia="ja-JP"/>
        </w:rPr>
      </w:pPr>
      <w:hyperlink w:anchor="_Toc353368183" w:history="1">
        <w:r w:rsidR="00741445" w:rsidRPr="00DA0320">
          <w:rPr>
            <w:rStyle w:val="Hyperlink"/>
          </w:rPr>
          <w:t>DevelopmentS in 2012</w:t>
        </w:r>
        <w:r w:rsidR="00741445">
          <w:rPr>
            <w:webHidden/>
          </w:rPr>
          <w:tab/>
        </w:r>
        <w:r w:rsidR="00741445">
          <w:rPr>
            <w:webHidden/>
          </w:rPr>
          <w:fldChar w:fldCharType="begin"/>
        </w:r>
        <w:r w:rsidR="00741445">
          <w:rPr>
            <w:webHidden/>
          </w:rPr>
          <w:instrText xml:space="preserve"> PAGEREF _Toc353368183 \h </w:instrText>
        </w:r>
        <w:r w:rsidR="00741445">
          <w:rPr>
            <w:webHidden/>
          </w:rPr>
        </w:r>
        <w:r w:rsidR="00741445">
          <w:rPr>
            <w:webHidden/>
          </w:rPr>
          <w:fldChar w:fldCharType="separate"/>
        </w:r>
        <w:r>
          <w:rPr>
            <w:webHidden/>
          </w:rPr>
          <w:t>2</w:t>
        </w:r>
        <w:r w:rsidR="00741445">
          <w:rPr>
            <w:webHidden/>
          </w:rPr>
          <w:fldChar w:fldCharType="end"/>
        </w:r>
      </w:hyperlink>
    </w:p>
    <w:p w:rsidR="00741445" w:rsidRDefault="006F4366" w:rsidP="00741445">
      <w:pPr>
        <w:pStyle w:val="TOC2"/>
        <w:rPr>
          <w:rStyle w:val="Hyperlink"/>
        </w:rPr>
      </w:pPr>
      <w:hyperlink w:anchor="_Toc353368184" w:history="1">
        <w:r w:rsidR="00741445" w:rsidRPr="00DA0320">
          <w:rPr>
            <w:rStyle w:val="Hyperlink"/>
          </w:rPr>
          <w:t>Technical Working Parties</w:t>
        </w:r>
        <w:r w:rsidR="00741445">
          <w:rPr>
            <w:webHidden/>
          </w:rPr>
          <w:tab/>
        </w:r>
        <w:r w:rsidR="00741445">
          <w:rPr>
            <w:webHidden/>
          </w:rPr>
          <w:fldChar w:fldCharType="begin"/>
        </w:r>
        <w:r w:rsidR="00741445">
          <w:rPr>
            <w:webHidden/>
          </w:rPr>
          <w:instrText xml:space="preserve"> PAGEREF _Toc353368184 \h </w:instrText>
        </w:r>
        <w:r w:rsidR="00741445">
          <w:rPr>
            <w:webHidden/>
          </w:rPr>
        </w:r>
        <w:r w:rsidR="00741445">
          <w:rPr>
            <w:webHidden/>
          </w:rPr>
          <w:fldChar w:fldCharType="separate"/>
        </w:r>
        <w:r>
          <w:rPr>
            <w:webHidden/>
          </w:rPr>
          <w:t>2</w:t>
        </w:r>
        <w:r w:rsidR="00741445">
          <w:rPr>
            <w:webHidden/>
          </w:rPr>
          <w:fldChar w:fldCharType="end"/>
        </w:r>
      </w:hyperlink>
    </w:p>
    <w:p w:rsidR="00741445" w:rsidRPr="00B65656" w:rsidRDefault="00741445" w:rsidP="00741445">
      <w:pPr>
        <w:rPr>
          <w:rFonts w:eastAsia="MS Mincho"/>
          <w:noProof/>
        </w:rPr>
      </w:pPr>
    </w:p>
    <w:p w:rsidR="00741445" w:rsidRDefault="006F4366" w:rsidP="00741445">
      <w:pPr>
        <w:pStyle w:val="TOC1"/>
        <w:rPr>
          <w:rFonts w:ascii="Times New Roman" w:eastAsia="MS Mincho" w:hAnsi="Times New Roman"/>
          <w:caps w:val="0"/>
          <w:sz w:val="24"/>
          <w:szCs w:val="24"/>
          <w:lang w:eastAsia="ja-JP"/>
        </w:rPr>
      </w:pPr>
      <w:hyperlink w:anchor="_Toc353368185" w:history="1">
        <w:r w:rsidR="00741445" w:rsidRPr="00DA0320">
          <w:rPr>
            <w:rStyle w:val="Hyperlink"/>
          </w:rPr>
          <w:t>DevelopmentS in 2013</w:t>
        </w:r>
        <w:r w:rsidR="00741445">
          <w:rPr>
            <w:webHidden/>
          </w:rPr>
          <w:tab/>
        </w:r>
        <w:r w:rsidR="00741445">
          <w:rPr>
            <w:webHidden/>
          </w:rPr>
          <w:fldChar w:fldCharType="begin"/>
        </w:r>
        <w:r w:rsidR="00741445">
          <w:rPr>
            <w:webHidden/>
          </w:rPr>
          <w:instrText xml:space="preserve"> PAGEREF _Toc353368185 \h </w:instrText>
        </w:r>
        <w:r w:rsidR="00741445">
          <w:rPr>
            <w:webHidden/>
          </w:rPr>
        </w:r>
        <w:r w:rsidR="00741445">
          <w:rPr>
            <w:webHidden/>
          </w:rPr>
          <w:fldChar w:fldCharType="separate"/>
        </w:r>
        <w:r>
          <w:rPr>
            <w:webHidden/>
          </w:rPr>
          <w:t>3</w:t>
        </w:r>
        <w:r w:rsidR="00741445">
          <w:rPr>
            <w:webHidden/>
          </w:rPr>
          <w:fldChar w:fldCharType="end"/>
        </w:r>
      </w:hyperlink>
    </w:p>
    <w:p w:rsidR="00741445" w:rsidRDefault="006F4366" w:rsidP="00741445">
      <w:pPr>
        <w:pStyle w:val="TOC2"/>
        <w:rPr>
          <w:rFonts w:ascii="Times New Roman" w:eastAsia="MS Mincho" w:hAnsi="Times New Roman"/>
          <w:sz w:val="24"/>
          <w:szCs w:val="24"/>
          <w:lang w:eastAsia="ja-JP"/>
        </w:rPr>
      </w:pPr>
      <w:hyperlink w:anchor="_Toc353368186" w:history="1">
        <w:r w:rsidR="00741445" w:rsidRPr="00DA0320">
          <w:rPr>
            <w:rStyle w:val="Hyperlink"/>
          </w:rPr>
          <w:t>Technical Committee</w:t>
        </w:r>
        <w:r w:rsidR="00741445">
          <w:rPr>
            <w:webHidden/>
          </w:rPr>
          <w:tab/>
        </w:r>
        <w:r w:rsidR="00741445">
          <w:rPr>
            <w:webHidden/>
          </w:rPr>
          <w:fldChar w:fldCharType="begin"/>
        </w:r>
        <w:r w:rsidR="00741445">
          <w:rPr>
            <w:webHidden/>
          </w:rPr>
          <w:instrText xml:space="preserve"> PAGEREF _Toc353368186 \h </w:instrText>
        </w:r>
        <w:r w:rsidR="00741445">
          <w:rPr>
            <w:webHidden/>
          </w:rPr>
        </w:r>
        <w:r w:rsidR="00741445">
          <w:rPr>
            <w:webHidden/>
          </w:rPr>
          <w:fldChar w:fldCharType="separate"/>
        </w:r>
        <w:r>
          <w:rPr>
            <w:webHidden/>
          </w:rPr>
          <w:t>3</w:t>
        </w:r>
        <w:r w:rsidR="00741445">
          <w:rPr>
            <w:webHidden/>
          </w:rPr>
          <w:fldChar w:fldCharType="end"/>
        </w:r>
      </w:hyperlink>
    </w:p>
    <w:p w:rsidR="00741445" w:rsidRDefault="006F4366" w:rsidP="00741445">
      <w:pPr>
        <w:pStyle w:val="TOC2"/>
        <w:rPr>
          <w:rFonts w:ascii="Times New Roman" w:eastAsia="MS Mincho" w:hAnsi="Times New Roman"/>
          <w:sz w:val="24"/>
          <w:szCs w:val="24"/>
          <w:lang w:eastAsia="ja-JP"/>
        </w:rPr>
      </w:pPr>
      <w:hyperlink w:anchor="_Toc353368187" w:history="1">
        <w:r w:rsidR="00741445" w:rsidRPr="00DA0320">
          <w:rPr>
            <w:rStyle w:val="Hyperlink"/>
            <w:rFonts w:cs="Arial"/>
          </w:rPr>
          <w:t xml:space="preserve">Practical exercise with </w:t>
        </w:r>
        <w:r w:rsidR="00741445" w:rsidRPr="00DA0320">
          <w:rPr>
            <w:rStyle w:val="Hyperlink"/>
          </w:rPr>
          <w:t>a common data set</w:t>
        </w:r>
        <w:r w:rsidR="00741445">
          <w:rPr>
            <w:webHidden/>
          </w:rPr>
          <w:tab/>
        </w:r>
        <w:r w:rsidR="00741445">
          <w:rPr>
            <w:webHidden/>
          </w:rPr>
          <w:fldChar w:fldCharType="begin"/>
        </w:r>
        <w:r w:rsidR="00741445">
          <w:rPr>
            <w:webHidden/>
          </w:rPr>
          <w:instrText xml:space="preserve"> PAGEREF _Toc353368187 \h </w:instrText>
        </w:r>
        <w:r w:rsidR="00741445">
          <w:rPr>
            <w:webHidden/>
          </w:rPr>
        </w:r>
        <w:r w:rsidR="00741445">
          <w:rPr>
            <w:webHidden/>
          </w:rPr>
          <w:fldChar w:fldCharType="separate"/>
        </w:r>
        <w:r>
          <w:rPr>
            <w:webHidden/>
          </w:rPr>
          <w:t>3</w:t>
        </w:r>
        <w:r w:rsidR="00741445">
          <w:rPr>
            <w:webHidden/>
          </w:rPr>
          <w:fldChar w:fldCharType="end"/>
        </w:r>
      </w:hyperlink>
    </w:p>
    <w:p w:rsidR="00741445" w:rsidRDefault="00741445" w:rsidP="00741445">
      <w:pPr>
        <w:keepNext/>
        <w:spacing w:before="120" w:line="360" w:lineRule="auto"/>
      </w:pPr>
      <w:r w:rsidRPr="0052445F">
        <w:rPr>
          <w:rFonts w:cs="Arial"/>
          <w:snapToGrid w:val="0"/>
        </w:rPr>
        <w:fldChar w:fldCharType="end"/>
      </w:r>
    </w:p>
    <w:p w:rsidR="00741445" w:rsidRDefault="00741445" w:rsidP="00741445">
      <w:pPr>
        <w:ind w:left="1134" w:hanging="1134"/>
        <w:rPr>
          <w:color w:val="000000"/>
          <w:lang w:eastAsia="ja-JP"/>
        </w:rPr>
      </w:pPr>
      <w:r>
        <w:t>ANNEX:</w:t>
      </w:r>
      <w:r>
        <w:tab/>
        <w:t xml:space="preserve">TRANSFORMATION OF MEASUREMENT INTO NOTES FOR VARIETY DESCRIPTIONS- SUMMARY OF DIFFERENT APPROACHES PRESENTED AT THE TECHNICAL WORKING PARTIES IN 2012 </w:t>
      </w:r>
    </w:p>
    <w:p w:rsidR="00741445" w:rsidRDefault="00741445" w:rsidP="00741445">
      <w:pPr>
        <w:jc w:val="center"/>
        <w:rPr>
          <w:snapToGrid w:val="0"/>
        </w:rPr>
      </w:pPr>
    </w:p>
    <w:p w:rsidR="00741445" w:rsidRPr="006E3BB4" w:rsidRDefault="00741445" w:rsidP="00741445">
      <w:r>
        <w:br w:type="page"/>
      </w:r>
    </w:p>
    <w:p w:rsidR="00741445" w:rsidRDefault="00741445" w:rsidP="00741445">
      <w:pPr>
        <w:pStyle w:val="Heading1"/>
      </w:pPr>
      <w:bookmarkStart w:id="5" w:name="_Toc353368182"/>
      <w:r>
        <w:lastRenderedPageBreak/>
        <w:t>background</w:t>
      </w:r>
      <w:bookmarkEnd w:id="5"/>
    </w:p>
    <w:p w:rsidR="00741445" w:rsidRDefault="00741445" w:rsidP="00741445"/>
    <w:p w:rsidR="00741445" w:rsidRPr="007A6CA4" w:rsidRDefault="00741445" w:rsidP="00741445">
      <w:pPr>
        <w:autoSpaceDE w:val="0"/>
        <w:autoSpaceDN w:val="0"/>
        <w:adjustRightInd w:val="0"/>
        <w:rPr>
          <w:rFonts w:ascii="ArialMT" w:eastAsia="MS Mincho" w:hAnsi="ArialMT" w:cs="ArialMT"/>
          <w:lang w:eastAsia="ja-JP"/>
        </w:rPr>
      </w:pPr>
      <w:r w:rsidRPr="005623A7">
        <w:fldChar w:fldCharType="begin"/>
      </w:r>
      <w:r w:rsidRPr="005623A7">
        <w:instrText xml:space="preserve"> AUTONUM  </w:instrText>
      </w:r>
      <w:r w:rsidRPr="005623A7">
        <w:fldChar w:fldCharType="end"/>
      </w:r>
      <w:r>
        <w:tab/>
      </w:r>
      <w:r w:rsidRPr="00301983">
        <w:t xml:space="preserve">The Technical Committee (TC), at its forty-eighth session, held in Geneva from March 26 to 28, 2012, </w:t>
      </w:r>
      <w:r w:rsidRPr="00E06578">
        <w:t>considered Annex III</w:t>
      </w:r>
      <w:r>
        <w:t>: “</w:t>
      </w:r>
      <w:r w:rsidRPr="008913B9">
        <w:t>TGP/8 PART I: DUS Trial Design and data analysis, New Section 6 – Data processing for the assessment of distinctness and for producing variety Descriptions”</w:t>
      </w:r>
      <w:r w:rsidRPr="00E06578">
        <w:t xml:space="preserve"> in conjunction with Annex VIII</w:t>
      </w:r>
      <w:r>
        <w:t>: “</w:t>
      </w:r>
      <w:r w:rsidRPr="008913B9">
        <w:t>TGP/8 PART II: Techniques used in DUS Examination, New Section 13 - Methods for data processing for the assessment of distinctness and for producing variety descriptions”</w:t>
      </w:r>
      <w:r w:rsidRPr="00E06578">
        <w:t xml:space="preserve"> of document TC/48/19 Rev.  It agreed that the information provided in Annex VIII</w:t>
      </w:r>
      <w:r>
        <w:t xml:space="preserve"> of </w:t>
      </w:r>
      <w:r w:rsidRPr="00E06578">
        <w:t>document TC/48/19 Rev</w:t>
      </w:r>
      <w:r>
        <w:t>.</w:t>
      </w:r>
      <w:r w:rsidRPr="00E06578">
        <w:t xml:space="preserve"> and at the UPOV DUS Seminar, held in Geneva in March 2010, together with the method provided by Japan and the method used in France for producing variety descriptions for herbage crops, as presented at the TWC</w:t>
      </w:r>
      <w:r>
        <w:t xml:space="preserve"> at its </w:t>
      </w:r>
      <w:r w:rsidRPr="002B5E23">
        <w:t>twenty-sixth session (see document TWC/26/15</w:t>
      </w:r>
      <w:r>
        <w:t>,</w:t>
      </w:r>
      <w:r w:rsidRPr="002B5E23">
        <w:t xml:space="preserve"> TWC/26/15 Add.</w:t>
      </w:r>
      <w:r>
        <w:t xml:space="preserve"> and </w:t>
      </w:r>
      <w:r w:rsidRPr="00946E99">
        <w:t>TWC/26/24</w:t>
      </w:r>
      <w:r w:rsidRPr="002B5E23">
        <w:t>)</w:t>
      </w:r>
      <w:r w:rsidRPr="00E06578">
        <w:t>, provided a very important first step in developing common guidance on data processing for the assessment of distinctness and for producing variety descriptions, but concluded that the information as presented in Annex VIII</w:t>
      </w:r>
      <w:r>
        <w:t xml:space="preserve"> of </w:t>
      </w:r>
      <w:r w:rsidRPr="00E06578">
        <w:t>document TC/48/19 Rev</w:t>
      </w:r>
      <w:r>
        <w:t>.</w:t>
      </w:r>
      <w:r w:rsidRPr="00E06578">
        <w:t xml:space="preserve"> would not be appropriate for inclusion in document TGP/8.  It agreed that the Office of the Union should summarize the different approaches set out in Annex</w:t>
      </w:r>
      <w:r>
        <w:t> </w:t>
      </w:r>
      <w:r w:rsidRPr="00E06578">
        <w:t>VIII</w:t>
      </w:r>
      <w:r>
        <w:t xml:space="preserve"> of </w:t>
      </w:r>
      <w:r w:rsidRPr="00E06578">
        <w:t>document TC/48/19 Rev</w:t>
      </w:r>
      <w:r>
        <w:t>.</w:t>
      </w:r>
      <w:r w:rsidRPr="00E06578">
        <w:t xml:space="preserve"> with regard to aspects in common and aspects where there was divergence.  As a next step, on the basis of that summary, consideration could be given to developing general guidance.  The TC agreed that the section should include examples to cover the range of variation of characteristics.  It further agreed that the detai</w:t>
      </w:r>
      <w:r>
        <w:t>led information on the methods</w:t>
      </w:r>
      <w:r w:rsidRPr="00E06578">
        <w:t xml:space="preserve"> should be made available via the UPOV website, with references in document TGP/8 (see document TC/48/22 “Report on </w:t>
      </w:r>
      <w:r>
        <w:t xml:space="preserve">the </w:t>
      </w:r>
      <w:r w:rsidRPr="00E06578">
        <w:t>Conclusions” paragraph</w:t>
      </w:r>
      <w:r>
        <w:t xml:space="preserve"> 52</w:t>
      </w:r>
      <w:r w:rsidRPr="00301983">
        <w:t>).</w:t>
      </w:r>
    </w:p>
    <w:p w:rsidR="00741445" w:rsidRDefault="00741445" w:rsidP="00741445">
      <w:pPr>
        <w:pStyle w:val="Heading1"/>
      </w:pPr>
      <w:bookmarkStart w:id="6" w:name="_Toc347750089"/>
    </w:p>
    <w:p w:rsidR="00741445" w:rsidRDefault="00741445" w:rsidP="00741445">
      <w:pPr>
        <w:pStyle w:val="Heading1"/>
      </w:pPr>
      <w:bookmarkStart w:id="7" w:name="_Toc353368183"/>
      <w:r>
        <w:t>DevelopmentS in 2012</w:t>
      </w:r>
      <w:bookmarkEnd w:id="7"/>
    </w:p>
    <w:p w:rsidR="00741445" w:rsidRDefault="00741445" w:rsidP="00741445">
      <w:pPr>
        <w:pStyle w:val="Heading1"/>
      </w:pPr>
    </w:p>
    <w:p w:rsidR="00741445" w:rsidRDefault="00741445" w:rsidP="00741445">
      <w:pPr>
        <w:pStyle w:val="Heading2"/>
      </w:pPr>
      <w:bookmarkStart w:id="8" w:name="_Toc353368184"/>
      <w:r>
        <w:t>Technical Working Parties</w:t>
      </w:r>
      <w:bookmarkEnd w:id="8"/>
      <w:r w:rsidRPr="008A1A92">
        <w:t xml:space="preserve"> </w:t>
      </w:r>
      <w:bookmarkEnd w:id="6"/>
    </w:p>
    <w:p w:rsidR="00741445" w:rsidRDefault="00741445" w:rsidP="00741445"/>
    <w:p w:rsidR="00741445" w:rsidRDefault="00741445" w:rsidP="00741445">
      <w:r w:rsidRPr="005623A7">
        <w:fldChar w:fldCharType="begin"/>
      </w:r>
      <w:r w:rsidRPr="005623A7">
        <w:instrText xml:space="preserve"> AUTONUM  </w:instrText>
      </w:r>
      <w:r w:rsidRPr="005623A7">
        <w:fldChar w:fldCharType="end"/>
      </w:r>
      <w:r>
        <w:tab/>
        <w:t xml:space="preserve">At their sessions in 2012, the TWA, TWV, TWC, TWF and TWO, considered documents TWA/41/30, </w:t>
      </w:r>
      <w:r w:rsidRPr="009C6E00">
        <w:t>TWV/46/</w:t>
      </w:r>
      <w:r>
        <w:t>30, TWC/30/30</w:t>
      </w:r>
      <w:r w:rsidRPr="009C6E00">
        <w:t>, TWF/43/</w:t>
      </w:r>
      <w:r>
        <w:t xml:space="preserve">30 and </w:t>
      </w:r>
      <w:r w:rsidRPr="009C6E00">
        <w:t>TWO/45/</w:t>
      </w:r>
      <w:r>
        <w:t>30</w:t>
      </w:r>
      <w:r w:rsidRPr="00F15C80">
        <w:t xml:space="preserve"> </w:t>
      </w:r>
      <w:r>
        <w:t xml:space="preserve">respectively, which contained a presentation on “Summary of different approaches of transformation of measurements into notes for Variety Description”, as reproduced in the Annex to this document. </w:t>
      </w:r>
    </w:p>
    <w:p w:rsidR="00741445" w:rsidRDefault="00741445" w:rsidP="00741445"/>
    <w:p w:rsidR="00741445" w:rsidRDefault="00741445" w:rsidP="00741445">
      <w:r w:rsidRPr="005623A7">
        <w:fldChar w:fldCharType="begin"/>
      </w:r>
      <w:r w:rsidRPr="005623A7">
        <w:instrText xml:space="preserve"> AUTONUM  </w:instrText>
      </w:r>
      <w:r w:rsidRPr="005623A7">
        <w:fldChar w:fldCharType="end"/>
      </w:r>
      <w:r>
        <w:tab/>
        <w:t>The TWPs, at their sessions in 2012, made the following comments:</w:t>
      </w:r>
    </w:p>
    <w:p w:rsidR="00741445" w:rsidRDefault="00741445" w:rsidP="00741445"/>
    <w:tbl>
      <w:tblPr>
        <w:tblStyle w:val="TableGrid"/>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741445" w:rsidTr="003A407C">
        <w:tc>
          <w:tcPr>
            <w:tcW w:w="1418" w:type="dxa"/>
          </w:tcPr>
          <w:p w:rsidR="00741445" w:rsidRPr="004E15C7" w:rsidRDefault="00741445" w:rsidP="003A407C">
            <w:pPr>
              <w:keepNext/>
              <w:jc w:val="left"/>
              <w:rPr>
                <w:rFonts w:cs="Arial"/>
              </w:rPr>
            </w:pPr>
            <w:r w:rsidRPr="004E15C7">
              <w:rPr>
                <w:rFonts w:cs="Arial"/>
              </w:rPr>
              <w:t>General</w:t>
            </w:r>
          </w:p>
        </w:tc>
        <w:tc>
          <w:tcPr>
            <w:tcW w:w="7348" w:type="dxa"/>
          </w:tcPr>
          <w:p w:rsidR="00741445" w:rsidRDefault="00741445" w:rsidP="003A407C">
            <w:pPr>
              <w:keepNext/>
              <w:rPr>
                <w:rFonts w:cs="Arial"/>
              </w:rPr>
            </w:pPr>
            <w:r w:rsidRPr="009569A6">
              <w:rPr>
                <w:rFonts w:cs="Arial"/>
              </w:rPr>
              <w:t xml:space="preserve">The TWA noted the information that </w:t>
            </w:r>
            <w:r w:rsidRPr="009569A6">
              <w:t xml:space="preserve">a summary of different approaches used for data processing for the assessment of distinctness and for producing variety descriptions would be developed by the Office of the </w:t>
            </w:r>
            <w:smartTag w:uri="urn:schemas-microsoft-com:office:smarttags" w:element="place">
              <w:r w:rsidRPr="009569A6">
                <w:t>Union</w:t>
              </w:r>
            </w:smartTag>
            <w:r w:rsidRPr="009569A6">
              <w:t xml:space="preserve"> </w:t>
            </w:r>
            <w:r w:rsidRPr="009569A6">
              <w:rPr>
                <w:rFonts w:cs="Arial"/>
              </w:rPr>
              <w:t>(see document TWA/41/34</w:t>
            </w:r>
            <w:r>
              <w:rPr>
                <w:rFonts w:cs="Arial"/>
              </w:rPr>
              <w:t xml:space="preserve"> “R</w:t>
            </w:r>
            <w:r w:rsidRPr="009569A6">
              <w:rPr>
                <w:rFonts w:cs="Arial"/>
              </w:rPr>
              <w:t>eport”, paragraph 44).</w:t>
            </w:r>
          </w:p>
          <w:p w:rsidR="00741445" w:rsidRPr="00CC4F79" w:rsidRDefault="00741445" w:rsidP="003A407C">
            <w:pPr>
              <w:keepNext/>
            </w:pPr>
          </w:p>
        </w:tc>
        <w:tc>
          <w:tcPr>
            <w:tcW w:w="839" w:type="dxa"/>
          </w:tcPr>
          <w:p w:rsidR="00741445" w:rsidRDefault="00741445" w:rsidP="003A407C">
            <w:pPr>
              <w:keepNext/>
            </w:pPr>
            <w:r>
              <w:t>TWA</w:t>
            </w:r>
          </w:p>
        </w:tc>
      </w:tr>
      <w:tr w:rsidR="00741445" w:rsidTr="003A407C">
        <w:tc>
          <w:tcPr>
            <w:tcW w:w="1418" w:type="dxa"/>
          </w:tcPr>
          <w:p w:rsidR="00741445" w:rsidRPr="004E15C7" w:rsidRDefault="00741445" w:rsidP="003A407C">
            <w:pPr>
              <w:jc w:val="left"/>
              <w:rPr>
                <w:rFonts w:cs="Arial"/>
              </w:rPr>
            </w:pPr>
          </w:p>
        </w:tc>
        <w:tc>
          <w:tcPr>
            <w:tcW w:w="7348" w:type="dxa"/>
          </w:tcPr>
          <w:p w:rsidR="00741445" w:rsidRDefault="00741445" w:rsidP="003A407C">
            <w:pPr>
              <w:rPr>
                <w:rFonts w:cs="Arial"/>
              </w:rPr>
            </w:pPr>
            <w:r w:rsidRPr="000C2AD6">
              <w:rPr>
                <w:rFonts w:cs="Arial"/>
              </w:rPr>
              <w:t>The TWV considered document TWV/46/30 and received a presentation made by the Office containing a summary of different approaches for transforming means into notes for variety descriptions.</w:t>
            </w:r>
            <w:r>
              <w:rPr>
                <w:rFonts w:cs="Arial"/>
              </w:rPr>
              <w:t xml:space="preserve">  </w:t>
            </w:r>
            <w:r w:rsidRPr="000C2AD6">
              <w:rPr>
                <w:rFonts w:cs="Arial"/>
              </w:rPr>
              <w:t xml:space="preserve">The TWV was informed that the summary </w:t>
            </w:r>
            <w:r w:rsidRPr="006F2092">
              <w:rPr>
                <w:rFonts w:cs="Arial"/>
              </w:rPr>
              <w:t>would</w:t>
            </w:r>
            <w:r w:rsidRPr="000C2AD6">
              <w:rPr>
                <w:rFonts w:cs="Arial"/>
              </w:rPr>
              <w:t xml:space="preserve"> be presented to the TWC at its thirtieth session and tha</w:t>
            </w:r>
            <w:r>
              <w:rPr>
                <w:rFonts w:cs="Arial"/>
              </w:rPr>
              <w:t xml:space="preserve">t it would be further developed </w:t>
            </w:r>
            <w:r>
              <w:t xml:space="preserve">(see </w:t>
            </w:r>
            <w:r>
              <w:rPr>
                <w:rFonts w:cs="Arial"/>
              </w:rPr>
              <w:t>document TWV/46/41 “Report”, paragraphs</w:t>
            </w:r>
            <w:r w:rsidRPr="00143BA8">
              <w:rPr>
                <w:rFonts w:cs="Arial"/>
              </w:rPr>
              <w:t xml:space="preserve"> </w:t>
            </w:r>
            <w:r>
              <w:rPr>
                <w:rFonts w:cs="Arial"/>
              </w:rPr>
              <w:t>43 and 44).</w:t>
            </w:r>
          </w:p>
          <w:p w:rsidR="00741445" w:rsidRPr="00CC4F79" w:rsidRDefault="00741445" w:rsidP="003A407C"/>
        </w:tc>
        <w:tc>
          <w:tcPr>
            <w:tcW w:w="839" w:type="dxa"/>
          </w:tcPr>
          <w:p w:rsidR="00741445" w:rsidRDefault="00741445" w:rsidP="003A407C">
            <w:r>
              <w:t>TWV</w:t>
            </w:r>
          </w:p>
        </w:tc>
      </w:tr>
      <w:tr w:rsidR="00741445" w:rsidTr="003A407C">
        <w:tc>
          <w:tcPr>
            <w:tcW w:w="1418" w:type="dxa"/>
          </w:tcPr>
          <w:p w:rsidR="00741445" w:rsidRPr="004E15C7" w:rsidRDefault="00741445" w:rsidP="003A407C">
            <w:pPr>
              <w:jc w:val="left"/>
              <w:rPr>
                <w:rFonts w:cs="Arial"/>
              </w:rPr>
            </w:pPr>
          </w:p>
        </w:tc>
        <w:tc>
          <w:tcPr>
            <w:tcW w:w="7348" w:type="dxa"/>
          </w:tcPr>
          <w:p w:rsidR="00741445" w:rsidRDefault="00741445" w:rsidP="003A407C">
            <w:r w:rsidRPr="00A726B5">
              <w:t xml:space="preserve">The TWC noted information provided in documents TWC/30/30 and TWC/30/30 Add. </w:t>
            </w:r>
            <w:proofErr w:type="gramStart"/>
            <w:r w:rsidRPr="00A726B5">
              <w:t>and</w:t>
            </w:r>
            <w:proofErr w:type="gramEnd"/>
            <w:r w:rsidRPr="00A726B5">
              <w:t xml:space="preserve"> agreed that the experts from </w:t>
            </w:r>
            <w:smartTag w:uri="urn:schemas-microsoft-com:office:smarttags" w:element="country-region">
              <w:r w:rsidRPr="00A726B5">
                <w:t>Finland</w:t>
              </w:r>
            </w:smartTag>
            <w:r w:rsidRPr="00A726B5">
              <w:t xml:space="preserve">, </w:t>
            </w:r>
            <w:smartTag w:uri="urn:schemas-microsoft-com:office:smarttags" w:element="country-region">
              <w:r w:rsidRPr="00A726B5">
                <w:t>Italy</w:t>
              </w:r>
            </w:smartTag>
            <w:r w:rsidRPr="00A726B5">
              <w:t xml:space="preserve"> and the </w:t>
            </w:r>
            <w:smartTag w:uri="urn:schemas-microsoft-com:office:smarttags" w:element="country-region">
              <w:r w:rsidRPr="00A726B5">
                <w:t>United Kingdom</w:t>
              </w:r>
            </w:smartTag>
            <w:r w:rsidRPr="00A726B5">
              <w:t xml:space="preserve"> would support the Office of the </w:t>
            </w:r>
            <w:smartTag w:uri="urn:schemas-microsoft-com:office:smarttags" w:element="place">
              <w:r w:rsidRPr="00A726B5">
                <w:t>Union</w:t>
              </w:r>
            </w:smartTag>
            <w:r w:rsidRPr="00A726B5">
              <w:t xml:space="preserve"> to summarize the different approaches for further developing common guidance on data processing for the assessment of distinctness and for producing variety descriptions</w:t>
            </w:r>
            <w:r>
              <w:t xml:space="preserve"> </w:t>
            </w:r>
            <w:r>
              <w:rPr>
                <w:rFonts w:cs="Arial"/>
              </w:rPr>
              <w:t>(see document TWC/30/41 “Report”, paragraph 42)</w:t>
            </w:r>
            <w:r w:rsidRPr="00A726B5">
              <w:t xml:space="preserve">. </w:t>
            </w:r>
          </w:p>
          <w:p w:rsidR="00741445" w:rsidRDefault="00741445" w:rsidP="003A407C"/>
          <w:p w:rsidR="00741445" w:rsidRPr="000A6F4F" w:rsidRDefault="00741445" w:rsidP="003A407C">
            <w:pPr>
              <w:keepLines/>
              <w:rPr>
                <w:rFonts w:cs="Arial"/>
              </w:rPr>
            </w:pPr>
            <w:r w:rsidRPr="00A726B5">
              <w:t xml:space="preserve">The TWC agreed that experts from the </w:t>
            </w:r>
            <w:smartTag w:uri="urn:schemas-microsoft-com:office:smarttags" w:element="country-region">
              <w:r w:rsidRPr="00A726B5">
                <w:t>United Kingdom</w:t>
              </w:r>
            </w:smartTag>
            <w:r w:rsidRPr="00A726B5">
              <w:t xml:space="preserve"> in cooperation with experts from </w:t>
            </w:r>
            <w:smartTag w:uri="urn:schemas-microsoft-com:office:smarttags" w:element="country-region">
              <w:r w:rsidRPr="00A726B5">
                <w:t>France</w:t>
              </w:r>
            </w:smartTag>
            <w:r w:rsidRPr="00A726B5">
              <w:t xml:space="preserve"> and </w:t>
            </w:r>
            <w:smartTag w:uri="urn:schemas-microsoft-com:office:smarttags" w:element="place">
              <w:smartTag w:uri="urn:schemas-microsoft-com:office:smarttags" w:element="country-region">
                <w:r w:rsidRPr="00F76B10">
                  <w:rPr>
                    <w:color w:val="000000"/>
                  </w:rPr>
                  <w:t>Germany</w:t>
                </w:r>
              </w:smartTag>
            </w:smartTag>
            <w:r w:rsidRPr="00F76B10">
              <w:rPr>
                <w:color w:val="000000"/>
              </w:rPr>
              <w:t xml:space="preserve"> should conduct a practical exercise. The exercise would be to process a common data set to</w:t>
            </w:r>
            <w:r w:rsidRPr="00A726B5">
              <w:t xml:space="preserve"> produce variety description</w:t>
            </w:r>
            <w:r>
              <w:t>s</w:t>
            </w:r>
            <w:r w:rsidRPr="00A726B5">
              <w:t xml:space="preserve"> in order to determine the aspects in common and where there was divergence among the methods</w:t>
            </w:r>
            <w:r>
              <w:t xml:space="preserve"> (</w:t>
            </w:r>
            <w:r>
              <w:rPr>
                <w:rFonts w:cs="Arial"/>
              </w:rPr>
              <w:t>see document TWC/30/41 “Report”, paragraph 43)</w:t>
            </w:r>
            <w:r w:rsidRPr="00A726B5">
              <w:t>.</w:t>
            </w:r>
          </w:p>
          <w:p w:rsidR="00741445" w:rsidRPr="00CC4F79" w:rsidRDefault="00741445" w:rsidP="003A407C"/>
        </w:tc>
        <w:tc>
          <w:tcPr>
            <w:tcW w:w="839" w:type="dxa"/>
          </w:tcPr>
          <w:p w:rsidR="00741445" w:rsidRDefault="00741445" w:rsidP="003A407C">
            <w:r>
              <w:t>TWC</w:t>
            </w:r>
          </w:p>
        </w:tc>
      </w:tr>
      <w:tr w:rsidR="00741445" w:rsidTr="003A407C">
        <w:tc>
          <w:tcPr>
            <w:tcW w:w="1418" w:type="dxa"/>
          </w:tcPr>
          <w:p w:rsidR="00741445" w:rsidRPr="004E15C7" w:rsidRDefault="00741445" w:rsidP="003A407C">
            <w:pPr>
              <w:jc w:val="left"/>
              <w:rPr>
                <w:rFonts w:cs="Arial"/>
              </w:rPr>
            </w:pPr>
          </w:p>
        </w:tc>
        <w:tc>
          <w:tcPr>
            <w:tcW w:w="7348" w:type="dxa"/>
          </w:tcPr>
          <w:p w:rsidR="00741445" w:rsidRPr="000421A9" w:rsidRDefault="00741445" w:rsidP="003A407C">
            <w:pPr>
              <w:rPr>
                <w:rFonts w:cs="Arial"/>
              </w:rPr>
            </w:pPr>
            <w:r w:rsidRPr="000421A9">
              <w:rPr>
                <w:rFonts w:cs="Arial"/>
              </w:rPr>
              <w:t xml:space="preserve">The TWF considered documents TWF/43/30 and TWF/43/30 Add. </w:t>
            </w:r>
            <w:proofErr w:type="gramStart"/>
            <w:r w:rsidRPr="000421A9">
              <w:rPr>
                <w:rFonts w:cs="Arial"/>
              </w:rPr>
              <w:t>and</w:t>
            </w:r>
            <w:proofErr w:type="gramEnd"/>
            <w:r w:rsidRPr="000421A9">
              <w:rPr>
                <w:rFonts w:cs="Arial"/>
              </w:rPr>
              <w:t xml:space="preserve"> received a presentation made by the Office containing a summary of different approaches for transforming means into notes for variety descriptions. </w:t>
            </w:r>
          </w:p>
          <w:p w:rsidR="00741445" w:rsidRPr="000421A9" w:rsidRDefault="00741445" w:rsidP="003A407C">
            <w:pPr>
              <w:rPr>
                <w:rFonts w:cs="Arial"/>
              </w:rPr>
            </w:pPr>
          </w:p>
          <w:p w:rsidR="00741445" w:rsidRDefault="00741445" w:rsidP="003A407C">
            <w:pPr>
              <w:rPr>
                <w:rFonts w:cs="Arial"/>
              </w:rPr>
            </w:pPr>
            <w:r w:rsidRPr="000421A9">
              <w:rPr>
                <w:rFonts w:cs="Arial"/>
              </w:rPr>
              <w:t xml:space="preserve">The TWF expressed concern that a specific country may have difficulty in </w:t>
            </w:r>
            <w:r>
              <w:rPr>
                <w:rFonts w:cs="Arial"/>
              </w:rPr>
              <w:lastRenderedPageBreak/>
              <w:t>describing</w:t>
            </w:r>
            <w:r w:rsidRPr="000421A9">
              <w:rPr>
                <w:rFonts w:cs="Arial"/>
              </w:rPr>
              <w:t xml:space="preserve"> the full range</w:t>
            </w:r>
            <w:r>
              <w:rPr>
                <w:rFonts w:cs="Arial"/>
              </w:rPr>
              <w:t xml:space="preserve"> of states of expression of a characteristic</w:t>
            </w:r>
            <w:r w:rsidRPr="000421A9">
              <w:rPr>
                <w:rFonts w:cs="Arial"/>
              </w:rPr>
              <w:t xml:space="preserve"> because </w:t>
            </w:r>
            <w:r>
              <w:rPr>
                <w:rFonts w:cs="Arial"/>
              </w:rPr>
              <w:t>some varieties might</w:t>
            </w:r>
            <w:r w:rsidRPr="000421A9">
              <w:rPr>
                <w:rFonts w:cs="Arial"/>
              </w:rPr>
              <w:t xml:space="preserve"> not be available. A universal set of example variet</w:t>
            </w:r>
            <w:r>
              <w:rPr>
                <w:rFonts w:cs="Arial"/>
              </w:rPr>
              <w:t>ies, the use of historical data</w:t>
            </w:r>
            <w:r w:rsidRPr="000421A9">
              <w:rPr>
                <w:rFonts w:cs="Arial"/>
              </w:rPr>
              <w:t xml:space="preserve"> and experience of the experts could be a way to address this issue.</w:t>
            </w:r>
            <w:r>
              <w:rPr>
                <w:rFonts w:cs="Arial"/>
              </w:rPr>
              <w:t xml:space="preserve">  </w:t>
            </w:r>
          </w:p>
          <w:p w:rsidR="00741445" w:rsidRDefault="00741445" w:rsidP="003A407C">
            <w:pPr>
              <w:rPr>
                <w:rFonts w:cs="Arial"/>
              </w:rPr>
            </w:pPr>
          </w:p>
          <w:p w:rsidR="00741445" w:rsidRPr="000421A9" w:rsidRDefault="00741445" w:rsidP="003A407C">
            <w:pPr>
              <w:rPr>
                <w:rFonts w:cs="Arial"/>
              </w:rPr>
            </w:pPr>
            <w:r>
              <w:rPr>
                <w:rFonts w:cs="Arial"/>
              </w:rPr>
              <w:t>The TWF recommended that consideration be given to the construction of a meaningful range of expression in the case of a limited range of available varieties.</w:t>
            </w:r>
          </w:p>
          <w:p w:rsidR="00741445" w:rsidRDefault="00741445" w:rsidP="003A407C">
            <w:r>
              <w:rPr>
                <w:rFonts w:cs="Arial"/>
              </w:rPr>
              <w:t xml:space="preserve">(see document TWF/43/38 “Report”, </w:t>
            </w:r>
            <w:r w:rsidRPr="00A513D1">
              <w:rPr>
                <w:rFonts w:cs="Arial"/>
              </w:rPr>
              <w:t>paragraph</w:t>
            </w:r>
            <w:r>
              <w:rPr>
                <w:rFonts w:cs="Arial"/>
              </w:rPr>
              <w:t>s</w:t>
            </w:r>
            <w:r>
              <w:t xml:space="preserve"> 29 to 31)</w:t>
            </w:r>
          </w:p>
          <w:p w:rsidR="00741445" w:rsidRPr="00A726B5" w:rsidRDefault="00741445" w:rsidP="003A407C"/>
        </w:tc>
        <w:tc>
          <w:tcPr>
            <w:tcW w:w="839" w:type="dxa"/>
          </w:tcPr>
          <w:p w:rsidR="00741445" w:rsidRDefault="00741445" w:rsidP="003A407C">
            <w:r>
              <w:lastRenderedPageBreak/>
              <w:t>TWF</w:t>
            </w:r>
          </w:p>
        </w:tc>
      </w:tr>
      <w:tr w:rsidR="00741445" w:rsidTr="003A407C">
        <w:tc>
          <w:tcPr>
            <w:tcW w:w="1418" w:type="dxa"/>
          </w:tcPr>
          <w:p w:rsidR="00741445" w:rsidRPr="004E15C7" w:rsidRDefault="00741445" w:rsidP="003A407C">
            <w:pPr>
              <w:jc w:val="left"/>
              <w:rPr>
                <w:rFonts w:cs="Arial"/>
              </w:rPr>
            </w:pPr>
          </w:p>
        </w:tc>
        <w:tc>
          <w:tcPr>
            <w:tcW w:w="7348" w:type="dxa"/>
          </w:tcPr>
          <w:p w:rsidR="00741445" w:rsidRPr="000421A9" w:rsidRDefault="00741445" w:rsidP="003A407C">
            <w:pPr>
              <w:rPr>
                <w:rFonts w:cs="Arial"/>
              </w:rPr>
            </w:pPr>
            <w:r w:rsidRPr="00E7694F">
              <w:rPr>
                <w:rFonts w:cs="Arial"/>
              </w:rPr>
              <w:t xml:space="preserve">The TWO agreed with the recommendations of the TWF that consideration be given to the construction of a meaningful scale of expression in the case of a limited range of available </w:t>
            </w:r>
            <w:r>
              <w:rPr>
                <w:rFonts w:cs="Arial"/>
              </w:rPr>
              <w:t xml:space="preserve">example </w:t>
            </w:r>
            <w:r w:rsidRPr="00E7694F">
              <w:rPr>
                <w:rFonts w:cs="Arial"/>
              </w:rPr>
              <w:t>varieties</w:t>
            </w:r>
            <w:r>
              <w:rPr>
                <w:rFonts w:cs="Arial"/>
              </w:rPr>
              <w:t xml:space="preserve"> (see document TWO/45/37 “Report”, paragraph 32)</w:t>
            </w:r>
            <w:r w:rsidRPr="00E7694F">
              <w:rPr>
                <w:rFonts w:cs="Arial"/>
              </w:rPr>
              <w:t>.</w:t>
            </w:r>
          </w:p>
        </w:tc>
        <w:tc>
          <w:tcPr>
            <w:tcW w:w="839" w:type="dxa"/>
          </w:tcPr>
          <w:p w:rsidR="00741445" w:rsidRDefault="00741445" w:rsidP="003A407C">
            <w:r>
              <w:t>TWO</w:t>
            </w:r>
          </w:p>
        </w:tc>
      </w:tr>
    </w:tbl>
    <w:p w:rsidR="00741445" w:rsidRDefault="00741445" w:rsidP="00741445"/>
    <w:p w:rsidR="00741445" w:rsidRDefault="00741445" w:rsidP="00741445">
      <w:pPr>
        <w:rPr>
          <w:color w:val="000000"/>
        </w:rPr>
      </w:pPr>
      <w:r w:rsidRPr="005623A7">
        <w:fldChar w:fldCharType="begin"/>
      </w:r>
      <w:r w:rsidRPr="005623A7">
        <w:instrText xml:space="preserve"> AUTONUM  </w:instrText>
      </w:r>
      <w:r w:rsidRPr="005623A7">
        <w:fldChar w:fldCharType="end"/>
      </w:r>
      <w:r>
        <w:tab/>
      </w:r>
      <w:r>
        <w:rPr>
          <w:rFonts w:cs="Arial"/>
        </w:rPr>
        <w:t xml:space="preserve">In accordance with the proposal of the TWC, the Office of the Union invited experts from the </w:t>
      </w:r>
      <w:smartTag w:uri="urn:schemas-microsoft-com:office:smarttags" w:element="country-region">
        <w:r>
          <w:t>United Kingdom</w:t>
        </w:r>
      </w:smartTag>
      <w:r>
        <w:t xml:space="preserve">, </w:t>
      </w:r>
      <w:smartTag w:uri="urn:schemas-microsoft-com:office:smarttags" w:element="country-region">
        <w:r w:rsidRPr="00A726B5">
          <w:t>France</w:t>
        </w:r>
      </w:smartTag>
      <w:r w:rsidRPr="00A726B5">
        <w:t xml:space="preserve"> and </w:t>
      </w:r>
      <w:smartTag w:uri="urn:schemas-microsoft-com:office:smarttags" w:element="country-region">
        <w:smartTag w:uri="urn:schemas-microsoft-com:office:smarttags" w:element="place">
          <w:r w:rsidRPr="00F76B10">
            <w:rPr>
              <w:color w:val="000000"/>
            </w:rPr>
            <w:t>Germany</w:t>
          </w:r>
        </w:smartTag>
      </w:smartTag>
      <w:r>
        <w:rPr>
          <w:color w:val="000000"/>
        </w:rPr>
        <w:t xml:space="preserve"> to make a proposal for a practical exercise.</w:t>
      </w:r>
    </w:p>
    <w:p w:rsidR="00741445" w:rsidRDefault="00741445" w:rsidP="00741445">
      <w:pPr>
        <w:rPr>
          <w:color w:val="000000"/>
        </w:rPr>
      </w:pPr>
    </w:p>
    <w:p w:rsidR="00741445" w:rsidRDefault="00741445" w:rsidP="00741445">
      <w:pPr>
        <w:pStyle w:val="Heading1"/>
      </w:pPr>
      <w:bookmarkStart w:id="9" w:name="_Toc353368185"/>
      <w:r>
        <w:t>DevelopmentS in 2013</w:t>
      </w:r>
      <w:bookmarkEnd w:id="9"/>
    </w:p>
    <w:p w:rsidR="00741445" w:rsidRDefault="00741445" w:rsidP="00741445">
      <w:pPr>
        <w:pStyle w:val="Heading1"/>
      </w:pPr>
    </w:p>
    <w:p w:rsidR="00741445" w:rsidRDefault="00741445" w:rsidP="00741445">
      <w:pPr>
        <w:pStyle w:val="Heading2"/>
      </w:pPr>
      <w:bookmarkStart w:id="10" w:name="_Toc353368186"/>
      <w:r>
        <w:t>Technical Committee</w:t>
      </w:r>
      <w:bookmarkEnd w:id="10"/>
      <w:r>
        <w:t xml:space="preserve"> </w:t>
      </w:r>
    </w:p>
    <w:p w:rsidR="00741445" w:rsidRDefault="00741445" w:rsidP="00741445"/>
    <w:p w:rsidR="00741445" w:rsidRPr="00CD7399" w:rsidRDefault="00741445" w:rsidP="00741445">
      <w:r w:rsidRPr="00CD7399">
        <w:fldChar w:fldCharType="begin"/>
      </w:r>
      <w:r w:rsidRPr="00CD7399">
        <w:instrText xml:space="preserve"> AUTONUM  </w:instrText>
      </w:r>
      <w:r w:rsidRPr="00CD7399">
        <w:fldChar w:fldCharType="end"/>
      </w:r>
      <w:r w:rsidRPr="00CD7399">
        <w:tab/>
        <w:t>The Technical Committee (TC), at its forty-ninth session held in Gen</w:t>
      </w:r>
      <w:r>
        <w:t xml:space="preserve">eva from March 18 to 20, 2013, </w:t>
      </w:r>
      <w:r w:rsidRPr="00CD7399">
        <w:t xml:space="preserve">considered document </w:t>
      </w:r>
      <w:r w:rsidRPr="00422D72">
        <w:rPr>
          <w:rFonts w:cs="Arial"/>
          <w:snapToGrid w:val="0"/>
        </w:rPr>
        <w:t>TC/49/29</w:t>
      </w:r>
      <w:r>
        <w:rPr>
          <w:rFonts w:cs="Arial"/>
          <w:snapToGrid w:val="0"/>
        </w:rPr>
        <w:t xml:space="preserve"> “</w:t>
      </w:r>
      <w:r w:rsidRPr="00CD7399">
        <w:t>Revision of document TGP/8: Part II: Techniques Used in DUS Examination, New Section: Data Processing for the Assessment of Distinctness and for Producing Variety Descriptions ”.</w:t>
      </w:r>
    </w:p>
    <w:p w:rsidR="00741445" w:rsidRPr="00791943" w:rsidRDefault="00741445" w:rsidP="00741445"/>
    <w:p w:rsidR="00741445" w:rsidRDefault="00741445" w:rsidP="00741445">
      <w:pPr>
        <w:rPr>
          <w:rFonts w:cs="Arial"/>
        </w:rPr>
      </w:pPr>
      <w:r w:rsidRPr="00CD7399">
        <w:fldChar w:fldCharType="begin"/>
      </w:r>
      <w:r w:rsidRPr="00CD7399">
        <w:instrText xml:space="preserve"> AUTONUM  </w:instrText>
      </w:r>
      <w:r w:rsidRPr="00CD7399">
        <w:fldChar w:fldCharType="end"/>
      </w:r>
      <w:r w:rsidRPr="00791943">
        <w:tab/>
      </w:r>
      <w:r w:rsidRPr="006133CD">
        <w:t xml:space="preserve">The TC </w:t>
      </w:r>
      <w:r w:rsidRPr="00422D72">
        <w:rPr>
          <w:iCs/>
          <w:snapToGrid w:val="0"/>
          <w:spacing w:val="-4"/>
        </w:rPr>
        <w:t xml:space="preserve">requested the Office of the Union to request </w:t>
      </w:r>
      <w:r w:rsidRPr="00422D72">
        <w:rPr>
          <w:iCs/>
          <w:spacing w:val="-4"/>
        </w:rPr>
        <w:t xml:space="preserve">experts from the </w:t>
      </w:r>
      <w:smartTag w:uri="urn:schemas-microsoft-com:office:smarttags" w:element="country-region">
        <w:r w:rsidRPr="00422D72">
          <w:rPr>
            <w:iCs/>
            <w:spacing w:val="-4"/>
          </w:rPr>
          <w:t>United Kingdom</w:t>
        </w:r>
      </w:smartTag>
      <w:r w:rsidRPr="00422D72">
        <w:rPr>
          <w:iCs/>
          <w:spacing w:val="-4"/>
        </w:rPr>
        <w:t xml:space="preserve">, </w:t>
      </w:r>
      <w:smartTag w:uri="urn:schemas-microsoft-com:office:smarttags" w:element="country-region">
        <w:r w:rsidRPr="00422D72">
          <w:rPr>
            <w:iCs/>
            <w:spacing w:val="-4"/>
          </w:rPr>
          <w:t>France</w:t>
        </w:r>
      </w:smartTag>
      <w:r w:rsidRPr="00422D72">
        <w:rPr>
          <w:iCs/>
          <w:spacing w:val="-4"/>
        </w:rPr>
        <w:t xml:space="preserve"> and </w:t>
      </w:r>
      <w:smartTag w:uri="urn:schemas-microsoft-com:office:smarttags" w:element="country-region">
        <w:r w:rsidRPr="00422D72">
          <w:rPr>
            <w:iCs/>
            <w:spacing w:val="-4"/>
          </w:rPr>
          <w:t>Germany</w:t>
        </w:r>
      </w:smartTag>
      <w:r w:rsidRPr="00422D72">
        <w:rPr>
          <w:iCs/>
          <w:spacing w:val="-4"/>
        </w:rPr>
        <w:t>,</w:t>
      </w:r>
      <w:r>
        <w:rPr>
          <w:iCs/>
          <w:spacing w:val="-4"/>
        </w:rPr>
        <w:t xml:space="preserve"> or other members of the </w:t>
      </w:r>
      <w:smartTag w:uri="urn:schemas-microsoft-com:office:smarttags" w:element="place">
        <w:r>
          <w:rPr>
            <w:iCs/>
            <w:spacing w:val="-4"/>
          </w:rPr>
          <w:t>Union</w:t>
        </w:r>
      </w:smartTag>
      <w:r w:rsidRPr="00422D72">
        <w:rPr>
          <w:iCs/>
          <w:spacing w:val="-4"/>
        </w:rPr>
        <w:t>, to provide a common data set of self</w:t>
      </w:r>
      <w:r w:rsidRPr="00422D72">
        <w:rPr>
          <w:iCs/>
          <w:spacing w:val="-4"/>
        </w:rPr>
        <w:noBreakHyphen/>
        <w:t>pollinated and/or vegetatively propagated varieties</w:t>
      </w:r>
      <w:r>
        <w:rPr>
          <w:iCs/>
          <w:spacing w:val="-4"/>
        </w:rPr>
        <w:t>,</w:t>
      </w:r>
      <w:r w:rsidRPr="00422D72">
        <w:rPr>
          <w:iCs/>
          <w:spacing w:val="-4"/>
        </w:rPr>
        <w:t xml:space="preserve"> </w:t>
      </w:r>
      <w:r>
        <w:rPr>
          <w:rFonts w:cs="Arial"/>
        </w:rPr>
        <w:t xml:space="preserve">because the COY method was already well established for cross-pollinated varieties, </w:t>
      </w:r>
      <w:r w:rsidRPr="00422D72">
        <w:rPr>
          <w:iCs/>
          <w:spacing w:val="-4"/>
        </w:rPr>
        <w:t>for performing a practical exercise.</w:t>
      </w:r>
      <w:r w:rsidRPr="006133CD">
        <w:t xml:space="preserve"> (</w:t>
      </w:r>
      <w:proofErr w:type="gramStart"/>
      <w:r w:rsidRPr="006133CD">
        <w:t>see</w:t>
      </w:r>
      <w:proofErr w:type="gramEnd"/>
      <w:r w:rsidRPr="006133CD">
        <w:t> document</w:t>
      </w:r>
      <w:r w:rsidRPr="00791943">
        <w:rPr>
          <w:rFonts w:cs="Arial"/>
        </w:rPr>
        <w:t> TC/49/41 “Report on the Conclusions”, paragraph </w:t>
      </w:r>
      <w:r>
        <w:rPr>
          <w:rFonts w:cs="Arial"/>
        </w:rPr>
        <w:t>66</w:t>
      </w:r>
      <w:r w:rsidRPr="00791943">
        <w:rPr>
          <w:rFonts w:cs="Arial"/>
        </w:rPr>
        <w:t>).</w:t>
      </w:r>
    </w:p>
    <w:p w:rsidR="00741445" w:rsidRDefault="00741445" w:rsidP="00741445">
      <w:pPr>
        <w:rPr>
          <w:rFonts w:cs="Arial"/>
        </w:rPr>
      </w:pPr>
    </w:p>
    <w:p w:rsidR="00741445" w:rsidRDefault="00741445" w:rsidP="00741445">
      <w:pPr>
        <w:pStyle w:val="Heading2"/>
      </w:pPr>
      <w:bookmarkStart w:id="11" w:name="_Toc353368187"/>
      <w:r>
        <w:rPr>
          <w:rFonts w:cs="Arial"/>
        </w:rPr>
        <w:t xml:space="preserve">Practical exercise with </w:t>
      </w:r>
      <w:r w:rsidRPr="00F76B10">
        <w:rPr>
          <w:color w:val="000000"/>
        </w:rPr>
        <w:t>a common data set</w:t>
      </w:r>
      <w:bookmarkEnd w:id="11"/>
      <w:r w:rsidRPr="00F76B10">
        <w:rPr>
          <w:color w:val="000000"/>
        </w:rPr>
        <w:t xml:space="preserve"> </w:t>
      </w:r>
    </w:p>
    <w:p w:rsidR="00741445" w:rsidRDefault="00741445" w:rsidP="00741445"/>
    <w:p w:rsidR="00741445" w:rsidRDefault="00741445" w:rsidP="00741445">
      <w:pPr>
        <w:rPr>
          <w:iCs/>
          <w:spacing w:val="-4"/>
        </w:rPr>
      </w:pPr>
      <w:r w:rsidRPr="00CD7399">
        <w:fldChar w:fldCharType="begin"/>
      </w:r>
      <w:r w:rsidRPr="00CD7399">
        <w:instrText xml:space="preserve"> AUTONUM  </w:instrText>
      </w:r>
      <w:r w:rsidRPr="00CD7399">
        <w:fldChar w:fldCharType="end"/>
      </w:r>
      <w:r w:rsidRPr="00CD7399">
        <w:tab/>
      </w:r>
      <w:r>
        <w:t xml:space="preserve">Following the request from the TC at its </w:t>
      </w:r>
      <w:r w:rsidRPr="00CD7399">
        <w:t>forty-ninth session</w:t>
      </w:r>
      <w:r>
        <w:t>,</w:t>
      </w:r>
      <w:r w:rsidRPr="00CD7399">
        <w:t xml:space="preserve"> </w:t>
      </w:r>
      <w:r w:rsidRPr="00422D72">
        <w:rPr>
          <w:iCs/>
          <w:spacing w:val="-4"/>
        </w:rPr>
        <w:t xml:space="preserve">experts from the </w:t>
      </w:r>
      <w:smartTag w:uri="urn:schemas-microsoft-com:office:smarttags" w:element="country-region">
        <w:r w:rsidRPr="00422D72">
          <w:rPr>
            <w:iCs/>
            <w:spacing w:val="-4"/>
          </w:rPr>
          <w:t>United Kingdom</w:t>
        </w:r>
      </w:smartTag>
      <w:r w:rsidRPr="00422D72">
        <w:rPr>
          <w:iCs/>
          <w:spacing w:val="-4"/>
        </w:rPr>
        <w:t xml:space="preserve">, </w:t>
      </w:r>
      <w:smartTag w:uri="urn:schemas-microsoft-com:office:smarttags" w:element="country-region">
        <w:r w:rsidRPr="00422D72">
          <w:rPr>
            <w:iCs/>
            <w:spacing w:val="-4"/>
          </w:rPr>
          <w:t>France</w:t>
        </w:r>
      </w:smartTag>
      <w:r w:rsidRPr="00422D72">
        <w:rPr>
          <w:iCs/>
          <w:spacing w:val="-4"/>
        </w:rPr>
        <w:t xml:space="preserve"> and </w:t>
      </w:r>
      <w:smartTag w:uri="urn:schemas-microsoft-com:office:smarttags" w:element="country-region">
        <w:smartTag w:uri="urn:schemas-microsoft-com:office:smarttags" w:element="place">
          <w:r w:rsidRPr="00422D72">
            <w:rPr>
              <w:iCs/>
              <w:spacing w:val="-4"/>
            </w:rPr>
            <w:t>Germany</w:t>
          </w:r>
        </w:smartTag>
      </w:smartTag>
      <w:r>
        <w:rPr>
          <w:iCs/>
          <w:spacing w:val="-4"/>
        </w:rPr>
        <w:t xml:space="preserve"> have been asked to </w:t>
      </w:r>
      <w:r w:rsidRPr="00422D72">
        <w:rPr>
          <w:iCs/>
          <w:spacing w:val="-4"/>
        </w:rPr>
        <w:t>provide a common data set of self</w:t>
      </w:r>
      <w:r w:rsidRPr="00422D72">
        <w:rPr>
          <w:iCs/>
          <w:spacing w:val="-4"/>
        </w:rPr>
        <w:noBreakHyphen/>
        <w:t>pollinated and/or vegetatively propagated varieties for performing a practical exercise.</w:t>
      </w:r>
      <w:r>
        <w:rPr>
          <w:iCs/>
          <w:spacing w:val="-4"/>
        </w:rPr>
        <w:t xml:space="preserve"> In response to some of the experts expressing difficulties in providing the data requested by the TC, the other members of the Union that have contributed to the information provided in the Annex of this document (Netherlands, Finland, Republic of Korea and Japan), have been invited to contribute to the practical exercise by providing a </w:t>
      </w:r>
      <w:r w:rsidRPr="00422D72">
        <w:rPr>
          <w:iCs/>
          <w:spacing w:val="-4"/>
        </w:rPr>
        <w:t>common data set of self</w:t>
      </w:r>
      <w:r w:rsidRPr="00422D72">
        <w:rPr>
          <w:iCs/>
          <w:spacing w:val="-4"/>
        </w:rPr>
        <w:noBreakHyphen/>
        <w:t>pollinated and/or vegetatively propagated varieties</w:t>
      </w:r>
      <w:r>
        <w:rPr>
          <w:iCs/>
          <w:spacing w:val="-4"/>
        </w:rPr>
        <w:t>.</w:t>
      </w:r>
    </w:p>
    <w:p w:rsidR="00741445" w:rsidRDefault="00741445" w:rsidP="00741445">
      <w:pPr>
        <w:rPr>
          <w:iCs/>
          <w:spacing w:val="-4"/>
        </w:rPr>
      </w:pPr>
    </w:p>
    <w:p w:rsidR="00741445" w:rsidRPr="00404355" w:rsidRDefault="00741445" w:rsidP="00741445">
      <w:pPr>
        <w:rPr>
          <w:iCs/>
          <w:spacing w:val="-4"/>
        </w:rPr>
      </w:pPr>
      <w:r w:rsidRPr="00CD7399">
        <w:fldChar w:fldCharType="begin"/>
      </w:r>
      <w:r w:rsidRPr="00CD7399">
        <w:instrText xml:space="preserve"> AUTONUM  </w:instrText>
      </w:r>
      <w:r w:rsidRPr="00CD7399">
        <w:fldChar w:fldCharType="end"/>
      </w:r>
      <w:r>
        <w:tab/>
        <w:t xml:space="preserve">A report on developments with </w:t>
      </w:r>
      <w:r w:rsidRPr="00404355">
        <w:t>regard to the practical exercise will be made to the TWA at its forty</w:t>
      </w:r>
      <w:r w:rsidRPr="00404355">
        <w:noBreakHyphen/>
        <w:t>second session.</w:t>
      </w:r>
    </w:p>
    <w:p w:rsidR="00741445" w:rsidRPr="00404355" w:rsidRDefault="00741445" w:rsidP="00741445">
      <w:pPr>
        <w:rPr>
          <w:rFonts w:cs="Arial"/>
        </w:rPr>
      </w:pPr>
    </w:p>
    <w:p w:rsidR="00741445" w:rsidRPr="008913B9" w:rsidRDefault="00741445" w:rsidP="00741445">
      <w:pPr>
        <w:pStyle w:val="DecisionParagraphs"/>
        <w:tabs>
          <w:tab w:val="clear" w:pos="5387"/>
        </w:tabs>
        <w:rPr>
          <w:snapToGrid w:val="0"/>
        </w:rPr>
      </w:pPr>
      <w:r w:rsidRPr="00404355">
        <w:rPr>
          <w:rFonts w:cs="Arial"/>
          <w:caps/>
        </w:rPr>
        <w:t>13.</w:t>
      </w:r>
      <w:r w:rsidRPr="00404355">
        <w:rPr>
          <w:rFonts w:cs="Arial"/>
          <w:caps/>
        </w:rPr>
        <w:tab/>
      </w:r>
      <w:r w:rsidRPr="00404355">
        <w:rPr>
          <w:rFonts w:cs="Arial"/>
          <w:caps/>
        </w:rPr>
        <w:tab/>
      </w:r>
      <w:r w:rsidRPr="00404355">
        <w:rPr>
          <w:snapToGrid w:val="0"/>
        </w:rPr>
        <w:t xml:space="preserve">The TWA is invited to consider developments on a practical exercise </w:t>
      </w:r>
      <w:r w:rsidRPr="00404355">
        <w:rPr>
          <w:color w:val="000000"/>
        </w:rPr>
        <w:t>with a common data set to</w:t>
      </w:r>
      <w:r>
        <w:rPr>
          <w:color w:val="000000"/>
        </w:rPr>
        <w:t xml:space="preserve"> produce variety descriptions </w:t>
      </w:r>
      <w:r w:rsidRPr="00422D72">
        <w:rPr>
          <w:iCs/>
          <w:spacing w:val="-4"/>
        </w:rPr>
        <w:t>of self</w:t>
      </w:r>
      <w:r w:rsidRPr="00422D72">
        <w:rPr>
          <w:iCs/>
          <w:spacing w:val="-4"/>
        </w:rPr>
        <w:noBreakHyphen/>
        <w:t>pollinated and/or vegetatively propagated varieties</w:t>
      </w:r>
      <w:r>
        <w:rPr>
          <w:color w:val="000000"/>
        </w:rPr>
        <w:t>, in order to determine the aspects in common and divergence between methods, with a view to developing general guidance.</w:t>
      </w:r>
    </w:p>
    <w:p w:rsidR="00741445" w:rsidRDefault="00741445" w:rsidP="00741445">
      <w:pPr>
        <w:pStyle w:val="DecisionParagraphs"/>
        <w:tabs>
          <w:tab w:val="clear" w:pos="5387"/>
        </w:tabs>
        <w:ind w:left="0"/>
        <w:jc w:val="right"/>
        <w:rPr>
          <w:iCs/>
          <w:snapToGrid w:val="0"/>
        </w:rPr>
      </w:pPr>
    </w:p>
    <w:p w:rsidR="00741445" w:rsidRDefault="00741445" w:rsidP="00741445">
      <w:pPr>
        <w:pStyle w:val="DecisionParagraphs"/>
        <w:tabs>
          <w:tab w:val="clear" w:pos="5387"/>
        </w:tabs>
        <w:ind w:left="0"/>
        <w:jc w:val="right"/>
        <w:rPr>
          <w:iCs/>
          <w:snapToGrid w:val="0"/>
        </w:rPr>
      </w:pPr>
    </w:p>
    <w:p w:rsidR="00741445" w:rsidRPr="00281F60" w:rsidRDefault="00741445" w:rsidP="00741445">
      <w:pPr>
        <w:pStyle w:val="DecisionParagraphs"/>
        <w:jc w:val="right"/>
        <w:rPr>
          <w:iCs/>
          <w:snapToGrid w:val="0"/>
        </w:rPr>
      </w:pPr>
    </w:p>
    <w:p w:rsidR="00741445" w:rsidRDefault="00741445" w:rsidP="00741445">
      <w:pPr>
        <w:ind w:left="7938"/>
        <w:jc w:val="right"/>
        <w:sectPr w:rsidR="00741445" w:rsidSect="00906DDC">
          <w:headerReference w:type="default" r:id="rId9"/>
          <w:pgSz w:w="11907" w:h="16840" w:code="9"/>
          <w:pgMar w:top="510" w:right="1134" w:bottom="1134" w:left="1134" w:header="510" w:footer="680" w:gutter="0"/>
          <w:cols w:space="720"/>
          <w:titlePg/>
        </w:sectPr>
      </w:pPr>
      <w:r>
        <w:t>[Annex follows]</w:t>
      </w:r>
    </w:p>
    <w:p w:rsidR="00741445" w:rsidRDefault="00741445" w:rsidP="00741445">
      <w:pPr>
        <w:spacing w:line="360" w:lineRule="auto"/>
        <w:jc w:val="center"/>
      </w:pPr>
      <w:r>
        <w:lastRenderedPageBreak/>
        <w:t>TWA/42/18</w:t>
      </w:r>
    </w:p>
    <w:p w:rsidR="00741445" w:rsidRDefault="00741445" w:rsidP="00741445">
      <w:pPr>
        <w:spacing w:line="360" w:lineRule="auto"/>
        <w:jc w:val="center"/>
      </w:pPr>
    </w:p>
    <w:p w:rsidR="00741445" w:rsidRDefault="00741445" w:rsidP="00741445">
      <w:pPr>
        <w:spacing w:line="360" w:lineRule="auto"/>
        <w:jc w:val="center"/>
      </w:pPr>
      <w:r>
        <w:t>ANNEX</w:t>
      </w:r>
    </w:p>
    <w:p w:rsidR="00741445" w:rsidRDefault="00741445" w:rsidP="00741445">
      <w:pPr>
        <w:spacing w:line="360" w:lineRule="auto"/>
      </w:pPr>
    </w:p>
    <w:p w:rsidR="00741445" w:rsidRPr="002E1F32" w:rsidRDefault="00741445" w:rsidP="00741445">
      <w:pPr>
        <w:spacing w:line="360" w:lineRule="auto"/>
        <w:jc w:val="center"/>
      </w:pPr>
      <w:r>
        <w:rPr>
          <w:noProof/>
        </w:rPr>
        <w:drawing>
          <wp:inline distT="0" distB="0" distL="0" distR="0" wp14:anchorId="7C3FF347" wp14:editId="3C64DAF6">
            <wp:extent cx="3819525" cy="2886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2886075"/>
                    </a:xfrm>
                    <a:prstGeom prst="rect">
                      <a:avLst/>
                    </a:prstGeom>
                    <a:noFill/>
                  </pic:spPr>
                </pic:pic>
              </a:graphicData>
            </a:graphic>
          </wp:inline>
        </w:drawing>
      </w:r>
    </w:p>
    <w:p w:rsidR="00741445" w:rsidRDefault="00741445" w:rsidP="00741445">
      <w:pPr>
        <w:spacing w:line="360" w:lineRule="auto"/>
        <w:jc w:val="center"/>
      </w:pPr>
    </w:p>
    <w:p w:rsidR="00741445" w:rsidRDefault="00741445" w:rsidP="00741445">
      <w:pPr>
        <w:spacing w:line="360" w:lineRule="auto"/>
      </w:pPr>
    </w:p>
    <w:p w:rsidR="00741445" w:rsidRDefault="00741445" w:rsidP="00741445">
      <w:pPr>
        <w:spacing w:line="360" w:lineRule="auto"/>
        <w:jc w:val="center"/>
      </w:pPr>
      <w:r>
        <w:rPr>
          <w:noProof/>
        </w:rPr>
        <w:drawing>
          <wp:inline distT="0" distB="0" distL="0" distR="0" wp14:anchorId="0430E610" wp14:editId="62F6AD5B">
            <wp:extent cx="3838575" cy="2895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575" cy="2895600"/>
                    </a:xfrm>
                    <a:prstGeom prst="rect">
                      <a:avLst/>
                    </a:prstGeom>
                    <a:noFill/>
                  </pic:spPr>
                </pic:pic>
              </a:graphicData>
            </a:graphic>
          </wp:inline>
        </w:drawing>
      </w:r>
    </w:p>
    <w:p w:rsidR="00741445" w:rsidRDefault="00741445" w:rsidP="00741445">
      <w:pPr>
        <w:spacing w:line="360" w:lineRule="auto"/>
        <w:jc w:val="center"/>
      </w:pPr>
    </w:p>
    <w:p w:rsidR="00741445" w:rsidRDefault="00741445" w:rsidP="00741445">
      <w:pPr>
        <w:spacing w:line="360" w:lineRule="auto"/>
      </w:pPr>
    </w:p>
    <w:p w:rsidR="00741445" w:rsidRDefault="00741445" w:rsidP="00741445">
      <w:pPr>
        <w:spacing w:line="360" w:lineRule="auto"/>
      </w:pPr>
      <w:bookmarkStart w:id="12" w:name="_GoBack"/>
      <w:bookmarkEnd w:id="12"/>
      <w:r>
        <w:br w:type="page"/>
      </w:r>
    </w:p>
    <w:p w:rsidR="00741445" w:rsidRDefault="00741445" w:rsidP="00741445">
      <w:pPr>
        <w:spacing w:line="360" w:lineRule="auto"/>
      </w:pPr>
    </w:p>
    <w:p w:rsidR="00741445" w:rsidRDefault="00741445" w:rsidP="00741445">
      <w:pPr>
        <w:spacing w:line="360" w:lineRule="auto"/>
        <w:jc w:val="center"/>
      </w:pPr>
      <w:r>
        <w:rPr>
          <w:noProof/>
        </w:rPr>
        <w:drawing>
          <wp:inline distT="0" distB="0" distL="0" distR="0" wp14:anchorId="2C656915" wp14:editId="497D091E">
            <wp:extent cx="3905250" cy="2943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0" cy="2943225"/>
                    </a:xfrm>
                    <a:prstGeom prst="rect">
                      <a:avLst/>
                    </a:prstGeom>
                    <a:noFill/>
                  </pic:spPr>
                </pic:pic>
              </a:graphicData>
            </a:graphic>
          </wp:inline>
        </w:drawing>
      </w:r>
    </w:p>
    <w:p w:rsidR="00741445" w:rsidRDefault="00741445" w:rsidP="00741445">
      <w:pPr>
        <w:spacing w:line="360" w:lineRule="auto"/>
        <w:jc w:val="center"/>
      </w:pPr>
    </w:p>
    <w:p w:rsidR="00741445" w:rsidRDefault="00741445" w:rsidP="00741445">
      <w:pPr>
        <w:spacing w:line="360" w:lineRule="auto"/>
      </w:pPr>
    </w:p>
    <w:p w:rsidR="00741445" w:rsidRDefault="00741445" w:rsidP="00741445">
      <w:pPr>
        <w:spacing w:line="360" w:lineRule="auto"/>
      </w:pPr>
    </w:p>
    <w:p w:rsidR="00741445" w:rsidRDefault="00741445" w:rsidP="00741445">
      <w:pPr>
        <w:spacing w:line="360" w:lineRule="auto"/>
      </w:pPr>
    </w:p>
    <w:p w:rsidR="00741445" w:rsidRDefault="00741445" w:rsidP="00741445">
      <w:pPr>
        <w:spacing w:line="360" w:lineRule="auto"/>
        <w:jc w:val="center"/>
      </w:pPr>
      <w:r>
        <w:rPr>
          <w:noProof/>
        </w:rPr>
        <w:drawing>
          <wp:inline distT="0" distB="0" distL="0" distR="0" wp14:anchorId="5CD3B078" wp14:editId="4025CD00">
            <wp:extent cx="3933825" cy="2971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741445" w:rsidRDefault="00741445" w:rsidP="00741445">
      <w:pPr>
        <w:spacing w:line="360" w:lineRule="auto"/>
        <w:jc w:val="center"/>
      </w:pPr>
    </w:p>
    <w:p w:rsidR="00741445" w:rsidRDefault="00741445" w:rsidP="00741445">
      <w:pPr>
        <w:spacing w:line="360" w:lineRule="auto"/>
      </w:pPr>
    </w:p>
    <w:p w:rsidR="00741445" w:rsidRDefault="00741445" w:rsidP="00741445">
      <w:pPr>
        <w:spacing w:line="360" w:lineRule="auto"/>
      </w:pPr>
      <w:r>
        <w:br w:type="page"/>
      </w:r>
    </w:p>
    <w:p w:rsidR="00741445" w:rsidRDefault="00741445" w:rsidP="00741445">
      <w:pPr>
        <w:spacing w:line="360" w:lineRule="auto"/>
      </w:pPr>
    </w:p>
    <w:p w:rsidR="00741445" w:rsidRDefault="00741445" w:rsidP="00741445">
      <w:pPr>
        <w:spacing w:line="360" w:lineRule="auto"/>
        <w:jc w:val="center"/>
      </w:pPr>
      <w:r>
        <w:rPr>
          <w:noProof/>
        </w:rPr>
        <w:drawing>
          <wp:inline distT="0" distB="0" distL="0" distR="0" wp14:anchorId="053657F0" wp14:editId="10D84AFD">
            <wp:extent cx="3933825" cy="2971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741445" w:rsidRDefault="00741445" w:rsidP="00741445">
      <w:pPr>
        <w:spacing w:line="360" w:lineRule="auto"/>
        <w:jc w:val="center"/>
      </w:pPr>
    </w:p>
    <w:p w:rsidR="00741445" w:rsidRDefault="00741445" w:rsidP="00741445">
      <w:pPr>
        <w:spacing w:line="360" w:lineRule="auto"/>
      </w:pPr>
    </w:p>
    <w:p w:rsidR="00741445" w:rsidRDefault="00741445" w:rsidP="00741445">
      <w:pPr>
        <w:spacing w:line="360" w:lineRule="auto"/>
      </w:pPr>
    </w:p>
    <w:p w:rsidR="00741445" w:rsidRDefault="00741445" w:rsidP="00741445">
      <w:pPr>
        <w:spacing w:line="360" w:lineRule="auto"/>
        <w:jc w:val="center"/>
      </w:pPr>
      <w:r>
        <w:rPr>
          <w:noProof/>
        </w:rPr>
        <w:drawing>
          <wp:inline distT="0" distB="0" distL="0" distR="0" wp14:anchorId="54C1733F" wp14:editId="1C6F1F97">
            <wp:extent cx="3952875" cy="2990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2875" cy="2990850"/>
                    </a:xfrm>
                    <a:prstGeom prst="rect">
                      <a:avLst/>
                    </a:prstGeom>
                    <a:noFill/>
                  </pic:spPr>
                </pic:pic>
              </a:graphicData>
            </a:graphic>
          </wp:inline>
        </w:drawing>
      </w:r>
    </w:p>
    <w:p w:rsidR="00741445" w:rsidRDefault="00741445" w:rsidP="00741445">
      <w:pPr>
        <w:spacing w:line="360" w:lineRule="auto"/>
        <w:jc w:val="center"/>
      </w:pPr>
    </w:p>
    <w:p w:rsidR="00741445" w:rsidRDefault="00741445" w:rsidP="00741445">
      <w:pPr>
        <w:spacing w:line="360" w:lineRule="auto"/>
      </w:pPr>
    </w:p>
    <w:p w:rsidR="00741445" w:rsidRDefault="00741445" w:rsidP="00741445">
      <w:pPr>
        <w:spacing w:line="360" w:lineRule="auto"/>
      </w:pPr>
      <w:r>
        <w:br w:type="page"/>
      </w:r>
    </w:p>
    <w:p w:rsidR="00741445" w:rsidRDefault="00741445" w:rsidP="00741445">
      <w:pPr>
        <w:spacing w:line="360" w:lineRule="auto"/>
      </w:pPr>
    </w:p>
    <w:p w:rsidR="00741445" w:rsidRDefault="00741445" w:rsidP="00741445">
      <w:pPr>
        <w:spacing w:line="360" w:lineRule="auto"/>
        <w:jc w:val="center"/>
      </w:pPr>
      <w:r>
        <w:rPr>
          <w:noProof/>
        </w:rPr>
        <w:drawing>
          <wp:inline distT="0" distB="0" distL="0" distR="0" wp14:anchorId="6E1BA650" wp14:editId="35C84FB0">
            <wp:extent cx="4019550" cy="3028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9550" cy="3028950"/>
                    </a:xfrm>
                    <a:prstGeom prst="rect">
                      <a:avLst/>
                    </a:prstGeom>
                    <a:noFill/>
                  </pic:spPr>
                </pic:pic>
              </a:graphicData>
            </a:graphic>
          </wp:inline>
        </w:drawing>
      </w:r>
    </w:p>
    <w:p w:rsidR="00741445" w:rsidRDefault="00741445" w:rsidP="00741445">
      <w:pPr>
        <w:spacing w:line="360" w:lineRule="auto"/>
        <w:jc w:val="center"/>
      </w:pPr>
    </w:p>
    <w:p w:rsidR="00741445" w:rsidRDefault="00741445" w:rsidP="00741445">
      <w:pPr>
        <w:spacing w:line="360" w:lineRule="auto"/>
      </w:pPr>
    </w:p>
    <w:p w:rsidR="00741445" w:rsidRDefault="00741445" w:rsidP="00741445">
      <w:pPr>
        <w:spacing w:line="360" w:lineRule="auto"/>
      </w:pPr>
    </w:p>
    <w:p w:rsidR="00741445" w:rsidRDefault="00741445" w:rsidP="00741445">
      <w:pPr>
        <w:spacing w:line="360" w:lineRule="auto"/>
      </w:pPr>
    </w:p>
    <w:p w:rsidR="00741445" w:rsidRDefault="00741445" w:rsidP="00741445">
      <w:pPr>
        <w:spacing w:line="360" w:lineRule="auto"/>
        <w:jc w:val="center"/>
      </w:pPr>
      <w:r>
        <w:rPr>
          <w:noProof/>
        </w:rPr>
        <w:drawing>
          <wp:inline distT="0" distB="0" distL="0" distR="0" wp14:anchorId="60A5D9E5" wp14:editId="55A5008E">
            <wp:extent cx="4105275" cy="3095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5275" cy="3095625"/>
                    </a:xfrm>
                    <a:prstGeom prst="rect">
                      <a:avLst/>
                    </a:prstGeom>
                    <a:noFill/>
                  </pic:spPr>
                </pic:pic>
              </a:graphicData>
            </a:graphic>
          </wp:inline>
        </w:drawing>
      </w:r>
    </w:p>
    <w:p w:rsidR="00741445" w:rsidRDefault="00741445" w:rsidP="00741445">
      <w:pPr>
        <w:spacing w:line="360" w:lineRule="auto"/>
        <w:jc w:val="center"/>
      </w:pPr>
    </w:p>
    <w:p w:rsidR="00741445" w:rsidRDefault="00741445" w:rsidP="00741445">
      <w:pPr>
        <w:spacing w:line="360" w:lineRule="auto"/>
      </w:pPr>
    </w:p>
    <w:p w:rsidR="00741445" w:rsidRDefault="00741445" w:rsidP="00741445">
      <w:pPr>
        <w:spacing w:line="360" w:lineRule="auto"/>
      </w:pPr>
      <w:r>
        <w:br w:type="page"/>
      </w:r>
    </w:p>
    <w:p w:rsidR="00741445" w:rsidRDefault="00741445" w:rsidP="00741445">
      <w:pPr>
        <w:spacing w:line="360" w:lineRule="auto"/>
      </w:pPr>
    </w:p>
    <w:p w:rsidR="00741445" w:rsidRDefault="00741445" w:rsidP="00741445">
      <w:pPr>
        <w:spacing w:line="360" w:lineRule="auto"/>
        <w:jc w:val="center"/>
      </w:pPr>
      <w:r>
        <w:rPr>
          <w:noProof/>
        </w:rPr>
        <w:drawing>
          <wp:inline distT="0" distB="0" distL="0" distR="0" wp14:anchorId="361323AC" wp14:editId="174C6064">
            <wp:extent cx="3933825" cy="2971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741445" w:rsidRDefault="00741445" w:rsidP="00741445">
      <w:pPr>
        <w:spacing w:line="360" w:lineRule="auto"/>
        <w:jc w:val="center"/>
      </w:pPr>
    </w:p>
    <w:p w:rsidR="00741445" w:rsidRDefault="00741445" w:rsidP="00741445">
      <w:pPr>
        <w:spacing w:line="360" w:lineRule="auto"/>
      </w:pPr>
    </w:p>
    <w:p w:rsidR="00741445" w:rsidRDefault="00741445" w:rsidP="00741445">
      <w:pPr>
        <w:spacing w:line="360" w:lineRule="auto"/>
      </w:pPr>
    </w:p>
    <w:p w:rsidR="00741445" w:rsidRDefault="00741445" w:rsidP="00741445">
      <w:pPr>
        <w:spacing w:line="360" w:lineRule="auto"/>
        <w:jc w:val="center"/>
      </w:pPr>
      <w:r>
        <w:rPr>
          <w:noProof/>
        </w:rPr>
        <w:drawing>
          <wp:inline distT="0" distB="0" distL="0" distR="0" wp14:anchorId="681AAD2C" wp14:editId="627270CF">
            <wp:extent cx="3933825" cy="29718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741445" w:rsidRDefault="00741445" w:rsidP="00741445">
      <w:pPr>
        <w:spacing w:line="360" w:lineRule="auto"/>
        <w:jc w:val="center"/>
      </w:pPr>
    </w:p>
    <w:p w:rsidR="00741445" w:rsidRDefault="00741445" w:rsidP="00741445">
      <w:pPr>
        <w:spacing w:line="360" w:lineRule="auto"/>
      </w:pPr>
    </w:p>
    <w:p w:rsidR="00741445" w:rsidRDefault="00741445" w:rsidP="00741445">
      <w:pPr>
        <w:spacing w:line="360" w:lineRule="auto"/>
      </w:pPr>
      <w:r>
        <w:br w:type="page"/>
      </w:r>
    </w:p>
    <w:p w:rsidR="00741445" w:rsidRDefault="00741445" w:rsidP="00741445">
      <w:pPr>
        <w:spacing w:line="360" w:lineRule="auto"/>
      </w:pPr>
    </w:p>
    <w:p w:rsidR="00741445" w:rsidRDefault="00741445" w:rsidP="00741445">
      <w:pPr>
        <w:spacing w:line="360" w:lineRule="auto"/>
        <w:jc w:val="center"/>
      </w:pPr>
      <w:r>
        <w:rPr>
          <w:noProof/>
        </w:rPr>
        <w:drawing>
          <wp:inline distT="0" distB="0" distL="0" distR="0" wp14:anchorId="5B5EB0C1" wp14:editId="5AAFCA1B">
            <wp:extent cx="3933825" cy="2971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741445" w:rsidRDefault="00741445" w:rsidP="00741445">
      <w:pPr>
        <w:spacing w:line="360" w:lineRule="auto"/>
        <w:jc w:val="center"/>
      </w:pPr>
    </w:p>
    <w:p w:rsidR="00741445" w:rsidRDefault="00741445" w:rsidP="00741445">
      <w:pPr>
        <w:spacing w:line="360" w:lineRule="auto"/>
      </w:pPr>
    </w:p>
    <w:p w:rsidR="00741445" w:rsidRDefault="00741445" w:rsidP="00741445">
      <w:pPr>
        <w:spacing w:line="360" w:lineRule="auto"/>
      </w:pPr>
    </w:p>
    <w:p w:rsidR="00741445" w:rsidRDefault="00741445" w:rsidP="00741445">
      <w:pPr>
        <w:spacing w:line="360" w:lineRule="auto"/>
      </w:pPr>
    </w:p>
    <w:p w:rsidR="00741445" w:rsidRDefault="00741445" w:rsidP="00741445">
      <w:pPr>
        <w:spacing w:line="360" w:lineRule="auto"/>
        <w:jc w:val="center"/>
      </w:pPr>
      <w:r>
        <w:rPr>
          <w:noProof/>
        </w:rPr>
        <w:drawing>
          <wp:inline distT="0" distB="0" distL="0" distR="0" wp14:anchorId="24E96087" wp14:editId="2828D20B">
            <wp:extent cx="3933825" cy="29718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741445" w:rsidRDefault="00741445" w:rsidP="00741445">
      <w:pPr>
        <w:spacing w:line="360" w:lineRule="auto"/>
        <w:jc w:val="center"/>
      </w:pPr>
    </w:p>
    <w:p w:rsidR="00741445" w:rsidRDefault="00741445" w:rsidP="00741445">
      <w:pPr>
        <w:spacing w:line="360" w:lineRule="auto"/>
      </w:pPr>
    </w:p>
    <w:p w:rsidR="00741445" w:rsidRDefault="00741445" w:rsidP="00741445">
      <w:pPr>
        <w:spacing w:line="360" w:lineRule="auto"/>
      </w:pPr>
      <w:r>
        <w:br w:type="page"/>
      </w:r>
    </w:p>
    <w:p w:rsidR="00741445" w:rsidRDefault="00741445" w:rsidP="00741445">
      <w:pPr>
        <w:spacing w:line="360" w:lineRule="auto"/>
      </w:pPr>
    </w:p>
    <w:p w:rsidR="00741445" w:rsidRDefault="00741445" w:rsidP="00741445">
      <w:pPr>
        <w:spacing w:line="360" w:lineRule="auto"/>
        <w:jc w:val="center"/>
      </w:pPr>
      <w:r>
        <w:rPr>
          <w:noProof/>
        </w:rPr>
        <w:drawing>
          <wp:inline distT="0" distB="0" distL="0" distR="0" wp14:anchorId="410EAFE9" wp14:editId="6B7F5529">
            <wp:extent cx="3933825" cy="2971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741445" w:rsidRDefault="00741445" w:rsidP="00741445">
      <w:pPr>
        <w:spacing w:line="360" w:lineRule="auto"/>
        <w:jc w:val="center"/>
      </w:pPr>
    </w:p>
    <w:p w:rsidR="00741445" w:rsidRDefault="00741445" w:rsidP="00741445">
      <w:pPr>
        <w:spacing w:line="360" w:lineRule="auto"/>
      </w:pPr>
    </w:p>
    <w:p w:rsidR="00741445" w:rsidRDefault="00741445" w:rsidP="00741445">
      <w:pPr>
        <w:spacing w:line="360" w:lineRule="auto"/>
      </w:pPr>
    </w:p>
    <w:p w:rsidR="00741445" w:rsidRDefault="00741445" w:rsidP="00741445">
      <w:pPr>
        <w:spacing w:line="360" w:lineRule="auto"/>
      </w:pPr>
    </w:p>
    <w:p w:rsidR="00741445" w:rsidRDefault="00741445" w:rsidP="00741445">
      <w:pPr>
        <w:spacing w:line="360" w:lineRule="auto"/>
        <w:jc w:val="center"/>
      </w:pPr>
      <w:r>
        <w:rPr>
          <w:noProof/>
        </w:rPr>
        <w:drawing>
          <wp:inline distT="0" distB="0" distL="0" distR="0" wp14:anchorId="0EF2E5BB" wp14:editId="1763F6B3">
            <wp:extent cx="3933825" cy="29718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741445" w:rsidRDefault="00741445" w:rsidP="00741445">
      <w:pPr>
        <w:spacing w:line="360" w:lineRule="auto"/>
        <w:jc w:val="center"/>
      </w:pPr>
    </w:p>
    <w:p w:rsidR="00741445" w:rsidRDefault="00741445" w:rsidP="00741445">
      <w:pPr>
        <w:spacing w:line="360" w:lineRule="auto"/>
      </w:pPr>
    </w:p>
    <w:p w:rsidR="00741445" w:rsidRDefault="00741445" w:rsidP="00741445">
      <w:pPr>
        <w:spacing w:line="360" w:lineRule="auto"/>
      </w:pPr>
      <w:r>
        <w:br w:type="page"/>
      </w:r>
    </w:p>
    <w:p w:rsidR="00741445" w:rsidRDefault="00741445" w:rsidP="00741445">
      <w:pPr>
        <w:spacing w:line="360" w:lineRule="auto"/>
      </w:pPr>
    </w:p>
    <w:p w:rsidR="00741445" w:rsidRDefault="00741445" w:rsidP="00741445">
      <w:pPr>
        <w:spacing w:line="360" w:lineRule="auto"/>
        <w:jc w:val="center"/>
      </w:pPr>
      <w:r>
        <w:rPr>
          <w:noProof/>
        </w:rPr>
        <w:drawing>
          <wp:inline distT="0" distB="0" distL="0" distR="0" wp14:anchorId="70FBFA9B" wp14:editId="0DC9F463">
            <wp:extent cx="3933825" cy="29718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741445" w:rsidRDefault="00741445" w:rsidP="00741445">
      <w:pPr>
        <w:spacing w:line="360" w:lineRule="auto"/>
        <w:jc w:val="center"/>
      </w:pPr>
    </w:p>
    <w:p w:rsidR="00741445" w:rsidRDefault="00741445" w:rsidP="00741445">
      <w:pPr>
        <w:spacing w:line="360" w:lineRule="auto"/>
      </w:pPr>
    </w:p>
    <w:p w:rsidR="00741445" w:rsidRDefault="00741445" w:rsidP="00741445">
      <w:pPr>
        <w:spacing w:line="360" w:lineRule="auto"/>
      </w:pPr>
    </w:p>
    <w:p w:rsidR="00741445" w:rsidRDefault="00741445" w:rsidP="00741445">
      <w:pPr>
        <w:spacing w:line="360" w:lineRule="auto"/>
      </w:pPr>
    </w:p>
    <w:p w:rsidR="00741445" w:rsidRDefault="00741445" w:rsidP="00741445">
      <w:pPr>
        <w:spacing w:line="360" w:lineRule="auto"/>
        <w:jc w:val="center"/>
      </w:pPr>
      <w:r>
        <w:rPr>
          <w:noProof/>
        </w:rPr>
        <w:drawing>
          <wp:inline distT="0" distB="0" distL="0" distR="0" wp14:anchorId="17B138FB" wp14:editId="04E3C5CF">
            <wp:extent cx="3933825" cy="2971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741445" w:rsidRDefault="00741445" w:rsidP="00741445">
      <w:pPr>
        <w:spacing w:line="360" w:lineRule="auto"/>
        <w:jc w:val="center"/>
      </w:pPr>
    </w:p>
    <w:p w:rsidR="00741445" w:rsidRDefault="00741445" w:rsidP="00741445">
      <w:pPr>
        <w:spacing w:line="360" w:lineRule="auto"/>
      </w:pPr>
    </w:p>
    <w:p w:rsidR="00741445" w:rsidRDefault="00741445" w:rsidP="00741445">
      <w:pPr>
        <w:spacing w:line="360" w:lineRule="auto"/>
      </w:pPr>
      <w:r>
        <w:br w:type="page"/>
      </w:r>
    </w:p>
    <w:p w:rsidR="00741445" w:rsidRDefault="00741445" w:rsidP="00741445">
      <w:pPr>
        <w:spacing w:line="360" w:lineRule="auto"/>
      </w:pPr>
    </w:p>
    <w:p w:rsidR="00741445" w:rsidRDefault="00741445" w:rsidP="00741445">
      <w:pPr>
        <w:spacing w:line="360" w:lineRule="auto"/>
        <w:jc w:val="center"/>
      </w:pPr>
      <w:r>
        <w:rPr>
          <w:noProof/>
        </w:rPr>
        <w:drawing>
          <wp:inline distT="0" distB="0" distL="0" distR="0" wp14:anchorId="31285AC3" wp14:editId="742EA608">
            <wp:extent cx="3933825" cy="2971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741445" w:rsidRDefault="00741445" w:rsidP="00741445">
      <w:pPr>
        <w:spacing w:line="360" w:lineRule="auto"/>
        <w:jc w:val="center"/>
      </w:pPr>
    </w:p>
    <w:p w:rsidR="00741445" w:rsidRDefault="00741445" w:rsidP="00741445">
      <w:pPr>
        <w:pStyle w:val="endofdoc"/>
        <w:rPr>
          <w:snapToGrid w:val="0"/>
        </w:rPr>
      </w:pPr>
      <w:r>
        <w:t>[End of Annex and of document]</w:t>
      </w:r>
    </w:p>
    <w:p w:rsidR="00DF474C" w:rsidRDefault="00DF474C" w:rsidP="00741445">
      <w:pPr>
        <w:pStyle w:val="Titleofdoc0"/>
        <w:rPr>
          <w:snapToGrid w:val="0"/>
        </w:rPr>
      </w:pPr>
    </w:p>
    <w:sectPr w:rsidR="00DF474C" w:rsidSect="004C0A30">
      <w:headerReference w:type="default" r:id="rId27"/>
      <w:headerReference w:type="first" r:id="rId28"/>
      <w:footerReference w:type="first" r:id="rId2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45" w:rsidRDefault="00741445" w:rsidP="006655D3">
      <w:r>
        <w:separator/>
      </w:r>
    </w:p>
    <w:p w:rsidR="00741445" w:rsidRDefault="00741445" w:rsidP="006655D3"/>
    <w:p w:rsidR="00741445" w:rsidRDefault="00741445" w:rsidP="006655D3"/>
  </w:endnote>
  <w:endnote w:type="continuationSeparator" w:id="0">
    <w:p w:rsidR="00741445" w:rsidRDefault="00741445" w:rsidP="006655D3">
      <w:r>
        <w:separator/>
      </w:r>
    </w:p>
    <w:p w:rsidR="00741445" w:rsidRPr="008B409A" w:rsidRDefault="00741445">
      <w:pPr>
        <w:pStyle w:val="Footer"/>
        <w:spacing w:after="60"/>
        <w:rPr>
          <w:sz w:val="18"/>
          <w:lang w:val="fr-CH"/>
        </w:rPr>
      </w:pPr>
      <w:r w:rsidRPr="008B409A">
        <w:rPr>
          <w:sz w:val="18"/>
          <w:lang w:val="fr-CH"/>
        </w:rPr>
        <w:t>[Suite de la note de la page précédente]</w:t>
      </w:r>
    </w:p>
    <w:p w:rsidR="00741445" w:rsidRPr="008B409A" w:rsidRDefault="00741445" w:rsidP="006655D3">
      <w:pPr>
        <w:rPr>
          <w:lang w:val="fr-CH"/>
        </w:rPr>
      </w:pPr>
    </w:p>
    <w:p w:rsidR="00741445" w:rsidRPr="008B409A" w:rsidRDefault="00741445" w:rsidP="006655D3">
      <w:pPr>
        <w:rPr>
          <w:lang w:val="fr-CH"/>
        </w:rPr>
      </w:pPr>
    </w:p>
  </w:endnote>
  <w:endnote w:type="continuationNotice" w:id="1">
    <w:p w:rsidR="00741445" w:rsidRPr="008B409A" w:rsidRDefault="00741445" w:rsidP="006655D3">
      <w:pPr>
        <w:rPr>
          <w:lang w:val="fr-CH"/>
        </w:rPr>
      </w:pPr>
      <w:r w:rsidRPr="008B409A">
        <w:rPr>
          <w:lang w:val="fr-CH"/>
        </w:rPr>
        <w:t>[Suite de la note page suivante]</w:t>
      </w:r>
    </w:p>
    <w:p w:rsidR="00741445" w:rsidRPr="008B409A" w:rsidRDefault="00741445" w:rsidP="006655D3">
      <w:pPr>
        <w:rPr>
          <w:lang w:val="fr-CH"/>
        </w:rPr>
      </w:pPr>
    </w:p>
    <w:p w:rsidR="00741445" w:rsidRPr="008B409A" w:rsidRDefault="0074144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404355" w:rsidRDefault="00903656" w:rsidP="00404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45" w:rsidRDefault="00741445" w:rsidP="006655D3">
      <w:r>
        <w:separator/>
      </w:r>
    </w:p>
  </w:footnote>
  <w:footnote w:type="continuationSeparator" w:id="0">
    <w:p w:rsidR="00741445" w:rsidRDefault="00741445" w:rsidP="006655D3">
      <w:r>
        <w:separator/>
      </w:r>
    </w:p>
  </w:footnote>
  <w:footnote w:type="continuationNotice" w:id="1">
    <w:p w:rsidR="00741445" w:rsidRPr="00AB530F" w:rsidRDefault="0074144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45" w:rsidRDefault="00741445" w:rsidP="00BD3A4B">
    <w:pPr>
      <w:pStyle w:val="Header"/>
    </w:pPr>
    <w:r>
      <w:t>TWA/42/18</w:t>
    </w:r>
  </w:p>
  <w:p w:rsidR="00741445" w:rsidRDefault="00741445" w:rsidP="00BD3A4B">
    <w:pPr>
      <w:pStyle w:val="Header"/>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6F4366">
      <w:rPr>
        <w:rStyle w:val="PageNumber"/>
        <w:noProof/>
      </w:rPr>
      <w:t>3</w:t>
    </w:r>
    <w:r>
      <w:rPr>
        <w:rStyle w:val="PageNumber"/>
      </w:rPr>
      <w:fldChar w:fldCharType="end"/>
    </w:r>
  </w:p>
  <w:p w:rsidR="00741445" w:rsidRDefault="00741445" w:rsidP="00BD3A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45" w:rsidRDefault="00741445" w:rsidP="00741445">
    <w:pPr>
      <w:pStyle w:val="Header"/>
    </w:pPr>
    <w:r>
      <w:t>TWA/42/18</w:t>
    </w:r>
  </w:p>
  <w:p w:rsidR="00903656" w:rsidRPr="00C5280D" w:rsidRDefault="00741445" w:rsidP="00EB048E">
    <w:pPr>
      <w:pStyle w:val="Header"/>
    </w:pPr>
    <w:r>
      <w:t xml:space="preserve">Annex, </w:t>
    </w:r>
    <w:r w:rsidR="00903656" w:rsidRPr="00C5280D">
      <w:t xml:space="preserve">page </w:t>
    </w:r>
    <w:r w:rsidR="00903656" w:rsidRPr="00832298">
      <w:fldChar w:fldCharType="begin"/>
    </w:r>
    <w:r w:rsidR="00903656" w:rsidRPr="00832298">
      <w:instrText xml:space="preserve"> PAGE </w:instrText>
    </w:r>
    <w:r w:rsidR="00903656" w:rsidRPr="00832298">
      <w:fldChar w:fldCharType="separate"/>
    </w:r>
    <w:r w:rsidR="006F4366">
      <w:rPr>
        <w:noProof/>
      </w:rPr>
      <w:t>9</w:t>
    </w:r>
    <w:r w:rsidR="00903656"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45" w:rsidRDefault="00741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45"/>
    <w:rsid w:val="00010CF3"/>
    <w:rsid w:val="00011E27"/>
    <w:rsid w:val="000148BC"/>
    <w:rsid w:val="00024AB8"/>
    <w:rsid w:val="00030854"/>
    <w:rsid w:val="00036028"/>
    <w:rsid w:val="00044642"/>
    <w:rsid w:val="000446B9"/>
    <w:rsid w:val="00047E21"/>
    <w:rsid w:val="00085505"/>
    <w:rsid w:val="00091A90"/>
    <w:rsid w:val="000C4C93"/>
    <w:rsid w:val="000C7021"/>
    <w:rsid w:val="000D6BBC"/>
    <w:rsid w:val="000D7780"/>
    <w:rsid w:val="00105929"/>
    <w:rsid w:val="001131D5"/>
    <w:rsid w:val="001322D2"/>
    <w:rsid w:val="00141DB8"/>
    <w:rsid w:val="0017474A"/>
    <w:rsid w:val="001758C6"/>
    <w:rsid w:val="00182B99"/>
    <w:rsid w:val="0018780B"/>
    <w:rsid w:val="00195F91"/>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B3894"/>
    <w:rsid w:val="003D227C"/>
    <w:rsid w:val="003D2B4D"/>
    <w:rsid w:val="00404355"/>
    <w:rsid w:val="00444A88"/>
    <w:rsid w:val="00474DA4"/>
    <w:rsid w:val="00476B4D"/>
    <w:rsid w:val="004805FA"/>
    <w:rsid w:val="004C0A30"/>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73406"/>
    <w:rsid w:val="00685222"/>
    <w:rsid w:val="00687EB4"/>
    <w:rsid w:val="006B17D2"/>
    <w:rsid w:val="006C224E"/>
    <w:rsid w:val="006D780A"/>
    <w:rsid w:val="006E1436"/>
    <w:rsid w:val="006F4366"/>
    <w:rsid w:val="00732DEC"/>
    <w:rsid w:val="00735BD5"/>
    <w:rsid w:val="0074144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B409A"/>
    <w:rsid w:val="008C0970"/>
    <w:rsid w:val="008D2CF7"/>
    <w:rsid w:val="008F3E4B"/>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AE5B25"/>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3A11"/>
    <w:rsid w:val="00CF7E36"/>
    <w:rsid w:val="00D3708D"/>
    <w:rsid w:val="00D40426"/>
    <w:rsid w:val="00D57C96"/>
    <w:rsid w:val="00D82D2E"/>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table" w:styleId="TableGrid">
    <w:name w:val="Table Grid"/>
    <w:basedOn w:val="TableNormal"/>
    <w:rsid w:val="0074144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table" w:styleId="TableGrid">
    <w:name w:val="Table Grid"/>
    <w:basedOn w:val="TableNormal"/>
    <w:rsid w:val="0074144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2\Template\twa_4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twa_42.dotm</Template>
  <TotalTime>4</TotalTime>
  <Pages>12</Pages>
  <Words>1278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FAVA Alexandra</dc:creator>
  <cp:lastModifiedBy>OERTEL Romy</cp:lastModifiedBy>
  <cp:revision>4</cp:revision>
  <cp:lastPrinted>2013-05-10T09:16:00Z</cp:lastPrinted>
  <dcterms:created xsi:type="dcterms:W3CDTF">2013-05-06T14:23:00Z</dcterms:created>
  <dcterms:modified xsi:type="dcterms:W3CDTF">2013-05-10T09:16:00Z</dcterms:modified>
</cp:coreProperties>
</file>