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391BEE">
            <w:pPr>
              <w:pStyle w:val="Sessiontcplacedate"/>
              <w:rPr>
                <w:sz w:val="22"/>
              </w:rPr>
            </w:pPr>
            <w:r w:rsidRPr="00DA4973">
              <w:t xml:space="preserve">Geneva, </w:t>
            </w:r>
            <w:r w:rsidR="00391BEE">
              <w:t>October</w:t>
            </w:r>
            <w:r w:rsidR="00A3365A">
              <w:t xml:space="preserve"> 2</w:t>
            </w:r>
            <w:r w:rsidR="00391BEE">
              <w:t>8</w:t>
            </w:r>
            <w:r w:rsidR="000E6267">
              <w:t xml:space="preserve"> and 2</w:t>
            </w:r>
            <w:r w:rsidR="00391BEE">
              <w:t>9</w:t>
            </w:r>
            <w:r w:rsidRPr="00DA4973">
              <w:t>, 201</w:t>
            </w:r>
            <w:r w:rsidR="000E6267">
              <w:t>8</w:t>
            </w:r>
          </w:p>
        </w:tc>
        <w:tc>
          <w:tcPr>
            <w:tcW w:w="3127" w:type="dxa"/>
          </w:tcPr>
          <w:p w:rsidR="00EB4E9C" w:rsidRPr="003C7FBE" w:rsidRDefault="000E6267" w:rsidP="003C7FBE">
            <w:pPr>
              <w:pStyle w:val="Doccode"/>
            </w:pPr>
            <w:r>
              <w:t>TC-EDC</w:t>
            </w:r>
            <w:r w:rsidR="00A3365A">
              <w:t>/</w:t>
            </w:r>
            <w:r w:rsidR="00391BEE">
              <w:t>Oct</w:t>
            </w:r>
            <w:r>
              <w:t>18</w:t>
            </w:r>
            <w:r w:rsidR="00EB4E9C" w:rsidRPr="00AC2883">
              <w:t>/</w:t>
            </w:r>
            <w:r w:rsidR="00F22F9E">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E3A4C">
            <w:pPr>
              <w:pStyle w:val="Docoriginal"/>
            </w:pPr>
            <w:r w:rsidRPr="00AC2883">
              <w:t>Date</w:t>
            </w:r>
            <w:r w:rsidRPr="00602E66">
              <w:t>:</w:t>
            </w:r>
            <w:r w:rsidRPr="00602E66">
              <w:rPr>
                <w:b w:val="0"/>
                <w:spacing w:val="0"/>
              </w:rPr>
              <w:t xml:space="preserve">  </w:t>
            </w:r>
            <w:r w:rsidR="00F22F9E" w:rsidRPr="00602E66">
              <w:rPr>
                <w:b w:val="0"/>
                <w:spacing w:val="0"/>
              </w:rPr>
              <w:t>October 1</w:t>
            </w:r>
            <w:r w:rsidR="000E3A4C" w:rsidRPr="00602E66">
              <w:rPr>
                <w:b w:val="0"/>
                <w:spacing w:val="0"/>
              </w:rPr>
              <w:t>3</w:t>
            </w:r>
            <w:r w:rsidR="00F22F9E" w:rsidRPr="00602E66">
              <w:rPr>
                <w:b w:val="0"/>
                <w:spacing w:val="0"/>
              </w:rPr>
              <w:t>, 2018</w:t>
            </w:r>
          </w:p>
        </w:tc>
      </w:tr>
    </w:tbl>
    <w:p w:rsidR="00394AFF" w:rsidRPr="006A644A" w:rsidRDefault="00F22F9E" w:rsidP="00394AFF">
      <w:pPr>
        <w:pStyle w:val="Titleofdoc0"/>
      </w:pPr>
      <w:bookmarkStart w:id="0" w:name="TitleOfDoc"/>
      <w:bookmarkEnd w:id="0"/>
      <w:r w:rsidRPr="00431198">
        <w:t>Matters to be resolved concerning Test Guidelines considered by the Enlarged Editorial Committee in March</w:t>
      </w:r>
      <w:r>
        <w:t xml:space="preserve">:  </w:t>
      </w:r>
      <w:r w:rsidRPr="000C2C4F">
        <w:rPr>
          <w:rFonts w:cs="Arial"/>
        </w:rPr>
        <w:t>Tomato (</w:t>
      </w:r>
      <w:r w:rsidRPr="000C2C4F">
        <w:rPr>
          <w:rFonts w:cs="Arial"/>
          <w:i/>
        </w:rPr>
        <w:t>Solanum lycopersicum</w:t>
      </w:r>
      <w:r w:rsidRPr="000C2C4F">
        <w:rPr>
          <w:rFonts w:cs="Arial"/>
        </w:rPr>
        <w:t xml:space="preserve"> L.) (Partial revision</w:t>
      </w:r>
      <w:r>
        <w:rPr>
          <w:rFonts w:cs="Arial"/>
        </w:rPr>
        <w:t>)</w:t>
      </w:r>
    </w:p>
    <w:p w:rsidR="00394AFF" w:rsidRPr="006A644A" w:rsidRDefault="00394AFF" w:rsidP="00394AFF">
      <w:pPr>
        <w:pStyle w:val="preparedby1"/>
        <w:jc w:val="left"/>
      </w:pPr>
      <w:bookmarkStart w:id="1" w:name="Prepared"/>
      <w:bookmarkEnd w:id="1"/>
      <w:r w:rsidRPr="000C4E25">
        <w:t>Document prepared by the Office of the Union</w:t>
      </w:r>
      <w:bookmarkStart w:id="2" w:name="_GoBack"/>
      <w:bookmarkEnd w:id="2"/>
    </w:p>
    <w:p w:rsidR="00394AFF" w:rsidRPr="006A644A" w:rsidRDefault="00394AFF" w:rsidP="00394AFF">
      <w:pPr>
        <w:pStyle w:val="Disclaimer"/>
      </w:pPr>
      <w:r w:rsidRPr="006A644A">
        <w:t>Disclaimer:  this document does not represent UPOV policies or guidance</w:t>
      </w:r>
    </w:p>
    <w:p w:rsidR="00F22F9E" w:rsidRDefault="00F22F9E" w:rsidP="00F22F9E">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w:t>
      </w:r>
      <w:r w:rsidR="000E3A4C">
        <w:t>on</w:t>
      </w:r>
      <w:r w:rsidRPr="00E31DFA">
        <w:t xml:space="preserve"> March 26 </w:t>
      </w:r>
      <w:r w:rsidR="000E3A4C">
        <w:t>and</w:t>
      </w:r>
      <w:r w:rsidRPr="00E31DFA">
        <w:t xml:space="preserve"> 27, 2018, considered document </w:t>
      </w:r>
      <w:hyperlink r:id="rId7" w:history="1">
        <w:r w:rsidRPr="00F22F9E">
          <w:rPr>
            <w:color w:val="0000FF"/>
            <w:u w:val="single"/>
          </w:rPr>
          <w:t>TC-EDC/MAR18/8</w:t>
        </w:r>
      </w:hyperlink>
      <w:r w:rsidRPr="00485EDF">
        <w:t xml:space="preserve"> </w:t>
      </w:r>
      <w:r>
        <w:t>“</w:t>
      </w:r>
      <w:r w:rsidRPr="00485EDF">
        <w:t xml:space="preserve">Partial revision of the Test Guidelines for </w:t>
      </w:r>
      <w:r>
        <w:t xml:space="preserve">Tomato” </w:t>
      </w:r>
      <w:r w:rsidRPr="00E31DFA">
        <w:t>and</w:t>
      </w:r>
      <w:r>
        <w:t xml:space="preserve"> </w:t>
      </w:r>
      <w:r w:rsidRPr="00E31DFA">
        <w:t>agreed that the technical issues raised should be addressed by</w:t>
      </w:r>
      <w:r>
        <w:t xml:space="preserve"> the </w:t>
      </w:r>
      <w:r w:rsidRPr="00625FDF">
        <w:t>Technical Working Party for Vegetables</w:t>
      </w:r>
      <w:r>
        <w:t xml:space="preserve"> (TWV) (see document TC</w:t>
      </w:r>
      <w:r>
        <w:noBreakHyphen/>
        <w:t>ECD/MAR18/11 “Report”, paragraph 57).</w:t>
      </w:r>
    </w:p>
    <w:p w:rsidR="000E3A4C" w:rsidRDefault="000E3A4C" w:rsidP="00F22F9E"/>
    <w:p w:rsidR="000E3A4C" w:rsidRDefault="00F22F9E" w:rsidP="00F22F9E">
      <w:r>
        <w:fldChar w:fldCharType="begin"/>
      </w:r>
      <w:r>
        <w:instrText xml:space="preserve"> AUTONUM  </w:instrText>
      </w:r>
      <w:r>
        <w:fldChar w:fldCharType="end"/>
      </w:r>
      <w:r>
        <w:tab/>
      </w:r>
      <w:proofErr w:type="gramStart"/>
      <w:r w:rsidRPr="003A0EFB">
        <w:t>The TWV</w:t>
      </w:r>
      <w:r w:rsidR="00CC3A3A">
        <w:t xml:space="preserve">, at its fifty-second session, held in </w:t>
      </w:r>
      <w:r w:rsidR="00CC3A3A">
        <w:rPr>
          <w:rFonts w:cs="Arial"/>
        </w:rPr>
        <w:t>Beijing, China</w:t>
      </w:r>
      <w:r w:rsidR="00CC3A3A" w:rsidRPr="00DA4973">
        <w:t xml:space="preserve">, </w:t>
      </w:r>
      <w:r w:rsidR="00CC3A3A">
        <w:t>from September 17 to 21</w:t>
      </w:r>
      <w:r w:rsidR="00CC3A3A" w:rsidRPr="00DA4973">
        <w:t>, 201</w:t>
      </w:r>
      <w:r w:rsidR="00CC3A3A">
        <w:t xml:space="preserve">8, </w:t>
      </w:r>
      <w:r w:rsidRPr="003A0EFB">
        <w:t>considered document</w:t>
      </w:r>
      <w:r>
        <w:t>s</w:t>
      </w:r>
      <w:r w:rsidRPr="003A0EFB">
        <w:t xml:space="preserve"> TWV/52/11</w:t>
      </w:r>
      <w:r>
        <w:t xml:space="preserve"> </w:t>
      </w:r>
      <w:r w:rsidR="000E3A4C">
        <w:t>“</w:t>
      </w:r>
      <w:r w:rsidR="000E3A4C" w:rsidRPr="000E3A4C">
        <w:t xml:space="preserve">Matters to be resolved concerning Test Guidelines adopted by the Technical Committee: Tomato” </w:t>
      </w:r>
      <w:r>
        <w:t>and TWV/52/19</w:t>
      </w:r>
      <w:r w:rsidRPr="003A0EFB">
        <w:t xml:space="preserve"> </w:t>
      </w:r>
      <w:r w:rsidR="000E3A4C">
        <w:t>“</w:t>
      </w:r>
      <w:r w:rsidR="000E3A4C" w:rsidRPr="000E3A4C">
        <w:t>Addendum to Matters to be resolved concerning Test Guidelines adopted by the Technical Committee: partial revision of the Test Guidelines for Tomato and Tomato Rootstocks</w:t>
      </w:r>
      <w:r w:rsidR="000E3A4C">
        <w:t>”.</w:t>
      </w:r>
      <w:proofErr w:type="gramEnd"/>
      <w:r w:rsidR="000E3A4C">
        <w:t xml:space="preserve">  </w:t>
      </w:r>
    </w:p>
    <w:p w:rsidR="000E3A4C" w:rsidRDefault="000E3A4C" w:rsidP="00F22F9E"/>
    <w:p w:rsidR="00F22F9E" w:rsidRPr="00066D37" w:rsidRDefault="000E3A4C" w:rsidP="00F22F9E">
      <w:r>
        <w:fldChar w:fldCharType="begin"/>
      </w:r>
      <w:r>
        <w:instrText xml:space="preserve"> AUTONUM  </w:instrText>
      </w:r>
      <w:r>
        <w:fldChar w:fldCharType="end"/>
      </w:r>
      <w:r>
        <w:tab/>
        <w:t>The TWV</w:t>
      </w:r>
      <w:r w:rsidR="00F22F9E" w:rsidRPr="003A0EFB">
        <w:t xml:space="preserve"> agreed </w:t>
      </w:r>
      <w:r w:rsidR="00F22F9E">
        <w:t>that Characteristic and Ad. </w:t>
      </w:r>
      <w:proofErr w:type="gramStart"/>
      <w:r w:rsidR="00F22F9E">
        <w:t>48 “</w:t>
      </w:r>
      <w:r w:rsidR="00F22F9E" w:rsidRPr="00066D37">
        <w:t xml:space="preserve">Resistance to </w:t>
      </w:r>
      <w:proofErr w:type="spellStart"/>
      <w:r w:rsidR="00F22F9E" w:rsidRPr="00066D37">
        <w:rPr>
          <w:i/>
        </w:rPr>
        <w:t>Fusarium</w:t>
      </w:r>
      <w:proofErr w:type="spellEnd"/>
      <w:r w:rsidR="00F22F9E" w:rsidRPr="00066D37">
        <w:rPr>
          <w:i/>
        </w:rPr>
        <w:t xml:space="preserve"> </w:t>
      </w:r>
      <w:proofErr w:type="spellStart"/>
      <w:r w:rsidR="00F22F9E" w:rsidRPr="00066D37">
        <w:rPr>
          <w:i/>
        </w:rPr>
        <w:t>oxysporum</w:t>
      </w:r>
      <w:proofErr w:type="spellEnd"/>
      <w:r w:rsidR="00F22F9E" w:rsidRPr="00066D37">
        <w:t xml:space="preserve"> f. sp. </w:t>
      </w:r>
      <w:proofErr w:type="spellStart"/>
      <w:r w:rsidR="00F22F9E" w:rsidRPr="00066D37">
        <w:rPr>
          <w:i/>
        </w:rPr>
        <w:t>lycopersici</w:t>
      </w:r>
      <w:proofErr w:type="spellEnd"/>
      <w:r w:rsidR="00F22F9E" w:rsidRPr="00066D37">
        <w:t xml:space="preserve"> (</w:t>
      </w:r>
      <w:proofErr w:type="spellStart"/>
      <w:r w:rsidR="00F22F9E" w:rsidRPr="00066D37">
        <w:t>Fol</w:t>
      </w:r>
      <w:proofErr w:type="spellEnd"/>
      <w:r w:rsidR="00F22F9E" w:rsidRPr="00066D37">
        <w:t>)</w:t>
      </w:r>
      <w:r w:rsidR="00F22F9E">
        <w:t>” be excluded</w:t>
      </w:r>
      <w:proofErr w:type="gramEnd"/>
      <w:r w:rsidR="00F22F9E">
        <w:t xml:space="preserve"> from the partial revision as research </w:t>
      </w:r>
      <w:r>
        <w:t>was still</w:t>
      </w:r>
      <w:r w:rsidR="00F22F9E">
        <w:t xml:space="preserve"> ongoing</w:t>
      </w:r>
      <w:r>
        <w:t xml:space="preserve">. The TWV agreed that the characteristic </w:t>
      </w:r>
      <w:proofErr w:type="gramStart"/>
      <w:r>
        <w:t xml:space="preserve">should </w:t>
      </w:r>
      <w:r w:rsidR="00F22F9E">
        <w:t>be reconsidered</w:t>
      </w:r>
      <w:proofErr w:type="gramEnd"/>
      <w:r w:rsidR="00F22F9E">
        <w:t xml:space="preserve"> at its fifty-third session (see document TWV/52/20 “Report”, paragraph 62)</w:t>
      </w:r>
      <w:r>
        <w:t>.</w:t>
      </w:r>
    </w:p>
    <w:p w:rsidR="00F22F9E" w:rsidRDefault="00F22F9E" w:rsidP="00F22F9E"/>
    <w:p w:rsidR="00F22F9E" w:rsidRPr="003A0EFB" w:rsidRDefault="00F22F9E" w:rsidP="00F22F9E">
      <w:r>
        <w:fldChar w:fldCharType="begin"/>
      </w:r>
      <w:r>
        <w:instrText xml:space="preserve"> AUTONUM  </w:instrText>
      </w:r>
      <w:r>
        <w:fldChar w:fldCharType="end"/>
      </w:r>
      <w:r>
        <w:tab/>
        <w:t xml:space="preserve">The TWV further agreed </w:t>
      </w:r>
      <w:r w:rsidRPr="003A0EFB">
        <w:t>the following</w:t>
      </w:r>
      <w:r>
        <w:t xml:space="preserve"> (see document TWV/52/20 “Report”, paragraph 63):</w:t>
      </w:r>
    </w:p>
    <w:p w:rsidR="00F22F9E" w:rsidRPr="003A0EFB" w:rsidRDefault="00F22F9E" w:rsidP="00F22F9E"/>
    <w:tbl>
      <w:tblPr>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66"/>
        <w:gridCol w:w="7"/>
        <w:gridCol w:w="8208"/>
      </w:tblGrid>
      <w:tr w:rsidR="00F22F9E" w:rsidRPr="0029024C" w:rsidTr="000520C7">
        <w:trPr>
          <w:cantSplit/>
        </w:trPr>
        <w:tc>
          <w:tcPr>
            <w:tcW w:w="1573" w:type="dxa"/>
            <w:gridSpan w:val="2"/>
            <w:shd w:val="clear" w:color="auto" w:fill="auto"/>
          </w:tcPr>
          <w:p w:rsidR="00F22F9E" w:rsidRPr="0029024C" w:rsidRDefault="00F22F9E" w:rsidP="000520C7">
            <w:r w:rsidRPr="0029024C">
              <w:t>General remark</w:t>
            </w:r>
          </w:p>
        </w:tc>
        <w:tc>
          <w:tcPr>
            <w:tcW w:w="8208" w:type="dxa"/>
            <w:shd w:val="clear" w:color="auto" w:fill="auto"/>
          </w:tcPr>
          <w:p w:rsidR="00F22F9E" w:rsidRPr="0029024C" w:rsidRDefault="00F22F9E" w:rsidP="000520C7">
            <w:pPr>
              <w:keepNext/>
            </w:pPr>
            <w:r w:rsidRPr="0029024C">
              <w:t xml:space="preserve">Control varieties in the DNA-test </w:t>
            </w:r>
            <w:proofErr w:type="gramStart"/>
            <w:r w:rsidRPr="0029024C">
              <w:t>should also be indicated</w:t>
            </w:r>
            <w:proofErr w:type="gramEnd"/>
            <w:r w:rsidRPr="0029024C">
              <w:t xml:space="preserve"> in the bio-test. </w:t>
            </w:r>
          </w:p>
          <w:p w:rsidR="00F22F9E" w:rsidRPr="0029024C" w:rsidRDefault="00F22F9E" w:rsidP="000520C7">
            <w:pPr>
              <w:keepNext/>
            </w:pPr>
            <w:r w:rsidRPr="0029024C">
              <w:t>Why are the control varieties not used as example varieties?</w:t>
            </w:r>
          </w:p>
          <w:p w:rsidR="00F22F9E" w:rsidRPr="0029024C" w:rsidRDefault="00F22F9E" w:rsidP="000520C7">
            <w:pPr>
              <w:keepNext/>
              <w:rPr>
                <w:i/>
              </w:rPr>
            </w:pPr>
            <w:r w:rsidRPr="0029024C">
              <w:rPr>
                <w:i/>
              </w:rPr>
              <w:t>Leading Expert:  The proposal can be improved by having the same set of varieties in DNA-test, bio-test and as example varieties. See Ad. 51 (ii) 4.2 and Ad. 58 (ii) 4.2.</w:t>
            </w:r>
          </w:p>
          <w:p w:rsidR="00F22F9E" w:rsidRPr="00C93989" w:rsidRDefault="00F22F9E" w:rsidP="000520C7">
            <w:pPr>
              <w:keepNext/>
              <w:rPr>
                <w:i/>
              </w:rPr>
            </w:pPr>
            <w:r w:rsidRPr="0029024C">
              <w:rPr>
                <w:i/>
              </w:rPr>
              <w:t>TWV: agreed</w:t>
            </w:r>
          </w:p>
        </w:tc>
      </w:tr>
      <w:tr w:rsidR="00F22F9E" w:rsidRPr="0029024C" w:rsidTr="000520C7">
        <w:trPr>
          <w:cantSplit/>
        </w:trPr>
        <w:tc>
          <w:tcPr>
            <w:tcW w:w="1573" w:type="dxa"/>
            <w:gridSpan w:val="2"/>
          </w:tcPr>
          <w:p w:rsidR="00F22F9E" w:rsidRPr="0029024C" w:rsidRDefault="00F22F9E" w:rsidP="000520C7">
            <w:r w:rsidRPr="0029024C">
              <w:t>Chars. 51, 58</w:t>
            </w:r>
          </w:p>
        </w:tc>
        <w:tc>
          <w:tcPr>
            <w:tcW w:w="8208" w:type="dxa"/>
          </w:tcPr>
          <w:p w:rsidR="00F22F9E" w:rsidRPr="0029024C" w:rsidRDefault="00F22F9E" w:rsidP="000520C7">
            <w:pPr>
              <w:keepNext/>
            </w:pPr>
            <w:r w:rsidRPr="0029024C">
              <w:t xml:space="preserve">- </w:t>
            </w:r>
            <w:proofErr w:type="gramStart"/>
            <w:r w:rsidRPr="0029024C">
              <w:t>to</w:t>
            </w:r>
            <w:proofErr w:type="gramEnd"/>
            <w:r w:rsidRPr="0029024C">
              <w:t xml:space="preserve"> be kept as VG (VS not appropriate for DNA marker test, see TGP/9. In case of DNA markers, 20 plants </w:t>
            </w:r>
            <w:proofErr w:type="gramStart"/>
            <w:r w:rsidRPr="0029024C">
              <w:t>are observed</w:t>
            </w:r>
            <w:proofErr w:type="gramEnd"/>
            <w:r w:rsidRPr="0029024C">
              <w:t xml:space="preserve"> for uniformity. According to chapter 4.1.4 of TG/44/11 Rev., indication of VS is not appropriate.)</w:t>
            </w:r>
          </w:p>
          <w:p w:rsidR="00F22F9E" w:rsidRPr="0029024C" w:rsidRDefault="00F22F9E" w:rsidP="000520C7">
            <w:pPr>
              <w:keepNext/>
              <w:rPr>
                <w:i/>
              </w:rPr>
            </w:pPr>
            <w:r w:rsidRPr="0029024C">
              <w:rPr>
                <w:i/>
              </w:rPr>
              <w:t>TWV: agreed</w:t>
            </w:r>
          </w:p>
          <w:p w:rsidR="00F22F9E" w:rsidRPr="0029024C" w:rsidRDefault="00F22F9E" w:rsidP="000520C7">
            <w:pPr>
              <w:keepNext/>
            </w:pPr>
            <w:r w:rsidRPr="0029024C">
              <w:t xml:space="preserve">- DNA marker test to be presented to the BMT to check whether method corresponds to TGP/15 </w:t>
            </w:r>
          </w:p>
          <w:p w:rsidR="00F22F9E" w:rsidRPr="0029024C" w:rsidRDefault="00F22F9E" w:rsidP="000520C7">
            <w:pPr>
              <w:keepNext/>
              <w:rPr>
                <w:i/>
              </w:rPr>
            </w:pPr>
            <w:r w:rsidRPr="0029024C">
              <w:rPr>
                <w:i/>
              </w:rPr>
              <w:t xml:space="preserve">Leading Expert:  I will participate in the BMT and the item </w:t>
            </w:r>
            <w:proofErr w:type="gramStart"/>
            <w:r w:rsidRPr="0029024C">
              <w:rPr>
                <w:i/>
              </w:rPr>
              <w:t>will be discussed</w:t>
            </w:r>
            <w:proofErr w:type="gramEnd"/>
            <w:r w:rsidRPr="0029024C">
              <w:rPr>
                <w:i/>
              </w:rPr>
              <w:t>. I will report to the TWV accordingly</w:t>
            </w:r>
          </w:p>
          <w:p w:rsidR="00F22F9E" w:rsidRPr="0029024C" w:rsidRDefault="00F22F9E" w:rsidP="000520C7">
            <w:pPr>
              <w:keepNext/>
            </w:pPr>
            <w:r>
              <w:rPr>
                <w:i/>
              </w:rPr>
              <w:t xml:space="preserve">The </w:t>
            </w:r>
            <w:r w:rsidRPr="0029024C">
              <w:rPr>
                <w:i/>
              </w:rPr>
              <w:t xml:space="preserve">TWV noted that the method corresponds to TGP/15 and that document TGP/15 </w:t>
            </w:r>
            <w:r>
              <w:rPr>
                <w:i/>
              </w:rPr>
              <w:t>would</w:t>
            </w:r>
            <w:r w:rsidRPr="0029024C">
              <w:rPr>
                <w:i/>
              </w:rPr>
              <w:t xml:space="preserve"> be revised to include a relevant example</w:t>
            </w:r>
          </w:p>
        </w:tc>
      </w:tr>
      <w:tr w:rsidR="00F22F9E" w:rsidRPr="0029024C" w:rsidTr="000520C7">
        <w:trPr>
          <w:cantSplit/>
        </w:trPr>
        <w:tc>
          <w:tcPr>
            <w:tcW w:w="1573" w:type="dxa"/>
            <w:gridSpan w:val="2"/>
          </w:tcPr>
          <w:p w:rsidR="00F22F9E" w:rsidRPr="0029024C" w:rsidRDefault="00F22F9E" w:rsidP="000520C7">
            <w:pPr>
              <w:jc w:val="left"/>
            </w:pPr>
            <w:r w:rsidRPr="0029024C">
              <w:lastRenderedPageBreak/>
              <w:t>Ad. 51</w:t>
            </w:r>
          </w:p>
          <w:p w:rsidR="00F22F9E" w:rsidRDefault="00F22F9E" w:rsidP="000520C7">
            <w:pPr>
              <w:jc w:val="left"/>
            </w:pPr>
            <w:r w:rsidRPr="0029024C">
              <w:t>Ad. 58</w:t>
            </w:r>
          </w:p>
          <w:p w:rsidR="00F22F9E" w:rsidRPr="0029024C" w:rsidRDefault="00F22F9E" w:rsidP="000520C7">
            <w:pPr>
              <w:jc w:val="left"/>
            </w:pPr>
            <w:r>
              <w:t>(Ad. 48 was deleted- see paragraph 62 of this document)</w:t>
            </w:r>
          </w:p>
        </w:tc>
        <w:tc>
          <w:tcPr>
            <w:tcW w:w="8208" w:type="dxa"/>
          </w:tcPr>
          <w:p w:rsidR="00F22F9E" w:rsidRDefault="00F22F9E" w:rsidP="000520C7">
            <w:pPr>
              <w:keepNext/>
            </w:pPr>
            <w:proofErr w:type="gramStart"/>
            <w:r w:rsidRPr="0029024C">
              <w:t>to</w:t>
            </w:r>
            <w:proofErr w:type="gramEnd"/>
            <w:r w:rsidRPr="0029024C">
              <w:t xml:space="preserve"> check whether to read “Resistance to race 0 (ex 1) and race 1 (ex 2) to be tested in a bio-assay (method </w:t>
            </w:r>
            <w:proofErr w:type="spellStart"/>
            <w:r w:rsidRPr="0029024C">
              <w:t>i</w:t>
            </w:r>
            <w:proofErr w:type="spellEnd"/>
            <w:r w:rsidRPr="0029024C">
              <w:t xml:space="preserve">) or in a DNA marker test (method ii), if appropriate. Resistance to race 2 (ex 3) to be tested in a bio-assay (method </w:t>
            </w:r>
            <w:proofErr w:type="spellStart"/>
            <w:r w:rsidRPr="0029024C">
              <w:t>i</w:t>
            </w:r>
            <w:proofErr w:type="spellEnd"/>
            <w:r w:rsidRPr="0029024C">
              <w:t>).” (</w:t>
            </w:r>
            <w:proofErr w:type="gramStart"/>
            <w:r w:rsidRPr="0029024C">
              <w:t>to</w:t>
            </w:r>
            <w:proofErr w:type="gramEnd"/>
            <w:r w:rsidRPr="0029024C">
              <w:t xml:space="preserve"> clarify whether it should be bio-essay only OR bio-essay in conjunction with DNA marker test where required. The gene-specific marker model anticipates a presence of a reliable link between presence of the marker and expression of the characteristic.)</w:t>
            </w:r>
          </w:p>
          <w:p w:rsidR="00F22F9E" w:rsidRPr="0029024C" w:rsidRDefault="00F22F9E" w:rsidP="000520C7">
            <w:pPr>
              <w:keepNext/>
            </w:pPr>
          </w:p>
          <w:p w:rsidR="00F22F9E" w:rsidRPr="0029024C" w:rsidRDefault="00F22F9E" w:rsidP="000520C7">
            <w:pPr>
              <w:keepNext/>
              <w:rPr>
                <w:i/>
              </w:rPr>
            </w:pPr>
            <w:r w:rsidRPr="0029024C">
              <w:rPr>
                <w:i/>
              </w:rPr>
              <w:t xml:space="preserve">Leading Expert:  </w:t>
            </w:r>
          </w:p>
          <w:p w:rsidR="00F22F9E" w:rsidRPr="0029024C" w:rsidRDefault="00F22F9E" w:rsidP="000520C7">
            <w:pPr>
              <w:keepNext/>
              <w:rPr>
                <w:i/>
              </w:rPr>
            </w:pPr>
            <w:r w:rsidRPr="0029024C">
              <w:rPr>
                <w:i/>
              </w:rPr>
              <w:t>Ad. 51</w:t>
            </w:r>
          </w:p>
          <w:p w:rsidR="00F22F9E" w:rsidRPr="0029024C" w:rsidRDefault="00F22F9E" w:rsidP="000520C7">
            <w:pPr>
              <w:keepNext/>
              <w:rPr>
                <w:i/>
              </w:rPr>
            </w:pPr>
            <w:r w:rsidRPr="0029024C">
              <w:rPr>
                <w:i/>
              </w:rPr>
              <w:t xml:space="preserve">To read “Resistance to strain 0, 1 and 2 to be tested in a bio-assay (method </w:t>
            </w:r>
            <w:proofErr w:type="spellStart"/>
            <w:r w:rsidRPr="0029024C">
              <w:rPr>
                <w:i/>
              </w:rPr>
              <w:t>i</w:t>
            </w:r>
            <w:proofErr w:type="spellEnd"/>
            <w:r w:rsidRPr="0029024C">
              <w:rPr>
                <w:i/>
              </w:rPr>
              <w:t>) or in a DNA marker test (method ii), if appropriate.” (and to delete last sentence on method of observation)</w:t>
            </w:r>
          </w:p>
          <w:p w:rsidR="00F22F9E" w:rsidRPr="0029024C" w:rsidRDefault="00F22F9E" w:rsidP="000520C7">
            <w:pPr>
              <w:keepNext/>
              <w:rPr>
                <w:i/>
              </w:rPr>
            </w:pPr>
            <w:r w:rsidRPr="0029024C">
              <w:rPr>
                <w:i/>
              </w:rPr>
              <w:t xml:space="preserve">Explanation: both a </w:t>
            </w:r>
            <w:proofErr w:type="gramStart"/>
            <w:r w:rsidRPr="0029024C">
              <w:rPr>
                <w:i/>
              </w:rPr>
              <w:t>bio-assay</w:t>
            </w:r>
            <w:proofErr w:type="gramEnd"/>
            <w:r w:rsidRPr="0029024C">
              <w:rPr>
                <w:i/>
              </w:rPr>
              <w:t xml:space="preserve"> and a DNA-marker test are always accepted. At Ad. 51 (ii) 8. </w:t>
            </w:r>
            <w:proofErr w:type="gramStart"/>
            <w:r w:rsidRPr="0029024C">
              <w:rPr>
                <w:i/>
              </w:rPr>
              <w:t>is</w:t>
            </w:r>
            <w:proofErr w:type="gramEnd"/>
            <w:r w:rsidRPr="0029024C">
              <w:rPr>
                <w:i/>
              </w:rPr>
              <w:t xml:space="preserve"> explained that a DNA marker test must confirm the declaration in the TQ, if not, a bio-assay should be performed.</w:t>
            </w:r>
          </w:p>
          <w:p w:rsidR="00F22F9E" w:rsidRPr="0029024C" w:rsidRDefault="00F22F9E" w:rsidP="000520C7">
            <w:pPr>
              <w:keepNext/>
              <w:rPr>
                <w:i/>
              </w:rPr>
            </w:pPr>
          </w:p>
          <w:p w:rsidR="00F22F9E" w:rsidRPr="0029024C" w:rsidRDefault="00F22F9E" w:rsidP="000520C7">
            <w:pPr>
              <w:keepNext/>
              <w:rPr>
                <w:i/>
              </w:rPr>
            </w:pPr>
            <w:r w:rsidRPr="0029024C">
              <w:rPr>
                <w:i/>
              </w:rPr>
              <w:t>Ad. 58</w:t>
            </w:r>
          </w:p>
          <w:p w:rsidR="00F22F9E" w:rsidRPr="0029024C" w:rsidRDefault="00F22F9E" w:rsidP="000520C7">
            <w:pPr>
              <w:keepNext/>
              <w:rPr>
                <w:i/>
              </w:rPr>
            </w:pPr>
            <w:r w:rsidRPr="0029024C">
              <w:rPr>
                <w:i/>
              </w:rPr>
              <w:t xml:space="preserve">To read “Resistance to strain 0 to be tested in a bio-assay (method </w:t>
            </w:r>
            <w:proofErr w:type="spellStart"/>
            <w:r w:rsidRPr="0029024C">
              <w:rPr>
                <w:i/>
              </w:rPr>
              <w:t>i</w:t>
            </w:r>
            <w:proofErr w:type="spellEnd"/>
            <w:r w:rsidRPr="0029024C">
              <w:rPr>
                <w:i/>
              </w:rPr>
              <w:t>) or in a DNA marker test (method ii), if appropriate.” (and to delete last sentence on method of observation)</w:t>
            </w:r>
          </w:p>
          <w:p w:rsidR="00F22F9E" w:rsidRPr="0029024C" w:rsidRDefault="00F22F9E" w:rsidP="000520C7">
            <w:pPr>
              <w:keepNext/>
              <w:rPr>
                <w:i/>
              </w:rPr>
            </w:pPr>
            <w:r w:rsidRPr="0029024C">
              <w:rPr>
                <w:i/>
              </w:rPr>
              <w:t xml:space="preserve">Explanation: both a </w:t>
            </w:r>
            <w:proofErr w:type="gramStart"/>
            <w:r w:rsidRPr="0029024C">
              <w:rPr>
                <w:i/>
              </w:rPr>
              <w:t>bio-assay</w:t>
            </w:r>
            <w:proofErr w:type="gramEnd"/>
            <w:r w:rsidRPr="0029024C">
              <w:rPr>
                <w:i/>
              </w:rPr>
              <w:t xml:space="preserve"> and a DNA-marker test are always accepted. At Ad. 58 (ii) 8. </w:t>
            </w:r>
            <w:proofErr w:type="gramStart"/>
            <w:r w:rsidRPr="0029024C">
              <w:rPr>
                <w:i/>
              </w:rPr>
              <w:t>is</w:t>
            </w:r>
            <w:proofErr w:type="gramEnd"/>
            <w:r w:rsidRPr="0029024C">
              <w:rPr>
                <w:i/>
              </w:rPr>
              <w:t xml:space="preserve"> explained that a DNA marker test must confirm the declaration in the TQ, if not, a bio-assay should be performed.</w:t>
            </w:r>
          </w:p>
          <w:p w:rsidR="00F22F9E" w:rsidRPr="0029024C" w:rsidRDefault="00F22F9E" w:rsidP="000520C7">
            <w:pPr>
              <w:keepNext/>
              <w:rPr>
                <w:i/>
              </w:rPr>
            </w:pPr>
          </w:p>
          <w:p w:rsidR="00F22F9E" w:rsidRPr="0029024C" w:rsidRDefault="00F22F9E" w:rsidP="000520C7">
            <w:pPr>
              <w:keepNext/>
            </w:pPr>
            <w:r w:rsidRPr="0029024C">
              <w:rPr>
                <w:i/>
              </w:rPr>
              <w:t>TWV:  agreed</w:t>
            </w:r>
          </w:p>
        </w:tc>
      </w:tr>
      <w:tr w:rsidR="00F22F9E" w:rsidRPr="0029024C" w:rsidTr="000520C7">
        <w:trPr>
          <w:cantSplit/>
        </w:trPr>
        <w:tc>
          <w:tcPr>
            <w:tcW w:w="1573" w:type="dxa"/>
            <w:gridSpan w:val="2"/>
          </w:tcPr>
          <w:p w:rsidR="00F22F9E" w:rsidRPr="0029024C" w:rsidRDefault="00F22F9E" w:rsidP="000520C7">
            <w:pPr>
              <w:jc w:val="left"/>
            </w:pPr>
            <w:r w:rsidRPr="0029024C">
              <w:t>Ad. 51 (ii)</w:t>
            </w:r>
          </w:p>
          <w:p w:rsidR="00F22F9E" w:rsidRDefault="00F22F9E" w:rsidP="000520C7">
            <w:pPr>
              <w:jc w:val="left"/>
            </w:pPr>
            <w:r w:rsidRPr="0029024C">
              <w:t>Ad. 58 (ii)</w:t>
            </w:r>
          </w:p>
          <w:p w:rsidR="00F22F9E" w:rsidRPr="0029024C" w:rsidRDefault="00F22F9E" w:rsidP="000520C7">
            <w:pPr>
              <w:jc w:val="left"/>
            </w:pPr>
            <w:r>
              <w:t>(Ad. 48 was deleted- see paragraph 62 of this document)</w:t>
            </w:r>
          </w:p>
        </w:tc>
        <w:tc>
          <w:tcPr>
            <w:tcW w:w="8208" w:type="dxa"/>
          </w:tcPr>
          <w:p w:rsidR="00F22F9E" w:rsidRPr="0029024C" w:rsidRDefault="00F22F9E" w:rsidP="000520C7">
            <w:pPr>
              <w:keepNext/>
            </w:pPr>
            <w:r w:rsidRPr="0029024C">
              <w:t xml:space="preserve">- to clarify “often” (does not meet requirements for use of gene-specific marker model) </w:t>
            </w:r>
          </w:p>
          <w:p w:rsidR="00F22F9E" w:rsidRPr="0029024C" w:rsidRDefault="00F22F9E" w:rsidP="000520C7">
            <w:pPr>
              <w:keepNext/>
            </w:pPr>
            <w:r w:rsidRPr="0029024C">
              <w:t>(e.g. in Ad. 48 (ii) to confirm whether under (ii) DNA marker test there are always resistance alleles present in Gene I2 to both race 0 (ex 1) and race 1 (ex 2).)</w:t>
            </w:r>
          </w:p>
          <w:p w:rsidR="00F22F9E" w:rsidRPr="0029024C" w:rsidRDefault="00F22F9E" w:rsidP="000520C7">
            <w:pPr>
              <w:keepNext/>
              <w:rPr>
                <w:i/>
              </w:rPr>
            </w:pPr>
            <w:r w:rsidRPr="0029024C">
              <w:rPr>
                <w:i/>
              </w:rPr>
              <w:t xml:space="preserve">Leading Expert:  </w:t>
            </w:r>
          </w:p>
          <w:p w:rsidR="00F22F9E" w:rsidRPr="0029024C" w:rsidRDefault="00F22F9E" w:rsidP="000520C7">
            <w:pPr>
              <w:keepNext/>
              <w:rPr>
                <w:i/>
              </w:rPr>
            </w:pPr>
            <w:r w:rsidRPr="0029024C">
              <w:rPr>
                <w:i/>
              </w:rPr>
              <w:t>Ad. 51 (ii)</w:t>
            </w:r>
          </w:p>
          <w:p w:rsidR="00F22F9E" w:rsidRPr="0029024C" w:rsidRDefault="00F22F9E" w:rsidP="000520C7">
            <w:pPr>
              <w:rPr>
                <w:i/>
              </w:rPr>
            </w:pPr>
            <w:r w:rsidRPr="0029024C">
              <w:rPr>
                <w:i/>
              </w:rPr>
              <w:t xml:space="preserve">To read “Resistance gene Tm2 gives resistance to </w:t>
            </w:r>
            <w:proofErr w:type="spellStart"/>
            <w:r w:rsidRPr="0029024C">
              <w:rPr>
                <w:i/>
              </w:rPr>
              <w:t>ToMV</w:t>
            </w:r>
            <w:proofErr w:type="spellEnd"/>
            <w:r w:rsidRPr="0029024C">
              <w:rPr>
                <w:i/>
              </w:rPr>
              <w:t xml:space="preserve">. Gene Tm2 has two dominant resistance alleles: resistance allele Tm2 is always associated with resistance to strain 0 and </w:t>
            </w:r>
            <w:proofErr w:type="gramStart"/>
            <w:r w:rsidRPr="0029024C">
              <w:rPr>
                <w:i/>
              </w:rPr>
              <w:t>1,</w:t>
            </w:r>
            <w:proofErr w:type="gramEnd"/>
            <w:r w:rsidRPr="0029024C">
              <w:rPr>
                <w:i/>
              </w:rPr>
              <w:t xml:space="preserve"> resistance allele Tm2</w:t>
            </w:r>
            <w:r w:rsidRPr="00C93989">
              <w:rPr>
                <w:i/>
                <w:vertAlign w:val="superscript"/>
              </w:rPr>
              <w:t>2</w:t>
            </w:r>
            <w:r w:rsidRPr="0029024C">
              <w:rPr>
                <w:i/>
              </w:rPr>
              <w:t xml:space="preserve"> is always associated with resistance to strain 0, 1 and 2. The </w:t>
            </w:r>
            <w:proofErr w:type="gramStart"/>
            <w:r w:rsidRPr="0029024C">
              <w:rPr>
                <w:i/>
              </w:rPr>
              <w:t xml:space="preserve">presence or absence of both resistance alleles can be detected by the co-dominant markers as described in </w:t>
            </w:r>
            <w:proofErr w:type="spellStart"/>
            <w:r w:rsidRPr="0029024C">
              <w:rPr>
                <w:i/>
              </w:rPr>
              <w:t>Arens</w:t>
            </w:r>
            <w:proofErr w:type="spellEnd"/>
            <w:r w:rsidRPr="0029024C">
              <w:rPr>
                <w:i/>
              </w:rPr>
              <w:t>, P. et al (2010)</w:t>
            </w:r>
            <w:proofErr w:type="gramEnd"/>
            <w:r w:rsidRPr="0029024C">
              <w:rPr>
                <w:i/>
              </w:rPr>
              <w:t>. Specific aspects:”</w:t>
            </w:r>
          </w:p>
          <w:p w:rsidR="00F22F9E" w:rsidRPr="0029024C" w:rsidRDefault="00F22F9E" w:rsidP="000520C7">
            <w:pPr>
              <w:keepNext/>
              <w:rPr>
                <w:i/>
              </w:rPr>
            </w:pPr>
          </w:p>
          <w:p w:rsidR="00F22F9E" w:rsidRPr="0029024C" w:rsidRDefault="00F22F9E" w:rsidP="000520C7">
            <w:pPr>
              <w:keepNext/>
              <w:rPr>
                <w:i/>
              </w:rPr>
            </w:pPr>
            <w:r w:rsidRPr="0029024C">
              <w:rPr>
                <w:i/>
              </w:rPr>
              <w:t>Ad. 58 (ii)</w:t>
            </w:r>
          </w:p>
          <w:p w:rsidR="00F22F9E" w:rsidRPr="0029024C" w:rsidRDefault="00F22F9E" w:rsidP="000520C7">
            <w:pPr>
              <w:keepNext/>
              <w:rPr>
                <w:i/>
              </w:rPr>
            </w:pPr>
            <w:r w:rsidRPr="0029024C">
              <w:rPr>
                <w:i/>
              </w:rPr>
              <w:t xml:space="preserve">To read “Dominant resistance gene Sw-5 is always associated with resistance to TSWV strain 0. The </w:t>
            </w:r>
            <w:proofErr w:type="gramStart"/>
            <w:r w:rsidRPr="0029024C">
              <w:rPr>
                <w:i/>
              </w:rPr>
              <w:t xml:space="preserve">presence or absence of the resistance allele can be detected by the co-dominant marker as described in </w:t>
            </w:r>
            <w:proofErr w:type="spellStart"/>
            <w:r w:rsidRPr="0029024C">
              <w:rPr>
                <w:i/>
              </w:rPr>
              <w:t>Dianese</w:t>
            </w:r>
            <w:proofErr w:type="spellEnd"/>
            <w:r w:rsidRPr="0029024C">
              <w:rPr>
                <w:i/>
              </w:rPr>
              <w:t>, E.C. et al (2010)</w:t>
            </w:r>
            <w:proofErr w:type="gramEnd"/>
            <w:r w:rsidRPr="0029024C">
              <w:rPr>
                <w:i/>
              </w:rPr>
              <w:t>. Specific aspects: ”</w:t>
            </w:r>
          </w:p>
          <w:p w:rsidR="00F22F9E" w:rsidRPr="0029024C" w:rsidRDefault="00F22F9E" w:rsidP="000520C7">
            <w:pPr>
              <w:keepNext/>
              <w:rPr>
                <w:i/>
              </w:rPr>
            </w:pPr>
          </w:p>
          <w:p w:rsidR="00F22F9E" w:rsidRPr="0029024C" w:rsidRDefault="00F22F9E" w:rsidP="000520C7">
            <w:pPr>
              <w:keepNext/>
              <w:rPr>
                <w:highlight w:val="yellow"/>
              </w:rPr>
            </w:pPr>
            <w:r w:rsidRPr="0029024C">
              <w:rPr>
                <w:i/>
              </w:rPr>
              <w:t>TWV:  agreed</w:t>
            </w:r>
          </w:p>
        </w:tc>
      </w:tr>
      <w:tr w:rsidR="00F22F9E" w:rsidRPr="0029024C" w:rsidTr="000520C7">
        <w:trPr>
          <w:cantSplit/>
        </w:trPr>
        <w:tc>
          <w:tcPr>
            <w:tcW w:w="1573" w:type="dxa"/>
            <w:gridSpan w:val="2"/>
            <w:shd w:val="clear" w:color="auto" w:fill="auto"/>
          </w:tcPr>
          <w:p w:rsidR="00F22F9E" w:rsidRPr="0029024C" w:rsidRDefault="00F22F9E" w:rsidP="000520C7">
            <w:pPr>
              <w:pStyle w:val="BodyText"/>
              <w:rPr>
                <w:snapToGrid w:val="0"/>
              </w:rPr>
            </w:pPr>
            <w:r w:rsidRPr="0029024C">
              <w:rPr>
                <w:snapToGrid w:val="0"/>
              </w:rPr>
              <w:lastRenderedPageBreak/>
              <w:t>Ad. 48 (ii) 4.2</w:t>
            </w:r>
          </w:p>
        </w:tc>
        <w:tc>
          <w:tcPr>
            <w:tcW w:w="8208" w:type="dxa"/>
            <w:shd w:val="clear" w:color="auto" w:fill="auto"/>
          </w:tcPr>
          <w:p w:rsidR="00F22F9E" w:rsidRPr="0029024C" w:rsidRDefault="00F22F9E" w:rsidP="000520C7">
            <w:pPr>
              <w:pStyle w:val="Default"/>
              <w:jc w:val="both"/>
              <w:rPr>
                <w:sz w:val="20"/>
                <w:szCs w:val="20"/>
              </w:rPr>
            </w:pPr>
            <w:r w:rsidRPr="0029024C">
              <w:rPr>
                <w:sz w:val="20"/>
                <w:szCs w:val="20"/>
              </w:rPr>
              <w:t>to check whether to add control varieties as example varieties in the table of characteristics</w:t>
            </w:r>
          </w:p>
          <w:p w:rsidR="00F22F9E" w:rsidRPr="0029024C" w:rsidRDefault="00F22F9E" w:rsidP="000520C7">
            <w:pPr>
              <w:pStyle w:val="BodyText"/>
              <w:rPr>
                <w:i/>
              </w:rPr>
            </w:pPr>
            <w:r w:rsidRPr="0029024C">
              <w:rPr>
                <w:i/>
              </w:rPr>
              <w:t xml:space="preserve">Leading Expert: </w:t>
            </w:r>
            <w:r>
              <w:rPr>
                <w:i/>
              </w:rPr>
              <w:t>agreed</w:t>
            </w:r>
            <w:r w:rsidRPr="0029024C">
              <w:rPr>
                <w:i/>
              </w:rPr>
              <w:t xml:space="preserve"> </w:t>
            </w:r>
          </w:p>
          <w:p w:rsidR="00F22F9E" w:rsidRPr="0029024C" w:rsidRDefault="00F22F9E" w:rsidP="000520C7">
            <w:pPr>
              <w:pStyle w:val="BodyText"/>
              <w:rPr>
                <w:i/>
              </w:rPr>
            </w:pPr>
            <w:r w:rsidRPr="0029024C">
              <w:rPr>
                <w:i/>
              </w:rPr>
              <w:t>In order to be coherent, Ad. 51 (ii) 4.2 and Ad. 58 (ii) 4.2</w:t>
            </w:r>
            <w:r>
              <w:rPr>
                <w:i/>
              </w:rPr>
              <w:t xml:space="preserve"> should be modified as follows</w:t>
            </w:r>
          </w:p>
          <w:p w:rsidR="00F22F9E" w:rsidRPr="0029024C" w:rsidRDefault="00F22F9E" w:rsidP="000520C7">
            <w:pPr>
              <w:pStyle w:val="BodyText"/>
              <w:rPr>
                <w:i/>
              </w:rPr>
            </w:pPr>
            <w:r w:rsidRPr="0029024C">
              <w:rPr>
                <w:i/>
              </w:rPr>
              <w:t>Ad. 51 (ii) 4.2</w:t>
            </w:r>
          </w:p>
          <w:p w:rsidR="00F22F9E" w:rsidRPr="0029024C" w:rsidRDefault="00F22F9E" w:rsidP="000520C7">
            <w:pPr>
              <w:pStyle w:val="BodyText"/>
              <w:rPr>
                <w:i/>
              </w:rPr>
            </w:pPr>
            <w:r w:rsidRPr="0029024C">
              <w:rPr>
                <w:i/>
              </w:rPr>
              <w:t xml:space="preserve">homozygous allele for susceptibility tm2 present: </w:t>
            </w:r>
            <w:proofErr w:type="spellStart"/>
            <w:r w:rsidRPr="0029024C">
              <w:rPr>
                <w:i/>
              </w:rPr>
              <w:t>Mobaci</w:t>
            </w:r>
            <w:proofErr w:type="spellEnd"/>
            <w:r w:rsidRPr="0029024C">
              <w:rPr>
                <w:i/>
              </w:rPr>
              <w:t xml:space="preserve">, </w:t>
            </w:r>
            <w:proofErr w:type="spellStart"/>
            <w:r w:rsidRPr="0029024C">
              <w:rPr>
                <w:i/>
              </w:rPr>
              <w:t>Monalbo</w:t>
            </w:r>
            <w:proofErr w:type="spellEnd"/>
            <w:r w:rsidRPr="0029024C">
              <w:rPr>
                <w:i/>
              </w:rPr>
              <w:t>, Moneymaker</w:t>
            </w:r>
          </w:p>
          <w:p w:rsidR="00F22F9E" w:rsidRPr="0029024C" w:rsidRDefault="00F22F9E" w:rsidP="000520C7">
            <w:pPr>
              <w:pStyle w:val="BodyText"/>
              <w:rPr>
                <w:i/>
              </w:rPr>
            </w:pPr>
            <w:r w:rsidRPr="0029024C">
              <w:rPr>
                <w:i/>
              </w:rPr>
              <w:t xml:space="preserve">homozygous allele for resistance Tm2 present: </w:t>
            </w:r>
            <w:proofErr w:type="spellStart"/>
            <w:r w:rsidRPr="0029024C">
              <w:rPr>
                <w:i/>
              </w:rPr>
              <w:t>Moperou</w:t>
            </w:r>
            <w:proofErr w:type="spellEnd"/>
          </w:p>
          <w:p w:rsidR="00F22F9E" w:rsidRPr="0029024C" w:rsidRDefault="00F22F9E" w:rsidP="000520C7">
            <w:pPr>
              <w:pStyle w:val="BodyText"/>
              <w:rPr>
                <w:i/>
              </w:rPr>
            </w:pPr>
            <w:r w:rsidRPr="0029024C">
              <w:rPr>
                <w:i/>
              </w:rPr>
              <w:t>homozygous allele for resistance Tm2</w:t>
            </w:r>
            <w:r w:rsidRPr="0029024C">
              <w:rPr>
                <w:i/>
                <w:vertAlign w:val="superscript"/>
              </w:rPr>
              <w:t>2</w:t>
            </w:r>
            <w:r w:rsidRPr="0029024C">
              <w:rPr>
                <w:i/>
              </w:rPr>
              <w:t xml:space="preserve"> present: </w:t>
            </w:r>
            <w:proofErr w:type="spellStart"/>
            <w:r w:rsidRPr="0029024C">
              <w:rPr>
                <w:i/>
              </w:rPr>
              <w:t>Mocimor</w:t>
            </w:r>
            <w:proofErr w:type="spellEnd"/>
            <w:r w:rsidRPr="0029024C">
              <w:rPr>
                <w:i/>
              </w:rPr>
              <w:t xml:space="preserve">, </w:t>
            </w:r>
            <w:proofErr w:type="spellStart"/>
            <w:r w:rsidRPr="0029024C">
              <w:rPr>
                <w:i/>
              </w:rPr>
              <w:t>Momor</w:t>
            </w:r>
            <w:proofErr w:type="spellEnd"/>
          </w:p>
          <w:p w:rsidR="00F22F9E" w:rsidRPr="0029024C" w:rsidRDefault="00F22F9E" w:rsidP="000520C7">
            <w:pPr>
              <w:pStyle w:val="BodyText"/>
              <w:rPr>
                <w:i/>
              </w:rPr>
            </w:pPr>
            <w:r w:rsidRPr="0029024C">
              <w:rPr>
                <w:i/>
              </w:rPr>
              <w:t>51.1 strain 0, example varieties</w:t>
            </w:r>
          </w:p>
          <w:p w:rsidR="00F22F9E" w:rsidRPr="0029024C" w:rsidRDefault="00F22F9E" w:rsidP="000520C7">
            <w:pPr>
              <w:pStyle w:val="BodyText"/>
              <w:rPr>
                <w:i/>
              </w:rPr>
            </w:pPr>
            <w:r w:rsidRPr="0029024C">
              <w:rPr>
                <w:i/>
              </w:rPr>
              <w:t xml:space="preserve">absent [1] </w:t>
            </w:r>
            <w:proofErr w:type="spellStart"/>
            <w:r w:rsidRPr="0029024C">
              <w:rPr>
                <w:i/>
              </w:rPr>
              <w:t>Monalbo</w:t>
            </w:r>
            <w:proofErr w:type="spellEnd"/>
            <w:r w:rsidRPr="0029024C">
              <w:rPr>
                <w:i/>
              </w:rPr>
              <w:t>, Moneymaker</w:t>
            </w:r>
          </w:p>
          <w:p w:rsidR="00F22F9E" w:rsidRPr="0029024C" w:rsidRDefault="00F22F9E" w:rsidP="000520C7">
            <w:pPr>
              <w:pStyle w:val="BodyText"/>
              <w:rPr>
                <w:i/>
              </w:rPr>
            </w:pPr>
            <w:r w:rsidRPr="0029024C">
              <w:rPr>
                <w:i/>
              </w:rPr>
              <w:t xml:space="preserve">present [9] </w:t>
            </w:r>
            <w:proofErr w:type="spellStart"/>
            <w:r w:rsidRPr="0029024C">
              <w:rPr>
                <w:i/>
              </w:rPr>
              <w:t>Mobaci</w:t>
            </w:r>
            <w:proofErr w:type="spellEnd"/>
            <w:r w:rsidRPr="0029024C">
              <w:rPr>
                <w:i/>
              </w:rPr>
              <w:t xml:space="preserve">, </w:t>
            </w:r>
            <w:proofErr w:type="spellStart"/>
            <w:r w:rsidRPr="0029024C">
              <w:rPr>
                <w:i/>
              </w:rPr>
              <w:t>Mocimor</w:t>
            </w:r>
            <w:proofErr w:type="spellEnd"/>
            <w:r w:rsidRPr="0029024C">
              <w:rPr>
                <w:i/>
              </w:rPr>
              <w:t xml:space="preserve">, </w:t>
            </w:r>
            <w:proofErr w:type="spellStart"/>
            <w:r w:rsidRPr="0029024C">
              <w:rPr>
                <w:i/>
              </w:rPr>
              <w:t>Momor</w:t>
            </w:r>
            <w:proofErr w:type="spellEnd"/>
            <w:r w:rsidRPr="0029024C">
              <w:rPr>
                <w:i/>
              </w:rPr>
              <w:t xml:space="preserve">, </w:t>
            </w:r>
            <w:proofErr w:type="spellStart"/>
            <w:r w:rsidRPr="0029024C">
              <w:rPr>
                <w:i/>
              </w:rPr>
              <w:t>Moperou</w:t>
            </w:r>
            <w:proofErr w:type="spellEnd"/>
          </w:p>
          <w:p w:rsidR="00F22F9E" w:rsidRPr="0029024C" w:rsidRDefault="00F22F9E" w:rsidP="000520C7">
            <w:pPr>
              <w:pStyle w:val="BodyText"/>
              <w:rPr>
                <w:i/>
              </w:rPr>
            </w:pPr>
            <w:r w:rsidRPr="0029024C">
              <w:rPr>
                <w:i/>
              </w:rPr>
              <w:t>51.2 strain 1, example varieties</w:t>
            </w:r>
          </w:p>
          <w:p w:rsidR="00F22F9E" w:rsidRPr="0029024C" w:rsidRDefault="00F22F9E" w:rsidP="000520C7">
            <w:pPr>
              <w:pStyle w:val="BodyText"/>
              <w:rPr>
                <w:i/>
              </w:rPr>
            </w:pPr>
            <w:r w:rsidRPr="0029024C">
              <w:rPr>
                <w:i/>
              </w:rPr>
              <w:t xml:space="preserve">absent [1] </w:t>
            </w:r>
            <w:proofErr w:type="spellStart"/>
            <w:r w:rsidRPr="0029024C">
              <w:rPr>
                <w:i/>
              </w:rPr>
              <w:t>Monalbo</w:t>
            </w:r>
            <w:proofErr w:type="spellEnd"/>
            <w:r w:rsidRPr="0029024C">
              <w:rPr>
                <w:i/>
              </w:rPr>
              <w:t>, Moneymaker</w:t>
            </w:r>
          </w:p>
          <w:p w:rsidR="00F22F9E" w:rsidRPr="0029024C" w:rsidRDefault="00F22F9E" w:rsidP="000520C7">
            <w:pPr>
              <w:pStyle w:val="BodyText"/>
              <w:rPr>
                <w:i/>
              </w:rPr>
            </w:pPr>
            <w:r w:rsidRPr="0029024C">
              <w:rPr>
                <w:i/>
              </w:rPr>
              <w:t xml:space="preserve">present [9] </w:t>
            </w:r>
            <w:proofErr w:type="spellStart"/>
            <w:r w:rsidRPr="0029024C">
              <w:rPr>
                <w:i/>
              </w:rPr>
              <w:t>Mocimor</w:t>
            </w:r>
            <w:proofErr w:type="spellEnd"/>
            <w:r w:rsidRPr="0029024C">
              <w:rPr>
                <w:i/>
              </w:rPr>
              <w:t xml:space="preserve">, </w:t>
            </w:r>
            <w:proofErr w:type="spellStart"/>
            <w:r w:rsidRPr="0029024C">
              <w:rPr>
                <w:i/>
              </w:rPr>
              <w:t>Momor</w:t>
            </w:r>
            <w:proofErr w:type="spellEnd"/>
            <w:r w:rsidRPr="0029024C">
              <w:rPr>
                <w:i/>
              </w:rPr>
              <w:t xml:space="preserve">, </w:t>
            </w:r>
            <w:proofErr w:type="spellStart"/>
            <w:r w:rsidRPr="0029024C">
              <w:rPr>
                <w:i/>
              </w:rPr>
              <w:t>Moperou</w:t>
            </w:r>
            <w:proofErr w:type="spellEnd"/>
          </w:p>
          <w:p w:rsidR="00F22F9E" w:rsidRPr="0029024C" w:rsidRDefault="00F22F9E" w:rsidP="000520C7">
            <w:pPr>
              <w:pStyle w:val="BodyText"/>
              <w:rPr>
                <w:i/>
              </w:rPr>
            </w:pPr>
            <w:r w:rsidRPr="0029024C">
              <w:rPr>
                <w:i/>
              </w:rPr>
              <w:t>51.3 strain 2, example varieties</w:t>
            </w:r>
          </w:p>
          <w:p w:rsidR="00F22F9E" w:rsidRPr="0029024C" w:rsidRDefault="00F22F9E" w:rsidP="000520C7">
            <w:pPr>
              <w:pStyle w:val="BodyText"/>
              <w:rPr>
                <w:i/>
              </w:rPr>
            </w:pPr>
            <w:r w:rsidRPr="0029024C">
              <w:rPr>
                <w:i/>
              </w:rPr>
              <w:t xml:space="preserve">absent [1] </w:t>
            </w:r>
            <w:proofErr w:type="spellStart"/>
            <w:r w:rsidRPr="0029024C">
              <w:rPr>
                <w:i/>
              </w:rPr>
              <w:t>Monalbo</w:t>
            </w:r>
            <w:proofErr w:type="spellEnd"/>
            <w:r w:rsidRPr="0029024C">
              <w:rPr>
                <w:i/>
              </w:rPr>
              <w:t xml:space="preserve">, Moneymaker, </w:t>
            </w:r>
            <w:proofErr w:type="spellStart"/>
            <w:r w:rsidRPr="0029024C">
              <w:rPr>
                <w:i/>
              </w:rPr>
              <w:t>Moperou</w:t>
            </w:r>
            <w:proofErr w:type="spellEnd"/>
          </w:p>
          <w:p w:rsidR="00F22F9E" w:rsidRPr="0029024C" w:rsidRDefault="00F22F9E" w:rsidP="000520C7">
            <w:pPr>
              <w:pStyle w:val="BodyText"/>
              <w:rPr>
                <w:i/>
              </w:rPr>
            </w:pPr>
            <w:r w:rsidRPr="0029024C">
              <w:rPr>
                <w:i/>
              </w:rPr>
              <w:t xml:space="preserve">present [9] </w:t>
            </w:r>
            <w:proofErr w:type="spellStart"/>
            <w:r w:rsidRPr="0029024C">
              <w:rPr>
                <w:i/>
              </w:rPr>
              <w:t>Mobaci</w:t>
            </w:r>
            <w:proofErr w:type="spellEnd"/>
            <w:r w:rsidRPr="0029024C">
              <w:rPr>
                <w:i/>
              </w:rPr>
              <w:t xml:space="preserve">, </w:t>
            </w:r>
            <w:proofErr w:type="spellStart"/>
            <w:r w:rsidRPr="0029024C">
              <w:rPr>
                <w:i/>
              </w:rPr>
              <w:t>Mocimor</w:t>
            </w:r>
            <w:proofErr w:type="spellEnd"/>
            <w:r w:rsidRPr="0029024C">
              <w:rPr>
                <w:i/>
              </w:rPr>
              <w:t xml:space="preserve">, </w:t>
            </w:r>
            <w:proofErr w:type="spellStart"/>
            <w:r w:rsidRPr="0029024C">
              <w:rPr>
                <w:i/>
              </w:rPr>
              <w:t>Momor</w:t>
            </w:r>
            <w:proofErr w:type="spellEnd"/>
          </w:p>
          <w:p w:rsidR="00F22F9E" w:rsidRPr="0029024C" w:rsidRDefault="00F22F9E" w:rsidP="000520C7">
            <w:pPr>
              <w:pStyle w:val="BodyText"/>
              <w:rPr>
                <w:i/>
              </w:rPr>
            </w:pPr>
          </w:p>
          <w:p w:rsidR="00F22F9E" w:rsidRPr="0029024C" w:rsidRDefault="00F22F9E" w:rsidP="000520C7">
            <w:pPr>
              <w:pStyle w:val="BodyText"/>
              <w:rPr>
                <w:i/>
              </w:rPr>
            </w:pPr>
            <w:r w:rsidRPr="0029024C">
              <w:rPr>
                <w:i/>
              </w:rPr>
              <w:t>Ad. 58 (ii) 4.2</w:t>
            </w:r>
          </w:p>
          <w:p w:rsidR="00F22F9E" w:rsidRPr="0029024C" w:rsidRDefault="00F22F9E" w:rsidP="000520C7">
            <w:pPr>
              <w:pStyle w:val="BodyText"/>
              <w:rPr>
                <w:i/>
              </w:rPr>
            </w:pPr>
            <w:r w:rsidRPr="0029024C">
              <w:rPr>
                <w:i/>
              </w:rPr>
              <w:t>homozygous allele 1 for susceptibility present: Moneymaker</w:t>
            </w:r>
          </w:p>
          <w:p w:rsidR="00F22F9E" w:rsidRPr="0029024C" w:rsidRDefault="00F22F9E" w:rsidP="000520C7">
            <w:pPr>
              <w:pStyle w:val="BodyText"/>
              <w:rPr>
                <w:i/>
              </w:rPr>
            </w:pPr>
            <w:r w:rsidRPr="0029024C">
              <w:rPr>
                <w:i/>
              </w:rPr>
              <w:t>homozygous allele 2 for susceptibility present: Mountain Magic</w:t>
            </w:r>
          </w:p>
          <w:p w:rsidR="00F22F9E" w:rsidRPr="0029024C" w:rsidRDefault="00F22F9E" w:rsidP="000520C7">
            <w:pPr>
              <w:pStyle w:val="BodyText"/>
              <w:rPr>
                <w:i/>
              </w:rPr>
            </w:pPr>
            <w:r w:rsidRPr="0029024C">
              <w:rPr>
                <w:i/>
              </w:rPr>
              <w:t xml:space="preserve">homozygous allele for resistance present: </w:t>
            </w:r>
            <w:proofErr w:type="spellStart"/>
            <w:r w:rsidRPr="0029024C">
              <w:rPr>
                <w:i/>
              </w:rPr>
              <w:t>Montealto</w:t>
            </w:r>
            <w:proofErr w:type="spellEnd"/>
          </w:p>
          <w:p w:rsidR="00F22F9E" w:rsidRPr="0029024C" w:rsidRDefault="00F22F9E" w:rsidP="000520C7">
            <w:pPr>
              <w:pStyle w:val="BodyText"/>
              <w:rPr>
                <w:i/>
              </w:rPr>
            </w:pPr>
            <w:r w:rsidRPr="0029024C">
              <w:rPr>
                <w:i/>
              </w:rPr>
              <w:t xml:space="preserve">heterozygous (allele for resistance and allele 1 for susceptibility present): </w:t>
            </w:r>
            <w:proofErr w:type="spellStart"/>
            <w:r w:rsidRPr="0029024C">
              <w:rPr>
                <w:i/>
              </w:rPr>
              <w:t>Bodar</w:t>
            </w:r>
            <w:proofErr w:type="spellEnd"/>
          </w:p>
          <w:p w:rsidR="00F22F9E" w:rsidRPr="0029024C" w:rsidRDefault="00F22F9E" w:rsidP="000520C7">
            <w:pPr>
              <w:pStyle w:val="BodyText"/>
              <w:rPr>
                <w:i/>
              </w:rPr>
            </w:pPr>
            <w:r w:rsidRPr="0029024C">
              <w:rPr>
                <w:i/>
              </w:rPr>
              <w:t>58, example varieties</w:t>
            </w:r>
          </w:p>
          <w:p w:rsidR="00F22F9E" w:rsidRPr="0029024C" w:rsidRDefault="00F22F9E" w:rsidP="000520C7">
            <w:pPr>
              <w:pStyle w:val="BodyText"/>
              <w:rPr>
                <w:i/>
              </w:rPr>
            </w:pPr>
            <w:r w:rsidRPr="0029024C">
              <w:rPr>
                <w:i/>
              </w:rPr>
              <w:t xml:space="preserve">absent [1] </w:t>
            </w:r>
            <w:proofErr w:type="spellStart"/>
            <w:r w:rsidRPr="0029024C">
              <w:rPr>
                <w:i/>
              </w:rPr>
              <w:t>Montfavet</w:t>
            </w:r>
            <w:proofErr w:type="spellEnd"/>
            <w:r w:rsidRPr="0029024C">
              <w:rPr>
                <w:i/>
              </w:rPr>
              <w:t xml:space="preserve"> H 63.5, Moneymaker, Mountain Magic</w:t>
            </w:r>
          </w:p>
          <w:p w:rsidR="00F22F9E" w:rsidRPr="0029024C" w:rsidRDefault="00F22F9E" w:rsidP="000520C7">
            <w:pPr>
              <w:pStyle w:val="BodyText"/>
              <w:rPr>
                <w:i/>
              </w:rPr>
            </w:pPr>
            <w:r w:rsidRPr="0029024C">
              <w:rPr>
                <w:i/>
              </w:rPr>
              <w:t xml:space="preserve">present [9] </w:t>
            </w:r>
            <w:proofErr w:type="spellStart"/>
            <w:r w:rsidRPr="0029024C">
              <w:rPr>
                <w:i/>
              </w:rPr>
              <w:t>Bodar</w:t>
            </w:r>
            <w:proofErr w:type="spellEnd"/>
            <w:r w:rsidRPr="0029024C">
              <w:rPr>
                <w:i/>
              </w:rPr>
              <w:t xml:space="preserve">, </w:t>
            </w:r>
            <w:proofErr w:type="spellStart"/>
            <w:r w:rsidRPr="0029024C">
              <w:rPr>
                <w:i/>
              </w:rPr>
              <w:t>Montealto</w:t>
            </w:r>
            <w:proofErr w:type="spellEnd"/>
          </w:p>
          <w:p w:rsidR="00F22F9E" w:rsidRPr="0029024C" w:rsidRDefault="00F22F9E" w:rsidP="000520C7">
            <w:pPr>
              <w:pStyle w:val="BodyText"/>
              <w:rPr>
                <w:i/>
              </w:rPr>
            </w:pPr>
            <w:r w:rsidRPr="0029024C">
              <w:rPr>
                <w:i/>
              </w:rPr>
              <w:t xml:space="preserve">(Explanation: </w:t>
            </w:r>
            <w:proofErr w:type="spellStart"/>
            <w:r w:rsidRPr="0029024C">
              <w:rPr>
                <w:i/>
              </w:rPr>
              <w:t>Lisboa</w:t>
            </w:r>
            <w:proofErr w:type="spellEnd"/>
            <w:r w:rsidRPr="0029024C">
              <w:rPr>
                <w:i/>
              </w:rPr>
              <w:t xml:space="preserve"> is not available anymore)</w:t>
            </w:r>
          </w:p>
          <w:p w:rsidR="00F22F9E" w:rsidRPr="0029024C" w:rsidRDefault="00F22F9E" w:rsidP="000520C7">
            <w:pPr>
              <w:pStyle w:val="BodyText"/>
              <w:rPr>
                <w:i/>
              </w:rPr>
            </w:pPr>
          </w:p>
          <w:p w:rsidR="00F22F9E" w:rsidRPr="0029024C" w:rsidRDefault="00F22F9E" w:rsidP="000520C7">
            <w:pPr>
              <w:pStyle w:val="BodyText"/>
              <w:rPr>
                <w:b/>
                <w:highlight w:val="yellow"/>
              </w:rPr>
            </w:pPr>
            <w:r w:rsidRPr="0029024C">
              <w:rPr>
                <w:i/>
              </w:rPr>
              <w:t>TWV:  agreed</w:t>
            </w:r>
            <w:r>
              <w:rPr>
                <w:i/>
              </w:rPr>
              <w:t xml:space="preserve">, </w:t>
            </w:r>
            <w:r w:rsidRPr="00306D58">
              <w:rPr>
                <w:i/>
              </w:rPr>
              <w:t xml:space="preserve">so to add extra example varieties to have controls and example varieties </w:t>
            </w:r>
            <w:r>
              <w:rPr>
                <w:i/>
              </w:rPr>
              <w:t>aligned between the characteristic and the method described in the Ad</w:t>
            </w:r>
            <w:r w:rsidRPr="00306D58">
              <w:rPr>
                <w:i/>
              </w:rPr>
              <w:t>.</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w:t>
            </w:r>
            <w:proofErr w:type="spellStart"/>
            <w:r w:rsidRPr="0029024C">
              <w:t>i</w:t>
            </w:r>
            <w:proofErr w:type="spellEnd"/>
            <w:r w:rsidRPr="0029024C">
              <w:t>), 4.</w:t>
            </w:r>
          </w:p>
          <w:p w:rsidR="00F22F9E" w:rsidRPr="0029024C" w:rsidRDefault="00F22F9E" w:rsidP="000520C7">
            <w:r w:rsidRPr="0029024C">
              <w:t>Footnotes</w:t>
            </w:r>
          </w:p>
        </w:tc>
        <w:tc>
          <w:tcPr>
            <w:tcW w:w="8208" w:type="dxa"/>
            <w:shd w:val="clear" w:color="auto" w:fill="auto"/>
          </w:tcPr>
          <w:p w:rsidR="00F22F9E" w:rsidRPr="0029024C" w:rsidRDefault="00F22F9E" w:rsidP="000520C7">
            <w:pPr>
              <w:keepNext/>
            </w:pPr>
            <w:r w:rsidRPr="0029024C">
              <w:t>to indicate e-mail and web address of the institutions instead of personal e-mail addresses</w:t>
            </w:r>
          </w:p>
          <w:p w:rsidR="00F22F9E" w:rsidRPr="0029024C" w:rsidRDefault="00F22F9E" w:rsidP="000520C7">
            <w:pPr>
              <w:pStyle w:val="BodyText"/>
              <w:rPr>
                <w:rStyle w:val="Hyperlink"/>
                <w:i/>
              </w:rPr>
            </w:pPr>
            <w:r w:rsidRPr="0029024C">
              <w:rPr>
                <w:i/>
              </w:rPr>
              <w:t xml:space="preserve">Leading Expert:  to use </w:t>
            </w:r>
            <w:hyperlink r:id="rId8" w:history="1">
              <w:r w:rsidRPr="0029024C">
                <w:rPr>
                  <w:rStyle w:val="Hyperlink"/>
                  <w:i/>
                </w:rPr>
                <w:t>matref@geves.fr</w:t>
              </w:r>
            </w:hyperlink>
            <w:r w:rsidRPr="0029024C">
              <w:rPr>
                <w:rStyle w:val="Hyperlink"/>
                <w:i/>
              </w:rPr>
              <w:t xml:space="preserve"> </w:t>
            </w:r>
            <w:r w:rsidRPr="000D16BA">
              <w:t>and</w:t>
            </w:r>
            <w:r w:rsidRPr="0029024C">
              <w:rPr>
                <w:rStyle w:val="Hyperlink"/>
                <w:i/>
              </w:rPr>
              <w:t xml:space="preserve"> resistencias@inia.es</w:t>
            </w:r>
          </w:p>
          <w:p w:rsidR="00F22F9E" w:rsidRPr="0029024C" w:rsidRDefault="00F22F9E" w:rsidP="000520C7">
            <w:pPr>
              <w:pStyle w:val="BodyText"/>
            </w:pPr>
            <w:r w:rsidRPr="0029024C">
              <w:rPr>
                <w:i/>
              </w:rPr>
              <w:t>TWV:  agreed</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(ii)</w:t>
            </w:r>
          </w:p>
        </w:tc>
        <w:tc>
          <w:tcPr>
            <w:tcW w:w="8208" w:type="dxa"/>
            <w:shd w:val="clear" w:color="auto" w:fill="auto"/>
          </w:tcPr>
          <w:p w:rsidR="00F22F9E" w:rsidRPr="0029024C" w:rsidRDefault="00F22F9E" w:rsidP="000520C7">
            <w:proofErr w:type="spellStart"/>
            <w:r w:rsidRPr="0029024C">
              <w:t>Arens</w:t>
            </w:r>
            <w:proofErr w:type="spellEnd"/>
            <w:r w:rsidRPr="0029024C">
              <w:t xml:space="preserve">, P. et al (2010) to </w:t>
            </w:r>
            <w:proofErr w:type="gramStart"/>
            <w:r w:rsidRPr="0029024C">
              <w:t>be added</w:t>
            </w:r>
            <w:proofErr w:type="gramEnd"/>
            <w:r w:rsidRPr="0029024C">
              <w:t xml:space="preserve"> to 9. Literature</w:t>
            </w:r>
          </w:p>
          <w:p w:rsidR="00F22F9E" w:rsidRPr="0029024C" w:rsidRDefault="00F22F9E" w:rsidP="000520C7">
            <w:r w:rsidRPr="0029024C">
              <w:rPr>
                <w:i/>
              </w:rPr>
              <w:t>TWV:  agreed</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(ii) 2</w:t>
            </w:r>
          </w:p>
        </w:tc>
        <w:tc>
          <w:tcPr>
            <w:tcW w:w="8208" w:type="dxa"/>
            <w:shd w:val="clear" w:color="auto" w:fill="auto"/>
          </w:tcPr>
          <w:p w:rsidR="00F22F9E" w:rsidRPr="0029024C" w:rsidRDefault="00F22F9E" w:rsidP="000520C7">
            <w:r w:rsidRPr="0029024C">
              <w:t>to clarify that there are 3 alleles: 2 dominant ones for resistance and 1 susceptible</w:t>
            </w:r>
          </w:p>
          <w:p w:rsidR="00F22F9E" w:rsidRPr="0029024C" w:rsidRDefault="00F22F9E" w:rsidP="000520C7">
            <w:pPr>
              <w:rPr>
                <w:i/>
              </w:rPr>
            </w:pPr>
            <w:r w:rsidRPr="0029024C">
              <w:rPr>
                <w:i/>
              </w:rPr>
              <w:t>Leading Expert:  Tm2/2</w:t>
            </w:r>
            <w:r w:rsidRPr="0029024C">
              <w:rPr>
                <w:i/>
                <w:vertAlign w:val="superscript"/>
              </w:rPr>
              <w:t>2</w:t>
            </w:r>
            <w:r w:rsidRPr="0029024C">
              <w:rPr>
                <w:i/>
              </w:rPr>
              <w:t xml:space="preserve"> (with two resistance alleles Tm2 and Tm2</w:t>
            </w:r>
            <w:r w:rsidRPr="0029024C">
              <w:rPr>
                <w:i/>
                <w:vertAlign w:val="superscript"/>
              </w:rPr>
              <w:t>2</w:t>
            </w:r>
            <w:r w:rsidRPr="0029024C">
              <w:rPr>
                <w:i/>
              </w:rPr>
              <w:t xml:space="preserve"> and one susceptibility allele tm2)</w:t>
            </w:r>
          </w:p>
          <w:p w:rsidR="00F22F9E" w:rsidRPr="0029024C" w:rsidRDefault="00F22F9E" w:rsidP="000520C7">
            <w:pPr>
              <w:rPr>
                <w:highlight w:val="yellow"/>
              </w:rPr>
            </w:pPr>
            <w:r w:rsidRPr="0029024C">
              <w:rPr>
                <w:i/>
              </w:rPr>
              <w:t>TWV:  agreed</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(ii) 3.2</w:t>
            </w:r>
          </w:p>
        </w:tc>
        <w:tc>
          <w:tcPr>
            <w:tcW w:w="8208" w:type="dxa"/>
            <w:shd w:val="clear" w:color="auto" w:fill="auto"/>
          </w:tcPr>
          <w:p w:rsidR="00F22F9E" w:rsidRPr="0029024C" w:rsidRDefault="00F22F9E" w:rsidP="000520C7">
            <w:pPr>
              <w:pStyle w:val="Default"/>
              <w:jc w:val="both"/>
              <w:rPr>
                <w:sz w:val="20"/>
                <w:szCs w:val="20"/>
                <w:u w:val="single"/>
              </w:rPr>
            </w:pPr>
            <w:r w:rsidRPr="0029024C">
              <w:rPr>
                <w:sz w:val="20"/>
                <w:szCs w:val="20"/>
              </w:rPr>
              <w:t xml:space="preserve">to read “Assay 2 to check </w:t>
            </w:r>
            <w:r w:rsidRPr="0029024C">
              <w:rPr>
                <w:strike/>
                <w:sz w:val="20"/>
                <w:szCs w:val="20"/>
                <w:highlight w:val="lightGray"/>
              </w:rPr>
              <w:t xml:space="preserve">susceptible or resistance </w:t>
            </w:r>
            <w:r w:rsidRPr="0029024C">
              <w:rPr>
                <w:sz w:val="20"/>
                <w:szCs w:val="20"/>
              </w:rPr>
              <w:t>allele</w:t>
            </w:r>
            <w:r w:rsidRPr="0029024C">
              <w:rPr>
                <w:sz w:val="20"/>
                <w:szCs w:val="20"/>
                <w:highlight w:val="lightGray"/>
                <w:u w:val="single"/>
              </w:rPr>
              <w:t xml:space="preserve"> for susceptibility or resistance</w:t>
            </w:r>
            <w:r w:rsidRPr="0029024C">
              <w:rPr>
                <w:sz w:val="20"/>
                <w:szCs w:val="20"/>
                <w:u w:val="single"/>
              </w:rPr>
              <w:t>”</w:t>
            </w:r>
          </w:p>
          <w:p w:rsidR="00F22F9E" w:rsidRPr="0029024C" w:rsidRDefault="00F22F9E" w:rsidP="000520C7">
            <w:pPr>
              <w:rPr>
                <w:i/>
              </w:rPr>
            </w:pPr>
            <w:r w:rsidRPr="0029024C">
              <w:rPr>
                <w:i/>
              </w:rPr>
              <w:t>TWV:  agreed</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(ii) 4.2</w:t>
            </w:r>
          </w:p>
        </w:tc>
        <w:tc>
          <w:tcPr>
            <w:tcW w:w="8208" w:type="dxa"/>
            <w:shd w:val="clear" w:color="auto" w:fill="auto"/>
          </w:tcPr>
          <w:p w:rsidR="00F22F9E" w:rsidRPr="0029024C" w:rsidRDefault="00F22F9E" w:rsidP="000520C7">
            <w:pPr>
              <w:pStyle w:val="BodyText"/>
              <w:keepNext/>
            </w:pPr>
            <w:r w:rsidRPr="0029024C">
              <w:t xml:space="preserve">to clarify allelic basis for resistance </w:t>
            </w:r>
          </w:p>
          <w:p w:rsidR="00F22F9E" w:rsidRPr="0029024C" w:rsidRDefault="00F22F9E" w:rsidP="000520C7">
            <w:pPr>
              <w:keepNext/>
              <w:rPr>
                <w:i/>
              </w:rPr>
            </w:pPr>
            <w:r w:rsidRPr="0029024C">
              <w:rPr>
                <w:i/>
              </w:rPr>
              <w:t>Leading Expert:  See above, Ad. 51 (ii), where was asked for the meaning of ‘often’. Not to repeat at Ad. 51 (ii) 4.2.</w:t>
            </w:r>
          </w:p>
          <w:p w:rsidR="00F22F9E" w:rsidRPr="0029024C" w:rsidRDefault="00F22F9E" w:rsidP="000520C7">
            <w:pPr>
              <w:keepNext/>
            </w:pPr>
            <w:r w:rsidRPr="0029024C">
              <w:rPr>
                <w:i/>
              </w:rPr>
              <w:t>TWV:  agreed</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(ii) 8.</w:t>
            </w:r>
          </w:p>
          <w:p w:rsidR="00F22F9E" w:rsidRPr="0029024C" w:rsidRDefault="00F22F9E" w:rsidP="000520C7"/>
        </w:tc>
        <w:tc>
          <w:tcPr>
            <w:tcW w:w="8208" w:type="dxa"/>
            <w:shd w:val="clear" w:color="auto" w:fill="auto"/>
          </w:tcPr>
          <w:p w:rsidR="00F22F9E" w:rsidRPr="0029024C" w:rsidRDefault="00F22F9E" w:rsidP="000520C7">
            <w:pPr>
              <w:pStyle w:val="Default"/>
              <w:jc w:val="both"/>
              <w:rPr>
                <w:sz w:val="20"/>
                <w:szCs w:val="20"/>
              </w:rPr>
            </w:pPr>
            <w:r w:rsidRPr="0029024C">
              <w:rPr>
                <w:sz w:val="20"/>
                <w:szCs w:val="20"/>
              </w:rPr>
              <w:t xml:space="preserve">to read “In case the DNA marker test result does not confirm the declaration in the TQ, a bio-assay should be performed to observe whether </w:t>
            </w:r>
            <w:r w:rsidRPr="0029024C">
              <w:rPr>
                <w:strike/>
                <w:sz w:val="20"/>
                <w:szCs w:val="20"/>
                <w:highlight w:val="lightGray"/>
              </w:rPr>
              <w:t>the resistance is absent or present for</w:t>
            </w:r>
            <w:r w:rsidRPr="0029024C">
              <w:rPr>
                <w:sz w:val="20"/>
                <w:szCs w:val="20"/>
              </w:rPr>
              <w:t xml:space="preserve"> the variety </w:t>
            </w:r>
            <w:r w:rsidRPr="0029024C">
              <w:rPr>
                <w:sz w:val="20"/>
                <w:szCs w:val="20"/>
                <w:highlight w:val="lightGray"/>
                <w:u w:val="single"/>
              </w:rPr>
              <w:t xml:space="preserve">is resistant </w:t>
            </w:r>
            <w:r w:rsidRPr="0029024C">
              <w:rPr>
                <w:strike/>
                <w:sz w:val="20"/>
                <w:szCs w:val="20"/>
                <w:highlight w:val="lightGray"/>
              </w:rPr>
              <w:t>(</w:t>
            </w:r>
            <w:r w:rsidRPr="0029024C">
              <w:rPr>
                <w:sz w:val="20"/>
                <w:szCs w:val="20"/>
              </w:rPr>
              <w:t xml:space="preserve">on another mechanism </w:t>
            </w:r>
            <w:r w:rsidRPr="0029024C">
              <w:rPr>
                <w:sz w:val="20"/>
                <w:szCs w:val="20"/>
                <w:highlight w:val="lightGray"/>
                <w:u w:val="single"/>
              </w:rPr>
              <w:t>like</w:t>
            </w:r>
            <w:r w:rsidRPr="0029024C">
              <w:rPr>
                <w:sz w:val="20"/>
                <w:szCs w:val="20"/>
              </w:rPr>
              <w:t xml:space="preserve"> gene Tm1</w:t>
            </w:r>
            <w:r w:rsidRPr="0029024C">
              <w:rPr>
                <w:strike/>
                <w:sz w:val="20"/>
                <w:szCs w:val="20"/>
                <w:highlight w:val="lightGray"/>
              </w:rPr>
              <w:t>)</w:t>
            </w:r>
            <w:r w:rsidRPr="0029024C">
              <w:rPr>
                <w:sz w:val="20"/>
                <w:szCs w:val="20"/>
              </w:rPr>
              <w:t xml:space="preserve">.” </w:t>
            </w:r>
          </w:p>
          <w:p w:rsidR="00F22F9E" w:rsidRPr="0029024C" w:rsidRDefault="00F22F9E" w:rsidP="000520C7">
            <w:pPr>
              <w:pStyle w:val="Default"/>
              <w:jc w:val="both"/>
              <w:rPr>
                <w:sz w:val="20"/>
                <w:szCs w:val="20"/>
              </w:rPr>
            </w:pPr>
            <w:r w:rsidRPr="0029024C">
              <w:rPr>
                <w:i/>
                <w:sz w:val="20"/>
                <w:szCs w:val="20"/>
              </w:rPr>
              <w:t>TWV:  agreed</w:t>
            </w:r>
          </w:p>
        </w:tc>
      </w:tr>
      <w:tr w:rsidR="00F22F9E" w:rsidRPr="0029024C" w:rsidTr="000520C7">
        <w:trPr>
          <w:cantSplit/>
        </w:trPr>
        <w:tc>
          <w:tcPr>
            <w:tcW w:w="1573" w:type="dxa"/>
            <w:gridSpan w:val="2"/>
            <w:shd w:val="clear" w:color="auto" w:fill="auto"/>
          </w:tcPr>
          <w:p w:rsidR="00F22F9E" w:rsidRPr="0029024C" w:rsidRDefault="00F22F9E" w:rsidP="000520C7">
            <w:r w:rsidRPr="0029024C">
              <w:t>Ad. 51 (ii)</w:t>
            </w:r>
          </w:p>
        </w:tc>
        <w:tc>
          <w:tcPr>
            <w:tcW w:w="8208" w:type="dxa"/>
            <w:shd w:val="clear" w:color="auto" w:fill="auto"/>
          </w:tcPr>
          <w:p w:rsidR="00F22F9E" w:rsidRPr="0029024C" w:rsidRDefault="00F22F9E" w:rsidP="000520C7">
            <w:pPr>
              <w:pStyle w:val="BodyText"/>
              <w:keepNext/>
            </w:pPr>
            <w:r w:rsidRPr="0029024C">
              <w:t>Table on test results (below 8.): to delete “</w:t>
            </w:r>
            <w:r w:rsidRPr="0029024C">
              <w:rPr>
                <w:strike/>
                <w:highlight w:val="lightGray"/>
              </w:rPr>
              <w:t>(occurs incidentally)</w:t>
            </w:r>
            <w:r w:rsidRPr="0029024C">
              <w:t>”</w:t>
            </w:r>
          </w:p>
          <w:p w:rsidR="00F22F9E" w:rsidRPr="0029024C" w:rsidRDefault="00F22F9E" w:rsidP="000520C7">
            <w:pPr>
              <w:pStyle w:val="BodyText"/>
              <w:keepNext/>
            </w:pPr>
            <w:r w:rsidRPr="0029024C">
              <w:rPr>
                <w:i/>
              </w:rPr>
              <w:t>TWV:  agreed</w:t>
            </w:r>
          </w:p>
        </w:tc>
      </w:tr>
      <w:tr w:rsidR="00F22F9E" w:rsidRPr="0029024C" w:rsidTr="000520C7">
        <w:tblPrEx>
          <w:tblCellMar>
            <w:left w:w="56" w:type="dxa"/>
            <w:right w:w="56" w:type="dxa"/>
          </w:tblCellMar>
        </w:tblPrEx>
        <w:trPr>
          <w:cantSplit/>
        </w:trPr>
        <w:tc>
          <w:tcPr>
            <w:tcW w:w="1566" w:type="dxa"/>
            <w:shd w:val="clear" w:color="auto" w:fill="auto"/>
          </w:tcPr>
          <w:p w:rsidR="00F22F9E" w:rsidRPr="0029024C" w:rsidRDefault="00F22F9E" w:rsidP="000520C7">
            <w:pPr>
              <w:pStyle w:val="BodyText"/>
              <w:rPr>
                <w:snapToGrid w:val="0"/>
              </w:rPr>
            </w:pPr>
            <w:r w:rsidRPr="0029024C">
              <w:rPr>
                <w:snapToGrid w:val="0"/>
              </w:rPr>
              <w:t>Ad. 58 (ii)</w:t>
            </w:r>
          </w:p>
        </w:tc>
        <w:tc>
          <w:tcPr>
            <w:tcW w:w="8215" w:type="dxa"/>
            <w:gridSpan w:val="2"/>
            <w:shd w:val="clear" w:color="auto" w:fill="auto"/>
          </w:tcPr>
          <w:p w:rsidR="00F22F9E" w:rsidRPr="0029024C" w:rsidRDefault="00F22F9E" w:rsidP="000520C7">
            <w:pPr>
              <w:pStyle w:val="BodyText"/>
              <w:keepNext/>
            </w:pPr>
            <w:proofErr w:type="spellStart"/>
            <w:r w:rsidRPr="0029024C">
              <w:t>Dianese</w:t>
            </w:r>
            <w:proofErr w:type="spellEnd"/>
            <w:r w:rsidRPr="0029024C">
              <w:t xml:space="preserve">, E.C. </w:t>
            </w:r>
            <w:r w:rsidRPr="0029024C">
              <w:rPr>
                <w:i/>
                <w:iCs/>
              </w:rPr>
              <w:t xml:space="preserve">et al </w:t>
            </w:r>
            <w:r w:rsidRPr="0029024C">
              <w:t xml:space="preserve">(2010) to </w:t>
            </w:r>
            <w:proofErr w:type="gramStart"/>
            <w:r w:rsidRPr="0029024C">
              <w:t>be added</w:t>
            </w:r>
            <w:proofErr w:type="gramEnd"/>
            <w:r w:rsidRPr="0029024C">
              <w:t xml:space="preserve"> to 9. Literature</w:t>
            </w:r>
          </w:p>
          <w:p w:rsidR="00F22F9E" w:rsidRPr="0029024C" w:rsidRDefault="00F22F9E" w:rsidP="000520C7">
            <w:pPr>
              <w:pStyle w:val="BodyText"/>
              <w:keepNext/>
            </w:pPr>
            <w:r w:rsidRPr="0029024C">
              <w:rPr>
                <w:i/>
              </w:rPr>
              <w:t>TWV:  agreed</w:t>
            </w:r>
          </w:p>
        </w:tc>
      </w:tr>
      <w:tr w:rsidR="00F22F9E" w:rsidRPr="0029024C" w:rsidTr="000520C7">
        <w:tblPrEx>
          <w:tblCellMar>
            <w:left w:w="56" w:type="dxa"/>
            <w:right w:w="56" w:type="dxa"/>
          </w:tblCellMar>
        </w:tblPrEx>
        <w:trPr>
          <w:cantSplit/>
        </w:trPr>
        <w:tc>
          <w:tcPr>
            <w:tcW w:w="1566" w:type="dxa"/>
            <w:shd w:val="clear" w:color="auto" w:fill="auto"/>
          </w:tcPr>
          <w:p w:rsidR="00F22F9E" w:rsidRPr="0029024C" w:rsidRDefault="00F22F9E" w:rsidP="000520C7">
            <w:pPr>
              <w:pStyle w:val="BodyText"/>
              <w:rPr>
                <w:snapToGrid w:val="0"/>
              </w:rPr>
            </w:pPr>
            <w:r w:rsidRPr="0029024C">
              <w:rPr>
                <w:snapToGrid w:val="0"/>
              </w:rPr>
              <w:t>Ad. 58 (ii) 3.</w:t>
            </w:r>
          </w:p>
        </w:tc>
        <w:tc>
          <w:tcPr>
            <w:tcW w:w="8215" w:type="dxa"/>
            <w:gridSpan w:val="2"/>
            <w:shd w:val="clear" w:color="auto" w:fill="auto"/>
          </w:tcPr>
          <w:p w:rsidR="00F22F9E" w:rsidRPr="0029024C" w:rsidRDefault="00F22F9E" w:rsidP="000520C7">
            <w:pPr>
              <w:pStyle w:val="BodyText"/>
              <w:rPr>
                <w:snapToGrid w:val="0"/>
              </w:rPr>
            </w:pPr>
            <w:r w:rsidRPr="0029024C">
              <w:rPr>
                <w:snapToGrid w:val="0"/>
              </w:rPr>
              <w:t xml:space="preserve">to read </w:t>
            </w:r>
          </w:p>
          <w:p w:rsidR="00F22F9E" w:rsidRPr="0029024C" w:rsidRDefault="00F22F9E" w:rsidP="000520C7">
            <w:pPr>
              <w:pStyle w:val="Default"/>
              <w:rPr>
                <w:sz w:val="20"/>
                <w:szCs w:val="20"/>
              </w:rPr>
            </w:pPr>
            <w:r w:rsidRPr="0029024C">
              <w:rPr>
                <w:snapToGrid w:val="0"/>
                <w:sz w:val="20"/>
                <w:szCs w:val="20"/>
              </w:rPr>
              <w:t>“</w:t>
            </w:r>
            <w:r w:rsidRPr="0029024C">
              <w:rPr>
                <w:strike/>
                <w:sz w:val="20"/>
                <w:szCs w:val="20"/>
                <w:highlight w:val="lightGray"/>
              </w:rPr>
              <w:t>Susceptible allele</w:t>
            </w:r>
            <w:r w:rsidRPr="0029024C">
              <w:rPr>
                <w:sz w:val="20"/>
                <w:szCs w:val="20"/>
              </w:rPr>
              <w:t xml:space="preserve"> </w:t>
            </w:r>
            <w:proofErr w:type="spellStart"/>
            <w:r w:rsidRPr="0029024C">
              <w:rPr>
                <w:sz w:val="20"/>
                <w:szCs w:val="20"/>
                <w:highlight w:val="lightGray"/>
                <w:u w:val="single"/>
              </w:rPr>
              <w:t>Allele</w:t>
            </w:r>
            <w:proofErr w:type="spellEnd"/>
            <w:r w:rsidRPr="0029024C">
              <w:rPr>
                <w:sz w:val="20"/>
                <w:szCs w:val="20"/>
                <w:highlight w:val="lightGray"/>
                <w:u w:val="single"/>
              </w:rPr>
              <w:t xml:space="preserve"> for susceptibility</w:t>
            </w:r>
          </w:p>
          <w:p w:rsidR="00F22F9E" w:rsidRPr="0029024C" w:rsidRDefault="00F22F9E" w:rsidP="000520C7">
            <w:pPr>
              <w:pStyle w:val="Default"/>
              <w:rPr>
                <w:sz w:val="20"/>
                <w:szCs w:val="20"/>
                <w:u w:val="single"/>
              </w:rPr>
            </w:pPr>
            <w:r w:rsidRPr="0029024C">
              <w:rPr>
                <w:strike/>
                <w:sz w:val="20"/>
                <w:szCs w:val="20"/>
                <w:highlight w:val="lightGray"/>
              </w:rPr>
              <w:t>Resistant allele</w:t>
            </w:r>
            <w:r w:rsidRPr="0029024C">
              <w:rPr>
                <w:sz w:val="20"/>
                <w:szCs w:val="20"/>
              </w:rPr>
              <w:t xml:space="preserve"> </w:t>
            </w:r>
            <w:proofErr w:type="spellStart"/>
            <w:r w:rsidRPr="0029024C">
              <w:rPr>
                <w:sz w:val="20"/>
                <w:szCs w:val="20"/>
                <w:highlight w:val="lightGray"/>
                <w:u w:val="single"/>
              </w:rPr>
              <w:t>Allele</w:t>
            </w:r>
            <w:proofErr w:type="spellEnd"/>
            <w:r w:rsidRPr="0029024C">
              <w:rPr>
                <w:sz w:val="20"/>
                <w:szCs w:val="20"/>
                <w:highlight w:val="lightGray"/>
                <w:u w:val="single"/>
              </w:rPr>
              <w:t xml:space="preserve"> for resistance</w:t>
            </w:r>
            <w:r w:rsidRPr="0029024C">
              <w:rPr>
                <w:sz w:val="20"/>
                <w:szCs w:val="20"/>
                <w:u w:val="single"/>
              </w:rPr>
              <w:t>”</w:t>
            </w:r>
          </w:p>
          <w:p w:rsidR="00F22F9E" w:rsidRPr="0029024C" w:rsidRDefault="00F22F9E" w:rsidP="000520C7">
            <w:pPr>
              <w:pStyle w:val="Default"/>
              <w:jc w:val="both"/>
              <w:rPr>
                <w:sz w:val="20"/>
                <w:szCs w:val="20"/>
              </w:rPr>
            </w:pPr>
            <w:r w:rsidRPr="0029024C">
              <w:rPr>
                <w:i/>
                <w:sz w:val="20"/>
                <w:szCs w:val="20"/>
              </w:rPr>
              <w:t>TWV:  agreed</w:t>
            </w:r>
          </w:p>
        </w:tc>
      </w:tr>
      <w:tr w:rsidR="00F22F9E" w:rsidRPr="0029024C" w:rsidTr="000520C7">
        <w:tblPrEx>
          <w:tblCellMar>
            <w:left w:w="56" w:type="dxa"/>
            <w:right w:w="56" w:type="dxa"/>
          </w:tblCellMar>
        </w:tblPrEx>
        <w:trPr>
          <w:cantSplit/>
        </w:trPr>
        <w:tc>
          <w:tcPr>
            <w:tcW w:w="1566" w:type="dxa"/>
          </w:tcPr>
          <w:p w:rsidR="00F22F9E" w:rsidRPr="0029024C" w:rsidRDefault="00F22F9E" w:rsidP="000520C7">
            <w:pPr>
              <w:pStyle w:val="BodyText"/>
              <w:rPr>
                <w:snapToGrid w:val="0"/>
              </w:rPr>
            </w:pPr>
            <w:r w:rsidRPr="0029024C">
              <w:rPr>
                <w:snapToGrid w:val="0"/>
              </w:rPr>
              <w:t>Ad. 58 (ii) 8.</w:t>
            </w:r>
          </w:p>
        </w:tc>
        <w:tc>
          <w:tcPr>
            <w:tcW w:w="8215" w:type="dxa"/>
            <w:gridSpan w:val="2"/>
          </w:tcPr>
          <w:p w:rsidR="00F22F9E" w:rsidRPr="0029024C" w:rsidRDefault="00F22F9E" w:rsidP="000520C7">
            <w:pPr>
              <w:pStyle w:val="Default"/>
              <w:rPr>
                <w:sz w:val="20"/>
                <w:szCs w:val="20"/>
              </w:rPr>
            </w:pPr>
            <w:r w:rsidRPr="0029024C">
              <w:rPr>
                <w:sz w:val="20"/>
                <w:szCs w:val="20"/>
              </w:rPr>
              <w:t xml:space="preserve">to read </w:t>
            </w:r>
          </w:p>
          <w:p w:rsidR="00F22F9E" w:rsidRPr="0029024C" w:rsidRDefault="00F22F9E" w:rsidP="000520C7">
            <w:pPr>
              <w:pStyle w:val="Default"/>
              <w:rPr>
                <w:sz w:val="20"/>
                <w:szCs w:val="20"/>
              </w:rPr>
            </w:pPr>
            <w:r w:rsidRPr="0029024C">
              <w:rPr>
                <w:sz w:val="20"/>
                <w:szCs w:val="20"/>
              </w:rPr>
              <w:t xml:space="preserve">“homozygous </w:t>
            </w:r>
            <w:r w:rsidRPr="0029024C">
              <w:rPr>
                <w:strike/>
                <w:sz w:val="20"/>
                <w:szCs w:val="20"/>
                <w:highlight w:val="lightGray"/>
              </w:rPr>
              <w:t xml:space="preserve">susceptible </w:t>
            </w:r>
            <w:r w:rsidRPr="0029024C">
              <w:rPr>
                <w:sz w:val="20"/>
                <w:szCs w:val="20"/>
                <w:highlight w:val="lightGray"/>
                <w:u w:val="single"/>
              </w:rPr>
              <w:t xml:space="preserve">susceptibility </w:t>
            </w:r>
            <w:r w:rsidRPr="0029024C">
              <w:rPr>
                <w:sz w:val="20"/>
                <w:szCs w:val="20"/>
              </w:rPr>
              <w:t>allele 1 present</w:t>
            </w:r>
          </w:p>
          <w:p w:rsidR="00F22F9E" w:rsidRPr="0029024C" w:rsidRDefault="00F22F9E" w:rsidP="000520C7">
            <w:pPr>
              <w:pStyle w:val="Default"/>
              <w:rPr>
                <w:sz w:val="20"/>
                <w:szCs w:val="20"/>
              </w:rPr>
            </w:pPr>
            <w:r w:rsidRPr="0029024C">
              <w:rPr>
                <w:sz w:val="20"/>
                <w:szCs w:val="20"/>
              </w:rPr>
              <w:t xml:space="preserve">homozygous </w:t>
            </w:r>
            <w:r w:rsidRPr="0029024C">
              <w:rPr>
                <w:strike/>
                <w:sz w:val="20"/>
                <w:szCs w:val="20"/>
                <w:highlight w:val="lightGray"/>
              </w:rPr>
              <w:t xml:space="preserve">susceptible </w:t>
            </w:r>
            <w:r w:rsidRPr="0029024C">
              <w:rPr>
                <w:sz w:val="20"/>
                <w:szCs w:val="20"/>
                <w:highlight w:val="lightGray"/>
                <w:u w:val="single"/>
              </w:rPr>
              <w:t>susceptibility</w:t>
            </w:r>
            <w:r w:rsidRPr="0029024C">
              <w:rPr>
                <w:sz w:val="20"/>
                <w:szCs w:val="20"/>
              </w:rPr>
              <w:t xml:space="preserve"> allele 2 present</w:t>
            </w:r>
          </w:p>
          <w:p w:rsidR="00F22F9E" w:rsidRPr="0029024C" w:rsidRDefault="00F22F9E" w:rsidP="000520C7">
            <w:pPr>
              <w:pStyle w:val="BodyText"/>
              <w:keepNext/>
            </w:pPr>
            <w:r w:rsidRPr="0029024C">
              <w:t xml:space="preserve">homozygous </w:t>
            </w:r>
            <w:r w:rsidRPr="0029024C">
              <w:rPr>
                <w:strike/>
                <w:color w:val="000000"/>
                <w:highlight w:val="lightGray"/>
                <w:lang w:eastAsia="de-DE"/>
              </w:rPr>
              <w:t>resistant</w:t>
            </w:r>
            <w:r w:rsidRPr="0029024C">
              <w:rPr>
                <w:color w:val="000000"/>
                <w:highlight w:val="lightGray"/>
                <w:u w:val="single"/>
                <w:lang w:eastAsia="de-DE"/>
              </w:rPr>
              <w:t xml:space="preserve"> resistance</w:t>
            </w:r>
            <w:r w:rsidRPr="0029024C">
              <w:t xml:space="preserve"> allele present:” </w:t>
            </w:r>
          </w:p>
          <w:p w:rsidR="00F22F9E" w:rsidRPr="0029024C" w:rsidRDefault="00F22F9E" w:rsidP="000520C7">
            <w:pPr>
              <w:pStyle w:val="BodyText"/>
              <w:keepNext/>
            </w:pPr>
            <w:r w:rsidRPr="0029024C">
              <w:rPr>
                <w:i/>
              </w:rPr>
              <w:t>TWV:  agreed</w:t>
            </w:r>
          </w:p>
        </w:tc>
      </w:tr>
      <w:tr w:rsidR="00F22F9E" w:rsidRPr="0029024C" w:rsidTr="000520C7">
        <w:tblPrEx>
          <w:tblCellMar>
            <w:left w:w="56" w:type="dxa"/>
            <w:right w:w="56" w:type="dxa"/>
          </w:tblCellMar>
        </w:tblPrEx>
        <w:trPr>
          <w:cantSplit/>
        </w:trPr>
        <w:tc>
          <w:tcPr>
            <w:tcW w:w="1566" w:type="dxa"/>
            <w:shd w:val="clear" w:color="auto" w:fill="auto"/>
          </w:tcPr>
          <w:p w:rsidR="00F22F9E" w:rsidRPr="0029024C" w:rsidRDefault="00F22F9E" w:rsidP="000520C7">
            <w:pPr>
              <w:pStyle w:val="BodyText"/>
              <w:rPr>
                <w:snapToGrid w:val="0"/>
              </w:rPr>
            </w:pPr>
            <w:r w:rsidRPr="0029024C">
              <w:rPr>
                <w:snapToGrid w:val="0"/>
              </w:rPr>
              <w:lastRenderedPageBreak/>
              <w:t>Ad. 58 (ii) 8.</w:t>
            </w:r>
          </w:p>
          <w:p w:rsidR="00F22F9E" w:rsidRPr="0029024C" w:rsidRDefault="00F22F9E" w:rsidP="000520C7">
            <w:pPr>
              <w:pStyle w:val="BodyText"/>
              <w:rPr>
                <w:snapToGrid w:val="0"/>
              </w:rPr>
            </w:pPr>
          </w:p>
        </w:tc>
        <w:tc>
          <w:tcPr>
            <w:tcW w:w="8215" w:type="dxa"/>
            <w:gridSpan w:val="2"/>
            <w:shd w:val="clear" w:color="auto" w:fill="auto"/>
          </w:tcPr>
          <w:p w:rsidR="00F22F9E" w:rsidRPr="0029024C" w:rsidRDefault="00F22F9E" w:rsidP="000520C7">
            <w:pPr>
              <w:pStyle w:val="Default"/>
              <w:rPr>
                <w:sz w:val="20"/>
                <w:szCs w:val="20"/>
              </w:rPr>
            </w:pPr>
            <w:r w:rsidRPr="0029024C">
              <w:rPr>
                <w:sz w:val="20"/>
                <w:szCs w:val="20"/>
              </w:rPr>
              <w:t xml:space="preserve">to read “In case the DNA marker test result does not confirm the declaration in the TQ, a bio-assay should be performed to observe whether </w:t>
            </w:r>
            <w:r w:rsidRPr="0029024C">
              <w:rPr>
                <w:strike/>
                <w:sz w:val="20"/>
                <w:szCs w:val="20"/>
                <w:highlight w:val="lightGray"/>
              </w:rPr>
              <w:t>the resistance is absent or present for</w:t>
            </w:r>
            <w:r w:rsidRPr="0029024C">
              <w:rPr>
                <w:sz w:val="20"/>
                <w:szCs w:val="20"/>
              </w:rPr>
              <w:t xml:space="preserve"> the variety </w:t>
            </w:r>
            <w:r w:rsidRPr="0029024C">
              <w:rPr>
                <w:sz w:val="20"/>
                <w:szCs w:val="20"/>
                <w:highlight w:val="lightGray"/>
                <w:u w:val="single"/>
              </w:rPr>
              <w:t xml:space="preserve">is resistant </w:t>
            </w:r>
            <w:r w:rsidRPr="0029024C">
              <w:rPr>
                <w:strike/>
                <w:sz w:val="20"/>
                <w:szCs w:val="20"/>
                <w:highlight w:val="lightGray"/>
              </w:rPr>
              <w:t>(</w:t>
            </w:r>
            <w:r w:rsidRPr="0029024C">
              <w:rPr>
                <w:sz w:val="20"/>
                <w:szCs w:val="20"/>
              </w:rPr>
              <w:t>on another mechanism</w:t>
            </w:r>
            <w:r w:rsidRPr="0029024C">
              <w:rPr>
                <w:strike/>
                <w:sz w:val="20"/>
                <w:szCs w:val="20"/>
                <w:highlight w:val="lightGray"/>
              </w:rPr>
              <w:t>)</w:t>
            </w:r>
            <w:r w:rsidRPr="0029024C">
              <w:rPr>
                <w:sz w:val="20"/>
                <w:szCs w:val="20"/>
              </w:rPr>
              <w:t xml:space="preserve">.” </w:t>
            </w:r>
          </w:p>
          <w:p w:rsidR="00F22F9E" w:rsidRPr="0029024C" w:rsidRDefault="00F22F9E" w:rsidP="000520C7">
            <w:pPr>
              <w:pStyle w:val="Default"/>
              <w:rPr>
                <w:sz w:val="20"/>
                <w:szCs w:val="20"/>
              </w:rPr>
            </w:pPr>
            <w:r w:rsidRPr="0029024C">
              <w:rPr>
                <w:i/>
                <w:sz w:val="20"/>
                <w:szCs w:val="20"/>
              </w:rPr>
              <w:t>TWV:  agreed</w:t>
            </w:r>
          </w:p>
        </w:tc>
      </w:tr>
    </w:tbl>
    <w:p w:rsidR="00F22F9E" w:rsidRPr="0037127F" w:rsidRDefault="00F22F9E" w:rsidP="00F22F9E"/>
    <w:p w:rsidR="00F22F9E" w:rsidRPr="0037127F" w:rsidRDefault="00F22F9E" w:rsidP="00F22F9E">
      <w:pPr>
        <w:tabs>
          <w:tab w:val="left" w:pos="0"/>
          <w:tab w:val="left" w:pos="672"/>
          <w:tab w:val="left" w:pos="2592"/>
          <w:tab w:val="left" w:pos="3072"/>
        </w:tabs>
        <w:rPr>
          <w:rFonts w:cs="Tahoma"/>
          <w:i/>
        </w:rPr>
      </w:pPr>
      <w:r>
        <w:fldChar w:fldCharType="begin"/>
      </w:r>
      <w:r>
        <w:instrText xml:space="preserve"> AUTONUM  </w:instrText>
      </w:r>
      <w:r>
        <w:fldChar w:fldCharType="end"/>
      </w:r>
      <w:r>
        <w:tab/>
      </w:r>
      <w:r w:rsidRPr="0037127F">
        <w:t xml:space="preserve">The TWV, at its fifty-first session, held in </w:t>
      </w:r>
      <w:proofErr w:type="spellStart"/>
      <w:r w:rsidRPr="0037127F">
        <w:t>Roelofarendsveen</w:t>
      </w:r>
      <w:proofErr w:type="spellEnd"/>
      <w:r w:rsidRPr="0037127F">
        <w:t xml:space="preserve">, Netherlands, from July 3 to 7, 2017, noted that, after adoption of the partial revision of the Test Guidelines for Tomato (see document </w:t>
      </w:r>
      <w:hyperlink r:id="rId9" w:history="1">
        <w:r w:rsidRPr="0037127F">
          <w:rPr>
            <w:rStyle w:val="Hyperlink"/>
          </w:rPr>
          <w:t>TC/53/27</w:t>
        </w:r>
      </w:hyperlink>
      <w:r w:rsidRPr="0037127F">
        <w:rPr>
          <w:rStyle w:val="Hyperlink"/>
        </w:rPr>
        <w:t>)</w:t>
      </w:r>
      <w:r w:rsidRPr="0037127F">
        <w:t xml:space="preserve">, a need for clarification was identified with regard to the explanation Ad. </w:t>
      </w:r>
      <w:proofErr w:type="gramStart"/>
      <w:r w:rsidRPr="0037127F">
        <w:t>57</w:t>
      </w:r>
      <w:proofErr w:type="gramEnd"/>
      <w:r w:rsidRPr="0037127F">
        <w:t xml:space="preserve"> “Resistance to Tomato yellow leaf curl virus (TYLCV)”, (</w:t>
      </w:r>
      <w:proofErr w:type="spellStart"/>
      <w:r w:rsidRPr="0037127F">
        <w:t>i</w:t>
      </w:r>
      <w:proofErr w:type="spellEnd"/>
      <w:r w:rsidRPr="0037127F">
        <w:t xml:space="preserve">) </w:t>
      </w:r>
      <w:proofErr w:type="spellStart"/>
      <w:r w:rsidRPr="0037127F">
        <w:t>agroinoculation</w:t>
      </w:r>
      <w:proofErr w:type="spellEnd"/>
      <w:r w:rsidRPr="0037127F">
        <w:t xml:space="preserve"> method.  The TWV agreed to consider this issue during the discussions of the </w:t>
      </w:r>
      <w:r>
        <w:t>subsequent</w:t>
      </w:r>
      <w:r w:rsidRPr="0037127F">
        <w:t xml:space="preserve"> partial revisions for the Test Guidelines of Tomato (see document TWV/51/10) and the Test</w:t>
      </w:r>
      <w:r w:rsidR="00D71755">
        <w:t> </w:t>
      </w:r>
      <w:r w:rsidRPr="0037127F">
        <w:t>Guidelines of Tomato Rootstocks (see document TWV/51/11) (see document TWV/51/16 “Report”, paragraph 95).</w:t>
      </w:r>
    </w:p>
    <w:p w:rsidR="00F22F9E" w:rsidRPr="0037127F" w:rsidRDefault="00F22F9E" w:rsidP="00F22F9E">
      <w:pPr>
        <w:tabs>
          <w:tab w:val="left" w:pos="0"/>
          <w:tab w:val="left" w:pos="672"/>
          <w:tab w:val="left" w:pos="2592"/>
          <w:tab w:val="left" w:pos="3072"/>
        </w:tabs>
        <w:rPr>
          <w:rFonts w:cs="Tahoma"/>
          <w:i/>
        </w:rPr>
      </w:pPr>
    </w:p>
    <w:p w:rsidR="00F22F9E" w:rsidRPr="0037127F" w:rsidRDefault="00F22F9E" w:rsidP="00F22F9E">
      <w:r>
        <w:rPr>
          <w:lang w:val="nl-NL"/>
        </w:rPr>
        <w:t>65.</w:t>
      </w:r>
      <w:r w:rsidRPr="0037127F">
        <w:rPr>
          <w:lang w:val="nl-NL"/>
        </w:rPr>
        <w:tab/>
        <w:t>The TWV</w:t>
      </w:r>
      <w:r>
        <w:rPr>
          <w:lang w:val="nl-NL"/>
        </w:rPr>
        <w:t>, at its fifty-second session</w:t>
      </w:r>
      <w:r w:rsidR="000E535C">
        <w:rPr>
          <w:lang w:val="nl-NL"/>
        </w:rPr>
        <w:t>,</w:t>
      </w:r>
      <w:r w:rsidRPr="0037127F">
        <w:rPr>
          <w:lang w:val="nl-NL"/>
        </w:rPr>
        <w:t xml:space="preserve"> agreed the following with regard to the relevant items of the partial revision of Ad. 57 </w:t>
      </w:r>
      <w:r w:rsidRPr="0037127F">
        <w:t>“Resistance to Tomato yellow leaf curl virus (TYLCV)”</w:t>
      </w:r>
      <w:r>
        <w:t xml:space="preserve"> (see document TWV/52/20 “Report”, paragraph 65):</w:t>
      </w:r>
    </w:p>
    <w:p w:rsidR="00F22F9E" w:rsidRDefault="00F22F9E" w:rsidP="00F22F9E"/>
    <w:tbl>
      <w:tblPr>
        <w:tblW w:w="978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 w:type="dxa"/>
          <w:right w:w="10" w:type="dxa"/>
        </w:tblCellMar>
        <w:tblLook w:val="0000" w:firstRow="0" w:lastRow="0" w:firstColumn="0" w:lastColumn="0" w:noHBand="0" w:noVBand="0"/>
      </w:tblPr>
      <w:tblGrid>
        <w:gridCol w:w="1573"/>
        <w:gridCol w:w="8207"/>
      </w:tblGrid>
      <w:tr w:rsidR="00F22F9E" w:rsidRPr="003A0EFB" w:rsidTr="000520C7">
        <w:trPr>
          <w:cantSplit/>
        </w:trPr>
        <w:tc>
          <w:tcPr>
            <w:tcW w:w="1573" w:type="dxa"/>
            <w:shd w:val="clear" w:color="auto" w:fill="auto"/>
            <w:tcMar>
              <w:top w:w="0" w:type="dxa"/>
              <w:left w:w="108" w:type="dxa"/>
              <w:bottom w:w="0" w:type="dxa"/>
              <w:right w:w="108" w:type="dxa"/>
            </w:tcMar>
          </w:tcPr>
          <w:p w:rsidR="00F22F9E" w:rsidRPr="003A0EFB" w:rsidRDefault="00F22F9E" w:rsidP="000520C7">
            <w:pPr>
              <w:rPr>
                <w:lang w:val="en-GB" w:eastAsia="es-ES"/>
              </w:rPr>
            </w:pPr>
            <w:r>
              <w:rPr>
                <w:lang w:val="en-GB" w:eastAsia="es-ES"/>
              </w:rPr>
              <w:t>Ad. 57 (</w:t>
            </w:r>
            <w:proofErr w:type="spellStart"/>
            <w:r>
              <w:rPr>
                <w:lang w:val="en-GB" w:eastAsia="es-ES"/>
              </w:rPr>
              <w:t>i</w:t>
            </w:r>
            <w:proofErr w:type="spellEnd"/>
            <w:r>
              <w:rPr>
                <w:lang w:val="en-GB" w:eastAsia="es-ES"/>
              </w:rPr>
              <w:t>) 9.5</w:t>
            </w:r>
          </w:p>
        </w:tc>
        <w:tc>
          <w:tcPr>
            <w:tcW w:w="8207" w:type="dxa"/>
            <w:shd w:val="clear" w:color="auto" w:fill="auto"/>
            <w:tcMar>
              <w:top w:w="0" w:type="dxa"/>
              <w:left w:w="108" w:type="dxa"/>
              <w:bottom w:w="0" w:type="dxa"/>
              <w:right w:w="108" w:type="dxa"/>
            </w:tcMar>
          </w:tcPr>
          <w:p w:rsidR="00F22F9E" w:rsidRPr="00002F15" w:rsidRDefault="00F22F9E" w:rsidP="000520C7">
            <w:r>
              <w:t>to read “</w:t>
            </w:r>
            <w:r w:rsidRPr="00002F15">
              <w:t xml:space="preserve">Glasshouse or climatic chamber with permission to confined use of LMO/GMO, </w:t>
            </w:r>
            <w:r w:rsidR="000E535C" w:rsidRPr="00002F15">
              <w:t>confinement</w:t>
            </w:r>
            <w:r w:rsidRPr="00002F15">
              <w:t xml:space="preserve"> level 1 (N-1)”</w:t>
            </w:r>
          </w:p>
        </w:tc>
      </w:tr>
      <w:tr w:rsidR="00F22F9E" w:rsidRPr="003A0EFB" w:rsidTr="000520C7">
        <w:trPr>
          <w:cantSplit/>
        </w:trPr>
        <w:tc>
          <w:tcPr>
            <w:tcW w:w="1573" w:type="dxa"/>
            <w:shd w:val="clear" w:color="auto" w:fill="auto"/>
            <w:tcMar>
              <w:top w:w="0" w:type="dxa"/>
              <w:left w:w="108" w:type="dxa"/>
              <w:bottom w:w="0" w:type="dxa"/>
              <w:right w:w="108" w:type="dxa"/>
            </w:tcMar>
          </w:tcPr>
          <w:p w:rsidR="00F22F9E" w:rsidRPr="003A0EFB" w:rsidRDefault="00F22F9E" w:rsidP="000520C7">
            <w:pPr>
              <w:rPr>
                <w:lang w:val="en-GB" w:eastAsia="es-ES"/>
              </w:rPr>
            </w:pPr>
            <w:r>
              <w:rPr>
                <w:lang w:val="en-GB" w:eastAsia="es-ES"/>
              </w:rPr>
              <w:t>Ad. 57 (</w:t>
            </w:r>
            <w:proofErr w:type="spellStart"/>
            <w:r>
              <w:rPr>
                <w:lang w:val="en-GB" w:eastAsia="es-ES"/>
              </w:rPr>
              <w:t>i</w:t>
            </w:r>
            <w:proofErr w:type="spellEnd"/>
            <w:r>
              <w:rPr>
                <w:lang w:val="en-GB" w:eastAsia="es-ES"/>
              </w:rPr>
              <w:t>) 9.9</w:t>
            </w:r>
          </w:p>
        </w:tc>
        <w:tc>
          <w:tcPr>
            <w:tcW w:w="8207" w:type="dxa"/>
            <w:shd w:val="clear" w:color="auto" w:fill="auto"/>
            <w:tcMar>
              <w:top w:w="0" w:type="dxa"/>
              <w:left w:w="108" w:type="dxa"/>
              <w:bottom w:w="0" w:type="dxa"/>
              <w:right w:w="108" w:type="dxa"/>
            </w:tcMar>
          </w:tcPr>
          <w:p w:rsidR="00F22F9E" w:rsidRPr="003A0EFB" w:rsidRDefault="00F22F9E" w:rsidP="000520C7">
            <w:pPr>
              <w:rPr>
                <w:lang w:eastAsia="es-ES"/>
              </w:rPr>
            </w:pPr>
            <w:r>
              <w:t>to read “</w:t>
            </w:r>
            <w:r w:rsidRPr="00002F15">
              <w:t>Permission to confined use of LMO/GMO, at least level 1 (N-1)</w:t>
            </w:r>
            <w:r>
              <w:t>”</w:t>
            </w:r>
          </w:p>
        </w:tc>
      </w:tr>
      <w:tr w:rsidR="00F22F9E" w:rsidRPr="003A0EFB" w:rsidTr="000520C7">
        <w:trPr>
          <w:cantSplit/>
        </w:trPr>
        <w:tc>
          <w:tcPr>
            <w:tcW w:w="1573" w:type="dxa"/>
            <w:shd w:val="clear" w:color="auto" w:fill="auto"/>
            <w:tcMar>
              <w:top w:w="0" w:type="dxa"/>
              <w:left w:w="108" w:type="dxa"/>
              <w:bottom w:w="0" w:type="dxa"/>
              <w:right w:w="108" w:type="dxa"/>
            </w:tcMar>
          </w:tcPr>
          <w:p w:rsidR="00F22F9E" w:rsidRPr="003A0EFB" w:rsidRDefault="00F22F9E" w:rsidP="000520C7">
            <w:pPr>
              <w:rPr>
                <w:lang w:val="en-GB" w:eastAsia="es-ES"/>
              </w:rPr>
            </w:pPr>
            <w:r>
              <w:rPr>
                <w:lang w:val="en-GB" w:eastAsia="es-ES"/>
              </w:rPr>
              <w:t>Ad. 57 (</w:t>
            </w:r>
            <w:proofErr w:type="spellStart"/>
            <w:r>
              <w:rPr>
                <w:lang w:val="en-GB" w:eastAsia="es-ES"/>
              </w:rPr>
              <w:t>i</w:t>
            </w:r>
            <w:proofErr w:type="spellEnd"/>
            <w:r>
              <w:rPr>
                <w:lang w:val="en-GB" w:eastAsia="es-ES"/>
              </w:rPr>
              <w:t>) 9.5, 9.9</w:t>
            </w:r>
          </w:p>
        </w:tc>
        <w:tc>
          <w:tcPr>
            <w:tcW w:w="8207" w:type="dxa"/>
            <w:shd w:val="clear" w:color="auto" w:fill="auto"/>
            <w:tcMar>
              <w:top w:w="0" w:type="dxa"/>
              <w:left w:w="108" w:type="dxa"/>
              <w:bottom w:w="0" w:type="dxa"/>
              <w:right w:w="108" w:type="dxa"/>
            </w:tcMar>
          </w:tcPr>
          <w:p w:rsidR="00F22F9E" w:rsidRPr="003A0EFB" w:rsidRDefault="00F22F9E" w:rsidP="000520C7">
            <w:pPr>
              <w:rPr>
                <w:lang w:eastAsia="es-ES"/>
              </w:rPr>
            </w:pPr>
            <w:proofErr w:type="gramStart"/>
            <w:r>
              <w:rPr>
                <w:lang w:eastAsia="es-ES"/>
              </w:rPr>
              <w:t>to add disclaimer as footnote to read “</w:t>
            </w:r>
            <w:r w:rsidRPr="00522C7D">
              <w:rPr>
                <w:lang w:eastAsia="es-ES"/>
              </w:rPr>
              <w:t xml:space="preserve">The transformed </w:t>
            </w:r>
            <w:r w:rsidRPr="001F4BCC">
              <w:rPr>
                <w:i/>
                <w:lang w:eastAsia="es-ES"/>
              </w:rPr>
              <w:t xml:space="preserve">Agrobacterium </w:t>
            </w:r>
            <w:proofErr w:type="spellStart"/>
            <w:r w:rsidRPr="001F4BCC">
              <w:rPr>
                <w:i/>
                <w:lang w:eastAsia="es-ES"/>
              </w:rPr>
              <w:t>tumefaciens</w:t>
            </w:r>
            <w:proofErr w:type="spellEnd"/>
            <w:r w:rsidRPr="00522C7D">
              <w:rPr>
                <w:lang w:eastAsia="es-ES"/>
              </w:rPr>
              <w:t xml:space="preserve"> is a living modified organism (LMO; or genetically modified organism (GMO)) and in many countries it requires to comply with Cartagena Protocol on Biosafety in case of transboundary movement, transit, handling and use that may have adverse effects on the conservation and sustainable use of biological diversity, taking also into account risks to human health.”</w:t>
            </w:r>
            <w:proofErr w:type="gramEnd"/>
          </w:p>
        </w:tc>
      </w:tr>
    </w:tbl>
    <w:p w:rsidR="00394AFF" w:rsidRDefault="00394AFF" w:rsidP="00394AFF"/>
    <w:p w:rsidR="00F22F9E" w:rsidRDefault="00F22F9E" w:rsidP="00394AFF"/>
    <w:p w:rsidR="00F22F9E" w:rsidRDefault="00F22F9E" w:rsidP="00394AFF"/>
    <w:p w:rsidR="00394AFF" w:rsidRDefault="00F22F9E" w:rsidP="00394AFF">
      <w:pPr>
        <w:jc w:val="right"/>
      </w:pPr>
      <w:r w:rsidRPr="00C5280D">
        <w:t xml:space="preserve"> </w:t>
      </w:r>
      <w:r w:rsidR="00394AFF" w:rsidRPr="00C5280D">
        <w:t>[End of document]</w:t>
      </w:r>
    </w:p>
    <w:p w:rsidR="00394AFF" w:rsidRDefault="00394AFF" w:rsidP="00394AFF">
      <w:pPr>
        <w:jc w:val="left"/>
      </w:pPr>
    </w:p>
    <w:p w:rsidR="00394AFF" w:rsidRPr="00C5280D" w:rsidRDefault="00394AFF" w:rsidP="00394AFF">
      <w:pPr>
        <w:jc w:val="left"/>
      </w:pPr>
    </w:p>
    <w:p w:rsidR="00050E16" w:rsidRPr="00C5280D" w:rsidRDefault="00050E16" w:rsidP="00394AFF">
      <w:pPr>
        <w:pStyle w:val="Titleofdoc0"/>
      </w:pPr>
    </w:p>
    <w:sectPr w:rsidR="00050E16" w:rsidRPr="00C5280D"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52" w:rsidRDefault="00077452" w:rsidP="006655D3">
      <w:r>
        <w:separator/>
      </w:r>
    </w:p>
    <w:p w:rsidR="00077452" w:rsidRDefault="00077452" w:rsidP="006655D3"/>
    <w:p w:rsidR="00077452" w:rsidRDefault="00077452" w:rsidP="006655D3"/>
  </w:endnote>
  <w:endnote w:type="continuationSeparator" w:id="0">
    <w:p w:rsidR="00077452" w:rsidRDefault="00077452" w:rsidP="006655D3">
      <w:r>
        <w:separator/>
      </w:r>
    </w:p>
    <w:p w:rsidR="00077452" w:rsidRPr="00294751" w:rsidRDefault="00077452">
      <w:pPr>
        <w:pStyle w:val="Footer"/>
        <w:spacing w:after="60"/>
        <w:rPr>
          <w:sz w:val="18"/>
          <w:lang w:val="fr-FR"/>
        </w:rPr>
      </w:pPr>
      <w:r w:rsidRPr="00294751">
        <w:rPr>
          <w:sz w:val="18"/>
          <w:lang w:val="fr-FR"/>
        </w:rPr>
        <w:t>[Suite de la note de la page précédente]</w:t>
      </w:r>
    </w:p>
    <w:p w:rsidR="00077452" w:rsidRPr="00294751" w:rsidRDefault="00077452" w:rsidP="006655D3">
      <w:pPr>
        <w:rPr>
          <w:lang w:val="fr-FR"/>
        </w:rPr>
      </w:pPr>
    </w:p>
    <w:p w:rsidR="00077452" w:rsidRPr="00294751" w:rsidRDefault="00077452" w:rsidP="006655D3">
      <w:pPr>
        <w:rPr>
          <w:lang w:val="fr-FR"/>
        </w:rPr>
      </w:pPr>
    </w:p>
  </w:endnote>
  <w:endnote w:type="continuationNotice" w:id="1">
    <w:p w:rsidR="00077452" w:rsidRPr="00294751" w:rsidRDefault="00077452" w:rsidP="006655D3">
      <w:pPr>
        <w:rPr>
          <w:lang w:val="fr-FR"/>
        </w:rPr>
      </w:pPr>
      <w:r w:rsidRPr="00294751">
        <w:rPr>
          <w:lang w:val="fr-FR"/>
        </w:rPr>
        <w:t>[Suite de la note page suivante]</w:t>
      </w:r>
    </w:p>
    <w:p w:rsidR="00077452" w:rsidRPr="00294751" w:rsidRDefault="00077452" w:rsidP="006655D3">
      <w:pPr>
        <w:rPr>
          <w:lang w:val="fr-FR"/>
        </w:rPr>
      </w:pPr>
    </w:p>
    <w:p w:rsidR="00077452" w:rsidRPr="00294751" w:rsidRDefault="000774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E" w:rsidRDefault="00F2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E" w:rsidRDefault="00F22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E" w:rsidRDefault="00F2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52" w:rsidRDefault="00077452" w:rsidP="006655D3">
      <w:r>
        <w:separator/>
      </w:r>
    </w:p>
  </w:footnote>
  <w:footnote w:type="continuationSeparator" w:id="0">
    <w:p w:rsidR="00077452" w:rsidRDefault="00077452" w:rsidP="006655D3">
      <w:r>
        <w:separator/>
      </w:r>
    </w:p>
  </w:footnote>
  <w:footnote w:type="continuationNotice" w:id="1">
    <w:p w:rsidR="00077452" w:rsidRPr="00AB530F" w:rsidRDefault="0007745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E" w:rsidRDefault="00F22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567E7" w:rsidP="00EB048E">
    <w:pPr>
      <w:pStyle w:val="Header"/>
      <w:rPr>
        <w:rStyle w:val="PageNumber"/>
        <w:lang w:val="en-US"/>
      </w:rPr>
    </w:pPr>
    <w:r>
      <w:rPr>
        <w:rStyle w:val="PageNumber"/>
        <w:lang w:val="en-US"/>
      </w:rPr>
      <w:t>TC-EDC/</w:t>
    </w:r>
    <w:r w:rsidR="00391BEE">
      <w:rPr>
        <w:rStyle w:val="PageNumber"/>
        <w:lang w:val="en-US"/>
      </w:rPr>
      <w:t>Oct</w:t>
    </w:r>
    <w:r>
      <w:rPr>
        <w:rStyle w:val="PageNumber"/>
        <w:lang w:val="en-US"/>
      </w:rPr>
      <w:t>18/</w:t>
    </w:r>
    <w:r w:rsidR="00F22F9E">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2E66">
      <w:rPr>
        <w:rStyle w:val="PageNumber"/>
        <w:noProof/>
        <w:lang w:val="en-US"/>
      </w:rPr>
      <w:t>4</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9E" w:rsidRDefault="00F22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52"/>
    <w:rsid w:val="00010CF3"/>
    <w:rsid w:val="00011E27"/>
    <w:rsid w:val="000148BC"/>
    <w:rsid w:val="00024AB8"/>
    <w:rsid w:val="00030854"/>
    <w:rsid w:val="00036028"/>
    <w:rsid w:val="00044642"/>
    <w:rsid w:val="000446B9"/>
    <w:rsid w:val="00047E21"/>
    <w:rsid w:val="00050E16"/>
    <w:rsid w:val="00077452"/>
    <w:rsid w:val="00085505"/>
    <w:rsid w:val="000C4E25"/>
    <w:rsid w:val="000C7021"/>
    <w:rsid w:val="000D6BBC"/>
    <w:rsid w:val="000D7780"/>
    <w:rsid w:val="000E3A4C"/>
    <w:rsid w:val="000E535C"/>
    <w:rsid w:val="000E6267"/>
    <w:rsid w:val="000E636A"/>
    <w:rsid w:val="000F2F11"/>
    <w:rsid w:val="00105929"/>
    <w:rsid w:val="00110C36"/>
    <w:rsid w:val="001131D5"/>
    <w:rsid w:val="00141DB8"/>
    <w:rsid w:val="00172084"/>
    <w:rsid w:val="0017474A"/>
    <w:rsid w:val="001758C6"/>
    <w:rsid w:val="00182B99"/>
    <w:rsid w:val="001A6625"/>
    <w:rsid w:val="001C1525"/>
    <w:rsid w:val="001C3C25"/>
    <w:rsid w:val="0021332C"/>
    <w:rsid w:val="00213982"/>
    <w:rsid w:val="00214C72"/>
    <w:rsid w:val="0024416D"/>
    <w:rsid w:val="00271911"/>
    <w:rsid w:val="002800A0"/>
    <w:rsid w:val="002801B3"/>
    <w:rsid w:val="00281060"/>
    <w:rsid w:val="002940E8"/>
    <w:rsid w:val="00294751"/>
    <w:rsid w:val="002A6E50"/>
    <w:rsid w:val="002B4298"/>
    <w:rsid w:val="002C256A"/>
    <w:rsid w:val="00305A7F"/>
    <w:rsid w:val="003152FE"/>
    <w:rsid w:val="00325ABC"/>
    <w:rsid w:val="00327436"/>
    <w:rsid w:val="00344BD6"/>
    <w:rsid w:val="0035528D"/>
    <w:rsid w:val="00361821"/>
    <w:rsid w:val="00361E9E"/>
    <w:rsid w:val="00391BEE"/>
    <w:rsid w:val="00394AFF"/>
    <w:rsid w:val="0039633A"/>
    <w:rsid w:val="003A662C"/>
    <w:rsid w:val="003C7FBE"/>
    <w:rsid w:val="003D227C"/>
    <w:rsid w:val="003D2B4D"/>
    <w:rsid w:val="003F5F2B"/>
    <w:rsid w:val="00444A88"/>
    <w:rsid w:val="00474DA4"/>
    <w:rsid w:val="00476B4D"/>
    <w:rsid w:val="004805FA"/>
    <w:rsid w:val="004935D2"/>
    <w:rsid w:val="004B1215"/>
    <w:rsid w:val="004B20FD"/>
    <w:rsid w:val="004D047D"/>
    <w:rsid w:val="004F1E9E"/>
    <w:rsid w:val="004F305A"/>
    <w:rsid w:val="00512164"/>
    <w:rsid w:val="00520297"/>
    <w:rsid w:val="005338F9"/>
    <w:rsid w:val="0054281C"/>
    <w:rsid w:val="00544581"/>
    <w:rsid w:val="0055268D"/>
    <w:rsid w:val="00576BE4"/>
    <w:rsid w:val="005A400A"/>
    <w:rsid w:val="005F7B92"/>
    <w:rsid w:val="00602E66"/>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16216"/>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9274B"/>
    <w:rsid w:val="00AB2B93"/>
    <w:rsid w:val="00AB530F"/>
    <w:rsid w:val="00AB7E5B"/>
    <w:rsid w:val="00AC2883"/>
    <w:rsid w:val="00AE0EF1"/>
    <w:rsid w:val="00AE2937"/>
    <w:rsid w:val="00B07301"/>
    <w:rsid w:val="00B11F3E"/>
    <w:rsid w:val="00B167E2"/>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1AFE"/>
    <w:rsid w:val="00C973F2"/>
    <w:rsid w:val="00CA304C"/>
    <w:rsid w:val="00CA774A"/>
    <w:rsid w:val="00CC11B0"/>
    <w:rsid w:val="00CC2841"/>
    <w:rsid w:val="00CC3A3A"/>
    <w:rsid w:val="00CF1330"/>
    <w:rsid w:val="00CF7E36"/>
    <w:rsid w:val="00D3708D"/>
    <w:rsid w:val="00D40426"/>
    <w:rsid w:val="00D57C96"/>
    <w:rsid w:val="00D57D18"/>
    <w:rsid w:val="00D71755"/>
    <w:rsid w:val="00D91203"/>
    <w:rsid w:val="00D95174"/>
    <w:rsid w:val="00DA4476"/>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2F9E"/>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4EB6C7E-FF88-4410-84B3-668DA3AB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paragraph" w:customStyle="1" w:styleId="Default">
    <w:name w:val="Default"/>
    <w:rsid w:val="00F22F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tref@geves.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upov.int/meetings/en/doc_details.jsp?meeting_id=46070&amp;doc_id=40123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pov.int/edocs/mdocs/upov/en/tc_53/tc_53_27.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Oct_Mtg\template\tc_edc_oct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tc_edc_oct_18_EN.dotx</Template>
  <TotalTime>1</TotalTime>
  <Pages>4</Pages>
  <Words>1577</Words>
  <Characters>8465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TC-EDC/Oct18</vt:lpstr>
    </vt:vector>
  </TitlesOfParts>
  <Company>UPOV</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TC-EDC/Oct18</dc:title>
  <dc:creator>OERTEL Romy</dc:creator>
  <cp:keywords>TC-EDC/Oct18</cp:keywords>
  <cp:lastModifiedBy>Romy Oertel</cp:lastModifiedBy>
  <cp:revision>8</cp:revision>
  <cp:lastPrinted>2018-10-14T14:22:00Z</cp:lastPrinted>
  <dcterms:created xsi:type="dcterms:W3CDTF">2018-10-10T11:37:00Z</dcterms:created>
  <dcterms:modified xsi:type="dcterms:W3CDTF">2018-10-19T08:45:00Z</dcterms:modified>
</cp:coreProperties>
</file>