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0E6267" w:rsidP="00AC2883">
            <w:pPr>
              <w:pStyle w:val="Sessiontc"/>
              <w:spacing w:line="240" w:lineRule="auto"/>
            </w:pPr>
            <w:r>
              <w:t>Enlarged Editorial</w:t>
            </w:r>
            <w:r w:rsidRPr="00C5280D">
              <w:t xml:space="preserve"> Committee</w:t>
            </w:r>
          </w:p>
          <w:p w:rsidR="000E6267" w:rsidRDefault="000E6267" w:rsidP="007D4635">
            <w:pPr>
              <w:pStyle w:val="Sessiontcplacedate"/>
            </w:pPr>
          </w:p>
          <w:p w:rsidR="00EB4E9C" w:rsidRPr="00DC3802" w:rsidRDefault="00EB4E9C" w:rsidP="00391BEE">
            <w:pPr>
              <w:pStyle w:val="Sessiontcplacedate"/>
              <w:rPr>
                <w:sz w:val="22"/>
              </w:rPr>
            </w:pPr>
            <w:r w:rsidRPr="00DA4973">
              <w:t xml:space="preserve">Geneva, </w:t>
            </w:r>
            <w:r w:rsidR="00391BEE">
              <w:t>October</w:t>
            </w:r>
            <w:r w:rsidR="00A3365A">
              <w:t xml:space="preserve"> 2</w:t>
            </w:r>
            <w:r w:rsidR="00391BEE">
              <w:t>8</w:t>
            </w:r>
            <w:r w:rsidR="000E6267">
              <w:t xml:space="preserve"> and 2</w:t>
            </w:r>
            <w:r w:rsidR="00391BEE">
              <w:t>9</w:t>
            </w:r>
            <w:r w:rsidRPr="00DA4973">
              <w:t>, 201</w:t>
            </w:r>
            <w:r w:rsidR="000E6267">
              <w:t>8</w:t>
            </w:r>
          </w:p>
        </w:tc>
        <w:tc>
          <w:tcPr>
            <w:tcW w:w="3127" w:type="dxa"/>
          </w:tcPr>
          <w:p w:rsidR="00EB4E9C" w:rsidRPr="003C7FBE" w:rsidRDefault="000E6267" w:rsidP="003C7FBE">
            <w:pPr>
              <w:pStyle w:val="Doccode"/>
            </w:pPr>
            <w:r>
              <w:t>TC-EDC</w:t>
            </w:r>
            <w:r w:rsidR="00A3365A">
              <w:t>/</w:t>
            </w:r>
            <w:r w:rsidR="00391BEE">
              <w:t>Oct</w:t>
            </w:r>
            <w:r>
              <w:t>18</w:t>
            </w:r>
            <w:r w:rsidR="00EB4E9C" w:rsidRPr="00AC2883">
              <w:t>/</w:t>
            </w:r>
            <w:r w:rsidR="00485EDF">
              <w:t>5</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5E3BE5">
            <w:pPr>
              <w:pStyle w:val="Docoriginal"/>
            </w:pPr>
            <w:r w:rsidRPr="00AC2883">
              <w:t>Date:</w:t>
            </w:r>
            <w:r w:rsidRPr="000E636A">
              <w:rPr>
                <w:b w:val="0"/>
                <w:spacing w:val="0"/>
              </w:rPr>
              <w:t xml:space="preserve">  </w:t>
            </w:r>
            <w:r w:rsidR="00485EDF" w:rsidRPr="00C52FC4">
              <w:rPr>
                <w:b w:val="0"/>
                <w:spacing w:val="0"/>
              </w:rPr>
              <w:t>October 1</w:t>
            </w:r>
            <w:r w:rsidR="005E3BE5" w:rsidRPr="00C52FC4">
              <w:rPr>
                <w:b w:val="0"/>
                <w:spacing w:val="0"/>
              </w:rPr>
              <w:t>3</w:t>
            </w:r>
            <w:r w:rsidR="00485EDF" w:rsidRPr="00C52FC4">
              <w:rPr>
                <w:b w:val="0"/>
                <w:spacing w:val="0"/>
              </w:rPr>
              <w:t>, 2018</w:t>
            </w:r>
          </w:p>
        </w:tc>
      </w:tr>
    </w:tbl>
    <w:p w:rsidR="00394AFF" w:rsidRPr="006A644A" w:rsidRDefault="00485EDF" w:rsidP="00394AFF">
      <w:pPr>
        <w:pStyle w:val="Titleofdoc0"/>
      </w:pPr>
      <w:bookmarkStart w:id="0" w:name="TitleOfDoc"/>
      <w:bookmarkEnd w:id="0"/>
      <w:r w:rsidRPr="00431198">
        <w:t>Matters to be resolved concerning Test Guidelines considered by the Enlarged Editorial Committee in March</w:t>
      </w:r>
      <w:r>
        <w:t xml:space="preserve">:  </w:t>
      </w:r>
      <w:r w:rsidRPr="000C2C4F">
        <w:rPr>
          <w:rFonts w:cs="Arial"/>
        </w:rPr>
        <w:t>Pea (</w:t>
      </w:r>
      <w:r w:rsidRPr="000C2C4F">
        <w:rPr>
          <w:rFonts w:cs="Arial"/>
          <w:i/>
        </w:rPr>
        <w:t>Pisum sativum</w:t>
      </w:r>
      <w:r w:rsidRPr="000C2C4F">
        <w:rPr>
          <w:rFonts w:cs="Arial"/>
        </w:rPr>
        <w:t xml:space="preserve"> L.) (Partial revision</w:t>
      </w:r>
      <w:r>
        <w:rPr>
          <w:rFonts w:cs="Arial"/>
        </w:rPr>
        <w:t>)</w:t>
      </w:r>
    </w:p>
    <w:p w:rsidR="00394AFF" w:rsidRPr="006A644A" w:rsidRDefault="00394AFF" w:rsidP="00394AFF">
      <w:pPr>
        <w:pStyle w:val="preparedby1"/>
        <w:jc w:val="left"/>
      </w:pPr>
      <w:bookmarkStart w:id="1" w:name="Prepared"/>
      <w:bookmarkEnd w:id="1"/>
      <w:r w:rsidRPr="000C4E25">
        <w:t>Document prepared by the Office of the Union</w:t>
      </w:r>
    </w:p>
    <w:p w:rsidR="00394AFF" w:rsidRPr="006A644A" w:rsidRDefault="00394AFF" w:rsidP="00394AFF">
      <w:pPr>
        <w:pStyle w:val="Disclaimer"/>
      </w:pPr>
      <w:r w:rsidRPr="006A644A">
        <w:t>Disclaimer:  this document does not represent UPOV policies or guidance</w:t>
      </w:r>
    </w:p>
    <w:p w:rsidR="00485EDF" w:rsidRDefault="00485EDF" w:rsidP="00485EDF">
      <w:r>
        <w:fldChar w:fldCharType="begin"/>
      </w:r>
      <w:r>
        <w:instrText xml:space="preserve"> AUTONUM  </w:instrText>
      </w:r>
      <w:r>
        <w:fldChar w:fldCharType="end"/>
      </w:r>
      <w:r>
        <w:tab/>
      </w:r>
      <w:r w:rsidRPr="00614469">
        <w:t xml:space="preserve">The </w:t>
      </w:r>
      <w:r>
        <w:t xml:space="preserve">Enlarged Editorial </w:t>
      </w:r>
      <w:r w:rsidRPr="00E31DFA">
        <w:t xml:space="preserve">Committee (TC-EDC), at its meeting held in Geneva, </w:t>
      </w:r>
      <w:r w:rsidR="005E3BE5">
        <w:t>on</w:t>
      </w:r>
      <w:r w:rsidRPr="00E31DFA">
        <w:t xml:space="preserve"> March 26 </w:t>
      </w:r>
      <w:r w:rsidR="005E3BE5">
        <w:t>and</w:t>
      </w:r>
      <w:r w:rsidRPr="00E31DFA">
        <w:t xml:space="preserve"> 27, 2018, considered document </w:t>
      </w:r>
      <w:hyperlink r:id="rId7" w:history="1">
        <w:r w:rsidRPr="00485EDF">
          <w:rPr>
            <w:color w:val="0000FF"/>
            <w:u w:val="single"/>
          </w:rPr>
          <w:t>TC-EDC/MAR18/5</w:t>
        </w:r>
      </w:hyperlink>
      <w:r w:rsidRPr="00485EDF">
        <w:t xml:space="preserve"> </w:t>
      </w:r>
      <w:r>
        <w:t>“</w:t>
      </w:r>
      <w:r w:rsidRPr="00485EDF">
        <w:t>Partial revision of the Test Guidelines for Pea</w:t>
      </w:r>
      <w:r>
        <w:t xml:space="preserve">” </w:t>
      </w:r>
      <w:r w:rsidRPr="00E31DFA">
        <w:t>and</w:t>
      </w:r>
      <w:r>
        <w:t xml:space="preserve"> </w:t>
      </w:r>
      <w:r w:rsidRPr="00E31DFA">
        <w:t>agreed that the technical issues raised should be addressed by</w:t>
      </w:r>
      <w:r>
        <w:t xml:space="preserve"> the </w:t>
      </w:r>
      <w:r w:rsidRPr="00625FDF">
        <w:t>Technical Working Party for Vegetables</w:t>
      </w:r>
      <w:r>
        <w:t xml:space="preserve"> (TWV) (see document TC</w:t>
      </w:r>
      <w:r>
        <w:noBreakHyphen/>
        <w:t>ECD/MAR18/11 “Report”, paragraph 57).</w:t>
      </w:r>
    </w:p>
    <w:p w:rsidR="00485EDF" w:rsidRDefault="00485EDF" w:rsidP="00485EDF"/>
    <w:p w:rsidR="00485EDF" w:rsidRDefault="00485EDF" w:rsidP="00485EDF">
      <w:r>
        <w:fldChar w:fldCharType="begin"/>
      </w:r>
      <w:r>
        <w:instrText xml:space="preserve"> AUTONUM  </w:instrText>
      </w:r>
      <w:r>
        <w:fldChar w:fldCharType="end"/>
      </w:r>
      <w:r>
        <w:tab/>
        <w:t xml:space="preserve">The TWV, at its fifty-second session, held in </w:t>
      </w:r>
      <w:r>
        <w:rPr>
          <w:rFonts w:cs="Arial"/>
        </w:rPr>
        <w:t>Beijing, China</w:t>
      </w:r>
      <w:r w:rsidRPr="00DA4973">
        <w:t xml:space="preserve">, </w:t>
      </w:r>
      <w:r>
        <w:t>from September 17 to 21</w:t>
      </w:r>
      <w:r w:rsidRPr="00DA4973">
        <w:t>, 201</w:t>
      </w:r>
      <w:r>
        <w:t>8, considered document</w:t>
      </w:r>
      <w:r w:rsidRPr="00431198">
        <w:t xml:space="preserve"> </w:t>
      </w:r>
      <w:hyperlink r:id="rId8" w:history="1">
        <w:r w:rsidRPr="00485EDF">
          <w:rPr>
            <w:color w:val="0000FF"/>
            <w:u w:val="single"/>
          </w:rPr>
          <w:t>TWV/52/10</w:t>
        </w:r>
      </w:hyperlink>
      <w:r w:rsidR="005E3BE5">
        <w:t xml:space="preserve"> “</w:t>
      </w:r>
      <w:r w:rsidR="005E3BE5" w:rsidRPr="005E3BE5">
        <w:t>Matters to be resolved concerning Test Guidelines adopted by the Technical Committee: Pea</w:t>
      </w:r>
      <w:r w:rsidR="005E3BE5">
        <w:t xml:space="preserve">” </w:t>
      </w:r>
      <w:r w:rsidRPr="0038132F">
        <w:t xml:space="preserve">containing </w:t>
      </w:r>
      <w:r>
        <w:t xml:space="preserve">the comments made by the TC-EDC </w:t>
      </w:r>
      <w:r w:rsidR="005E3BE5">
        <w:t xml:space="preserve">and </w:t>
      </w:r>
      <w:r>
        <w:t>the proposed responses by the Leading Expert</w:t>
      </w:r>
      <w:bookmarkStart w:id="2" w:name="_GoBack"/>
      <w:bookmarkEnd w:id="2"/>
      <w:r>
        <w:t xml:space="preserve">, Mr. Pascal </w:t>
      </w:r>
      <w:proofErr w:type="spellStart"/>
      <w:r>
        <w:t>Coquin</w:t>
      </w:r>
      <w:proofErr w:type="spellEnd"/>
      <w:r>
        <w:t xml:space="preserve"> (France)</w:t>
      </w:r>
      <w:r w:rsidR="005E3BE5">
        <w:t>.  The TWV</w:t>
      </w:r>
      <w:r w:rsidRPr="00431198">
        <w:t xml:space="preserve"> a</w:t>
      </w:r>
      <w:r>
        <w:t>gr</w:t>
      </w:r>
      <w:r w:rsidR="001721C8">
        <w:t>eed the following (see document </w:t>
      </w:r>
      <w:r>
        <w:t>TWV/52/20 “Report”, paragraph 61):</w:t>
      </w:r>
    </w:p>
    <w:p w:rsidR="0023045F" w:rsidRDefault="0023045F" w:rsidP="00485EDF"/>
    <w:tbl>
      <w:tblPr>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73"/>
        <w:gridCol w:w="8208"/>
      </w:tblGrid>
      <w:tr w:rsidR="0023045F" w:rsidRPr="003A0EFB" w:rsidTr="0023045F">
        <w:trPr>
          <w:cantSplit/>
        </w:trPr>
        <w:tc>
          <w:tcPr>
            <w:tcW w:w="1573" w:type="dxa"/>
          </w:tcPr>
          <w:p w:rsidR="0023045F" w:rsidRPr="003A0EFB" w:rsidRDefault="0023045F" w:rsidP="000520C7">
            <w:r w:rsidRPr="003A0EFB">
              <w:t>Ad. 60</w:t>
            </w:r>
          </w:p>
        </w:tc>
        <w:tc>
          <w:tcPr>
            <w:tcW w:w="8208" w:type="dxa"/>
          </w:tcPr>
          <w:p w:rsidR="0023045F" w:rsidRDefault="0023045F" w:rsidP="000520C7">
            <w:proofErr w:type="gramStart"/>
            <w:r w:rsidRPr="003A0EFB">
              <w:t>to</w:t>
            </w:r>
            <w:proofErr w:type="gramEnd"/>
            <w:r w:rsidRPr="003A0EFB">
              <w:t xml:space="preserve"> magnify photos (Are the images large enough to see the detail required? If you zoom on the computer, they have very good resolution but are the details clear enough on the printed page?)</w:t>
            </w:r>
          </w:p>
          <w:p w:rsidR="0023045F" w:rsidRPr="003A0EFB" w:rsidRDefault="0023045F" w:rsidP="000520C7">
            <w:pPr>
              <w:rPr>
                <w:i/>
              </w:rPr>
            </w:pPr>
            <w:r w:rsidRPr="003A0EFB">
              <w:rPr>
                <w:i/>
              </w:rPr>
              <w:t>TWV: to read as follows (see also changes for Char. 60, Ad. 60, 11., below)</w:t>
            </w:r>
          </w:p>
          <w:p w:rsidR="0023045F" w:rsidRPr="003A0EFB" w:rsidRDefault="0023045F" w:rsidP="000520C7">
            <w:pPr>
              <w:rPr>
                <w:i/>
              </w:rPr>
            </w:pPr>
            <w:r w:rsidRPr="003A0EFB">
              <w:rPr>
                <w:i/>
              </w:rPr>
              <w:t>(see document TWV/52/10 for pictures in original size)</w:t>
            </w:r>
          </w:p>
        </w:tc>
      </w:tr>
    </w:tbl>
    <w:p w:rsidR="0023045F" w:rsidRPr="003A0EFB" w:rsidRDefault="0023045F" w:rsidP="0023045F"/>
    <w:tbl>
      <w:tblPr>
        <w:tblStyle w:val="TableGrid"/>
        <w:tblW w:w="0" w:type="auto"/>
        <w:tblInd w:w="155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681"/>
        <w:gridCol w:w="3827"/>
      </w:tblGrid>
      <w:tr w:rsidR="00226B27" w:rsidRPr="00226B27" w:rsidTr="00226B27">
        <w:tc>
          <w:tcPr>
            <w:tcW w:w="3681" w:type="dxa"/>
          </w:tcPr>
          <w:p w:rsidR="00226B27" w:rsidRPr="00226B27" w:rsidRDefault="00226B27" w:rsidP="00226B27">
            <w:pPr>
              <w:rPr>
                <w:noProof/>
              </w:rPr>
            </w:pPr>
            <w:r w:rsidRPr="00226B27">
              <w:rPr>
                <w:noProof/>
              </w:rPr>
              <w:t>Class 0:</w:t>
            </w:r>
          </w:p>
          <w:p w:rsidR="00226B27" w:rsidRPr="00226B27" w:rsidRDefault="00226B27" w:rsidP="00226B27">
            <w:pPr>
              <w:rPr>
                <w:noProof/>
              </w:rPr>
            </w:pPr>
            <w:r w:rsidRPr="00226B27">
              <w:rPr>
                <w:noProof/>
              </w:rPr>
              <w:drawing>
                <wp:inline distT="0" distB="0" distL="0" distR="0" wp14:anchorId="060FBD56" wp14:editId="24DF4B2F">
                  <wp:extent cx="1587398" cy="211708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91021" cy="2121917"/>
                          </a:xfrm>
                          <a:prstGeom prst="rect">
                            <a:avLst/>
                          </a:prstGeom>
                          <a:noFill/>
                          <a:ln>
                            <a:noFill/>
                          </a:ln>
                        </pic:spPr>
                      </pic:pic>
                    </a:graphicData>
                  </a:graphic>
                </wp:inline>
              </w:drawing>
            </w:r>
          </w:p>
        </w:tc>
        <w:tc>
          <w:tcPr>
            <w:tcW w:w="3827" w:type="dxa"/>
          </w:tcPr>
          <w:p w:rsidR="00226B27" w:rsidRPr="00226B27" w:rsidRDefault="00226B27" w:rsidP="00226B27">
            <w:pPr>
              <w:rPr>
                <w:noProof/>
              </w:rPr>
            </w:pPr>
            <w:r w:rsidRPr="00226B27">
              <w:rPr>
                <w:noProof/>
              </w:rPr>
              <w:t>Class 1:</w:t>
            </w:r>
          </w:p>
          <w:p w:rsidR="00226B27" w:rsidRPr="00226B27" w:rsidRDefault="00226B27" w:rsidP="00226B27">
            <w:pPr>
              <w:rPr>
                <w:noProof/>
              </w:rPr>
            </w:pPr>
            <w:r w:rsidRPr="00226B27">
              <w:rPr>
                <w:noProof/>
              </w:rPr>
              <w:drawing>
                <wp:inline distT="0" distB="0" distL="0" distR="0" wp14:anchorId="255413BB" wp14:editId="2585B59E">
                  <wp:extent cx="1585157" cy="2114093"/>
                  <wp:effectExtent l="0" t="0" r="0"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8656" cy="2118759"/>
                          </a:xfrm>
                          <a:prstGeom prst="rect">
                            <a:avLst/>
                          </a:prstGeom>
                          <a:noFill/>
                          <a:ln>
                            <a:noFill/>
                          </a:ln>
                        </pic:spPr>
                      </pic:pic>
                    </a:graphicData>
                  </a:graphic>
                </wp:inline>
              </w:drawing>
            </w:r>
          </w:p>
        </w:tc>
      </w:tr>
      <w:tr w:rsidR="00226B27" w:rsidRPr="00226B27" w:rsidTr="00226B27">
        <w:tc>
          <w:tcPr>
            <w:tcW w:w="3681" w:type="dxa"/>
          </w:tcPr>
          <w:p w:rsidR="00226B27" w:rsidRDefault="00226B27" w:rsidP="0072729F">
            <w:pPr>
              <w:keepNext/>
              <w:rPr>
                <w:noProof/>
              </w:rPr>
            </w:pPr>
            <w:r w:rsidRPr="00226B27">
              <w:rPr>
                <w:noProof/>
              </w:rPr>
              <w:lastRenderedPageBreak/>
              <w:t>Class 2:</w:t>
            </w:r>
          </w:p>
          <w:p w:rsidR="00226B27" w:rsidRPr="00226B27" w:rsidRDefault="00226B27" w:rsidP="0072729F">
            <w:pPr>
              <w:keepNext/>
              <w:rPr>
                <w:noProof/>
              </w:rPr>
            </w:pPr>
            <w:r w:rsidRPr="00226B27">
              <w:rPr>
                <w:noProof/>
              </w:rPr>
              <w:drawing>
                <wp:inline distT="0" distB="0" distL="0" distR="0" wp14:anchorId="7AB26E48" wp14:editId="2A3DC634">
                  <wp:extent cx="1623974" cy="2165863"/>
                  <wp:effectExtent l="0" t="0" r="0" b="63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9120" cy="2172726"/>
                          </a:xfrm>
                          <a:prstGeom prst="rect">
                            <a:avLst/>
                          </a:prstGeom>
                          <a:noFill/>
                          <a:ln>
                            <a:noFill/>
                          </a:ln>
                        </pic:spPr>
                      </pic:pic>
                    </a:graphicData>
                  </a:graphic>
                </wp:inline>
              </w:drawing>
            </w:r>
          </w:p>
        </w:tc>
        <w:tc>
          <w:tcPr>
            <w:tcW w:w="3827" w:type="dxa"/>
          </w:tcPr>
          <w:p w:rsidR="00226B27" w:rsidRPr="00226B27" w:rsidRDefault="00226B27" w:rsidP="0072729F">
            <w:pPr>
              <w:keepNext/>
              <w:rPr>
                <w:noProof/>
              </w:rPr>
            </w:pPr>
            <w:r w:rsidRPr="00226B27">
              <w:rPr>
                <w:noProof/>
              </w:rPr>
              <w:t>Details on Class 2:</w:t>
            </w:r>
          </w:p>
          <w:p w:rsidR="00226B27" w:rsidRPr="00226B27" w:rsidRDefault="00226B27" w:rsidP="0072729F">
            <w:pPr>
              <w:keepNext/>
              <w:rPr>
                <w:noProof/>
              </w:rPr>
            </w:pPr>
            <w:r w:rsidRPr="00226B27">
              <w:rPr>
                <w:noProof/>
              </w:rPr>
              <w:drawing>
                <wp:inline distT="0" distB="0" distL="0" distR="0" wp14:anchorId="1EE99115" wp14:editId="016FA474">
                  <wp:extent cx="1631289" cy="2175617"/>
                  <wp:effectExtent l="0" t="0" r="762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40648" cy="2188099"/>
                          </a:xfrm>
                          <a:prstGeom prst="rect">
                            <a:avLst/>
                          </a:prstGeom>
                          <a:noFill/>
                          <a:ln>
                            <a:noFill/>
                          </a:ln>
                        </pic:spPr>
                      </pic:pic>
                    </a:graphicData>
                  </a:graphic>
                </wp:inline>
              </w:drawing>
            </w:r>
          </w:p>
        </w:tc>
      </w:tr>
      <w:tr w:rsidR="00226B27" w:rsidRPr="00226B27" w:rsidTr="00226B27">
        <w:tc>
          <w:tcPr>
            <w:tcW w:w="3681" w:type="dxa"/>
          </w:tcPr>
          <w:p w:rsidR="00226B27" w:rsidRPr="00226B27" w:rsidRDefault="00226B27" w:rsidP="00226B27">
            <w:pPr>
              <w:rPr>
                <w:noProof/>
              </w:rPr>
            </w:pPr>
            <w:r w:rsidRPr="00226B27">
              <w:rPr>
                <w:noProof/>
              </w:rPr>
              <w:t>Class 3 :</w:t>
            </w:r>
          </w:p>
          <w:p w:rsidR="00226B27" w:rsidRPr="00226B27" w:rsidRDefault="00226B27" w:rsidP="00226B27">
            <w:pPr>
              <w:rPr>
                <w:noProof/>
              </w:rPr>
            </w:pPr>
            <w:r w:rsidRPr="00226B27">
              <w:rPr>
                <w:noProof/>
              </w:rPr>
              <w:drawing>
                <wp:inline distT="0" distB="0" distL="0" distR="0" wp14:anchorId="414EAA03" wp14:editId="01DD0531">
                  <wp:extent cx="1623974" cy="2165861"/>
                  <wp:effectExtent l="0" t="0" r="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4395" cy="2166422"/>
                          </a:xfrm>
                          <a:prstGeom prst="rect">
                            <a:avLst/>
                          </a:prstGeom>
                          <a:noFill/>
                          <a:ln>
                            <a:noFill/>
                          </a:ln>
                        </pic:spPr>
                      </pic:pic>
                    </a:graphicData>
                  </a:graphic>
                </wp:inline>
              </w:drawing>
            </w:r>
          </w:p>
        </w:tc>
        <w:tc>
          <w:tcPr>
            <w:tcW w:w="3827" w:type="dxa"/>
          </w:tcPr>
          <w:p w:rsidR="00226B27" w:rsidRPr="00226B27" w:rsidRDefault="00226B27" w:rsidP="00226B27">
            <w:pPr>
              <w:rPr>
                <w:noProof/>
              </w:rPr>
            </w:pPr>
            <w:r w:rsidRPr="00226B27">
              <w:rPr>
                <w:noProof/>
              </w:rPr>
              <w:t>Details on Class 3</w:t>
            </w:r>
          </w:p>
          <w:p w:rsidR="00226B27" w:rsidRPr="00226B27" w:rsidRDefault="00226B27" w:rsidP="00226B27">
            <w:pPr>
              <w:rPr>
                <w:noProof/>
              </w:rPr>
            </w:pPr>
            <w:r w:rsidRPr="00226B27">
              <w:rPr>
                <w:noProof/>
              </w:rPr>
              <w:drawing>
                <wp:inline distT="0" distB="0" distL="0" distR="0" wp14:anchorId="171CE2F3" wp14:editId="4A3B35F5">
                  <wp:extent cx="1645920" cy="219513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52733" cy="2204217"/>
                          </a:xfrm>
                          <a:prstGeom prst="rect">
                            <a:avLst/>
                          </a:prstGeom>
                          <a:noFill/>
                          <a:ln>
                            <a:noFill/>
                          </a:ln>
                        </pic:spPr>
                      </pic:pic>
                    </a:graphicData>
                  </a:graphic>
                </wp:inline>
              </w:drawing>
            </w:r>
          </w:p>
        </w:tc>
      </w:tr>
    </w:tbl>
    <w:p w:rsidR="00226B27" w:rsidRPr="003A0EFB" w:rsidRDefault="00226B27" w:rsidP="0023045F"/>
    <w:tbl>
      <w:tblPr>
        <w:tblW w:w="9781"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573"/>
        <w:gridCol w:w="8208"/>
      </w:tblGrid>
      <w:tr w:rsidR="0023045F" w:rsidRPr="003A0EFB" w:rsidTr="0023045F">
        <w:trPr>
          <w:cantSplit/>
          <w:trHeight w:val="700"/>
        </w:trPr>
        <w:tc>
          <w:tcPr>
            <w:tcW w:w="1573" w:type="dxa"/>
            <w:shd w:val="clear" w:color="auto" w:fill="auto"/>
          </w:tcPr>
          <w:p w:rsidR="0023045F" w:rsidRPr="003A0EFB" w:rsidRDefault="0023045F" w:rsidP="000520C7">
            <w:r w:rsidRPr="003A0EFB">
              <w:t>Ad. 60, 4.</w:t>
            </w:r>
          </w:p>
          <w:p w:rsidR="0023045F" w:rsidRPr="003A0EFB" w:rsidRDefault="0023045F" w:rsidP="000520C7">
            <w:r w:rsidRPr="003A0EFB">
              <w:t xml:space="preserve">Footnotes 1, 2 </w:t>
            </w:r>
          </w:p>
        </w:tc>
        <w:tc>
          <w:tcPr>
            <w:tcW w:w="8208" w:type="dxa"/>
            <w:shd w:val="clear" w:color="auto" w:fill="auto"/>
          </w:tcPr>
          <w:p w:rsidR="0023045F" w:rsidRPr="003A0EFB" w:rsidRDefault="0023045F" w:rsidP="000520C7">
            <w:pPr>
              <w:keepNext/>
            </w:pPr>
            <w:r w:rsidRPr="003A0EFB">
              <w:t>to indicate e-mail and web address of the institutions instead of personal e-mail addresses</w:t>
            </w:r>
          </w:p>
          <w:p w:rsidR="0023045F" w:rsidRPr="003A0EFB" w:rsidRDefault="0023045F" w:rsidP="000520C7">
            <w:pPr>
              <w:keepNext/>
              <w:rPr>
                <w:i/>
              </w:rPr>
            </w:pPr>
            <w:r w:rsidRPr="003A0EFB">
              <w:rPr>
                <w:i/>
              </w:rPr>
              <w:t xml:space="preserve">Leading Expert:  </w:t>
            </w:r>
            <w:hyperlink r:id="rId15" w:history="1">
              <w:r w:rsidRPr="003A0EFB">
                <w:rPr>
                  <w:rStyle w:val="Hyperlink"/>
                  <w:i/>
                </w:rPr>
                <w:t>matref@geves.fr</w:t>
              </w:r>
            </w:hyperlink>
            <w:r w:rsidRPr="003A0EFB">
              <w:rPr>
                <w:i/>
              </w:rPr>
              <w:t xml:space="preserve"> / </w:t>
            </w:r>
            <w:hyperlink r:id="rId16" w:history="1">
              <w:r w:rsidRPr="003A0EFB">
                <w:rPr>
                  <w:rStyle w:val="Hyperlink"/>
                  <w:i/>
                </w:rPr>
                <w:t>www.geves.fr</w:t>
              </w:r>
            </w:hyperlink>
            <w:r w:rsidRPr="003A0EFB">
              <w:rPr>
                <w:i/>
              </w:rPr>
              <w:t xml:space="preserve"> </w:t>
            </w:r>
          </w:p>
          <w:p w:rsidR="0023045F" w:rsidRPr="003A0EFB" w:rsidRDefault="0023045F" w:rsidP="000520C7">
            <w:pPr>
              <w:keepNext/>
              <w:rPr>
                <w:i/>
              </w:rPr>
            </w:pPr>
            <w:r w:rsidRPr="003A0EFB">
              <w:rPr>
                <w:i/>
              </w:rPr>
              <w:t>TWV:  agreed</w:t>
            </w:r>
          </w:p>
        </w:tc>
      </w:tr>
      <w:tr w:rsidR="0023045F" w:rsidRPr="003A0EFB" w:rsidTr="0023045F">
        <w:trPr>
          <w:cantSplit/>
        </w:trPr>
        <w:tc>
          <w:tcPr>
            <w:tcW w:w="1573" w:type="dxa"/>
            <w:shd w:val="clear" w:color="auto" w:fill="auto"/>
          </w:tcPr>
          <w:p w:rsidR="0023045F" w:rsidRPr="003A0EFB" w:rsidRDefault="0023045F" w:rsidP="000520C7">
            <w:r w:rsidRPr="003A0EFB">
              <w:t>Ad. 60, 5.</w:t>
            </w:r>
          </w:p>
        </w:tc>
        <w:tc>
          <w:tcPr>
            <w:tcW w:w="8208" w:type="dxa"/>
            <w:shd w:val="clear" w:color="auto" w:fill="auto"/>
          </w:tcPr>
          <w:p w:rsidR="0023045F" w:rsidRPr="003A0EFB" w:rsidRDefault="0023045F" w:rsidP="000520C7">
            <w:pPr>
              <w:pStyle w:val="Default"/>
              <w:jc w:val="both"/>
              <w:rPr>
                <w:sz w:val="20"/>
                <w:szCs w:val="20"/>
              </w:rPr>
            </w:pPr>
            <w:proofErr w:type="gramStart"/>
            <w:r w:rsidRPr="003A0EFB">
              <w:rPr>
                <w:iCs/>
                <w:sz w:val="20"/>
                <w:szCs w:val="20"/>
              </w:rPr>
              <w:t>to</w:t>
            </w:r>
            <w:proofErr w:type="gramEnd"/>
            <w:r w:rsidRPr="003A0EFB">
              <w:rPr>
                <w:iCs/>
                <w:sz w:val="20"/>
                <w:szCs w:val="20"/>
              </w:rPr>
              <w:t xml:space="preserve"> read “</w:t>
            </w:r>
            <w:proofErr w:type="spellStart"/>
            <w:r w:rsidRPr="003A0EFB">
              <w:rPr>
                <w:i/>
                <w:iCs/>
                <w:sz w:val="20"/>
                <w:szCs w:val="20"/>
              </w:rPr>
              <w:t>Ascochyta</w:t>
            </w:r>
            <w:proofErr w:type="spellEnd"/>
            <w:r w:rsidRPr="003A0EFB">
              <w:rPr>
                <w:i/>
                <w:iCs/>
                <w:sz w:val="20"/>
                <w:szCs w:val="20"/>
              </w:rPr>
              <w:t xml:space="preserve"> </w:t>
            </w:r>
            <w:proofErr w:type="spellStart"/>
            <w:r w:rsidRPr="003A0EFB">
              <w:rPr>
                <w:i/>
                <w:iCs/>
                <w:sz w:val="20"/>
                <w:szCs w:val="20"/>
              </w:rPr>
              <w:t>pisi</w:t>
            </w:r>
            <w:proofErr w:type="spellEnd"/>
            <w:r w:rsidRPr="003A0EFB">
              <w:rPr>
                <w:i/>
                <w:iCs/>
                <w:sz w:val="20"/>
                <w:szCs w:val="20"/>
              </w:rPr>
              <w:t xml:space="preserve"> </w:t>
            </w:r>
            <w:r w:rsidRPr="003A0EFB">
              <w:rPr>
                <w:sz w:val="20"/>
                <w:szCs w:val="20"/>
              </w:rPr>
              <w:t xml:space="preserve">race C strain 21A.13. (the test protocol has been validated </w:t>
            </w:r>
            <w:r w:rsidRPr="003A0EFB">
              <w:rPr>
                <w:strike/>
                <w:sz w:val="20"/>
                <w:szCs w:val="20"/>
                <w:shd w:val="clear" w:color="auto" w:fill="BFBFBF" w:themeFill="background1" w:themeFillShade="BF"/>
              </w:rPr>
              <w:t>in a European CPVO co-funded project3</w:t>
            </w:r>
            <w:r w:rsidRPr="003A0EFB">
              <w:rPr>
                <w:sz w:val="20"/>
                <w:szCs w:val="20"/>
              </w:rPr>
              <w:t xml:space="preserve"> with this isolate)</w:t>
            </w:r>
            <w:r w:rsidRPr="003A0EFB">
              <w:rPr>
                <w:sz w:val="20"/>
                <w:szCs w:val="20"/>
                <w:shd w:val="clear" w:color="auto" w:fill="BFBFBF" w:themeFill="background1" w:themeFillShade="BF"/>
                <w:vertAlign w:val="superscript"/>
              </w:rPr>
              <w:t>3</w:t>
            </w:r>
            <w:r w:rsidRPr="003A0EFB">
              <w:rPr>
                <w:sz w:val="20"/>
                <w:szCs w:val="20"/>
              </w:rPr>
              <w:t>”</w:t>
            </w:r>
          </w:p>
          <w:p w:rsidR="0023045F" w:rsidRPr="003A0EFB" w:rsidRDefault="0023045F" w:rsidP="000520C7">
            <w:pPr>
              <w:pStyle w:val="Default"/>
              <w:jc w:val="both"/>
              <w:rPr>
                <w:i/>
                <w:sz w:val="20"/>
                <w:szCs w:val="20"/>
              </w:rPr>
            </w:pPr>
            <w:r w:rsidRPr="003A0EFB">
              <w:rPr>
                <w:i/>
                <w:sz w:val="20"/>
                <w:szCs w:val="20"/>
              </w:rPr>
              <w:t>TWV:  agreed</w:t>
            </w:r>
          </w:p>
        </w:tc>
      </w:tr>
      <w:tr w:rsidR="0023045F" w:rsidRPr="003A0EFB" w:rsidTr="0023045F">
        <w:trPr>
          <w:cantSplit/>
        </w:trPr>
        <w:tc>
          <w:tcPr>
            <w:tcW w:w="1573" w:type="dxa"/>
            <w:shd w:val="clear" w:color="auto" w:fill="auto"/>
          </w:tcPr>
          <w:p w:rsidR="0023045F" w:rsidRPr="003A0EFB" w:rsidRDefault="0023045F" w:rsidP="000520C7">
            <w:r w:rsidRPr="003A0EFB">
              <w:t>Ad. 60, Footnote 3</w:t>
            </w:r>
          </w:p>
        </w:tc>
        <w:tc>
          <w:tcPr>
            <w:tcW w:w="8208" w:type="dxa"/>
            <w:shd w:val="clear" w:color="auto" w:fill="auto"/>
          </w:tcPr>
          <w:p w:rsidR="0023045F" w:rsidRPr="003A0EFB" w:rsidRDefault="0023045F" w:rsidP="000520C7">
            <w:proofErr w:type="gramStart"/>
            <w:r w:rsidRPr="003A0EFB">
              <w:t>to</w:t>
            </w:r>
            <w:proofErr w:type="gramEnd"/>
            <w:r w:rsidRPr="003A0EFB">
              <w:t xml:space="preserve"> be moved to 9. Literature with standardized format of literature quotes.</w:t>
            </w:r>
          </w:p>
          <w:p w:rsidR="0023045F" w:rsidRPr="003A0EFB" w:rsidRDefault="0023045F" w:rsidP="000520C7">
            <w:r w:rsidRPr="003A0EFB">
              <w:rPr>
                <w:i/>
              </w:rPr>
              <w:t>TWV:  agreed</w:t>
            </w:r>
          </w:p>
        </w:tc>
      </w:tr>
      <w:tr w:rsidR="0023045F" w:rsidRPr="003A0EFB" w:rsidTr="0023045F">
        <w:trPr>
          <w:cantSplit/>
        </w:trPr>
        <w:tc>
          <w:tcPr>
            <w:tcW w:w="1573" w:type="dxa"/>
            <w:shd w:val="clear" w:color="auto" w:fill="auto"/>
          </w:tcPr>
          <w:p w:rsidR="0023045F" w:rsidRPr="003A0EFB" w:rsidRDefault="0023045F" w:rsidP="000520C7">
            <w:r w:rsidRPr="003A0EFB">
              <w:t>Ad. 60, 6.</w:t>
            </w:r>
          </w:p>
        </w:tc>
        <w:tc>
          <w:tcPr>
            <w:tcW w:w="8208" w:type="dxa"/>
            <w:shd w:val="clear" w:color="auto" w:fill="auto"/>
          </w:tcPr>
          <w:p w:rsidR="0023045F" w:rsidRPr="003A0EFB" w:rsidRDefault="0023045F" w:rsidP="000520C7">
            <w:pPr>
              <w:keepNext/>
            </w:pPr>
            <w:proofErr w:type="gramStart"/>
            <w:r w:rsidRPr="003A0EFB">
              <w:t>to</w:t>
            </w:r>
            <w:proofErr w:type="gramEnd"/>
            <w:r w:rsidRPr="003A0EFB">
              <w:t xml:space="preserve"> add “</w:t>
            </w:r>
            <w:proofErr w:type="spellStart"/>
            <w:r w:rsidRPr="003A0EFB">
              <w:t>Gallais</w:t>
            </w:r>
            <w:proofErr w:type="spellEnd"/>
            <w:r w:rsidRPr="003A0EFB">
              <w:t xml:space="preserve"> et </w:t>
            </w:r>
            <w:proofErr w:type="spellStart"/>
            <w:r w:rsidRPr="003A0EFB">
              <w:t>Bannerot</w:t>
            </w:r>
            <w:proofErr w:type="spellEnd"/>
            <w:r w:rsidRPr="003A0EFB">
              <w:t>, 1992” to chapter 9. Literature</w:t>
            </w:r>
          </w:p>
          <w:p w:rsidR="0023045F" w:rsidRPr="003A0EFB" w:rsidRDefault="0023045F" w:rsidP="000520C7">
            <w:pPr>
              <w:keepNext/>
            </w:pPr>
            <w:r w:rsidRPr="003A0EFB">
              <w:rPr>
                <w:i/>
              </w:rPr>
              <w:t>TWV:  agreed</w:t>
            </w:r>
          </w:p>
        </w:tc>
      </w:tr>
      <w:tr w:rsidR="0023045F" w:rsidRPr="003A0EFB" w:rsidTr="0023045F">
        <w:trPr>
          <w:cantSplit/>
        </w:trPr>
        <w:tc>
          <w:tcPr>
            <w:tcW w:w="1573" w:type="dxa"/>
            <w:shd w:val="clear" w:color="auto" w:fill="auto"/>
          </w:tcPr>
          <w:p w:rsidR="0023045F" w:rsidRPr="003A0EFB" w:rsidRDefault="0023045F" w:rsidP="000520C7">
            <w:r w:rsidRPr="003A0EFB">
              <w:t>Ad. 60</w:t>
            </w:r>
          </w:p>
        </w:tc>
        <w:tc>
          <w:tcPr>
            <w:tcW w:w="8208" w:type="dxa"/>
            <w:shd w:val="clear" w:color="auto" w:fill="auto"/>
          </w:tcPr>
          <w:p w:rsidR="0023045F" w:rsidRPr="003A0EFB" w:rsidRDefault="0023045F" w:rsidP="000520C7">
            <w:r w:rsidRPr="003A0EFB">
              <w:t>to delete 8.2, 8.3 and 8.5</w:t>
            </w:r>
          </w:p>
          <w:p w:rsidR="0023045F" w:rsidRPr="003A0EFB" w:rsidRDefault="0023045F" w:rsidP="000520C7">
            <w:r w:rsidRPr="003A0EFB">
              <w:rPr>
                <w:i/>
              </w:rPr>
              <w:t>TWV:  agreed</w:t>
            </w:r>
          </w:p>
        </w:tc>
      </w:tr>
      <w:tr w:rsidR="0023045F" w:rsidRPr="003A0EFB" w:rsidTr="0023045F">
        <w:trPr>
          <w:cantSplit/>
        </w:trPr>
        <w:tc>
          <w:tcPr>
            <w:tcW w:w="1573" w:type="dxa"/>
            <w:shd w:val="clear" w:color="auto" w:fill="auto"/>
          </w:tcPr>
          <w:p w:rsidR="0023045F" w:rsidRPr="003A0EFB" w:rsidRDefault="0023045F" w:rsidP="000520C7">
            <w:r w:rsidRPr="003A0EFB">
              <w:t>Ad. 60, 8.8</w:t>
            </w:r>
          </w:p>
        </w:tc>
        <w:tc>
          <w:tcPr>
            <w:tcW w:w="8208" w:type="dxa"/>
            <w:shd w:val="clear" w:color="auto" w:fill="auto"/>
          </w:tcPr>
          <w:p w:rsidR="0023045F" w:rsidRPr="003A0EFB" w:rsidRDefault="0023045F" w:rsidP="000520C7">
            <w:proofErr w:type="gramStart"/>
            <w:r w:rsidRPr="003A0EFB">
              <w:t>to</w:t>
            </w:r>
            <w:proofErr w:type="gramEnd"/>
            <w:r w:rsidRPr="003A0EFB">
              <w:t xml:space="preserve"> clarify meaning of “4/8h” (does it mean “half hour”?)</w:t>
            </w:r>
          </w:p>
          <w:p w:rsidR="0023045F" w:rsidRPr="003A0EFB" w:rsidRDefault="0023045F" w:rsidP="000520C7">
            <w:pPr>
              <w:rPr>
                <w:i/>
              </w:rPr>
            </w:pPr>
            <w:r w:rsidRPr="003A0EFB">
              <w:rPr>
                <w:i/>
              </w:rPr>
              <w:t xml:space="preserve">Leading Expert: </w:t>
            </w:r>
            <w:r w:rsidRPr="003A0EFB">
              <w:t xml:space="preserve"> </w:t>
            </w:r>
            <w:r w:rsidRPr="003A0EFB">
              <w:rPr>
                <w:i/>
              </w:rPr>
              <w:t>it means “between 4 and 8 hours”</w:t>
            </w:r>
          </w:p>
          <w:p w:rsidR="0023045F" w:rsidRPr="003A0EFB" w:rsidRDefault="0023045F" w:rsidP="000520C7">
            <w:r w:rsidRPr="003A0EFB">
              <w:rPr>
                <w:i/>
              </w:rPr>
              <w:t>TWV:  agreed</w:t>
            </w:r>
          </w:p>
        </w:tc>
      </w:tr>
      <w:tr w:rsidR="0023045F" w:rsidRPr="003A0EFB" w:rsidTr="0023045F">
        <w:trPr>
          <w:cantSplit/>
        </w:trPr>
        <w:tc>
          <w:tcPr>
            <w:tcW w:w="1573" w:type="dxa"/>
            <w:shd w:val="clear" w:color="auto" w:fill="auto"/>
          </w:tcPr>
          <w:p w:rsidR="0023045F" w:rsidRPr="003A0EFB" w:rsidRDefault="0023045F" w:rsidP="000520C7">
            <w:r w:rsidRPr="003A0EFB">
              <w:lastRenderedPageBreak/>
              <w:t>Char. 60,</w:t>
            </w:r>
          </w:p>
          <w:p w:rsidR="0023045F" w:rsidRPr="003A0EFB" w:rsidRDefault="0023045F" w:rsidP="000520C7">
            <w:r w:rsidRPr="003A0EFB">
              <w:t>Ad. 60, 11.</w:t>
            </w:r>
          </w:p>
        </w:tc>
        <w:tc>
          <w:tcPr>
            <w:tcW w:w="8208" w:type="dxa"/>
            <w:shd w:val="clear" w:color="auto" w:fill="auto"/>
          </w:tcPr>
          <w:p w:rsidR="0023045F" w:rsidRPr="003A0EFB" w:rsidRDefault="0023045F" w:rsidP="000520C7">
            <w:r w:rsidRPr="003A0EFB">
              <w:t xml:space="preserve">- </w:t>
            </w:r>
            <w:proofErr w:type="gramStart"/>
            <w:r w:rsidRPr="003A0EFB">
              <w:t>to</w:t>
            </w:r>
            <w:proofErr w:type="gramEnd"/>
            <w:r w:rsidRPr="003A0EFB">
              <w:t xml:space="preserve"> provide clarification on type of expression: see explanation, doesn’t correspond to QL</w:t>
            </w:r>
            <w:r w:rsidRPr="003A0EFB">
              <w:br/>
              <w:t>- the 4-notes scale in Ad. 60, 11.2 “observation scale” indicates QN)</w:t>
            </w:r>
          </w:p>
          <w:p w:rsidR="0023045F" w:rsidRPr="003A0EFB" w:rsidRDefault="0023045F" w:rsidP="000520C7">
            <w:r w:rsidRPr="003A0EFB">
              <w:t xml:space="preserve">clarification by TWV needed </w:t>
            </w:r>
          </w:p>
          <w:p w:rsidR="0023045F" w:rsidRPr="003A0EFB" w:rsidRDefault="0023045F" w:rsidP="000520C7">
            <w:r w:rsidRPr="003A0EFB">
              <w:t xml:space="preserve">- in order to avoid confusion, avoid the term notes </w:t>
            </w:r>
          </w:p>
          <w:p w:rsidR="0023045F" w:rsidRPr="003A0EFB" w:rsidRDefault="0023045F" w:rsidP="000520C7">
            <w:pPr>
              <w:rPr>
                <w:i/>
              </w:rPr>
            </w:pPr>
            <w:r w:rsidRPr="003A0EFB">
              <w:rPr>
                <w:i/>
              </w:rPr>
              <w:t>TWV: to replace “notes” with “classes”, to keep QL but delete illustration on Interpretation depending on controls</w:t>
            </w:r>
          </w:p>
          <w:p w:rsidR="0023045F" w:rsidRPr="003A0EFB" w:rsidRDefault="0023045F" w:rsidP="000520C7">
            <w:r w:rsidRPr="003A0EFB">
              <w:t>- to check whether to have separate characteristics for each strain</w:t>
            </w:r>
          </w:p>
          <w:p w:rsidR="0023045F" w:rsidRPr="003A0EFB" w:rsidRDefault="0023045F" w:rsidP="000520C7">
            <w:r w:rsidRPr="003A0EFB">
              <w:t xml:space="preserve">(With </w:t>
            </w:r>
            <w:proofErr w:type="gramStart"/>
            <w:r w:rsidRPr="003A0EFB">
              <w:t>this</w:t>
            </w:r>
            <w:proofErr w:type="gramEnd"/>
            <w:r w:rsidRPr="003A0EFB">
              <w:t xml:space="preserve"> explanation it is very unlikely that notes absent/present are appropriate. In </w:t>
            </w:r>
            <w:proofErr w:type="gramStart"/>
            <w:r w:rsidRPr="003A0EFB">
              <w:t>particular</w:t>
            </w:r>
            <w:proofErr w:type="gramEnd"/>
            <w:r w:rsidRPr="003A0EFB">
              <w:t xml:space="preserve"> the photos and the drawing are confusing. Where is the clear gap between 1 and 9?)</w:t>
            </w:r>
          </w:p>
          <w:p w:rsidR="0023045F" w:rsidRPr="003A0EFB" w:rsidRDefault="0023045F" w:rsidP="000520C7">
            <w:r w:rsidRPr="003A0EFB">
              <w:rPr>
                <w:i/>
              </w:rPr>
              <w:t>TWV:</w:t>
            </w:r>
            <w:r w:rsidRPr="003A0EFB">
              <w:t xml:space="preserve">  </w:t>
            </w:r>
            <w:r w:rsidRPr="003A0EFB">
              <w:rPr>
                <w:i/>
              </w:rPr>
              <w:t xml:space="preserve">to delete all other strains except the strain C as </w:t>
            </w:r>
            <w:proofErr w:type="spellStart"/>
            <w:r w:rsidRPr="003A0EFB">
              <w:rPr>
                <w:i/>
              </w:rPr>
              <w:t>precised</w:t>
            </w:r>
            <w:proofErr w:type="spellEnd"/>
            <w:r w:rsidRPr="003A0EFB">
              <w:rPr>
                <w:i/>
              </w:rPr>
              <w:t xml:space="preserv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30"/>
              <w:gridCol w:w="1418"/>
            </w:tblGrid>
            <w:tr w:rsidR="0023045F" w:rsidRPr="003A0EFB" w:rsidTr="000520C7">
              <w:trPr>
                <w:trHeight w:val="1003"/>
              </w:trPr>
              <w:tc>
                <w:tcPr>
                  <w:tcW w:w="3730" w:type="dxa"/>
                </w:tcPr>
                <w:p w:rsidR="0023045F" w:rsidRPr="003A0EFB" w:rsidRDefault="0023045F" w:rsidP="000520C7">
                  <w:pPr>
                    <w:rPr>
                      <w:bCs/>
                    </w:rPr>
                  </w:pPr>
                  <w:r w:rsidRPr="003A0EFB">
                    <w:rPr>
                      <w:bCs/>
                    </w:rPr>
                    <w:t>Physiological race (Dr</w:t>
                  </w:r>
                  <w:r>
                    <w:rPr>
                      <w:bCs/>
                    </w:rPr>
                    <w:t>.</w:t>
                  </w:r>
                  <w:r w:rsidRPr="003A0EFB">
                    <w:rPr>
                      <w:bCs/>
                    </w:rPr>
                    <w:t xml:space="preserve"> </w:t>
                  </w:r>
                  <w:proofErr w:type="spellStart"/>
                  <w:r w:rsidRPr="003A0EFB">
                    <w:rPr>
                      <w:bCs/>
                    </w:rPr>
                    <w:t>Hubbeling</w:t>
                  </w:r>
                  <w:proofErr w:type="spellEnd"/>
                  <w:r w:rsidRPr="003A0EFB">
                    <w:rPr>
                      <w:bCs/>
                    </w:rPr>
                    <w:t>)</w:t>
                  </w:r>
                </w:p>
                <w:p w:rsidR="0023045F" w:rsidRPr="003A0EFB" w:rsidRDefault="0023045F" w:rsidP="000520C7">
                  <w:pPr>
                    <w:rPr>
                      <w:bCs/>
                    </w:rPr>
                  </w:pPr>
                  <w:r w:rsidRPr="003A0EFB">
                    <w:rPr>
                      <w:bCs/>
                    </w:rPr>
                    <w:t>Strains</w:t>
                  </w:r>
                </w:p>
              </w:tc>
              <w:tc>
                <w:tcPr>
                  <w:tcW w:w="1418" w:type="dxa"/>
                </w:tcPr>
                <w:p w:rsidR="0023045F" w:rsidRPr="003A0EFB" w:rsidRDefault="0023045F" w:rsidP="000520C7">
                  <w:pPr>
                    <w:jc w:val="center"/>
                    <w:rPr>
                      <w:bCs/>
                    </w:rPr>
                  </w:pPr>
                  <w:r w:rsidRPr="003A0EFB">
                    <w:rPr>
                      <w:bCs/>
                    </w:rPr>
                    <w:t>C</w:t>
                  </w:r>
                </w:p>
                <w:p w:rsidR="0023045F" w:rsidRPr="003A0EFB" w:rsidRDefault="0023045F" w:rsidP="000520C7">
                  <w:pPr>
                    <w:jc w:val="center"/>
                    <w:rPr>
                      <w:bCs/>
                    </w:rPr>
                  </w:pPr>
                </w:p>
                <w:p w:rsidR="0023045F" w:rsidRPr="003A0EFB" w:rsidRDefault="0023045F" w:rsidP="000520C7">
                  <w:pPr>
                    <w:jc w:val="center"/>
                    <w:rPr>
                      <w:bCs/>
                    </w:rPr>
                  </w:pPr>
                  <w:proofErr w:type="spellStart"/>
                  <w:r w:rsidRPr="003A0EFB">
                    <w:rPr>
                      <w:bCs/>
                    </w:rPr>
                    <w:t>Tézier</w:t>
                  </w:r>
                  <w:proofErr w:type="spellEnd"/>
                </w:p>
                <w:p w:rsidR="0023045F" w:rsidRPr="003A0EFB" w:rsidRDefault="0023045F" w:rsidP="000520C7">
                  <w:pPr>
                    <w:jc w:val="center"/>
                    <w:rPr>
                      <w:bCs/>
                    </w:rPr>
                  </w:pPr>
                  <w:r w:rsidRPr="003A0EFB">
                    <w:rPr>
                      <w:bCs/>
                    </w:rPr>
                    <w:t>21A.13</w:t>
                  </w:r>
                </w:p>
              </w:tc>
            </w:tr>
            <w:tr w:rsidR="0023045F" w:rsidRPr="003A0EFB" w:rsidTr="000520C7">
              <w:trPr>
                <w:trHeight w:val="187"/>
              </w:trPr>
              <w:tc>
                <w:tcPr>
                  <w:tcW w:w="3730" w:type="dxa"/>
                </w:tcPr>
                <w:p w:rsidR="0023045F" w:rsidRPr="003A0EFB" w:rsidRDefault="0023045F" w:rsidP="000520C7">
                  <w:pPr>
                    <w:rPr>
                      <w:bCs/>
                    </w:rPr>
                  </w:pPr>
                  <w:proofErr w:type="spellStart"/>
                  <w:r w:rsidRPr="003A0EFB">
                    <w:rPr>
                      <w:bCs/>
                    </w:rPr>
                    <w:t>Gullivert</w:t>
                  </w:r>
                  <w:proofErr w:type="spellEnd"/>
                </w:p>
              </w:tc>
              <w:tc>
                <w:tcPr>
                  <w:tcW w:w="1418" w:type="dxa"/>
                </w:tcPr>
                <w:p w:rsidR="0023045F" w:rsidRPr="003A0EFB" w:rsidRDefault="0023045F" w:rsidP="000520C7">
                  <w:pPr>
                    <w:jc w:val="center"/>
                    <w:rPr>
                      <w:bCs/>
                    </w:rPr>
                  </w:pPr>
                  <w:r w:rsidRPr="003A0EFB">
                    <w:rPr>
                      <w:bCs/>
                    </w:rPr>
                    <w:t>S</w:t>
                  </w:r>
                </w:p>
              </w:tc>
            </w:tr>
            <w:tr w:rsidR="0023045F" w:rsidRPr="003A0EFB" w:rsidTr="000520C7">
              <w:tc>
                <w:tcPr>
                  <w:tcW w:w="3730" w:type="dxa"/>
                </w:tcPr>
                <w:p w:rsidR="0023045F" w:rsidRPr="003A0EFB" w:rsidRDefault="0023045F" w:rsidP="000520C7">
                  <w:pPr>
                    <w:rPr>
                      <w:bCs/>
                    </w:rPr>
                  </w:pPr>
                  <w:r w:rsidRPr="003A0EFB">
                    <w:rPr>
                      <w:bCs/>
                    </w:rPr>
                    <w:t>Rondo</w:t>
                  </w:r>
                </w:p>
              </w:tc>
              <w:tc>
                <w:tcPr>
                  <w:tcW w:w="1418" w:type="dxa"/>
                </w:tcPr>
                <w:p w:rsidR="0023045F" w:rsidRPr="003A0EFB" w:rsidRDefault="0023045F" w:rsidP="000520C7">
                  <w:pPr>
                    <w:jc w:val="center"/>
                    <w:rPr>
                      <w:bCs/>
                    </w:rPr>
                  </w:pPr>
                  <w:r w:rsidRPr="003A0EFB">
                    <w:rPr>
                      <w:bCs/>
                    </w:rPr>
                    <w:t>R</w:t>
                  </w:r>
                </w:p>
              </w:tc>
            </w:tr>
            <w:tr w:rsidR="0023045F" w:rsidRPr="003A0EFB" w:rsidTr="000520C7">
              <w:tc>
                <w:tcPr>
                  <w:tcW w:w="3730" w:type="dxa"/>
                </w:tcPr>
                <w:p w:rsidR="0023045F" w:rsidRPr="003A0EFB" w:rsidRDefault="0023045F" w:rsidP="000520C7">
                  <w:pPr>
                    <w:rPr>
                      <w:bCs/>
                    </w:rPr>
                  </w:pPr>
                  <w:r w:rsidRPr="003A0EFB">
                    <w:rPr>
                      <w:bCs/>
                    </w:rPr>
                    <w:t>Finale</w:t>
                  </w:r>
                </w:p>
              </w:tc>
              <w:tc>
                <w:tcPr>
                  <w:tcW w:w="1418" w:type="dxa"/>
                </w:tcPr>
                <w:p w:rsidR="0023045F" w:rsidRPr="003A0EFB" w:rsidRDefault="0023045F" w:rsidP="000520C7">
                  <w:pPr>
                    <w:jc w:val="center"/>
                    <w:rPr>
                      <w:bCs/>
                    </w:rPr>
                  </w:pPr>
                  <w:r w:rsidRPr="003A0EFB">
                    <w:rPr>
                      <w:bCs/>
                    </w:rPr>
                    <w:t>R</w:t>
                  </w:r>
                </w:p>
              </w:tc>
            </w:tr>
            <w:tr w:rsidR="0023045F" w:rsidRPr="003A0EFB" w:rsidTr="000520C7">
              <w:tc>
                <w:tcPr>
                  <w:tcW w:w="3730" w:type="dxa"/>
                </w:tcPr>
                <w:p w:rsidR="0023045F" w:rsidRPr="003A0EFB" w:rsidRDefault="0023045F" w:rsidP="000520C7">
                  <w:pPr>
                    <w:rPr>
                      <w:bCs/>
                    </w:rPr>
                  </w:pPr>
                  <w:proofErr w:type="spellStart"/>
                  <w:r w:rsidRPr="003A0EFB">
                    <w:rPr>
                      <w:bCs/>
                    </w:rPr>
                    <w:t>Kelvedon</w:t>
                  </w:r>
                  <w:proofErr w:type="spellEnd"/>
                  <w:r w:rsidRPr="003A0EFB">
                    <w:rPr>
                      <w:bCs/>
                    </w:rPr>
                    <w:t xml:space="preserve"> Wonder</w:t>
                  </w:r>
                </w:p>
              </w:tc>
              <w:tc>
                <w:tcPr>
                  <w:tcW w:w="1418" w:type="dxa"/>
                </w:tcPr>
                <w:p w:rsidR="0023045F" w:rsidRPr="003A0EFB" w:rsidRDefault="0023045F" w:rsidP="000520C7">
                  <w:pPr>
                    <w:jc w:val="center"/>
                    <w:rPr>
                      <w:bCs/>
                    </w:rPr>
                  </w:pPr>
                  <w:r w:rsidRPr="003A0EFB">
                    <w:rPr>
                      <w:bCs/>
                    </w:rPr>
                    <w:t>S</w:t>
                  </w:r>
                </w:p>
              </w:tc>
            </w:tr>
            <w:tr w:rsidR="0023045F" w:rsidRPr="003A0EFB" w:rsidTr="000520C7">
              <w:tc>
                <w:tcPr>
                  <w:tcW w:w="3730" w:type="dxa"/>
                </w:tcPr>
                <w:p w:rsidR="0023045F" w:rsidRPr="003A0EFB" w:rsidRDefault="0023045F" w:rsidP="000520C7">
                  <w:pPr>
                    <w:rPr>
                      <w:bCs/>
                    </w:rPr>
                  </w:pPr>
                  <w:r w:rsidRPr="003A0EFB">
                    <w:rPr>
                      <w:bCs/>
                    </w:rPr>
                    <w:t>Dark Skin Perfection</w:t>
                  </w:r>
                </w:p>
              </w:tc>
              <w:tc>
                <w:tcPr>
                  <w:tcW w:w="1418" w:type="dxa"/>
                </w:tcPr>
                <w:p w:rsidR="0023045F" w:rsidRPr="003A0EFB" w:rsidRDefault="0023045F" w:rsidP="000520C7">
                  <w:pPr>
                    <w:jc w:val="center"/>
                    <w:rPr>
                      <w:bCs/>
                    </w:rPr>
                  </w:pPr>
                  <w:r w:rsidRPr="003A0EFB">
                    <w:rPr>
                      <w:bCs/>
                    </w:rPr>
                    <w:t>S</w:t>
                  </w:r>
                </w:p>
              </w:tc>
            </w:tr>
            <w:tr w:rsidR="0023045F" w:rsidRPr="003A0EFB" w:rsidTr="000520C7">
              <w:tc>
                <w:tcPr>
                  <w:tcW w:w="3730" w:type="dxa"/>
                </w:tcPr>
                <w:p w:rsidR="0023045F" w:rsidRPr="003A0EFB" w:rsidRDefault="0023045F" w:rsidP="000520C7">
                  <w:pPr>
                    <w:rPr>
                      <w:bCs/>
                    </w:rPr>
                  </w:pPr>
                  <w:proofErr w:type="spellStart"/>
                  <w:r w:rsidRPr="003A0EFB">
                    <w:rPr>
                      <w:bCs/>
                    </w:rPr>
                    <w:t>Arabal</w:t>
                  </w:r>
                  <w:proofErr w:type="spellEnd"/>
                  <w:r w:rsidRPr="003A0EFB">
                    <w:rPr>
                      <w:bCs/>
                    </w:rPr>
                    <w:t xml:space="preserve">, </w:t>
                  </w:r>
                  <w:proofErr w:type="spellStart"/>
                  <w:r w:rsidRPr="003A0EFB">
                    <w:rPr>
                      <w:bCs/>
                    </w:rPr>
                    <w:t>Cobri</w:t>
                  </w:r>
                  <w:proofErr w:type="spellEnd"/>
                  <w:r w:rsidRPr="003A0EFB">
                    <w:rPr>
                      <w:bCs/>
                    </w:rPr>
                    <w:t xml:space="preserve">, </w:t>
                  </w:r>
                  <w:proofErr w:type="spellStart"/>
                  <w:r w:rsidRPr="003A0EFB">
                    <w:rPr>
                      <w:bCs/>
                    </w:rPr>
                    <w:t>Starcovert</w:t>
                  </w:r>
                  <w:proofErr w:type="spellEnd"/>
                  <w:r w:rsidRPr="003A0EFB">
                    <w:rPr>
                      <w:bCs/>
                    </w:rPr>
                    <w:t xml:space="preserve">, </w:t>
                  </w:r>
                  <w:proofErr w:type="spellStart"/>
                  <w:r w:rsidRPr="003A0EFB">
                    <w:rPr>
                      <w:bCs/>
                    </w:rPr>
                    <w:t>Sucovert</w:t>
                  </w:r>
                  <w:proofErr w:type="spellEnd"/>
                  <w:r w:rsidRPr="003A0EFB">
                    <w:rPr>
                      <w:bCs/>
                    </w:rPr>
                    <w:t xml:space="preserve">, </w:t>
                  </w:r>
                  <w:proofErr w:type="spellStart"/>
                  <w:r w:rsidRPr="003A0EFB">
                    <w:rPr>
                      <w:bCs/>
                    </w:rPr>
                    <w:t>Vitalis</w:t>
                  </w:r>
                  <w:proofErr w:type="spellEnd"/>
                </w:p>
              </w:tc>
              <w:tc>
                <w:tcPr>
                  <w:tcW w:w="1418" w:type="dxa"/>
                </w:tcPr>
                <w:p w:rsidR="0023045F" w:rsidRPr="003A0EFB" w:rsidRDefault="0023045F" w:rsidP="000520C7">
                  <w:pPr>
                    <w:jc w:val="center"/>
                    <w:rPr>
                      <w:bCs/>
                    </w:rPr>
                  </w:pPr>
                  <w:r w:rsidRPr="003A0EFB">
                    <w:rPr>
                      <w:bCs/>
                    </w:rPr>
                    <w:t>S</w:t>
                  </w:r>
                </w:p>
              </w:tc>
            </w:tr>
          </w:tbl>
          <w:p w:rsidR="0023045F" w:rsidRPr="003A0EFB" w:rsidRDefault="0023045F" w:rsidP="000520C7">
            <w:r w:rsidRPr="003A0EFB">
              <w:t>R = resistant; S = susceptible</w:t>
            </w:r>
          </w:p>
          <w:p w:rsidR="0023045F" w:rsidRPr="003A0EFB" w:rsidRDefault="0023045F" w:rsidP="000520C7">
            <w:pPr>
              <w:tabs>
                <w:tab w:val="left" w:leader="dot" w:pos="3402"/>
              </w:tabs>
              <w:rPr>
                <w:color w:val="000000"/>
              </w:rPr>
            </w:pPr>
          </w:p>
          <w:p w:rsidR="0023045F" w:rsidRPr="003A0EFB" w:rsidRDefault="0023045F" w:rsidP="000520C7">
            <w:r w:rsidRPr="003A0EFB">
              <w:t>- What means “necrosis at each level of the plant”? Clarification needed.</w:t>
            </w:r>
          </w:p>
          <w:p w:rsidR="0023045F" w:rsidRPr="003A0EFB" w:rsidRDefault="0023045F" w:rsidP="000520C7">
            <w:pPr>
              <w:rPr>
                <w:i/>
              </w:rPr>
            </w:pPr>
            <w:r w:rsidRPr="003A0EFB">
              <w:rPr>
                <w:i/>
              </w:rPr>
              <w:t>TWV: to read “necrosis on all parts of the plant”</w:t>
            </w:r>
          </w:p>
        </w:tc>
      </w:tr>
    </w:tbl>
    <w:p w:rsidR="00394AFF" w:rsidRDefault="00394AFF" w:rsidP="00394AFF">
      <w:pPr>
        <w:jc w:val="left"/>
      </w:pPr>
    </w:p>
    <w:p w:rsidR="00394AFF" w:rsidRDefault="00394AFF" w:rsidP="00394AFF">
      <w:pPr>
        <w:jc w:val="left"/>
      </w:pPr>
    </w:p>
    <w:p w:rsidR="00394AFF" w:rsidRPr="00C651CE" w:rsidRDefault="00394AFF" w:rsidP="00394AFF"/>
    <w:p w:rsidR="00394AFF" w:rsidRDefault="00394AFF" w:rsidP="00394AFF">
      <w:pPr>
        <w:jc w:val="right"/>
      </w:pPr>
      <w:r w:rsidRPr="00C5280D">
        <w:t>[End of document]</w:t>
      </w:r>
    </w:p>
    <w:sectPr w:rsidR="00394AFF" w:rsidSect="00906DDC">
      <w:headerReference w:type="defaul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169" w:rsidRDefault="00085169" w:rsidP="006655D3">
      <w:r>
        <w:separator/>
      </w:r>
    </w:p>
    <w:p w:rsidR="00085169" w:rsidRDefault="00085169" w:rsidP="006655D3"/>
    <w:p w:rsidR="00085169" w:rsidRDefault="00085169" w:rsidP="006655D3"/>
  </w:endnote>
  <w:endnote w:type="continuationSeparator" w:id="0">
    <w:p w:rsidR="00085169" w:rsidRDefault="00085169" w:rsidP="006655D3">
      <w:r>
        <w:separator/>
      </w:r>
    </w:p>
    <w:p w:rsidR="00085169" w:rsidRPr="00294751" w:rsidRDefault="00085169">
      <w:pPr>
        <w:pStyle w:val="Footer"/>
        <w:spacing w:after="60"/>
        <w:rPr>
          <w:sz w:val="18"/>
          <w:lang w:val="fr-FR"/>
        </w:rPr>
      </w:pPr>
      <w:r w:rsidRPr="00294751">
        <w:rPr>
          <w:sz w:val="18"/>
          <w:lang w:val="fr-FR"/>
        </w:rPr>
        <w:t>[Suite de la note de la page précédente]</w:t>
      </w:r>
    </w:p>
    <w:p w:rsidR="00085169" w:rsidRPr="00294751" w:rsidRDefault="00085169" w:rsidP="006655D3">
      <w:pPr>
        <w:rPr>
          <w:lang w:val="fr-FR"/>
        </w:rPr>
      </w:pPr>
    </w:p>
    <w:p w:rsidR="00085169" w:rsidRPr="00294751" w:rsidRDefault="00085169" w:rsidP="006655D3">
      <w:pPr>
        <w:rPr>
          <w:lang w:val="fr-FR"/>
        </w:rPr>
      </w:pPr>
    </w:p>
  </w:endnote>
  <w:endnote w:type="continuationNotice" w:id="1">
    <w:p w:rsidR="00085169" w:rsidRPr="00294751" w:rsidRDefault="00085169" w:rsidP="006655D3">
      <w:pPr>
        <w:rPr>
          <w:lang w:val="fr-FR"/>
        </w:rPr>
      </w:pPr>
      <w:r w:rsidRPr="00294751">
        <w:rPr>
          <w:lang w:val="fr-FR"/>
        </w:rPr>
        <w:t>[Suite de la note page suivante]</w:t>
      </w:r>
    </w:p>
    <w:p w:rsidR="00085169" w:rsidRPr="00294751" w:rsidRDefault="00085169" w:rsidP="006655D3">
      <w:pPr>
        <w:rPr>
          <w:lang w:val="fr-FR"/>
        </w:rPr>
      </w:pPr>
    </w:p>
    <w:p w:rsidR="00085169" w:rsidRPr="00294751" w:rsidRDefault="0008516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169" w:rsidRDefault="00085169" w:rsidP="006655D3">
      <w:r>
        <w:separator/>
      </w:r>
    </w:p>
  </w:footnote>
  <w:footnote w:type="continuationSeparator" w:id="0">
    <w:p w:rsidR="00085169" w:rsidRDefault="00085169" w:rsidP="006655D3">
      <w:r>
        <w:separator/>
      </w:r>
    </w:p>
  </w:footnote>
  <w:footnote w:type="continuationNotice" w:id="1">
    <w:p w:rsidR="00085169" w:rsidRPr="00AB530F" w:rsidRDefault="0008516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567E7" w:rsidP="00EB048E">
    <w:pPr>
      <w:pStyle w:val="Header"/>
      <w:rPr>
        <w:rStyle w:val="PageNumber"/>
        <w:lang w:val="en-US"/>
      </w:rPr>
    </w:pPr>
    <w:r>
      <w:rPr>
        <w:rStyle w:val="PageNumber"/>
        <w:lang w:val="en-US"/>
      </w:rPr>
      <w:t>TC-EDC/</w:t>
    </w:r>
    <w:r w:rsidR="00391BEE">
      <w:rPr>
        <w:rStyle w:val="PageNumber"/>
        <w:lang w:val="en-US"/>
      </w:rPr>
      <w:t>Oct</w:t>
    </w:r>
    <w:r>
      <w:rPr>
        <w:rStyle w:val="PageNumber"/>
        <w:lang w:val="en-US"/>
      </w:rPr>
      <w:t>18/</w:t>
    </w:r>
    <w:r w:rsidR="0023045F">
      <w:rPr>
        <w:rStyle w:val="PageNumber"/>
        <w:lang w:val="en-US"/>
      </w:rPr>
      <w:t>5</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52FC4">
      <w:rPr>
        <w:rStyle w:val="PageNumber"/>
        <w:noProof/>
        <w:lang w:val="en-US"/>
      </w:rPr>
      <w:t>3</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69"/>
    <w:rsid w:val="00010CF3"/>
    <w:rsid w:val="00011E27"/>
    <w:rsid w:val="000148BC"/>
    <w:rsid w:val="00024AB8"/>
    <w:rsid w:val="00030854"/>
    <w:rsid w:val="00036028"/>
    <w:rsid w:val="00044642"/>
    <w:rsid w:val="000446B9"/>
    <w:rsid w:val="00047E21"/>
    <w:rsid w:val="00050E16"/>
    <w:rsid w:val="00085169"/>
    <w:rsid w:val="00085505"/>
    <w:rsid w:val="000C4E25"/>
    <w:rsid w:val="000C7021"/>
    <w:rsid w:val="000D6BBC"/>
    <w:rsid w:val="000D7780"/>
    <w:rsid w:val="000E6267"/>
    <w:rsid w:val="000E636A"/>
    <w:rsid w:val="000F2F11"/>
    <w:rsid w:val="00105929"/>
    <w:rsid w:val="00110C36"/>
    <w:rsid w:val="001131D5"/>
    <w:rsid w:val="00141DB8"/>
    <w:rsid w:val="00172084"/>
    <w:rsid w:val="001721C8"/>
    <w:rsid w:val="0017474A"/>
    <w:rsid w:val="001758C6"/>
    <w:rsid w:val="00182B99"/>
    <w:rsid w:val="001A6625"/>
    <w:rsid w:val="001C1525"/>
    <w:rsid w:val="001C3C25"/>
    <w:rsid w:val="0021332C"/>
    <w:rsid w:val="00213982"/>
    <w:rsid w:val="00214C72"/>
    <w:rsid w:val="00226B27"/>
    <w:rsid w:val="0023045F"/>
    <w:rsid w:val="0024416D"/>
    <w:rsid w:val="00271911"/>
    <w:rsid w:val="002800A0"/>
    <w:rsid w:val="002801B3"/>
    <w:rsid w:val="00281060"/>
    <w:rsid w:val="002940E8"/>
    <w:rsid w:val="00294751"/>
    <w:rsid w:val="002A6E50"/>
    <w:rsid w:val="002B4298"/>
    <w:rsid w:val="002C256A"/>
    <w:rsid w:val="00305A7F"/>
    <w:rsid w:val="003152FE"/>
    <w:rsid w:val="00325ABC"/>
    <w:rsid w:val="00327436"/>
    <w:rsid w:val="00344BD6"/>
    <w:rsid w:val="0035528D"/>
    <w:rsid w:val="00361821"/>
    <w:rsid w:val="00361E9E"/>
    <w:rsid w:val="00391BEE"/>
    <w:rsid w:val="00394AFF"/>
    <w:rsid w:val="0039633A"/>
    <w:rsid w:val="003A662C"/>
    <w:rsid w:val="003C7FBE"/>
    <w:rsid w:val="003D227C"/>
    <w:rsid w:val="003D2B4D"/>
    <w:rsid w:val="003F5F2B"/>
    <w:rsid w:val="00444A88"/>
    <w:rsid w:val="00474DA4"/>
    <w:rsid w:val="00476B4D"/>
    <w:rsid w:val="004805FA"/>
    <w:rsid w:val="00485EDF"/>
    <w:rsid w:val="004935D2"/>
    <w:rsid w:val="004B1215"/>
    <w:rsid w:val="004D047D"/>
    <w:rsid w:val="004F1E9E"/>
    <w:rsid w:val="004F305A"/>
    <w:rsid w:val="00512164"/>
    <w:rsid w:val="00520297"/>
    <w:rsid w:val="005338F9"/>
    <w:rsid w:val="0054281C"/>
    <w:rsid w:val="00544581"/>
    <w:rsid w:val="0055268D"/>
    <w:rsid w:val="00576BE4"/>
    <w:rsid w:val="005A400A"/>
    <w:rsid w:val="005E3BE5"/>
    <w:rsid w:val="005F7B92"/>
    <w:rsid w:val="00612379"/>
    <w:rsid w:val="006153B6"/>
    <w:rsid w:val="0061555F"/>
    <w:rsid w:val="00636CA6"/>
    <w:rsid w:val="00641200"/>
    <w:rsid w:val="00645CA8"/>
    <w:rsid w:val="006567E7"/>
    <w:rsid w:val="006655D3"/>
    <w:rsid w:val="00667404"/>
    <w:rsid w:val="00687EB4"/>
    <w:rsid w:val="00695C56"/>
    <w:rsid w:val="006A5CDE"/>
    <w:rsid w:val="006A644A"/>
    <w:rsid w:val="006B17D2"/>
    <w:rsid w:val="006C224E"/>
    <w:rsid w:val="006D780A"/>
    <w:rsid w:val="0071271E"/>
    <w:rsid w:val="0072729F"/>
    <w:rsid w:val="00732DEC"/>
    <w:rsid w:val="00735BD5"/>
    <w:rsid w:val="007451EC"/>
    <w:rsid w:val="00751613"/>
    <w:rsid w:val="007556F6"/>
    <w:rsid w:val="00760EEF"/>
    <w:rsid w:val="00777EE5"/>
    <w:rsid w:val="00784836"/>
    <w:rsid w:val="0079023E"/>
    <w:rsid w:val="007A2854"/>
    <w:rsid w:val="007C1D92"/>
    <w:rsid w:val="007C4CB9"/>
    <w:rsid w:val="007D0B9D"/>
    <w:rsid w:val="007D19B0"/>
    <w:rsid w:val="007D4635"/>
    <w:rsid w:val="007F498F"/>
    <w:rsid w:val="0080679D"/>
    <w:rsid w:val="008108B0"/>
    <w:rsid w:val="00811B20"/>
    <w:rsid w:val="008211B5"/>
    <w:rsid w:val="0082296E"/>
    <w:rsid w:val="00824099"/>
    <w:rsid w:val="00846D7C"/>
    <w:rsid w:val="00867AC1"/>
    <w:rsid w:val="00890DF8"/>
    <w:rsid w:val="008A743F"/>
    <w:rsid w:val="008C0970"/>
    <w:rsid w:val="008D0BC5"/>
    <w:rsid w:val="008D2CF7"/>
    <w:rsid w:val="00900C26"/>
    <w:rsid w:val="0090197F"/>
    <w:rsid w:val="00903264"/>
    <w:rsid w:val="00906DDC"/>
    <w:rsid w:val="00916216"/>
    <w:rsid w:val="00934E09"/>
    <w:rsid w:val="00936253"/>
    <w:rsid w:val="00940D46"/>
    <w:rsid w:val="00952DD4"/>
    <w:rsid w:val="00965AE7"/>
    <w:rsid w:val="00970FED"/>
    <w:rsid w:val="00992D82"/>
    <w:rsid w:val="00997029"/>
    <w:rsid w:val="009A7339"/>
    <w:rsid w:val="009B440E"/>
    <w:rsid w:val="009D690D"/>
    <w:rsid w:val="009E65B6"/>
    <w:rsid w:val="009F77CF"/>
    <w:rsid w:val="00A24C10"/>
    <w:rsid w:val="00A3365A"/>
    <w:rsid w:val="00A42AC3"/>
    <w:rsid w:val="00A430CF"/>
    <w:rsid w:val="00A54309"/>
    <w:rsid w:val="00A9274B"/>
    <w:rsid w:val="00AB2B93"/>
    <w:rsid w:val="00AB530F"/>
    <w:rsid w:val="00AB7E5B"/>
    <w:rsid w:val="00AC2883"/>
    <w:rsid w:val="00AE0EF1"/>
    <w:rsid w:val="00AE2937"/>
    <w:rsid w:val="00B07301"/>
    <w:rsid w:val="00B11F3E"/>
    <w:rsid w:val="00B167E2"/>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2FC4"/>
    <w:rsid w:val="00C53EB3"/>
    <w:rsid w:val="00C5791C"/>
    <w:rsid w:val="00C66290"/>
    <w:rsid w:val="00C72B7A"/>
    <w:rsid w:val="00C81AFE"/>
    <w:rsid w:val="00C973F2"/>
    <w:rsid w:val="00CA304C"/>
    <w:rsid w:val="00CA774A"/>
    <w:rsid w:val="00CC11B0"/>
    <w:rsid w:val="00CC2841"/>
    <w:rsid w:val="00CF1330"/>
    <w:rsid w:val="00CF7E36"/>
    <w:rsid w:val="00D3708D"/>
    <w:rsid w:val="00D40426"/>
    <w:rsid w:val="00D57C96"/>
    <w:rsid w:val="00D57D18"/>
    <w:rsid w:val="00D91203"/>
    <w:rsid w:val="00D95174"/>
    <w:rsid w:val="00DA4476"/>
    <w:rsid w:val="00DA4973"/>
    <w:rsid w:val="00DA6F36"/>
    <w:rsid w:val="00DB596E"/>
    <w:rsid w:val="00DB7773"/>
    <w:rsid w:val="00DC00EA"/>
    <w:rsid w:val="00DC3802"/>
    <w:rsid w:val="00E07D87"/>
    <w:rsid w:val="00E32F7E"/>
    <w:rsid w:val="00E5267B"/>
    <w:rsid w:val="00E63C0E"/>
    <w:rsid w:val="00E72D49"/>
    <w:rsid w:val="00E7593C"/>
    <w:rsid w:val="00E7678A"/>
    <w:rsid w:val="00E935F1"/>
    <w:rsid w:val="00E94A81"/>
    <w:rsid w:val="00EA1FFB"/>
    <w:rsid w:val="00EB048E"/>
    <w:rsid w:val="00EB4E9C"/>
    <w:rsid w:val="00EE34DF"/>
    <w:rsid w:val="00EF2F89"/>
    <w:rsid w:val="00F03E98"/>
    <w:rsid w:val="00F1237A"/>
    <w:rsid w:val="00F22CBD"/>
    <w:rsid w:val="00F272F1"/>
    <w:rsid w:val="00F45372"/>
    <w:rsid w:val="00F560F7"/>
    <w:rsid w:val="00F6334D"/>
    <w:rsid w:val="00F63599"/>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4294823E-9C2F-459A-8027-FA7B554AC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916216"/>
    <w:rPr>
      <w:rFonts w:ascii="Arial" w:hAnsi="Arial"/>
      <w:u w:val="single"/>
      <w:lang w:val="fr-FR"/>
    </w:rPr>
  </w:style>
  <w:style w:type="character" w:customStyle="1" w:styleId="BodyTextChar">
    <w:name w:val="Body Text Char"/>
    <w:link w:val="BodyText"/>
    <w:locked/>
    <w:rsid w:val="00B167E2"/>
    <w:rPr>
      <w:rFonts w:ascii="Arial" w:hAnsi="Arial"/>
    </w:rPr>
  </w:style>
  <w:style w:type="paragraph" w:customStyle="1" w:styleId="Default">
    <w:name w:val="Default"/>
    <w:rsid w:val="0023045F"/>
    <w:pPr>
      <w:autoSpaceDE w:val="0"/>
      <w:autoSpaceDN w:val="0"/>
      <w:adjustRightInd w:val="0"/>
    </w:pPr>
    <w:rPr>
      <w:rFonts w:ascii="Arial" w:hAnsi="Arial" w:cs="Arial"/>
      <w:color w:val="000000"/>
      <w:sz w:val="24"/>
      <w:szCs w:val="24"/>
    </w:rPr>
  </w:style>
  <w:style w:type="table" w:styleId="TableGrid">
    <w:name w:val="Table Grid"/>
    <w:basedOn w:val="TableNormal"/>
    <w:rsid w:val="002304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upov.int/meetings/en/doc_details.jsp?meeting_id=47208&amp;doc_id=413400" TargetMode="External"/><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upov.int/meetings/en/doc_details.jsp?meeting_id=46070&amp;doc_id=400697" TargetMode="Externa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www.geves.fr"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endnotes" Target="endnotes.xml"/><Relationship Id="rId15" Type="http://schemas.openxmlformats.org/officeDocument/2006/relationships/hyperlink" Target="mailto:matref@geves.fr"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image" Target="media/image7.jpe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_EDC\TC_EDC_18_Oct_Mtg\template\tc_edc_oct_18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tc_edc_oct_18_EN.dotx</Template>
  <TotalTime>0</TotalTime>
  <Pages>3</Pages>
  <Words>554</Words>
  <Characters>3187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TC-EDC/Oct18</vt:lpstr>
    </vt:vector>
  </TitlesOfParts>
  <Company>UPOV</Company>
  <LinksUpToDate>false</LinksUpToDate>
  <CharactersWithSpaces>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TC-EDC/Oct18</dc:title>
  <dc:creator>OERTEL Romy</dc:creator>
  <cp:keywords>TC-EDC/Oct18</cp:keywords>
  <cp:lastModifiedBy>Romy Oertel</cp:lastModifiedBy>
  <cp:revision>7</cp:revision>
  <cp:lastPrinted>2018-10-19T08:43:00Z</cp:lastPrinted>
  <dcterms:created xsi:type="dcterms:W3CDTF">2018-10-10T11:23:00Z</dcterms:created>
  <dcterms:modified xsi:type="dcterms:W3CDTF">2018-10-19T08:44:00Z</dcterms:modified>
</cp:coreProperties>
</file>