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:rsidTr="00EB4E9C">
        <w:tc>
          <w:tcPr>
            <w:tcW w:w="6522" w:type="dxa"/>
          </w:tcPr>
          <w:p w:rsidR="00DC3802" w:rsidRPr="00C40CC2" w:rsidRDefault="00DC3802" w:rsidP="00AC2883">
            <w:r w:rsidRPr="00C40CC2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:rsidTr="00645CA8">
        <w:trPr>
          <w:trHeight w:val="219"/>
        </w:trPr>
        <w:tc>
          <w:tcPr>
            <w:tcW w:w="6522" w:type="dxa"/>
          </w:tcPr>
          <w:p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C40CC2" w:rsidRDefault="00DC3802" w:rsidP="00DA4973"/>
        </w:tc>
      </w:tr>
    </w:tbl>
    <w:p w:rsidR="00DC3802" w:rsidRPr="00C40CC2" w:rsidRDefault="00DC3802" w:rsidP="00DC3802"/>
    <w:p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:rsidTr="00EB4E9C">
        <w:tc>
          <w:tcPr>
            <w:tcW w:w="6512" w:type="dxa"/>
          </w:tcPr>
          <w:p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:rsidR="000E6267" w:rsidRPr="003F3D01" w:rsidRDefault="000E6267" w:rsidP="007D4635">
            <w:pPr>
              <w:pStyle w:val="Sessiontcplacedate"/>
            </w:pPr>
          </w:p>
          <w:p w:rsidR="00EB4E9C" w:rsidRPr="003F3D01" w:rsidRDefault="00EB4E9C" w:rsidP="00BD7A5C">
            <w:pPr>
              <w:pStyle w:val="Sessiontcplacedate"/>
              <w:rPr>
                <w:sz w:val="22"/>
              </w:rPr>
            </w:pPr>
            <w:r w:rsidRPr="003F3D01">
              <w:t xml:space="preserve">Geneva, </w:t>
            </w:r>
            <w:r w:rsidR="00826260">
              <w:t>March</w:t>
            </w:r>
            <w:r w:rsidR="00DC769D" w:rsidRPr="003F3D01">
              <w:t xml:space="preserve"> </w:t>
            </w:r>
            <w:r w:rsidR="00BD7A5C">
              <w:t>20</w:t>
            </w:r>
            <w:r w:rsidR="00DC769D" w:rsidRPr="003F3D01">
              <w:t xml:space="preserve"> and </w:t>
            </w:r>
            <w:r w:rsidR="00826260">
              <w:t>2</w:t>
            </w:r>
            <w:r w:rsidR="00BD7A5C">
              <w:t>1</w:t>
            </w:r>
            <w:r w:rsidRPr="003F3D01">
              <w:t>, 20</w:t>
            </w:r>
            <w:r w:rsidR="007E1C9C" w:rsidRPr="003F3D01">
              <w:t>2</w:t>
            </w:r>
            <w:r w:rsidR="00BD7A5C">
              <w:t>3</w:t>
            </w:r>
          </w:p>
        </w:tc>
        <w:tc>
          <w:tcPr>
            <w:tcW w:w="3127" w:type="dxa"/>
          </w:tcPr>
          <w:p w:rsidR="00EB4E9C" w:rsidRPr="003F3D01" w:rsidRDefault="000E6267" w:rsidP="003C7FBE">
            <w:pPr>
              <w:pStyle w:val="Doccode"/>
            </w:pPr>
            <w:r w:rsidRPr="003F3D01">
              <w:t>TC-EDC</w:t>
            </w:r>
            <w:r w:rsidR="00A3365A" w:rsidRPr="003F3D01">
              <w:t>/</w:t>
            </w:r>
            <w:r w:rsidR="00826260">
              <w:t>Mar2</w:t>
            </w:r>
            <w:r w:rsidR="00BD7A5C">
              <w:t>3</w:t>
            </w:r>
            <w:r w:rsidR="00EB4E9C" w:rsidRPr="003F3D01">
              <w:t>/</w:t>
            </w:r>
            <w:r w:rsidR="00CE1861">
              <w:t>5</w:t>
            </w:r>
          </w:p>
          <w:p w:rsidR="00EB4E9C" w:rsidRPr="003F3D01" w:rsidRDefault="00EB4E9C" w:rsidP="003C7FBE">
            <w:pPr>
              <w:pStyle w:val="Docoriginal"/>
            </w:pPr>
            <w:r w:rsidRPr="003F3D01">
              <w:t>Original:</w:t>
            </w:r>
            <w:r w:rsidRPr="003F3D01">
              <w:rPr>
                <w:b w:val="0"/>
                <w:spacing w:val="0"/>
              </w:rPr>
              <w:t xml:space="preserve">  English</w:t>
            </w:r>
          </w:p>
          <w:p w:rsidR="00EB4E9C" w:rsidRPr="003F3D01" w:rsidRDefault="00EB4E9C" w:rsidP="00CE1861">
            <w:pPr>
              <w:pStyle w:val="Docoriginal"/>
            </w:pPr>
            <w:r w:rsidRPr="008C560F">
              <w:t>Date:</w:t>
            </w:r>
            <w:r w:rsidRPr="008C560F">
              <w:rPr>
                <w:b w:val="0"/>
                <w:spacing w:val="0"/>
              </w:rPr>
              <w:t xml:space="preserve">  </w:t>
            </w:r>
            <w:r w:rsidR="00CE1861" w:rsidRPr="008C560F">
              <w:rPr>
                <w:b w:val="0"/>
                <w:spacing w:val="0"/>
              </w:rPr>
              <w:t>February 1</w:t>
            </w:r>
            <w:r w:rsidR="00BD7A5C" w:rsidRPr="008C560F">
              <w:rPr>
                <w:b w:val="0"/>
                <w:spacing w:val="0"/>
              </w:rPr>
              <w:t>, 2023</w:t>
            </w:r>
          </w:p>
        </w:tc>
      </w:tr>
    </w:tbl>
    <w:p w:rsidR="000D7780" w:rsidRPr="003F3D01" w:rsidRDefault="001C7A1E" w:rsidP="006A644A">
      <w:pPr>
        <w:pStyle w:val="Titleofdoc0"/>
      </w:pPr>
      <w:bookmarkStart w:id="0" w:name="TitleOfDoc"/>
      <w:bookmarkEnd w:id="0"/>
      <w:r>
        <w:t xml:space="preserve">Matters to be resolved concerning Test Guidelines put forward for adoption by the Technical Committee:  </w:t>
      </w:r>
      <w:r w:rsidR="003B2AD8">
        <w:rPr>
          <w:rFonts w:cs="Arial"/>
        </w:rPr>
        <w:t>Ling, Scots Heather</w:t>
      </w:r>
    </w:p>
    <w:p w:rsidR="006A644A" w:rsidRPr="003F3D01" w:rsidRDefault="004E02FA" w:rsidP="006A644A">
      <w:pPr>
        <w:pStyle w:val="preparedby1"/>
        <w:jc w:val="left"/>
      </w:pPr>
      <w:bookmarkStart w:id="1" w:name="Prepared"/>
      <w:bookmarkEnd w:id="1"/>
      <w:r>
        <w:t xml:space="preserve">Document </w:t>
      </w:r>
      <w:r w:rsidR="0061555F" w:rsidRPr="003F3D01">
        <w:t>prepared by the Office of the Union</w:t>
      </w:r>
    </w:p>
    <w:p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:rsidR="001C7A1E" w:rsidRDefault="001C7A1E" w:rsidP="001C7A1E">
      <w:pPr>
        <w:autoSpaceDE w:val="0"/>
        <w:autoSpaceDN w:val="0"/>
        <w:adjustRightInd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Enlarged Editorial Committee (TC-EDC) </w:t>
      </w:r>
      <w:r w:rsidRPr="00003DA0">
        <w:t>at its meeting</w:t>
      </w:r>
      <w:r>
        <w:t xml:space="preserve"> on October 18, 19 and 24, 2022, considered the </w:t>
      </w:r>
      <w:r w:rsidRPr="002B6F72">
        <w:rPr>
          <w:rFonts w:cs="Arial"/>
        </w:rPr>
        <w:t xml:space="preserve">draft Test Guidelines for </w:t>
      </w:r>
      <w:r w:rsidR="003B2AD8">
        <w:rPr>
          <w:rFonts w:cs="Arial"/>
        </w:rPr>
        <w:t>Ling, Scots Heather</w:t>
      </w:r>
      <w:r w:rsidR="003B2AD8">
        <w:t xml:space="preserve"> </w:t>
      </w:r>
      <w:r>
        <w:rPr>
          <w:rFonts w:cs="Arial"/>
        </w:rPr>
        <w:t>(</w:t>
      </w:r>
      <w:r>
        <w:t xml:space="preserve">document </w:t>
      </w:r>
      <w:hyperlink r:id="rId7" w:history="1">
        <w:r w:rsidR="003B2AD8" w:rsidRPr="003B2AD8">
          <w:rPr>
            <w:rFonts w:cs="Arial"/>
            <w:color w:val="0066CC"/>
            <w:u w:val="single"/>
            <w:shd w:val="clear" w:color="auto" w:fill="FFFFFF"/>
          </w:rPr>
          <w:t>TG/94/7(PROJ.3)</w:t>
        </w:r>
      </w:hyperlink>
      <w:r>
        <w:t xml:space="preserve">) and </w:t>
      </w:r>
      <w:r w:rsidRPr="002B6F72">
        <w:rPr>
          <w:rFonts w:cs="Arial"/>
        </w:rPr>
        <w:t xml:space="preserve">agreed that </w:t>
      </w:r>
      <w:r>
        <w:rPr>
          <w:rFonts w:cs="Arial"/>
        </w:rPr>
        <w:t>it</w:t>
      </w:r>
      <w:r w:rsidRPr="002B6F72">
        <w:rPr>
          <w:rFonts w:cs="Arial"/>
        </w:rPr>
        <w:t xml:space="preserve"> required editorial clarifications to be provided by the Leading Expert.  </w:t>
      </w:r>
      <w:r w:rsidR="00B46E4E">
        <w:rPr>
          <w:rFonts w:cs="Arial"/>
        </w:rPr>
        <w:t>T</w:t>
      </w:r>
      <w:r w:rsidRPr="002B6F72">
        <w:rPr>
          <w:rFonts w:cs="Arial"/>
        </w:rPr>
        <w:t xml:space="preserve">he TC-EDC </w:t>
      </w:r>
      <w:r w:rsidRPr="002B6F72">
        <w:t>agreed to reconsider the draft Test</w:t>
      </w:r>
      <w:r>
        <w:t> </w:t>
      </w:r>
      <w:r w:rsidRPr="002B6F72">
        <w:t xml:space="preserve">Guidelines at its meeting to </w:t>
      </w:r>
      <w:proofErr w:type="gramStart"/>
      <w:r w:rsidRPr="002B6F72">
        <w:t>be held</w:t>
      </w:r>
      <w:proofErr w:type="gramEnd"/>
      <w:r w:rsidRPr="002B6F72">
        <w:t xml:space="preserve"> in </w:t>
      </w:r>
      <w:r>
        <w:t>March 2023</w:t>
      </w:r>
      <w:r w:rsidRPr="002B6F72">
        <w:t>.</w:t>
      </w:r>
      <w:r w:rsidRPr="00003DA0">
        <w:t xml:space="preserve">  </w:t>
      </w:r>
    </w:p>
    <w:p w:rsidR="001C7A1E" w:rsidRDefault="001C7A1E" w:rsidP="001C7A1E">
      <w:pPr>
        <w:autoSpaceDE w:val="0"/>
        <w:autoSpaceDN w:val="0"/>
        <w:adjustRightInd w:val="0"/>
      </w:pPr>
    </w:p>
    <w:p w:rsidR="001C7A1E" w:rsidRDefault="001C7A1E" w:rsidP="001C7A1E">
      <w:pPr>
        <w:autoSpaceDE w:val="0"/>
        <w:autoSpaceDN w:val="0"/>
        <w:adjustRightInd w:val="0"/>
      </w:pPr>
      <w:r>
        <w:rPr>
          <w:rFonts w:cs="Arial"/>
          <w:bCs/>
          <w:snapToGrid w:val="0"/>
          <w:color w:val="000000"/>
        </w:rPr>
        <w:fldChar w:fldCharType="begin"/>
      </w:r>
      <w:r>
        <w:rPr>
          <w:rFonts w:cs="Arial"/>
          <w:bCs/>
          <w:snapToGrid w:val="0"/>
          <w:color w:val="000000"/>
        </w:rPr>
        <w:instrText xml:space="preserve"> AUTONUM  </w:instrText>
      </w:r>
      <w:r>
        <w:rPr>
          <w:rFonts w:cs="Arial"/>
          <w:bCs/>
          <w:snapToGrid w:val="0"/>
          <w:color w:val="000000"/>
        </w:rPr>
        <w:fldChar w:fldCharType="end"/>
      </w:r>
      <w:r>
        <w:rPr>
          <w:rFonts w:cs="Arial"/>
          <w:bCs/>
          <w:snapToGrid w:val="0"/>
          <w:color w:val="000000"/>
        </w:rPr>
        <w:tab/>
        <w:t xml:space="preserve">Recommendations from the TC-EDC on the draft Test Guidelines for </w:t>
      </w:r>
      <w:r w:rsidR="003B2AD8">
        <w:rPr>
          <w:rFonts w:cs="Arial"/>
        </w:rPr>
        <w:t>Ling, Scots Heather</w:t>
      </w:r>
      <w:r>
        <w:rPr>
          <w:rFonts w:cs="Arial"/>
          <w:bCs/>
          <w:snapToGrid w:val="0"/>
          <w:color w:val="000000"/>
        </w:rPr>
        <w:t xml:space="preserve"> </w:t>
      </w:r>
      <w:proofErr w:type="gramStart"/>
      <w:r>
        <w:t>are presented</w:t>
      </w:r>
      <w:proofErr w:type="gramEnd"/>
      <w:r>
        <w:t xml:space="preserve"> in the table below</w:t>
      </w:r>
      <w:r>
        <w:rPr>
          <w:rFonts w:cs="Arial"/>
          <w:bCs/>
          <w:snapToGrid w:val="0"/>
          <w:color w:val="000000"/>
        </w:rPr>
        <w:t xml:space="preserve">, including the </w:t>
      </w:r>
      <w:r w:rsidRPr="002B6F72">
        <w:rPr>
          <w:rFonts w:cs="Arial"/>
        </w:rPr>
        <w:t xml:space="preserve">required editorial clarifications (indicated </w:t>
      </w:r>
      <w:r>
        <w:rPr>
          <w:rFonts w:cs="Arial"/>
        </w:rPr>
        <w:t xml:space="preserve">with </w:t>
      </w:r>
      <w:r w:rsidRPr="002B6F72">
        <w:rPr>
          <w:rFonts w:cs="Arial"/>
        </w:rPr>
        <w:t>“</w:t>
      </w:r>
      <w:r w:rsidRPr="002B6F72">
        <w:rPr>
          <w:rFonts w:cs="Arial"/>
          <w:vertAlign w:val="superscript"/>
        </w:rPr>
        <w:t>#</w:t>
      </w:r>
      <w:r w:rsidRPr="002B6F72">
        <w:rPr>
          <w:rFonts w:cs="Arial"/>
        </w:rPr>
        <w:t>”)</w:t>
      </w:r>
      <w:r>
        <w:rPr>
          <w:rFonts w:cs="Arial"/>
        </w:rPr>
        <w:t xml:space="preserve"> and </w:t>
      </w:r>
      <w:r>
        <w:t>responses from the Leading Expert, M</w:t>
      </w:r>
      <w:r w:rsidR="003B2AD8">
        <w:t>s</w:t>
      </w:r>
      <w:r>
        <w:t xml:space="preserve">. </w:t>
      </w:r>
      <w:r w:rsidR="003B2AD8">
        <w:t>Daniela Christ</w:t>
      </w:r>
      <w:r w:rsidR="00B46E4E" w:rsidRPr="00B46E4E">
        <w:t xml:space="preserve"> </w:t>
      </w:r>
      <w:r>
        <w:t>(</w:t>
      </w:r>
      <w:r w:rsidR="003B2AD8">
        <w:t>Germany</w:t>
      </w:r>
      <w:r>
        <w:t>):</w:t>
      </w:r>
    </w:p>
    <w:p w:rsidR="001C7A1E" w:rsidRDefault="001C7A1E" w:rsidP="00BD7A5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8066"/>
      </w:tblGrid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Cover page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add “</w:t>
            </w:r>
            <w:proofErr w:type="spellStart"/>
            <w:r>
              <w:rPr>
                <w:rFonts w:cs="Arial"/>
                <w:color w:val="000000"/>
              </w:rPr>
              <w:t>Bruyère</w:t>
            </w:r>
            <w:proofErr w:type="spellEnd"/>
            <w:r>
              <w:rPr>
                <w:rFonts w:cs="Arial"/>
                <w:color w:val="000000"/>
              </w:rPr>
              <w:t xml:space="preserve"> commune” and “</w:t>
            </w:r>
            <w:proofErr w:type="spellStart"/>
            <w:r>
              <w:rPr>
                <w:rFonts w:cs="Arial"/>
                <w:color w:val="000000"/>
              </w:rPr>
              <w:t>Bruyère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callune</w:t>
            </w:r>
            <w:proofErr w:type="spellEnd"/>
            <w:r>
              <w:rPr>
                <w:rFonts w:cs="Arial"/>
                <w:color w:val="000000"/>
              </w:rPr>
              <w:t>” as French alternative names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ind w:left="567" w:hanging="56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2.2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delete “well-rooted”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vertAlign w:val="superscript"/>
              </w:rPr>
              <w:t>#</w:t>
            </w:r>
            <w:r>
              <w:rPr>
                <w:rFonts w:cs="Arial"/>
                <w:color w:val="000000"/>
              </w:rPr>
              <w:t>Table of chars.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DF4BBD" w:rsidRDefault="003B2AD8">
            <w:pPr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to check whether to reduce “Only varieties with…” exclusions from the char. title and find </w:t>
            </w:r>
            <w:r w:rsidRPr="00DF4BBD">
              <w:rPr>
                <w:rFonts w:cs="Arial"/>
              </w:rPr>
              <w:t>a better approach (possible explanations in Chapter 8.1)</w:t>
            </w:r>
          </w:p>
          <w:p w:rsidR="003B2AD8" w:rsidRPr="00DF4BBD" w:rsidRDefault="003B2AD8">
            <w:pPr>
              <w:rPr>
                <w:rFonts w:cs="Arial"/>
                <w:i/>
              </w:rPr>
            </w:pPr>
            <w:r w:rsidRPr="00DF4BBD">
              <w:rPr>
                <w:rFonts w:cs="Arial"/>
                <w:i/>
              </w:rPr>
              <w:t>Leading Expert agreed and proposes the following changes:</w:t>
            </w:r>
          </w:p>
          <w:p w:rsidR="003B2AD8" w:rsidRPr="00DF4BBD" w:rsidRDefault="003B2AD8">
            <w:pPr>
              <w:ind w:left="275" w:hanging="275"/>
              <w:rPr>
                <w:rFonts w:cs="Arial"/>
                <w:i/>
              </w:rPr>
            </w:pPr>
            <w:r w:rsidRPr="00DF4BBD">
              <w:rPr>
                <w:rFonts w:cs="Arial"/>
                <w:i/>
              </w:rPr>
              <w:t>-</w:t>
            </w:r>
            <w:r w:rsidRPr="00DF4BBD">
              <w:rPr>
                <w:i/>
              </w:rPr>
              <w:tab/>
            </w:r>
            <w:r w:rsidRPr="00DF4BBD">
              <w:rPr>
                <w:rFonts w:cs="Arial"/>
                <w:i/>
              </w:rPr>
              <w:t>to delete exclusion “Only varieties with … “ in characteristics 19 to 23</w:t>
            </w:r>
          </w:p>
          <w:p w:rsidR="003B2AD8" w:rsidRPr="00DF4BBD" w:rsidRDefault="003B2AD8">
            <w:pPr>
              <w:ind w:left="275" w:hanging="275"/>
              <w:rPr>
                <w:i/>
              </w:rPr>
            </w:pPr>
            <w:r w:rsidRPr="00DF4BBD">
              <w:rPr>
                <w:rFonts w:cs="Arial"/>
                <w:i/>
              </w:rPr>
              <w:t>-</w:t>
            </w:r>
            <w:r w:rsidRPr="00DF4BBD">
              <w:rPr>
                <w:i/>
              </w:rPr>
              <w:tab/>
            </w:r>
            <w:r w:rsidRPr="00DF4BBD">
              <w:rPr>
                <w:rFonts w:cs="Arial"/>
                <w:i/>
              </w:rPr>
              <w:t>to merge char. 19 and 22 as follows: characteristic 19 to read “</w:t>
            </w:r>
            <w:r w:rsidRPr="00DF4BBD">
              <w:rPr>
                <w:i/>
              </w:rPr>
              <w:t xml:space="preserve">Flower: main color of outer side of sepal </w:t>
            </w:r>
            <w:r w:rsidRPr="00DF4BBD">
              <w:rPr>
                <w:i/>
                <w:u w:val="single"/>
              </w:rPr>
              <w:t>at beginning of flowering</w:t>
            </w:r>
            <w:r w:rsidRPr="00DF4BBD">
              <w:rPr>
                <w:i/>
              </w:rPr>
              <w:t>” and to delete characteristic 22 “</w:t>
            </w:r>
          </w:p>
          <w:p w:rsidR="003B2AD8" w:rsidRPr="00DF4BBD" w:rsidRDefault="003B2AD8">
            <w:pPr>
              <w:ind w:left="275" w:hanging="275"/>
              <w:rPr>
                <w:i/>
              </w:rPr>
            </w:pPr>
            <w:r w:rsidRPr="00DF4BBD">
              <w:rPr>
                <w:rFonts w:cs="Arial"/>
                <w:i/>
              </w:rPr>
              <w:t>-</w:t>
            </w:r>
            <w:r w:rsidRPr="00DF4BBD">
              <w:rPr>
                <w:i/>
              </w:rPr>
              <w:tab/>
              <w:t>characteristic 21</w:t>
            </w:r>
            <w:r w:rsidRPr="00DF4BBD">
              <w:rPr>
                <w:rFonts w:cs="Arial"/>
                <w:i/>
              </w:rPr>
              <w:t xml:space="preserve"> to read “</w:t>
            </w:r>
            <w:r w:rsidRPr="00DF4BBD">
              <w:rPr>
                <w:i/>
              </w:rPr>
              <w:t xml:space="preserve">Flower: color of outer side of petal </w:t>
            </w:r>
            <w:r w:rsidRPr="00DF4BBD">
              <w:rPr>
                <w:i/>
                <w:u w:val="single"/>
              </w:rPr>
              <w:t>at end of flowering</w:t>
            </w:r>
            <w:r w:rsidRPr="00DF4BBD">
              <w:rPr>
                <w:i/>
              </w:rPr>
              <w:t>”</w:t>
            </w:r>
          </w:p>
          <w:p w:rsidR="003B2AD8" w:rsidRPr="00DF4BBD" w:rsidRDefault="003B2AD8" w:rsidP="00DF4BBD">
            <w:pPr>
              <w:ind w:left="275" w:hanging="275"/>
              <w:rPr>
                <w:i/>
              </w:rPr>
            </w:pPr>
            <w:r w:rsidRPr="00DF4BBD">
              <w:rPr>
                <w:i/>
              </w:rPr>
              <w:t>-</w:t>
            </w:r>
            <w:r w:rsidRPr="00DF4BBD">
              <w:rPr>
                <w:i/>
              </w:rPr>
              <w:tab/>
              <w:t xml:space="preserve">to move characteristic 23 before characteristic 20 and to read “Flower: main color of outer side of sepal </w:t>
            </w:r>
            <w:r w:rsidRPr="00DF4BBD">
              <w:rPr>
                <w:i/>
                <w:u w:val="single"/>
              </w:rPr>
              <w:t>at end of flowering</w:t>
            </w:r>
            <w:r w:rsidRPr="00DF4BBD">
              <w:rPr>
                <w:i/>
              </w:rPr>
              <w:t>”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Char. 4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to add MS 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Char. 5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read “Shoot: color”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Char. 6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to</w:t>
            </w:r>
            <w:proofErr w:type="gramEnd"/>
            <w:r>
              <w:rPr>
                <w:rFonts w:cs="Arial"/>
                <w:color w:val="000000"/>
              </w:rPr>
              <w:t xml:space="preserve"> read “… Shoot apex: leaf color”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Char. 7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to</w:t>
            </w:r>
            <w:proofErr w:type="gramEnd"/>
            <w:r>
              <w:rPr>
                <w:rFonts w:cs="Arial"/>
                <w:color w:val="000000"/>
              </w:rPr>
              <w:t xml:space="preserve"> read “… Shoot apex: leaf color on sunny side in winter”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r>
              <w:t>Chars. 7, 11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r>
              <w:t>to replace “black purple” with “blackish purple”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r>
              <w:t>Chars. 8 to 11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r>
              <w:t>to replace “main color” by “color”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DF4BBD" w:rsidRDefault="003B2AD8">
            <w:r w:rsidRPr="00DF4BBD">
              <w:t>Chars. 9 to 11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Pr="00DF4BBD" w:rsidRDefault="003B2AD8">
            <w:pPr>
              <w:rPr>
                <w:i/>
              </w:rPr>
            </w:pPr>
            <w:r w:rsidRPr="00DF4BBD">
              <w:rPr>
                <w:i/>
              </w:rPr>
              <w:t>Leading Expert: to underline the observation period (“…</w:t>
            </w:r>
            <w:r w:rsidRPr="00DF4BBD">
              <w:rPr>
                <w:i/>
                <w:u w:val="single"/>
              </w:rPr>
              <w:t>in summer</w:t>
            </w:r>
            <w:r w:rsidRPr="00DF4BBD">
              <w:rPr>
                <w:i/>
              </w:rPr>
              <w:t>”, “</w:t>
            </w:r>
            <w:r w:rsidRPr="00DF4BBD">
              <w:rPr>
                <w:i/>
                <w:u w:val="single"/>
              </w:rPr>
              <w:t>in autumn</w:t>
            </w:r>
            <w:r w:rsidRPr="00DF4BBD">
              <w:rPr>
                <w:i/>
              </w:rPr>
              <w:t>”, “</w:t>
            </w:r>
            <w:r w:rsidRPr="00DF4BBD">
              <w:rPr>
                <w:i/>
                <w:u w:val="single"/>
              </w:rPr>
              <w:t>in winter</w:t>
            </w:r>
            <w:r w:rsidRPr="00DF4BBD">
              <w:rPr>
                <w:i/>
              </w:rPr>
              <w:t xml:space="preserve">”) 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r>
              <w:t>Char. 10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r>
              <w:t>to replace “black green” with “blackish green”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r>
              <w:t>Char. 12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r>
              <w:t>state 3 to read “on lateral shoots”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AD8" w:rsidRDefault="003B2AD8" w:rsidP="003B2AD8">
            <w:pPr>
              <w:keepNext/>
            </w:pPr>
            <w:r>
              <w:lastRenderedPageBreak/>
              <w:t>Char. 12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2AD8" w:rsidRDefault="003B2AD8" w:rsidP="003B2AD8">
            <w:pPr>
              <w:keepNext/>
            </w:pPr>
            <w:r>
              <w:t xml:space="preserve">to be split in two QL char.: </w:t>
            </w:r>
            <w:bookmarkStart w:id="2" w:name="_GoBack"/>
            <w:bookmarkEnd w:id="2"/>
          </w:p>
          <w:p w:rsidR="003B2AD8" w:rsidRDefault="003B2AD8" w:rsidP="003B2AD8">
            <w:pPr>
              <w:keepNext/>
            </w:pPr>
            <w:r>
              <w:t>- “Inflorescence: branching” with states (1) absent, (9) present</w:t>
            </w:r>
          </w:p>
          <w:p w:rsidR="003B2AD8" w:rsidRDefault="003B2AD8" w:rsidP="003B2AD8">
            <w:pPr>
              <w:keepNext/>
            </w:pPr>
            <w:r>
              <w:t xml:space="preserve">- “Only varieties with Inflorescence: branching: absent: Inflorescence: arrangement of flowers” with states (1) solitary and (2) whorl </w:t>
            </w:r>
          </w:p>
          <w:p w:rsidR="003B2AD8" w:rsidRPr="00DF4BBD" w:rsidRDefault="003B2AD8" w:rsidP="003B2AD8">
            <w:pPr>
              <w:keepNext/>
            </w:pPr>
            <w:r>
              <w:t xml:space="preserve">- </w:t>
            </w:r>
            <w:proofErr w:type="gramStart"/>
            <w:r w:rsidRPr="00DF4BBD">
              <w:t>both</w:t>
            </w:r>
            <w:proofErr w:type="gramEnd"/>
            <w:r w:rsidRPr="00DF4BBD">
              <w:t xml:space="preserve"> </w:t>
            </w:r>
            <w:r w:rsidRPr="00DF4BBD">
              <w:rPr>
                <w:rFonts w:cs="Arial"/>
              </w:rPr>
              <w:t xml:space="preserve">to be indicated as </w:t>
            </w:r>
            <w:r w:rsidRPr="00DF4BBD">
              <w:t>VG, (*), (a), combined (+) (See Ad. …)</w:t>
            </w:r>
          </w:p>
          <w:p w:rsidR="003B2AD8" w:rsidRPr="00DF4BBD" w:rsidRDefault="003B2AD8" w:rsidP="003B2AD8">
            <w:pPr>
              <w:keepNext/>
              <w:rPr>
                <w:i/>
              </w:rPr>
            </w:pPr>
            <w:r w:rsidRPr="00DF4BBD">
              <w:rPr>
                <w:i/>
              </w:rPr>
              <w:t xml:space="preserve">Leading Expert: to merge state 1 and 2, to delete “Only varieties with …” and to read </w:t>
            </w:r>
          </w:p>
          <w:p w:rsidR="003B2AD8" w:rsidRPr="00DF4BBD" w:rsidRDefault="003B2AD8" w:rsidP="003B2AD8">
            <w:pPr>
              <w:keepNext/>
              <w:rPr>
                <w:i/>
              </w:rPr>
            </w:pPr>
            <w:r w:rsidRPr="00DF4BBD">
              <w:rPr>
                <w:i/>
              </w:rPr>
              <w:t>“Inflorescence: branching” (1) absent with example varieties Angie, Lisbeth, (2) present with example variety “Sabella”</w:t>
            </w:r>
          </w:p>
          <w:p w:rsidR="00DF4BBD" w:rsidRPr="00DF4BBD" w:rsidRDefault="003B2AD8" w:rsidP="003B2AD8">
            <w:pPr>
              <w:keepNext/>
              <w:rPr>
                <w:i/>
              </w:rPr>
            </w:pPr>
            <w:r w:rsidRPr="00DF4BBD">
              <w:rPr>
                <w:i/>
              </w:rPr>
              <w:t>Ad. 12: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0"/>
              <w:gridCol w:w="3920"/>
            </w:tblGrid>
            <w:tr w:rsidR="00DF4BBD" w:rsidRPr="00DF4BBD" w:rsidTr="008C560F">
              <w:tc>
                <w:tcPr>
                  <w:tcW w:w="3920" w:type="dxa"/>
                </w:tcPr>
                <w:p w:rsidR="00DF4BBD" w:rsidRPr="00DF4BBD" w:rsidRDefault="00DF4BBD" w:rsidP="00DF4BBD">
                  <w:pPr>
                    <w:jc w:val="center"/>
                    <w:rPr>
                      <w:rFonts w:cs="Arial"/>
                    </w:rPr>
                  </w:pPr>
                  <w:r w:rsidRPr="00DF4BBD">
                    <w:rPr>
                      <w:noProof/>
                    </w:rPr>
                    <w:drawing>
                      <wp:inline distT="0" distB="0" distL="0" distR="0" wp14:anchorId="5F8176D3" wp14:editId="04B86ACD">
                        <wp:extent cx="846455" cy="2470150"/>
                        <wp:effectExtent l="0" t="0" r="0" b="635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455" cy="247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20" w:type="dxa"/>
                </w:tcPr>
                <w:p w:rsidR="00DF4BBD" w:rsidRPr="00DF4BBD" w:rsidRDefault="00DF4BBD" w:rsidP="00DF4BBD">
                  <w:pPr>
                    <w:jc w:val="center"/>
                    <w:rPr>
                      <w:rFonts w:cs="Arial"/>
                    </w:rPr>
                  </w:pPr>
                  <w:r w:rsidRPr="00DF4BBD">
                    <w:rPr>
                      <w:noProof/>
                    </w:rPr>
                    <w:drawing>
                      <wp:inline distT="0" distB="0" distL="0" distR="0" wp14:anchorId="31E5EE66" wp14:editId="5CF7942C">
                        <wp:extent cx="1160145" cy="2470150"/>
                        <wp:effectExtent l="0" t="0" r="1905" b="635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0145" cy="247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F4BBD" w:rsidRPr="00DF4BBD" w:rsidTr="008C560F">
              <w:tc>
                <w:tcPr>
                  <w:tcW w:w="3920" w:type="dxa"/>
                </w:tcPr>
                <w:p w:rsidR="00DF4BBD" w:rsidRPr="00DF4BBD" w:rsidRDefault="00DF4BBD" w:rsidP="00DF4BBD">
                  <w:pPr>
                    <w:jc w:val="center"/>
                    <w:rPr>
                      <w:rFonts w:cs="Arial"/>
                      <w:i/>
                    </w:rPr>
                  </w:pPr>
                  <w:r w:rsidRPr="00DF4BBD">
                    <w:rPr>
                      <w:rFonts w:cs="Arial"/>
                      <w:i/>
                    </w:rPr>
                    <w:t>1</w:t>
                  </w:r>
                </w:p>
              </w:tc>
              <w:tc>
                <w:tcPr>
                  <w:tcW w:w="3920" w:type="dxa"/>
                </w:tcPr>
                <w:p w:rsidR="00DF4BBD" w:rsidRPr="00DF4BBD" w:rsidRDefault="00DF4BBD" w:rsidP="00DF4BBD">
                  <w:pPr>
                    <w:jc w:val="center"/>
                    <w:rPr>
                      <w:rFonts w:cs="Arial"/>
                      <w:i/>
                    </w:rPr>
                  </w:pPr>
                  <w:r w:rsidRPr="00DF4BBD">
                    <w:rPr>
                      <w:rFonts w:cs="Arial"/>
                      <w:i/>
                    </w:rPr>
                    <w:t>9</w:t>
                  </w:r>
                </w:p>
              </w:tc>
            </w:tr>
            <w:tr w:rsidR="00DF4BBD" w:rsidRPr="00DF4BBD" w:rsidTr="008C560F">
              <w:tc>
                <w:tcPr>
                  <w:tcW w:w="3920" w:type="dxa"/>
                </w:tcPr>
                <w:p w:rsidR="00DF4BBD" w:rsidRPr="00DF4BBD" w:rsidRDefault="00DF4BBD" w:rsidP="00DF4BBD">
                  <w:pPr>
                    <w:keepNext/>
                    <w:jc w:val="center"/>
                    <w:rPr>
                      <w:i/>
                    </w:rPr>
                  </w:pPr>
                  <w:r w:rsidRPr="00DF4BBD">
                    <w:rPr>
                      <w:rFonts w:cs="Arial"/>
                      <w:i/>
                    </w:rPr>
                    <w:t>absent</w:t>
                  </w:r>
                </w:p>
              </w:tc>
              <w:tc>
                <w:tcPr>
                  <w:tcW w:w="3920" w:type="dxa"/>
                </w:tcPr>
                <w:p w:rsidR="00DF4BBD" w:rsidRPr="00DF4BBD" w:rsidRDefault="00DF4BBD" w:rsidP="00DF4BBD">
                  <w:pPr>
                    <w:keepNext/>
                    <w:jc w:val="center"/>
                    <w:rPr>
                      <w:i/>
                    </w:rPr>
                  </w:pPr>
                  <w:r w:rsidRPr="00DF4BBD">
                    <w:rPr>
                      <w:rFonts w:cs="Arial"/>
                      <w:i/>
                    </w:rPr>
                    <w:t>present</w:t>
                  </w:r>
                </w:p>
              </w:tc>
            </w:tr>
          </w:tbl>
          <w:p w:rsidR="00DF4BBD" w:rsidRDefault="00DF4BBD" w:rsidP="003B2AD8">
            <w:pPr>
              <w:keepNext/>
              <w:rPr>
                <w:color w:val="FF0000"/>
              </w:rPr>
            </w:pP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8.1 (a)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 read “… middle third of the shoots”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8.1 (b)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to</w:t>
            </w:r>
            <w:proofErr w:type="gramEnd"/>
            <w:r>
              <w:rPr>
                <w:rFonts w:cs="Arial"/>
                <w:color w:val="000000"/>
              </w:rPr>
              <w:t xml:space="preserve"> read “… on the shaded part of the plant.”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8.1 (c)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to</w:t>
            </w:r>
            <w:proofErr w:type="gramEnd"/>
            <w:r>
              <w:rPr>
                <w:rFonts w:cs="Arial"/>
                <w:color w:val="000000"/>
              </w:rPr>
              <w:t xml:space="preserve"> read “…</w:t>
            </w:r>
            <w:r>
              <w:rPr>
                <w:rFonts w:eastAsia="Arial" w:cs="Arial"/>
                <w:color w:val="000000"/>
              </w:rPr>
              <w:t>after a few days with minimum temperatures below zero degrees Celsius.”</w:t>
            </w:r>
          </w:p>
        </w:tc>
      </w:tr>
      <w:tr w:rsidR="003B2AD8" w:rsidTr="00DF4BBD">
        <w:trPr>
          <w:cantSplit/>
          <w:trHeight w:val="27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8.1 (e)</w:t>
            </w: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AD8" w:rsidRDefault="003B2AD8">
            <w:pPr>
              <w:jc w:val="left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to</w:t>
            </w:r>
            <w:proofErr w:type="gramEnd"/>
            <w:r>
              <w:rPr>
                <w:rFonts w:cs="Arial"/>
                <w:color w:val="000000"/>
              </w:rPr>
              <w:t xml:space="preserve"> read “Observations should be made when 10 % of the plants have at least 10 senescent flowers.”</w:t>
            </w:r>
          </w:p>
        </w:tc>
      </w:tr>
    </w:tbl>
    <w:p w:rsidR="009B5F53" w:rsidRDefault="009B5F53"/>
    <w:p w:rsidR="001C7A1E" w:rsidRDefault="001C7A1E" w:rsidP="001C7A1E">
      <w:pPr>
        <w:autoSpaceDE w:val="0"/>
        <w:autoSpaceDN w:val="0"/>
        <w:adjustRightInd w:val="0"/>
      </w:pPr>
      <w:r w:rsidRPr="00F85165">
        <w:fldChar w:fldCharType="begin"/>
      </w:r>
      <w:r w:rsidRPr="00F85165">
        <w:instrText xml:space="preserve"> AUTONUM  </w:instrText>
      </w:r>
      <w:r w:rsidRPr="00F85165">
        <w:fldChar w:fldCharType="end"/>
      </w:r>
      <w:r w:rsidRPr="00F85165">
        <w:tab/>
        <w:t xml:space="preserve">The </w:t>
      </w:r>
      <w:r w:rsidRPr="00F85165">
        <w:rPr>
          <w:rFonts w:cs="Arial"/>
        </w:rPr>
        <w:t xml:space="preserve">TC-EDC </w:t>
      </w:r>
      <w:r w:rsidRPr="00F85165">
        <w:t xml:space="preserve">will consider the above information on the draft Test Guidelines for </w:t>
      </w:r>
      <w:r w:rsidR="003B2AD8">
        <w:rPr>
          <w:rFonts w:cs="Arial"/>
        </w:rPr>
        <w:t>Ling, Scots Heather</w:t>
      </w:r>
      <w:r w:rsidRPr="00F85165">
        <w:t xml:space="preserve"> at its meeting to be held in Ma</w:t>
      </w:r>
      <w:r w:rsidRPr="001170C9">
        <w:t>rch 202</w:t>
      </w:r>
      <w:r>
        <w:t>3</w:t>
      </w:r>
      <w:r w:rsidRPr="001170C9">
        <w:t xml:space="preserve"> and the Test Guidelines be submitted to the TC for adoption by correspondence.</w:t>
      </w:r>
    </w:p>
    <w:p w:rsidR="001C7A1E" w:rsidRDefault="001C7A1E" w:rsidP="00BD7A5C"/>
    <w:p w:rsidR="00BD7A5C" w:rsidRDefault="00BD7A5C" w:rsidP="00BD7A5C"/>
    <w:p w:rsidR="006D25C4" w:rsidRPr="00C40CC2" w:rsidRDefault="006D25C4" w:rsidP="00BD7A5C"/>
    <w:p w:rsidR="000F19C3" w:rsidRPr="000C2C4F" w:rsidRDefault="00916216" w:rsidP="006D25C4">
      <w:pPr>
        <w:jc w:val="right"/>
      </w:pPr>
      <w:r w:rsidRPr="00C40CC2">
        <w:t>[End of document]</w:t>
      </w:r>
      <w:r w:rsidR="00A9274B" w:rsidRPr="000C2C4F">
        <w:t xml:space="preserve"> </w:t>
      </w:r>
    </w:p>
    <w:sectPr w:rsidR="000F19C3" w:rsidRPr="000C2C4F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1E" w:rsidRDefault="001C7A1E" w:rsidP="006655D3">
      <w:r>
        <w:separator/>
      </w:r>
    </w:p>
    <w:p w:rsidR="001C7A1E" w:rsidRDefault="001C7A1E" w:rsidP="006655D3"/>
    <w:p w:rsidR="001C7A1E" w:rsidRDefault="001C7A1E" w:rsidP="006655D3"/>
  </w:endnote>
  <w:endnote w:type="continuationSeparator" w:id="0">
    <w:p w:rsidR="001C7A1E" w:rsidRDefault="001C7A1E" w:rsidP="006655D3">
      <w:r>
        <w:separator/>
      </w:r>
    </w:p>
    <w:p w:rsidR="001C7A1E" w:rsidRPr="00294751" w:rsidRDefault="001C7A1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C7A1E" w:rsidRPr="00294751" w:rsidRDefault="001C7A1E" w:rsidP="006655D3">
      <w:pPr>
        <w:rPr>
          <w:lang w:val="fr-FR"/>
        </w:rPr>
      </w:pPr>
    </w:p>
    <w:p w:rsidR="001C7A1E" w:rsidRPr="00294751" w:rsidRDefault="001C7A1E" w:rsidP="006655D3">
      <w:pPr>
        <w:rPr>
          <w:lang w:val="fr-FR"/>
        </w:rPr>
      </w:pPr>
    </w:p>
  </w:endnote>
  <w:endnote w:type="continuationNotice" w:id="1">
    <w:p w:rsidR="001C7A1E" w:rsidRPr="00294751" w:rsidRDefault="001C7A1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C7A1E" w:rsidRPr="00294751" w:rsidRDefault="001C7A1E" w:rsidP="006655D3">
      <w:pPr>
        <w:rPr>
          <w:lang w:val="fr-FR"/>
        </w:rPr>
      </w:pPr>
    </w:p>
    <w:p w:rsidR="001C7A1E" w:rsidRPr="00294751" w:rsidRDefault="001C7A1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1E" w:rsidRDefault="001C7A1E" w:rsidP="006655D3">
      <w:r>
        <w:separator/>
      </w:r>
    </w:p>
  </w:footnote>
  <w:footnote w:type="continuationSeparator" w:id="0">
    <w:p w:rsidR="001C7A1E" w:rsidRDefault="001C7A1E" w:rsidP="006655D3">
      <w:r>
        <w:separator/>
      </w:r>
    </w:p>
  </w:footnote>
  <w:footnote w:type="continuationNotice" w:id="1">
    <w:p w:rsidR="001C7A1E" w:rsidRPr="00AB530F" w:rsidRDefault="001C7A1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4A6FDA" w:rsidRDefault="006567E7" w:rsidP="00EB048E">
    <w:pPr>
      <w:pStyle w:val="Header"/>
      <w:rPr>
        <w:rStyle w:val="PageNumber"/>
        <w:lang w:val="pt-BR"/>
      </w:rPr>
    </w:pPr>
    <w:r w:rsidRPr="004A6FDA">
      <w:rPr>
        <w:rStyle w:val="PageNumber"/>
        <w:lang w:val="pt-BR"/>
      </w:rPr>
      <w:t>TC-EDC/</w:t>
    </w:r>
    <w:r w:rsidR="00826260">
      <w:rPr>
        <w:rStyle w:val="PageNumber"/>
        <w:lang w:val="pt-BR"/>
      </w:rPr>
      <w:t>Mar</w:t>
    </w:r>
    <w:r w:rsidR="00975D8B">
      <w:rPr>
        <w:rStyle w:val="PageNumber"/>
        <w:lang w:val="pt-BR"/>
      </w:rPr>
      <w:t>2</w:t>
    </w:r>
    <w:r w:rsidR="00D171CD">
      <w:rPr>
        <w:rStyle w:val="PageNumber"/>
        <w:lang w:val="pt-BR"/>
      </w:rPr>
      <w:t>3</w:t>
    </w:r>
    <w:r w:rsidRPr="004A6FDA">
      <w:rPr>
        <w:rStyle w:val="PageNumber"/>
        <w:lang w:val="pt-BR"/>
      </w:rPr>
      <w:t>/</w:t>
    </w:r>
    <w:r w:rsidR="00CE1861">
      <w:rPr>
        <w:rStyle w:val="PageNumber"/>
        <w:lang w:val="pt-BR"/>
      </w:rPr>
      <w:t>5</w:t>
    </w:r>
  </w:p>
  <w:p w:rsidR="00182B99" w:rsidRPr="004A6FDA" w:rsidRDefault="00182B99" w:rsidP="00EB048E">
    <w:pPr>
      <w:pStyle w:val="Header"/>
      <w:rPr>
        <w:lang w:val="pt-BR"/>
      </w:rPr>
    </w:pPr>
    <w:r w:rsidRPr="004A6FDA">
      <w:rPr>
        <w:lang w:val="pt-BR"/>
      </w:rPr>
      <w:t xml:space="preserve">page </w:t>
    </w:r>
    <w:r w:rsidRPr="00C5280D">
      <w:rPr>
        <w:rStyle w:val="PageNumber"/>
        <w:lang w:val="en-US"/>
      </w:rPr>
      <w:fldChar w:fldCharType="begin"/>
    </w:r>
    <w:r w:rsidRPr="004A6FDA">
      <w:rPr>
        <w:rStyle w:val="PageNumber"/>
        <w:lang w:val="pt-B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171CD">
      <w:rPr>
        <w:rStyle w:val="PageNumber"/>
        <w:noProof/>
        <w:lang w:val="pt-BR"/>
      </w:rPr>
      <w:t>2</w:t>
    </w:r>
    <w:r w:rsidRPr="00C5280D">
      <w:rPr>
        <w:rStyle w:val="PageNumber"/>
        <w:lang w:val="en-US"/>
      </w:rPr>
      <w:fldChar w:fldCharType="end"/>
    </w:r>
  </w:p>
  <w:p w:rsidR="00182B99" w:rsidRPr="004A6FDA" w:rsidRDefault="00182B99" w:rsidP="006655D3">
    <w:pP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1E"/>
    <w:rsid w:val="000102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78B"/>
    <w:rsid w:val="00085505"/>
    <w:rsid w:val="000B33B3"/>
    <w:rsid w:val="000C2C4F"/>
    <w:rsid w:val="000C4E25"/>
    <w:rsid w:val="000C7021"/>
    <w:rsid w:val="000C7DB4"/>
    <w:rsid w:val="000D6BBC"/>
    <w:rsid w:val="000D7780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72084"/>
    <w:rsid w:val="0017474A"/>
    <w:rsid w:val="001758C6"/>
    <w:rsid w:val="0018173F"/>
    <w:rsid w:val="00182B99"/>
    <w:rsid w:val="001A6625"/>
    <w:rsid w:val="001C1525"/>
    <w:rsid w:val="001C3C25"/>
    <w:rsid w:val="001C7A1E"/>
    <w:rsid w:val="0021332C"/>
    <w:rsid w:val="00213982"/>
    <w:rsid w:val="00214C72"/>
    <w:rsid w:val="002178C7"/>
    <w:rsid w:val="00235D47"/>
    <w:rsid w:val="0024416D"/>
    <w:rsid w:val="002628C3"/>
    <w:rsid w:val="00271911"/>
    <w:rsid w:val="002800A0"/>
    <w:rsid w:val="002801B3"/>
    <w:rsid w:val="00281060"/>
    <w:rsid w:val="002940E8"/>
    <w:rsid w:val="00294751"/>
    <w:rsid w:val="002A6E50"/>
    <w:rsid w:val="002B4298"/>
    <w:rsid w:val="002C1551"/>
    <w:rsid w:val="002C256A"/>
    <w:rsid w:val="002C2792"/>
    <w:rsid w:val="002F0BE6"/>
    <w:rsid w:val="002F3BCB"/>
    <w:rsid w:val="00304497"/>
    <w:rsid w:val="00305A7F"/>
    <w:rsid w:val="003152FE"/>
    <w:rsid w:val="00325ABC"/>
    <w:rsid w:val="00327436"/>
    <w:rsid w:val="00344BD6"/>
    <w:rsid w:val="0035528D"/>
    <w:rsid w:val="00361821"/>
    <w:rsid w:val="00361E9E"/>
    <w:rsid w:val="00391BEE"/>
    <w:rsid w:val="0039633A"/>
    <w:rsid w:val="003B2AD8"/>
    <w:rsid w:val="003C7FBE"/>
    <w:rsid w:val="003D227C"/>
    <w:rsid w:val="003D2B4D"/>
    <w:rsid w:val="003F3D01"/>
    <w:rsid w:val="003F5F2B"/>
    <w:rsid w:val="00424C0F"/>
    <w:rsid w:val="00435B7C"/>
    <w:rsid w:val="00444A88"/>
    <w:rsid w:val="00453C2F"/>
    <w:rsid w:val="00474DA4"/>
    <w:rsid w:val="00476B4D"/>
    <w:rsid w:val="004805FA"/>
    <w:rsid w:val="00481A2C"/>
    <w:rsid w:val="0048657A"/>
    <w:rsid w:val="00486BBA"/>
    <w:rsid w:val="004935D2"/>
    <w:rsid w:val="004A6FDA"/>
    <w:rsid w:val="004B1215"/>
    <w:rsid w:val="004B3625"/>
    <w:rsid w:val="004C45ED"/>
    <w:rsid w:val="004C6837"/>
    <w:rsid w:val="004D047D"/>
    <w:rsid w:val="004E02FA"/>
    <w:rsid w:val="004F1E9E"/>
    <w:rsid w:val="004F305A"/>
    <w:rsid w:val="00512164"/>
    <w:rsid w:val="00520297"/>
    <w:rsid w:val="0053339A"/>
    <w:rsid w:val="005338F9"/>
    <w:rsid w:val="0054281C"/>
    <w:rsid w:val="00544581"/>
    <w:rsid w:val="005504AC"/>
    <w:rsid w:val="0055268D"/>
    <w:rsid w:val="00576BE4"/>
    <w:rsid w:val="005A400A"/>
    <w:rsid w:val="005F7B92"/>
    <w:rsid w:val="0060287A"/>
    <w:rsid w:val="00605886"/>
    <w:rsid w:val="00612379"/>
    <w:rsid w:val="006153B6"/>
    <w:rsid w:val="0061555F"/>
    <w:rsid w:val="00636CA6"/>
    <w:rsid w:val="00641200"/>
    <w:rsid w:val="00645CA8"/>
    <w:rsid w:val="006567E7"/>
    <w:rsid w:val="00663578"/>
    <w:rsid w:val="006655D3"/>
    <w:rsid w:val="00666B06"/>
    <w:rsid w:val="00667404"/>
    <w:rsid w:val="00670400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25C4"/>
    <w:rsid w:val="006D780A"/>
    <w:rsid w:val="00706FF7"/>
    <w:rsid w:val="00711062"/>
    <w:rsid w:val="0071271E"/>
    <w:rsid w:val="00732DEC"/>
    <w:rsid w:val="00735BD5"/>
    <w:rsid w:val="007451EC"/>
    <w:rsid w:val="00751613"/>
    <w:rsid w:val="007556F6"/>
    <w:rsid w:val="007578BB"/>
    <w:rsid w:val="00760EEF"/>
    <w:rsid w:val="007660C7"/>
    <w:rsid w:val="00777EE5"/>
    <w:rsid w:val="00784836"/>
    <w:rsid w:val="0079023E"/>
    <w:rsid w:val="00797273"/>
    <w:rsid w:val="007A2854"/>
    <w:rsid w:val="007C1D92"/>
    <w:rsid w:val="007C4CB9"/>
    <w:rsid w:val="007D0B9D"/>
    <w:rsid w:val="007D19B0"/>
    <w:rsid w:val="007D4635"/>
    <w:rsid w:val="007E1C9C"/>
    <w:rsid w:val="007F498F"/>
    <w:rsid w:val="0080679D"/>
    <w:rsid w:val="008108B0"/>
    <w:rsid w:val="00811B20"/>
    <w:rsid w:val="008211B5"/>
    <w:rsid w:val="0082296E"/>
    <w:rsid w:val="00824099"/>
    <w:rsid w:val="00826260"/>
    <w:rsid w:val="00846D7C"/>
    <w:rsid w:val="0084783D"/>
    <w:rsid w:val="0086146F"/>
    <w:rsid w:val="00867AC1"/>
    <w:rsid w:val="008730FF"/>
    <w:rsid w:val="00890DF8"/>
    <w:rsid w:val="008A743F"/>
    <w:rsid w:val="008C0970"/>
    <w:rsid w:val="008C560F"/>
    <w:rsid w:val="008D0BC5"/>
    <w:rsid w:val="008D2CF7"/>
    <w:rsid w:val="00900C26"/>
    <w:rsid w:val="0090197F"/>
    <w:rsid w:val="00903264"/>
    <w:rsid w:val="00906DDC"/>
    <w:rsid w:val="00916216"/>
    <w:rsid w:val="00933453"/>
    <w:rsid w:val="00934E09"/>
    <w:rsid w:val="00936253"/>
    <w:rsid w:val="00940D46"/>
    <w:rsid w:val="00952DD4"/>
    <w:rsid w:val="00965AE7"/>
    <w:rsid w:val="00970FED"/>
    <w:rsid w:val="00975D8B"/>
    <w:rsid w:val="00980C88"/>
    <w:rsid w:val="00992D82"/>
    <w:rsid w:val="00997029"/>
    <w:rsid w:val="009A7339"/>
    <w:rsid w:val="009B1272"/>
    <w:rsid w:val="009B440E"/>
    <w:rsid w:val="009B5F53"/>
    <w:rsid w:val="009D690D"/>
    <w:rsid w:val="009E65B6"/>
    <w:rsid w:val="009F0764"/>
    <w:rsid w:val="009F77CF"/>
    <w:rsid w:val="00A24C10"/>
    <w:rsid w:val="00A3365A"/>
    <w:rsid w:val="00A42AC3"/>
    <w:rsid w:val="00A430CF"/>
    <w:rsid w:val="00A54309"/>
    <w:rsid w:val="00A640DA"/>
    <w:rsid w:val="00A64B15"/>
    <w:rsid w:val="00A9274B"/>
    <w:rsid w:val="00AB2B93"/>
    <w:rsid w:val="00AB530F"/>
    <w:rsid w:val="00AB7E5B"/>
    <w:rsid w:val="00AC2883"/>
    <w:rsid w:val="00AE0EF1"/>
    <w:rsid w:val="00AE2937"/>
    <w:rsid w:val="00B015AC"/>
    <w:rsid w:val="00B036C2"/>
    <w:rsid w:val="00B07301"/>
    <w:rsid w:val="00B07D7F"/>
    <w:rsid w:val="00B11F3E"/>
    <w:rsid w:val="00B167E2"/>
    <w:rsid w:val="00B224DE"/>
    <w:rsid w:val="00B228C9"/>
    <w:rsid w:val="00B324D4"/>
    <w:rsid w:val="00B46575"/>
    <w:rsid w:val="00B46E4E"/>
    <w:rsid w:val="00B53139"/>
    <w:rsid w:val="00B549CF"/>
    <w:rsid w:val="00B61777"/>
    <w:rsid w:val="00B84BBD"/>
    <w:rsid w:val="00BA43FB"/>
    <w:rsid w:val="00BC127D"/>
    <w:rsid w:val="00BC1FE6"/>
    <w:rsid w:val="00BD51EF"/>
    <w:rsid w:val="00BD7A5C"/>
    <w:rsid w:val="00BF0463"/>
    <w:rsid w:val="00C0282F"/>
    <w:rsid w:val="00C061B6"/>
    <w:rsid w:val="00C2446C"/>
    <w:rsid w:val="00C3628E"/>
    <w:rsid w:val="00C36AE5"/>
    <w:rsid w:val="00C40CC2"/>
    <w:rsid w:val="00C41F17"/>
    <w:rsid w:val="00C527FA"/>
    <w:rsid w:val="00C5280D"/>
    <w:rsid w:val="00C53EB3"/>
    <w:rsid w:val="00C5791C"/>
    <w:rsid w:val="00C66290"/>
    <w:rsid w:val="00C72B7A"/>
    <w:rsid w:val="00C757E0"/>
    <w:rsid w:val="00C81AFE"/>
    <w:rsid w:val="00C973F2"/>
    <w:rsid w:val="00CA304C"/>
    <w:rsid w:val="00CA774A"/>
    <w:rsid w:val="00CC11B0"/>
    <w:rsid w:val="00CC151A"/>
    <w:rsid w:val="00CC2841"/>
    <w:rsid w:val="00CE1861"/>
    <w:rsid w:val="00CF1330"/>
    <w:rsid w:val="00CF7E36"/>
    <w:rsid w:val="00D171CD"/>
    <w:rsid w:val="00D3192B"/>
    <w:rsid w:val="00D3708D"/>
    <w:rsid w:val="00D40426"/>
    <w:rsid w:val="00D57C96"/>
    <w:rsid w:val="00D57D18"/>
    <w:rsid w:val="00D65BC3"/>
    <w:rsid w:val="00D91203"/>
    <w:rsid w:val="00D95174"/>
    <w:rsid w:val="00D9615B"/>
    <w:rsid w:val="00D96F3B"/>
    <w:rsid w:val="00DA4476"/>
    <w:rsid w:val="00DA4973"/>
    <w:rsid w:val="00DA6F36"/>
    <w:rsid w:val="00DB596E"/>
    <w:rsid w:val="00DB7773"/>
    <w:rsid w:val="00DC00EA"/>
    <w:rsid w:val="00DC26C8"/>
    <w:rsid w:val="00DC3802"/>
    <w:rsid w:val="00DC769D"/>
    <w:rsid w:val="00DF4BBD"/>
    <w:rsid w:val="00DF56AF"/>
    <w:rsid w:val="00E07D87"/>
    <w:rsid w:val="00E32F7E"/>
    <w:rsid w:val="00E5267B"/>
    <w:rsid w:val="00E63C0E"/>
    <w:rsid w:val="00E66A1E"/>
    <w:rsid w:val="00E72D49"/>
    <w:rsid w:val="00E7593C"/>
    <w:rsid w:val="00E7678A"/>
    <w:rsid w:val="00E935F1"/>
    <w:rsid w:val="00E94A81"/>
    <w:rsid w:val="00EA1FFB"/>
    <w:rsid w:val="00EB048E"/>
    <w:rsid w:val="00EB1383"/>
    <w:rsid w:val="00EB4E9C"/>
    <w:rsid w:val="00EB67DB"/>
    <w:rsid w:val="00EC67E8"/>
    <w:rsid w:val="00ED0950"/>
    <w:rsid w:val="00EE34DF"/>
    <w:rsid w:val="00EF2F89"/>
    <w:rsid w:val="00F03E98"/>
    <w:rsid w:val="00F1237A"/>
    <w:rsid w:val="00F22CBD"/>
    <w:rsid w:val="00F272F1"/>
    <w:rsid w:val="00F45372"/>
    <w:rsid w:val="00F560F7"/>
    <w:rsid w:val="00F61C66"/>
    <w:rsid w:val="00F61F94"/>
    <w:rsid w:val="00F6265C"/>
    <w:rsid w:val="00F6334D"/>
    <w:rsid w:val="00F63599"/>
    <w:rsid w:val="00F64649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A33116"/>
  <w15:docId w15:val="{45D77D18-6292-4BE9-AEB5-84D7BCE4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uiPriority w:val="39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BD7A5C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semiHidden/>
    <w:rsid w:val="00DF56AF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DF56AF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upov.int/meetings/en/doc_details.jsp?meeting_id=67786&amp;doc_id=5857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23_Mar_Mtg\template\tc_edc_mar_2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tc_edc_mar_23.dotm</Template>
  <TotalTime>35</TotalTime>
  <Pages>2</Pages>
  <Words>571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TC-EDC/Mar23/5</vt:lpstr>
    </vt:vector>
  </TitlesOfParts>
  <Company>UPOV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TC-EDC/Mar23/5</dc:title>
  <dc:creator>OERTEL Romy</dc:creator>
  <cp:keywords>TC-EDC/Mar23/5</cp:keywords>
  <cp:lastModifiedBy>OERTEL Romy</cp:lastModifiedBy>
  <cp:revision>8</cp:revision>
  <cp:lastPrinted>2020-09-30T14:04:00Z</cp:lastPrinted>
  <dcterms:created xsi:type="dcterms:W3CDTF">2023-02-01T08:12:00Z</dcterms:created>
  <dcterms:modified xsi:type="dcterms:W3CDTF">2023-03-01T10:28:00Z</dcterms:modified>
</cp:coreProperties>
</file>