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C40CC2" w:rsidTr="00EB4E9C">
        <w:tc>
          <w:tcPr>
            <w:tcW w:w="6522" w:type="dxa"/>
          </w:tcPr>
          <w:p w:rsidR="00DC3802" w:rsidRPr="00C40CC2" w:rsidRDefault="00DC3802" w:rsidP="00AC2883">
            <w:r w:rsidRPr="00C40CC2">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C40CC2" w:rsidRDefault="00DC3802" w:rsidP="00AC2883">
            <w:pPr>
              <w:pStyle w:val="Lettrine"/>
            </w:pPr>
            <w:r w:rsidRPr="00C40CC2">
              <w:t>E</w:t>
            </w:r>
          </w:p>
        </w:tc>
      </w:tr>
      <w:tr w:rsidR="00DC3802" w:rsidRPr="00C40CC2" w:rsidTr="00645CA8">
        <w:trPr>
          <w:trHeight w:val="219"/>
        </w:trPr>
        <w:tc>
          <w:tcPr>
            <w:tcW w:w="6522" w:type="dxa"/>
          </w:tcPr>
          <w:p w:rsidR="00DC3802" w:rsidRPr="00C40CC2" w:rsidRDefault="00DC3802" w:rsidP="00AC2883">
            <w:pPr>
              <w:pStyle w:val="upove"/>
            </w:pPr>
            <w:r w:rsidRPr="00C40CC2">
              <w:t>International Union for the Protection of New Varieties of Plants</w:t>
            </w:r>
          </w:p>
        </w:tc>
        <w:tc>
          <w:tcPr>
            <w:tcW w:w="3117" w:type="dxa"/>
          </w:tcPr>
          <w:p w:rsidR="00DC3802" w:rsidRPr="00C40CC2" w:rsidRDefault="00DC3802" w:rsidP="00DA4973"/>
        </w:tc>
      </w:tr>
    </w:tbl>
    <w:p w:rsidR="00DC3802" w:rsidRPr="00C40CC2" w:rsidRDefault="00DC3802" w:rsidP="00DC3802"/>
    <w:p w:rsidR="00DA4973" w:rsidRPr="00C40CC2"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3F3D01" w:rsidTr="00EB4E9C">
        <w:tc>
          <w:tcPr>
            <w:tcW w:w="6512" w:type="dxa"/>
          </w:tcPr>
          <w:p w:rsidR="00EB4E9C" w:rsidRPr="003F3D01" w:rsidRDefault="000E6267" w:rsidP="00AC2883">
            <w:pPr>
              <w:pStyle w:val="Sessiontc"/>
              <w:spacing w:line="240" w:lineRule="auto"/>
            </w:pPr>
            <w:r w:rsidRPr="003F3D01">
              <w:t>Enlarged Editorial Committee</w:t>
            </w:r>
          </w:p>
          <w:p w:rsidR="000E6267" w:rsidRPr="003F3D01" w:rsidRDefault="000E6267" w:rsidP="007D4635">
            <w:pPr>
              <w:pStyle w:val="Sessiontcplacedate"/>
            </w:pPr>
          </w:p>
          <w:p w:rsidR="00EB4E9C" w:rsidRPr="003F3D01" w:rsidRDefault="00EB4E9C" w:rsidP="00BD7A5C">
            <w:pPr>
              <w:pStyle w:val="Sessiontcplacedate"/>
              <w:rPr>
                <w:sz w:val="22"/>
              </w:rPr>
            </w:pPr>
            <w:r w:rsidRPr="003F3D01">
              <w:t xml:space="preserve">Geneva, </w:t>
            </w:r>
            <w:r w:rsidR="00826260">
              <w:t>March</w:t>
            </w:r>
            <w:r w:rsidR="00DC769D" w:rsidRPr="003F3D01">
              <w:t xml:space="preserve"> </w:t>
            </w:r>
            <w:r w:rsidR="00BD7A5C">
              <w:t>20</w:t>
            </w:r>
            <w:r w:rsidR="00DC769D" w:rsidRPr="003F3D01">
              <w:t xml:space="preserve"> and </w:t>
            </w:r>
            <w:r w:rsidR="00826260">
              <w:t>2</w:t>
            </w:r>
            <w:r w:rsidR="00BD7A5C">
              <w:t>1</w:t>
            </w:r>
            <w:r w:rsidRPr="003F3D01">
              <w:t>, 20</w:t>
            </w:r>
            <w:r w:rsidR="007E1C9C" w:rsidRPr="003F3D01">
              <w:t>2</w:t>
            </w:r>
            <w:r w:rsidR="00BD7A5C">
              <w:t>3</w:t>
            </w:r>
          </w:p>
        </w:tc>
        <w:tc>
          <w:tcPr>
            <w:tcW w:w="3127" w:type="dxa"/>
          </w:tcPr>
          <w:p w:rsidR="00EB4E9C" w:rsidRPr="003F3D01" w:rsidRDefault="000E6267" w:rsidP="003C7FBE">
            <w:pPr>
              <w:pStyle w:val="Doccode"/>
            </w:pPr>
            <w:r w:rsidRPr="003F3D01">
              <w:t>TC-EDC</w:t>
            </w:r>
            <w:r w:rsidR="00A3365A" w:rsidRPr="003F3D01">
              <w:t>/</w:t>
            </w:r>
            <w:r w:rsidR="00826260">
              <w:t>Mar2</w:t>
            </w:r>
            <w:r w:rsidR="00BD7A5C">
              <w:t>3</w:t>
            </w:r>
            <w:r w:rsidR="00EB4E9C" w:rsidRPr="003F3D01">
              <w:t>/</w:t>
            </w:r>
            <w:r w:rsidR="00B46E4E">
              <w:t>4</w:t>
            </w:r>
          </w:p>
          <w:p w:rsidR="00EB4E9C" w:rsidRPr="003F3D01" w:rsidRDefault="00EB4E9C" w:rsidP="003C7FBE">
            <w:pPr>
              <w:pStyle w:val="Docoriginal"/>
            </w:pPr>
            <w:r w:rsidRPr="003F3D01">
              <w:t>Original:</w:t>
            </w:r>
            <w:r w:rsidRPr="003F3D01">
              <w:rPr>
                <w:b w:val="0"/>
                <w:spacing w:val="0"/>
              </w:rPr>
              <w:t xml:space="preserve">  English</w:t>
            </w:r>
          </w:p>
          <w:p w:rsidR="00EB4E9C" w:rsidRPr="003F3D01" w:rsidRDefault="00EB4E9C" w:rsidP="00B46E4E">
            <w:pPr>
              <w:pStyle w:val="Docoriginal"/>
            </w:pPr>
            <w:r w:rsidRPr="003F3D01">
              <w:t>Date</w:t>
            </w:r>
            <w:r w:rsidRPr="00365D27">
              <w:t>:</w:t>
            </w:r>
            <w:r w:rsidRPr="00365D27">
              <w:rPr>
                <w:b w:val="0"/>
                <w:spacing w:val="0"/>
              </w:rPr>
              <w:t xml:space="preserve">  </w:t>
            </w:r>
            <w:r w:rsidR="00E66A1E" w:rsidRPr="00365D27">
              <w:rPr>
                <w:b w:val="0"/>
                <w:spacing w:val="0"/>
              </w:rPr>
              <w:t xml:space="preserve">January </w:t>
            </w:r>
            <w:r w:rsidR="001C7A1E" w:rsidRPr="00365D27">
              <w:rPr>
                <w:b w:val="0"/>
                <w:spacing w:val="0"/>
              </w:rPr>
              <w:t>1</w:t>
            </w:r>
            <w:r w:rsidR="00B46E4E" w:rsidRPr="00365D27">
              <w:rPr>
                <w:b w:val="0"/>
                <w:spacing w:val="0"/>
              </w:rPr>
              <w:t>8</w:t>
            </w:r>
            <w:r w:rsidR="00BD7A5C" w:rsidRPr="00365D27">
              <w:rPr>
                <w:b w:val="0"/>
                <w:spacing w:val="0"/>
              </w:rPr>
              <w:t>, 2023</w:t>
            </w:r>
          </w:p>
        </w:tc>
      </w:tr>
    </w:tbl>
    <w:p w:rsidR="000D7780" w:rsidRPr="003F3D01" w:rsidRDefault="001C7A1E" w:rsidP="006A644A">
      <w:pPr>
        <w:pStyle w:val="Titleofdoc0"/>
      </w:pPr>
      <w:bookmarkStart w:id="0" w:name="TitleOfDoc"/>
      <w:bookmarkEnd w:id="0"/>
      <w:r>
        <w:t xml:space="preserve">Matters to be resolved concerning Test Guidelines put forward for adoption by the Technical Committee:  </w:t>
      </w:r>
      <w:r w:rsidR="00B46E4E">
        <w:t>Sunflower</w:t>
      </w:r>
    </w:p>
    <w:p w:rsidR="006A644A" w:rsidRPr="003F3D01" w:rsidRDefault="004E02FA" w:rsidP="006A644A">
      <w:pPr>
        <w:pStyle w:val="preparedby1"/>
        <w:jc w:val="left"/>
      </w:pPr>
      <w:bookmarkStart w:id="1" w:name="Prepared"/>
      <w:bookmarkEnd w:id="1"/>
      <w:r>
        <w:t xml:space="preserve">Document </w:t>
      </w:r>
      <w:r w:rsidR="0061555F" w:rsidRPr="003F3D01">
        <w:t>prepared by the Office of the Union</w:t>
      </w:r>
    </w:p>
    <w:p w:rsidR="00050E16" w:rsidRPr="00C40CC2" w:rsidRDefault="00050E16" w:rsidP="006A644A">
      <w:pPr>
        <w:pStyle w:val="Disclaimer"/>
      </w:pPr>
      <w:r w:rsidRPr="003F3D01">
        <w:t>Disclaimer:  this document does not represent UPOV policies or guidance</w:t>
      </w:r>
    </w:p>
    <w:p w:rsidR="001C7A1E" w:rsidRDefault="001C7A1E" w:rsidP="001C7A1E">
      <w:pPr>
        <w:autoSpaceDE w:val="0"/>
        <w:autoSpaceDN w:val="0"/>
        <w:adjustRightInd w:val="0"/>
      </w:pPr>
      <w:r>
        <w:fldChar w:fldCharType="begin"/>
      </w:r>
      <w:r>
        <w:instrText xml:space="preserve"> AUTONUM  </w:instrText>
      </w:r>
      <w:r>
        <w:fldChar w:fldCharType="end"/>
      </w:r>
      <w:r>
        <w:tab/>
        <w:t xml:space="preserve">The Enlarged Editorial Committee (TC-EDC) </w:t>
      </w:r>
      <w:r w:rsidRPr="00003DA0">
        <w:t>at its meeting</w:t>
      </w:r>
      <w:r>
        <w:t xml:space="preserve"> on October 18, 19 and 24, 2022, considered the </w:t>
      </w:r>
      <w:r w:rsidRPr="002B6F72">
        <w:rPr>
          <w:rFonts w:cs="Arial"/>
        </w:rPr>
        <w:t xml:space="preserve">draft Test Guidelines for </w:t>
      </w:r>
      <w:r w:rsidR="00B46E4E">
        <w:rPr>
          <w:rFonts w:cs="Arial"/>
        </w:rPr>
        <w:t>Sunflower</w:t>
      </w:r>
      <w:r>
        <w:rPr>
          <w:rFonts w:cs="Arial"/>
        </w:rPr>
        <w:t xml:space="preserve"> (</w:t>
      </w:r>
      <w:r>
        <w:t xml:space="preserve">document </w:t>
      </w:r>
      <w:hyperlink r:id="rId7" w:history="1">
        <w:r w:rsidR="00B46E4E" w:rsidRPr="00B46E4E">
          <w:rPr>
            <w:rFonts w:cs="Arial"/>
            <w:color w:val="0066CC"/>
            <w:sz w:val="18"/>
            <w:szCs w:val="18"/>
            <w:u w:val="single"/>
            <w:shd w:val="clear" w:color="auto" w:fill="FFFFFF"/>
          </w:rPr>
          <w:t>TG/81/7(PROJ.5)</w:t>
        </w:r>
      </w:hyperlink>
      <w:r>
        <w:t xml:space="preserve">) and </w:t>
      </w:r>
      <w:r w:rsidRPr="002B6F72">
        <w:rPr>
          <w:rFonts w:cs="Arial"/>
        </w:rPr>
        <w:t xml:space="preserve">agreed that </w:t>
      </w:r>
      <w:r>
        <w:rPr>
          <w:rFonts w:cs="Arial"/>
        </w:rPr>
        <w:t>it</w:t>
      </w:r>
      <w:r w:rsidRPr="002B6F72">
        <w:rPr>
          <w:rFonts w:cs="Arial"/>
        </w:rPr>
        <w:t xml:space="preserve"> required editorial clarifications to </w:t>
      </w:r>
      <w:proofErr w:type="gramStart"/>
      <w:r w:rsidRPr="002B6F72">
        <w:rPr>
          <w:rFonts w:cs="Arial"/>
        </w:rPr>
        <w:t>be provided</w:t>
      </w:r>
      <w:proofErr w:type="gramEnd"/>
      <w:r w:rsidRPr="002B6F72">
        <w:rPr>
          <w:rFonts w:cs="Arial"/>
        </w:rPr>
        <w:t xml:space="preserve"> by the Leading Expert.  </w:t>
      </w:r>
      <w:r w:rsidR="00B46E4E">
        <w:rPr>
          <w:rFonts w:cs="Arial"/>
        </w:rPr>
        <w:t>T</w:t>
      </w:r>
      <w:r w:rsidRPr="002B6F72">
        <w:rPr>
          <w:rFonts w:cs="Arial"/>
        </w:rPr>
        <w:t xml:space="preserve">he TC-EDC </w:t>
      </w:r>
      <w:r w:rsidRPr="002B6F72">
        <w:t>agreed to reconsider the draft Test</w:t>
      </w:r>
      <w:r>
        <w:t> </w:t>
      </w:r>
      <w:r w:rsidRPr="002B6F72">
        <w:t xml:space="preserve">Guidelines at its meeting to </w:t>
      </w:r>
      <w:proofErr w:type="gramStart"/>
      <w:r w:rsidRPr="002B6F72">
        <w:t>be held</w:t>
      </w:r>
      <w:proofErr w:type="gramEnd"/>
      <w:r w:rsidRPr="002B6F72">
        <w:t xml:space="preserve"> in </w:t>
      </w:r>
      <w:r>
        <w:t>March 2023</w:t>
      </w:r>
      <w:r w:rsidRPr="002B6F72">
        <w:t>.</w:t>
      </w:r>
      <w:r w:rsidRPr="00003DA0">
        <w:t xml:space="preserve">  </w:t>
      </w:r>
    </w:p>
    <w:p w:rsidR="001C7A1E" w:rsidRDefault="001C7A1E" w:rsidP="001C7A1E">
      <w:pPr>
        <w:autoSpaceDE w:val="0"/>
        <w:autoSpaceDN w:val="0"/>
        <w:adjustRightInd w:val="0"/>
      </w:pPr>
    </w:p>
    <w:p w:rsidR="001C7A1E" w:rsidRDefault="001C7A1E" w:rsidP="001C7A1E">
      <w:pPr>
        <w:autoSpaceDE w:val="0"/>
        <w:autoSpaceDN w:val="0"/>
        <w:adjustRightInd w:val="0"/>
      </w:pPr>
      <w:r>
        <w:rPr>
          <w:rFonts w:cs="Arial"/>
          <w:bCs/>
          <w:snapToGrid w:val="0"/>
          <w:color w:val="000000"/>
        </w:rPr>
        <w:fldChar w:fldCharType="begin"/>
      </w:r>
      <w:r>
        <w:rPr>
          <w:rFonts w:cs="Arial"/>
          <w:bCs/>
          <w:snapToGrid w:val="0"/>
          <w:color w:val="000000"/>
        </w:rPr>
        <w:instrText xml:space="preserve"> AUTONUM  </w:instrText>
      </w:r>
      <w:r>
        <w:rPr>
          <w:rFonts w:cs="Arial"/>
          <w:bCs/>
          <w:snapToGrid w:val="0"/>
          <w:color w:val="000000"/>
        </w:rPr>
        <w:fldChar w:fldCharType="end"/>
      </w:r>
      <w:r>
        <w:rPr>
          <w:rFonts w:cs="Arial"/>
          <w:bCs/>
          <w:snapToGrid w:val="0"/>
          <w:color w:val="000000"/>
        </w:rPr>
        <w:tab/>
        <w:t xml:space="preserve">Recommendations from the TC-EDC on the draft Test Guidelines for </w:t>
      </w:r>
      <w:r w:rsidR="00B46E4E">
        <w:rPr>
          <w:rFonts w:cs="Arial"/>
          <w:bCs/>
          <w:snapToGrid w:val="0"/>
          <w:color w:val="000000"/>
        </w:rPr>
        <w:t>Sunflower</w:t>
      </w:r>
      <w:r>
        <w:rPr>
          <w:rFonts w:cs="Arial"/>
          <w:bCs/>
          <w:snapToGrid w:val="0"/>
          <w:color w:val="000000"/>
        </w:rPr>
        <w:t xml:space="preserve"> </w:t>
      </w:r>
      <w:proofErr w:type="gramStart"/>
      <w:r>
        <w:t>are presented</w:t>
      </w:r>
      <w:proofErr w:type="gramEnd"/>
      <w:r>
        <w:t xml:space="preserve"> in the table below</w:t>
      </w:r>
      <w:r>
        <w:rPr>
          <w:rFonts w:cs="Arial"/>
          <w:bCs/>
          <w:snapToGrid w:val="0"/>
          <w:color w:val="000000"/>
        </w:rPr>
        <w:t xml:space="preserve">, including the </w:t>
      </w:r>
      <w:r w:rsidRPr="002B6F72">
        <w:rPr>
          <w:rFonts w:cs="Arial"/>
        </w:rPr>
        <w:t xml:space="preserve">required editorial clarifications (indicated </w:t>
      </w:r>
      <w:r>
        <w:rPr>
          <w:rFonts w:cs="Arial"/>
        </w:rPr>
        <w:t xml:space="preserve">with </w:t>
      </w:r>
      <w:r w:rsidRPr="002B6F72">
        <w:rPr>
          <w:rFonts w:cs="Arial"/>
        </w:rPr>
        <w:t>“</w:t>
      </w:r>
      <w:r w:rsidRPr="002B6F72">
        <w:rPr>
          <w:rFonts w:cs="Arial"/>
          <w:vertAlign w:val="superscript"/>
        </w:rPr>
        <w:t>#</w:t>
      </w:r>
      <w:r w:rsidRPr="002B6F72">
        <w:rPr>
          <w:rFonts w:cs="Arial"/>
        </w:rPr>
        <w:t>”)</w:t>
      </w:r>
      <w:r>
        <w:rPr>
          <w:rFonts w:cs="Arial"/>
        </w:rPr>
        <w:t xml:space="preserve"> and </w:t>
      </w:r>
      <w:r>
        <w:t xml:space="preserve">responses from the Leading Expert, Mr. </w:t>
      </w:r>
      <w:proofErr w:type="spellStart"/>
      <w:r w:rsidR="00B46E4E" w:rsidRPr="00B46E4E">
        <w:t>Zoltán</w:t>
      </w:r>
      <w:proofErr w:type="spellEnd"/>
      <w:r w:rsidR="00B46E4E" w:rsidRPr="00B46E4E">
        <w:t xml:space="preserve"> </w:t>
      </w:r>
      <w:proofErr w:type="spellStart"/>
      <w:r w:rsidR="00B46E4E" w:rsidRPr="00B46E4E">
        <w:t>Csűrös</w:t>
      </w:r>
      <w:proofErr w:type="spellEnd"/>
      <w:r w:rsidR="00B46E4E" w:rsidRPr="00B46E4E">
        <w:t xml:space="preserve"> </w:t>
      </w:r>
      <w:r>
        <w:t>(</w:t>
      </w:r>
      <w:r w:rsidR="00B46E4E">
        <w:t>Hungary</w:t>
      </w:r>
      <w:r>
        <w:t>):</w:t>
      </w:r>
    </w:p>
    <w:p w:rsidR="001C7A1E" w:rsidRDefault="001C7A1E" w:rsidP="00BD7A5C"/>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B46E4E" w:rsidRPr="00D55FAA" w:rsidTr="00B46E4E">
        <w:trPr>
          <w:cantSplit/>
          <w:trHeight w:val="274"/>
        </w:trPr>
        <w:tc>
          <w:tcPr>
            <w:tcW w:w="1573" w:type="dxa"/>
            <w:shd w:val="clear" w:color="auto" w:fill="auto"/>
          </w:tcPr>
          <w:p w:rsidR="00B46E4E" w:rsidRPr="00067227" w:rsidRDefault="00B46E4E" w:rsidP="00B46E4E">
            <w:pPr>
              <w:jc w:val="left"/>
              <w:rPr>
                <w:rFonts w:cs="Arial"/>
              </w:rPr>
            </w:pPr>
            <w:r w:rsidRPr="00067227">
              <w:rPr>
                <w:rFonts w:cs="Arial"/>
              </w:rPr>
              <w:t>General</w:t>
            </w:r>
          </w:p>
        </w:tc>
        <w:tc>
          <w:tcPr>
            <w:tcW w:w="8208" w:type="dxa"/>
            <w:shd w:val="clear" w:color="auto" w:fill="auto"/>
          </w:tcPr>
          <w:p w:rsidR="00B46E4E" w:rsidRPr="00067227" w:rsidRDefault="00B46E4E" w:rsidP="003E46EA">
            <w:pPr>
              <w:rPr>
                <w:rFonts w:cs="Arial"/>
              </w:rPr>
            </w:pPr>
            <w:r w:rsidRPr="00067227">
              <w:rPr>
                <w:rFonts w:cs="Arial"/>
              </w:rPr>
              <w:t>- to replace “grains” by “seeds” throughout the TG</w:t>
            </w:r>
          </w:p>
          <w:p w:rsidR="00B46E4E" w:rsidRPr="00D55FAA" w:rsidRDefault="00B46E4E" w:rsidP="003E46EA">
            <w:pPr>
              <w:rPr>
                <w:rFonts w:cs="Arial"/>
              </w:rPr>
            </w:pPr>
            <w:r w:rsidRPr="00067227">
              <w:rPr>
                <w:rFonts w:cs="Arial"/>
              </w:rPr>
              <w:t>- to correct spelling of “disc floret” (instead of “disk” throughout the TG)</w:t>
            </w:r>
          </w:p>
        </w:tc>
      </w:tr>
      <w:tr w:rsidR="00B46E4E" w:rsidRPr="00D55FAA" w:rsidTr="00B46E4E">
        <w:trPr>
          <w:cantSplit/>
          <w:trHeight w:val="274"/>
        </w:trPr>
        <w:tc>
          <w:tcPr>
            <w:tcW w:w="1573" w:type="dxa"/>
            <w:shd w:val="clear" w:color="auto" w:fill="auto"/>
          </w:tcPr>
          <w:p w:rsidR="00B46E4E" w:rsidRPr="00D55FAA" w:rsidRDefault="00B46E4E" w:rsidP="00B46E4E">
            <w:pPr>
              <w:jc w:val="left"/>
              <w:rPr>
                <w:rFonts w:cs="Arial"/>
              </w:rPr>
            </w:pPr>
            <w:r w:rsidRPr="00D55FAA">
              <w:rPr>
                <w:rFonts w:cs="Arial"/>
              </w:rPr>
              <w:t>2.3</w:t>
            </w:r>
          </w:p>
        </w:tc>
        <w:tc>
          <w:tcPr>
            <w:tcW w:w="8208" w:type="dxa"/>
            <w:shd w:val="clear" w:color="auto" w:fill="auto"/>
          </w:tcPr>
          <w:p w:rsidR="00B46E4E" w:rsidRPr="00D55FAA" w:rsidRDefault="00B46E4E" w:rsidP="003E46EA">
            <w:pPr>
              <w:rPr>
                <w:rFonts w:cs="Arial"/>
              </w:rPr>
            </w:pPr>
            <w:proofErr w:type="gramStart"/>
            <w:r w:rsidRPr="00D55FAA">
              <w:rPr>
                <w:rFonts w:cs="Arial"/>
              </w:rPr>
              <w:t>to</w:t>
            </w:r>
            <w:proofErr w:type="gramEnd"/>
            <w:r w:rsidRPr="00D55FAA">
              <w:rPr>
                <w:rFonts w:cs="Arial"/>
              </w:rPr>
              <w:t xml:space="preserve"> read “… 1 kg of seed for hybrid and open-pollinated varieties…”</w:t>
            </w:r>
          </w:p>
        </w:tc>
      </w:tr>
      <w:tr w:rsidR="00B46E4E" w:rsidRPr="00D55FAA" w:rsidTr="00B46E4E">
        <w:trPr>
          <w:cantSplit/>
          <w:trHeight w:val="274"/>
        </w:trPr>
        <w:tc>
          <w:tcPr>
            <w:tcW w:w="1573" w:type="dxa"/>
            <w:shd w:val="clear" w:color="auto" w:fill="auto"/>
          </w:tcPr>
          <w:p w:rsidR="00B46E4E" w:rsidRPr="00D55FAA" w:rsidRDefault="00B46E4E" w:rsidP="00B46E4E">
            <w:pPr>
              <w:jc w:val="left"/>
              <w:rPr>
                <w:rFonts w:cs="Arial"/>
              </w:rPr>
            </w:pPr>
            <w:r w:rsidRPr="00D55FAA">
              <w:rPr>
                <w:rFonts w:cs="Arial"/>
              </w:rPr>
              <w:t>3.1.2</w:t>
            </w:r>
          </w:p>
        </w:tc>
        <w:tc>
          <w:tcPr>
            <w:tcW w:w="8208" w:type="dxa"/>
            <w:shd w:val="clear" w:color="auto" w:fill="auto"/>
          </w:tcPr>
          <w:p w:rsidR="00B46E4E" w:rsidRPr="00D55FAA" w:rsidRDefault="00B46E4E" w:rsidP="003E46EA">
            <w:pPr>
              <w:rPr>
                <w:rFonts w:cs="Arial"/>
              </w:rPr>
            </w:pPr>
            <w:r w:rsidRPr="00D55FAA">
              <w:rPr>
                <w:rFonts w:cs="Arial"/>
              </w:rPr>
              <w:t>to be deleted as it is an annual crop</w:t>
            </w:r>
          </w:p>
        </w:tc>
      </w:tr>
      <w:tr w:rsidR="00B46E4E" w:rsidRPr="00D55FAA" w:rsidTr="00B46E4E">
        <w:trPr>
          <w:cantSplit/>
          <w:trHeight w:val="274"/>
        </w:trPr>
        <w:tc>
          <w:tcPr>
            <w:tcW w:w="1573" w:type="dxa"/>
            <w:shd w:val="clear" w:color="auto" w:fill="auto"/>
          </w:tcPr>
          <w:p w:rsidR="00B46E4E" w:rsidRPr="00D55FAA" w:rsidRDefault="00B46E4E" w:rsidP="00B46E4E">
            <w:pPr>
              <w:jc w:val="left"/>
              <w:rPr>
                <w:rFonts w:cs="Arial"/>
              </w:rPr>
            </w:pPr>
            <w:r w:rsidRPr="00D55FAA">
              <w:rPr>
                <w:rFonts w:cs="Arial"/>
              </w:rPr>
              <w:t>Char. 5</w:t>
            </w:r>
          </w:p>
        </w:tc>
        <w:tc>
          <w:tcPr>
            <w:tcW w:w="8208" w:type="dxa"/>
            <w:shd w:val="clear" w:color="auto" w:fill="auto"/>
            <w:vAlign w:val="bottom"/>
          </w:tcPr>
          <w:p w:rsidR="00B46E4E" w:rsidRPr="00D55FAA" w:rsidRDefault="00B46E4E" w:rsidP="003E46EA">
            <w:pPr>
              <w:rPr>
                <w:rFonts w:cs="Arial"/>
              </w:rPr>
            </w:pPr>
            <w:r w:rsidRPr="00D55FAA">
              <w:rPr>
                <w:rFonts w:cs="Arial"/>
              </w:rPr>
              <w:t>to read “Leaf: profile in cross-section”</w:t>
            </w:r>
          </w:p>
        </w:tc>
      </w:tr>
      <w:tr w:rsidR="00B46E4E" w:rsidRPr="00D55FAA" w:rsidTr="00B46E4E">
        <w:trPr>
          <w:cantSplit/>
          <w:trHeight w:val="274"/>
        </w:trPr>
        <w:tc>
          <w:tcPr>
            <w:tcW w:w="1573" w:type="dxa"/>
            <w:shd w:val="clear" w:color="auto" w:fill="auto"/>
          </w:tcPr>
          <w:p w:rsidR="00B46E4E" w:rsidRPr="0070289C" w:rsidRDefault="00B46E4E" w:rsidP="00B46E4E">
            <w:pPr>
              <w:jc w:val="left"/>
              <w:rPr>
                <w:rFonts w:cs="Arial"/>
              </w:rPr>
            </w:pPr>
            <w:r w:rsidRPr="0070289C">
              <w:rPr>
                <w:rFonts w:cs="Arial"/>
                <w:vertAlign w:val="superscript"/>
              </w:rPr>
              <w:t>#</w:t>
            </w:r>
            <w:r w:rsidRPr="0070289C">
              <w:rPr>
                <w:rFonts w:cs="Arial"/>
              </w:rPr>
              <w:t>Char. 6</w:t>
            </w:r>
          </w:p>
        </w:tc>
        <w:tc>
          <w:tcPr>
            <w:tcW w:w="8208" w:type="dxa"/>
            <w:shd w:val="clear" w:color="auto" w:fill="auto"/>
            <w:vAlign w:val="bottom"/>
          </w:tcPr>
          <w:p w:rsidR="00B46E4E" w:rsidRPr="0070289C" w:rsidRDefault="00B46E4E" w:rsidP="003E46EA">
            <w:pPr>
              <w:rPr>
                <w:rFonts w:cs="Arial"/>
              </w:rPr>
            </w:pPr>
            <w:proofErr w:type="gramStart"/>
            <w:r w:rsidRPr="0070289C">
              <w:rPr>
                <w:rFonts w:cs="Arial"/>
              </w:rPr>
              <w:t>to</w:t>
            </w:r>
            <w:proofErr w:type="gramEnd"/>
            <w:r w:rsidRPr="0070289C">
              <w:rPr>
                <w:rFonts w:cs="Arial"/>
              </w:rPr>
              <w:t xml:space="preserve"> be reviewed (states of expression do not relate to the title of the char.)</w:t>
            </w:r>
          </w:p>
          <w:p w:rsidR="00B46E4E" w:rsidRPr="0070289C" w:rsidRDefault="00B46E4E" w:rsidP="00B46E4E">
            <w:pPr>
              <w:rPr>
                <w:rFonts w:cs="Arial"/>
                <w:i/>
              </w:rPr>
            </w:pPr>
            <w:r w:rsidRPr="0070289C">
              <w:rPr>
                <w:rFonts w:cs="Arial"/>
                <w:i/>
              </w:rPr>
              <w:t xml:space="preserve">Leading Expert:  the characteristic title </w:t>
            </w:r>
            <w:r w:rsidRPr="0070289C">
              <w:rPr>
                <w:i/>
              </w:rPr>
              <w:t xml:space="preserve">should read “Leaf: shape”.  Ad.6 clarifies what </w:t>
            </w:r>
            <w:proofErr w:type="gramStart"/>
            <w:r w:rsidRPr="0070289C">
              <w:rPr>
                <w:i/>
              </w:rPr>
              <w:t>should be observed</w:t>
            </w:r>
            <w:proofErr w:type="gramEnd"/>
            <w:r w:rsidRPr="0070289C">
              <w:rPr>
                <w:i/>
              </w:rPr>
              <w:t>.</w:t>
            </w:r>
          </w:p>
        </w:tc>
      </w:tr>
      <w:tr w:rsidR="00B46E4E" w:rsidRPr="00D55FAA" w:rsidTr="00B46E4E">
        <w:trPr>
          <w:cantSplit/>
          <w:trHeight w:val="274"/>
        </w:trPr>
        <w:tc>
          <w:tcPr>
            <w:tcW w:w="1573" w:type="dxa"/>
            <w:shd w:val="clear" w:color="auto" w:fill="auto"/>
          </w:tcPr>
          <w:p w:rsidR="00B46E4E" w:rsidRPr="00D55FAA" w:rsidRDefault="00B46E4E" w:rsidP="00B46E4E">
            <w:pPr>
              <w:jc w:val="left"/>
              <w:rPr>
                <w:rFonts w:cs="Arial"/>
              </w:rPr>
            </w:pPr>
            <w:r w:rsidRPr="00D55FAA">
              <w:rPr>
                <w:rFonts w:cs="Arial"/>
              </w:rPr>
              <w:t>Char. 7</w:t>
            </w:r>
          </w:p>
        </w:tc>
        <w:tc>
          <w:tcPr>
            <w:tcW w:w="8208" w:type="dxa"/>
            <w:shd w:val="clear" w:color="auto" w:fill="auto"/>
          </w:tcPr>
          <w:p w:rsidR="00B46E4E" w:rsidRPr="00D55FAA" w:rsidRDefault="00B46E4E" w:rsidP="003E46EA">
            <w:pPr>
              <w:rPr>
                <w:rFonts w:cs="Arial"/>
              </w:rPr>
            </w:pPr>
            <w:r w:rsidRPr="00D55FAA">
              <w:rPr>
                <w:rFonts w:cs="Arial"/>
              </w:rPr>
              <w:t>to read “Leaf: lobes”</w:t>
            </w:r>
          </w:p>
        </w:tc>
      </w:tr>
      <w:tr w:rsidR="00B46E4E" w:rsidRPr="00D55FAA" w:rsidTr="00B46E4E">
        <w:trPr>
          <w:cantSplit/>
          <w:trHeight w:val="274"/>
        </w:trPr>
        <w:tc>
          <w:tcPr>
            <w:tcW w:w="1573" w:type="dxa"/>
            <w:shd w:val="clear" w:color="auto" w:fill="auto"/>
          </w:tcPr>
          <w:p w:rsidR="00B46E4E" w:rsidRPr="00D55FAA" w:rsidRDefault="00B46E4E" w:rsidP="00B46E4E">
            <w:pPr>
              <w:jc w:val="left"/>
              <w:rPr>
                <w:rFonts w:cs="Arial"/>
              </w:rPr>
            </w:pPr>
            <w:r w:rsidRPr="00D55FAA">
              <w:rPr>
                <w:rFonts w:cs="Arial"/>
              </w:rPr>
              <w:t>Char. 8</w:t>
            </w:r>
          </w:p>
        </w:tc>
        <w:tc>
          <w:tcPr>
            <w:tcW w:w="8208" w:type="dxa"/>
            <w:shd w:val="clear" w:color="auto" w:fill="auto"/>
          </w:tcPr>
          <w:p w:rsidR="00B46E4E" w:rsidRPr="00D55FAA" w:rsidRDefault="00B46E4E" w:rsidP="003E46EA">
            <w:pPr>
              <w:rPr>
                <w:rFonts w:cs="Arial"/>
              </w:rPr>
            </w:pPr>
            <w:r w:rsidRPr="00D55FAA">
              <w:rPr>
                <w:rFonts w:cs="Arial"/>
              </w:rPr>
              <w:t xml:space="preserve">- to read </w:t>
            </w:r>
            <w:r>
              <w:rPr>
                <w:rFonts w:cs="Arial"/>
              </w:rPr>
              <w:t>“</w:t>
            </w:r>
            <w:r w:rsidRPr="00D55FAA">
              <w:rPr>
                <w:rFonts w:cs="Arial"/>
              </w:rPr>
              <w:t xml:space="preserve">Leaf: </w:t>
            </w:r>
            <w:r w:rsidRPr="00D55FAA">
              <w:rPr>
                <w:rFonts w:eastAsia="Arial" w:cs="Arial"/>
              </w:rPr>
              <w:t>parenchyma at base of lateral veins”</w:t>
            </w:r>
            <w:r w:rsidRPr="00D55FAA" w:rsidDel="004522E3">
              <w:rPr>
                <w:rFonts w:cs="Arial"/>
              </w:rPr>
              <w:t xml:space="preserve"> </w:t>
            </w:r>
          </w:p>
          <w:p w:rsidR="00B46E4E" w:rsidRPr="00D55FAA" w:rsidRDefault="00B46E4E" w:rsidP="003E46EA">
            <w:pPr>
              <w:rPr>
                <w:rFonts w:cs="Arial"/>
              </w:rPr>
            </w:pPr>
            <w:r w:rsidRPr="00D55FAA">
              <w:rPr>
                <w:rFonts w:cs="Arial"/>
              </w:rPr>
              <w:t>- to have states (1) none or very weak, (2) weak, (3) strong</w:t>
            </w:r>
          </w:p>
        </w:tc>
      </w:tr>
      <w:tr w:rsidR="00B46E4E" w:rsidRPr="00D55FAA" w:rsidTr="00B46E4E">
        <w:trPr>
          <w:cantSplit/>
          <w:trHeight w:val="274"/>
        </w:trPr>
        <w:tc>
          <w:tcPr>
            <w:tcW w:w="1573" w:type="dxa"/>
            <w:shd w:val="clear" w:color="auto" w:fill="auto"/>
          </w:tcPr>
          <w:p w:rsidR="00B46E4E" w:rsidRPr="00D55FAA" w:rsidRDefault="00B46E4E" w:rsidP="00B46E4E">
            <w:pPr>
              <w:jc w:val="left"/>
              <w:rPr>
                <w:rFonts w:cs="Arial"/>
              </w:rPr>
            </w:pPr>
            <w:r w:rsidRPr="00D55FAA">
              <w:rPr>
                <w:rFonts w:cs="Arial"/>
              </w:rPr>
              <w:t>Char. 12</w:t>
            </w:r>
          </w:p>
        </w:tc>
        <w:tc>
          <w:tcPr>
            <w:tcW w:w="8208" w:type="dxa"/>
            <w:shd w:val="clear" w:color="auto" w:fill="auto"/>
            <w:vAlign w:val="bottom"/>
          </w:tcPr>
          <w:p w:rsidR="00B46E4E" w:rsidRPr="00D55FAA" w:rsidRDefault="00B46E4E" w:rsidP="003E46EA">
            <w:pPr>
              <w:rPr>
                <w:rFonts w:cs="Arial"/>
              </w:rPr>
            </w:pPr>
            <w:r w:rsidRPr="00D55FAA">
              <w:rPr>
                <w:rFonts w:cs="Arial"/>
              </w:rPr>
              <w:t>- state 1 to read “erect”</w:t>
            </w:r>
          </w:p>
          <w:p w:rsidR="00B46E4E" w:rsidRPr="00D55FAA" w:rsidRDefault="00B46E4E" w:rsidP="003E46EA">
            <w:pPr>
              <w:rPr>
                <w:rFonts w:cs="Arial"/>
              </w:rPr>
            </w:pPr>
            <w:r w:rsidRPr="00D55FAA">
              <w:rPr>
                <w:rFonts w:cs="Arial"/>
              </w:rPr>
              <w:t>- state 2 to read “semi-erect”</w:t>
            </w:r>
          </w:p>
        </w:tc>
      </w:tr>
      <w:tr w:rsidR="00B46E4E" w:rsidRPr="00D55FAA" w:rsidTr="00B46E4E">
        <w:trPr>
          <w:cantSplit/>
          <w:trHeight w:val="274"/>
        </w:trPr>
        <w:tc>
          <w:tcPr>
            <w:tcW w:w="1573" w:type="dxa"/>
            <w:shd w:val="clear" w:color="auto" w:fill="auto"/>
          </w:tcPr>
          <w:p w:rsidR="00B46E4E" w:rsidRPr="00D55FAA" w:rsidRDefault="00B46E4E" w:rsidP="00B46E4E">
            <w:pPr>
              <w:jc w:val="left"/>
              <w:rPr>
                <w:rFonts w:cs="Arial"/>
              </w:rPr>
            </w:pPr>
            <w:r w:rsidRPr="00D55FAA">
              <w:rPr>
                <w:rFonts w:cs="Arial"/>
              </w:rPr>
              <w:t>Char. 13</w:t>
            </w:r>
          </w:p>
        </w:tc>
        <w:tc>
          <w:tcPr>
            <w:tcW w:w="8208" w:type="dxa"/>
            <w:shd w:val="clear" w:color="auto" w:fill="auto"/>
          </w:tcPr>
          <w:p w:rsidR="00B46E4E" w:rsidRPr="00D55FAA" w:rsidRDefault="00B46E4E" w:rsidP="003E46EA">
            <w:pPr>
              <w:rPr>
                <w:rFonts w:cs="Arial"/>
              </w:rPr>
            </w:pPr>
            <w:r w:rsidRPr="00D55FAA">
              <w:rPr>
                <w:rFonts w:cs="Arial"/>
              </w:rPr>
              <w:t>- to read “Ray floret: profile”</w:t>
            </w:r>
          </w:p>
          <w:p w:rsidR="00B46E4E" w:rsidRPr="00D55FAA" w:rsidRDefault="00B46E4E" w:rsidP="003E46EA">
            <w:pPr>
              <w:rPr>
                <w:rFonts w:cs="Arial"/>
              </w:rPr>
            </w:pPr>
            <w:r w:rsidRPr="00D55FAA">
              <w:rPr>
                <w:rFonts w:cs="Arial"/>
              </w:rPr>
              <w:t>- to have states (1) flat, (2) rolled, (3) twisted, (4) strongly recurved</w:t>
            </w:r>
          </w:p>
        </w:tc>
      </w:tr>
      <w:tr w:rsidR="00B46E4E" w:rsidRPr="00D55FAA" w:rsidTr="00B46E4E">
        <w:trPr>
          <w:cantSplit/>
          <w:trHeight w:val="274"/>
        </w:trPr>
        <w:tc>
          <w:tcPr>
            <w:tcW w:w="1573" w:type="dxa"/>
            <w:shd w:val="clear" w:color="auto" w:fill="auto"/>
          </w:tcPr>
          <w:p w:rsidR="00B46E4E" w:rsidRPr="00D55FAA" w:rsidRDefault="00B46E4E" w:rsidP="00B46E4E">
            <w:pPr>
              <w:jc w:val="left"/>
              <w:rPr>
                <w:rFonts w:cs="Arial"/>
              </w:rPr>
            </w:pPr>
            <w:r w:rsidRPr="00D55FAA">
              <w:rPr>
                <w:rFonts w:cs="Arial"/>
              </w:rPr>
              <w:t>Char. 16</w:t>
            </w:r>
          </w:p>
        </w:tc>
        <w:tc>
          <w:tcPr>
            <w:tcW w:w="8208" w:type="dxa"/>
            <w:shd w:val="clear" w:color="auto" w:fill="auto"/>
            <w:vAlign w:val="bottom"/>
          </w:tcPr>
          <w:p w:rsidR="00B46E4E" w:rsidRPr="00D55FAA" w:rsidRDefault="00B46E4E" w:rsidP="003E46EA">
            <w:pPr>
              <w:rPr>
                <w:rFonts w:cs="Arial"/>
              </w:rPr>
            </w:pPr>
            <w:r w:rsidRPr="00D55FAA">
              <w:rPr>
                <w:rFonts w:cs="Arial"/>
              </w:rPr>
              <w:t>to delete “moderately” from states 2 and 3</w:t>
            </w:r>
          </w:p>
        </w:tc>
      </w:tr>
      <w:tr w:rsidR="00B46E4E" w:rsidRPr="00D55FAA" w:rsidTr="00B46E4E">
        <w:trPr>
          <w:cantSplit/>
          <w:trHeight w:val="274"/>
        </w:trPr>
        <w:tc>
          <w:tcPr>
            <w:tcW w:w="1573" w:type="dxa"/>
            <w:shd w:val="clear" w:color="auto" w:fill="auto"/>
          </w:tcPr>
          <w:p w:rsidR="00B46E4E" w:rsidRPr="00D55FAA" w:rsidRDefault="00B46E4E" w:rsidP="00B46E4E">
            <w:pPr>
              <w:jc w:val="left"/>
              <w:rPr>
                <w:rFonts w:cs="Arial"/>
              </w:rPr>
            </w:pPr>
            <w:r w:rsidRPr="00D55FAA">
              <w:rPr>
                <w:rFonts w:cs="Arial"/>
                <w:vertAlign w:val="superscript"/>
              </w:rPr>
              <w:t>#</w:t>
            </w:r>
            <w:r w:rsidRPr="00D55FAA">
              <w:rPr>
                <w:rFonts w:cs="Arial"/>
              </w:rPr>
              <w:t>Char. 20</w:t>
            </w:r>
          </w:p>
        </w:tc>
        <w:tc>
          <w:tcPr>
            <w:tcW w:w="8208" w:type="dxa"/>
            <w:shd w:val="clear" w:color="auto" w:fill="auto"/>
          </w:tcPr>
          <w:p w:rsidR="00B46E4E" w:rsidRDefault="00B46E4E" w:rsidP="003E46EA">
            <w:pPr>
              <w:rPr>
                <w:rFonts w:cs="Arial"/>
              </w:rPr>
            </w:pPr>
            <w:r w:rsidRPr="00D55FAA">
              <w:rPr>
                <w:rFonts w:cs="Arial"/>
              </w:rPr>
              <w:t>to check whether to have same explanation as characteristic 21</w:t>
            </w:r>
          </w:p>
          <w:p w:rsidR="00DF56AF" w:rsidRPr="00D55FAA" w:rsidRDefault="00DF56AF" w:rsidP="003E46EA">
            <w:pPr>
              <w:rPr>
                <w:rFonts w:cs="Arial"/>
              </w:rPr>
            </w:pPr>
            <w:r w:rsidRPr="00B46E4E">
              <w:rPr>
                <w:rFonts w:cs="Arial"/>
                <w:i/>
              </w:rPr>
              <w:t xml:space="preserve">Leading Expert:  </w:t>
            </w:r>
            <w:r>
              <w:rPr>
                <w:rFonts w:cs="Arial"/>
                <w:i/>
              </w:rPr>
              <w:t>agreed</w:t>
            </w:r>
          </w:p>
        </w:tc>
      </w:tr>
      <w:tr w:rsidR="00B46E4E" w:rsidRPr="00D55FAA" w:rsidTr="00B46E4E">
        <w:trPr>
          <w:cantSplit/>
          <w:trHeight w:val="274"/>
        </w:trPr>
        <w:tc>
          <w:tcPr>
            <w:tcW w:w="1573" w:type="dxa"/>
            <w:shd w:val="clear" w:color="auto" w:fill="auto"/>
          </w:tcPr>
          <w:p w:rsidR="00B46E4E" w:rsidRPr="00D55FAA" w:rsidRDefault="00B46E4E" w:rsidP="00B46E4E">
            <w:pPr>
              <w:jc w:val="left"/>
              <w:rPr>
                <w:rFonts w:cs="Arial"/>
              </w:rPr>
            </w:pPr>
            <w:r w:rsidRPr="00D55FAA">
              <w:rPr>
                <w:rFonts w:cs="Arial"/>
              </w:rPr>
              <w:t>Char. 26</w:t>
            </w:r>
          </w:p>
        </w:tc>
        <w:tc>
          <w:tcPr>
            <w:tcW w:w="8208" w:type="dxa"/>
            <w:shd w:val="clear" w:color="auto" w:fill="auto"/>
          </w:tcPr>
          <w:p w:rsidR="00B46E4E" w:rsidRPr="00D55FAA" w:rsidRDefault="00B46E4E" w:rsidP="003E46EA">
            <w:pPr>
              <w:rPr>
                <w:rFonts w:cs="Arial"/>
              </w:rPr>
            </w:pPr>
            <w:r w:rsidRPr="00D55FAA">
              <w:rPr>
                <w:rFonts w:cs="Arial"/>
              </w:rPr>
              <w:t>to replace “embracing” with “</w:t>
            </w:r>
            <w:proofErr w:type="spellStart"/>
            <w:r w:rsidRPr="00D55FAA">
              <w:rPr>
                <w:rFonts w:cs="Arial"/>
              </w:rPr>
              <w:t>adpressed</w:t>
            </w:r>
            <w:proofErr w:type="spellEnd"/>
            <w:r w:rsidRPr="00D55FAA">
              <w:rPr>
                <w:rFonts w:cs="Arial"/>
              </w:rPr>
              <w:t>” in all states</w:t>
            </w:r>
          </w:p>
        </w:tc>
      </w:tr>
      <w:tr w:rsidR="00B46E4E" w:rsidRPr="00D55FAA" w:rsidTr="00B46E4E">
        <w:trPr>
          <w:cantSplit/>
          <w:trHeight w:val="274"/>
        </w:trPr>
        <w:tc>
          <w:tcPr>
            <w:tcW w:w="1573" w:type="dxa"/>
            <w:shd w:val="clear" w:color="auto" w:fill="auto"/>
          </w:tcPr>
          <w:p w:rsidR="00B46E4E" w:rsidRPr="00D55FAA" w:rsidRDefault="00B46E4E" w:rsidP="00B46E4E">
            <w:pPr>
              <w:jc w:val="left"/>
              <w:rPr>
                <w:rFonts w:cs="Arial"/>
              </w:rPr>
            </w:pPr>
            <w:r w:rsidRPr="00D55FAA">
              <w:rPr>
                <w:rFonts w:cs="Arial"/>
              </w:rPr>
              <w:t>Char. 30</w:t>
            </w:r>
          </w:p>
        </w:tc>
        <w:tc>
          <w:tcPr>
            <w:tcW w:w="8208" w:type="dxa"/>
            <w:shd w:val="clear" w:color="auto" w:fill="auto"/>
          </w:tcPr>
          <w:p w:rsidR="00B46E4E" w:rsidRPr="00D55FAA" w:rsidRDefault="00B46E4E" w:rsidP="003E46EA">
            <w:pPr>
              <w:rPr>
                <w:rFonts w:cs="Arial"/>
              </w:rPr>
            </w:pPr>
            <w:r w:rsidRPr="00D55FAA">
              <w:rPr>
                <w:rFonts w:cs="Arial"/>
              </w:rPr>
              <w:t>to read “… position of branching”</w:t>
            </w:r>
          </w:p>
        </w:tc>
      </w:tr>
      <w:tr w:rsidR="00B46E4E" w:rsidRPr="00D55FAA" w:rsidTr="00B46E4E">
        <w:trPr>
          <w:cantSplit/>
          <w:trHeight w:val="274"/>
        </w:trPr>
        <w:tc>
          <w:tcPr>
            <w:tcW w:w="1573" w:type="dxa"/>
            <w:shd w:val="clear" w:color="auto" w:fill="auto"/>
          </w:tcPr>
          <w:p w:rsidR="00B46E4E" w:rsidRPr="00D55FAA" w:rsidRDefault="00B46E4E" w:rsidP="00B46E4E">
            <w:pPr>
              <w:jc w:val="left"/>
              <w:rPr>
                <w:rFonts w:cs="Arial"/>
              </w:rPr>
            </w:pPr>
            <w:r w:rsidRPr="00D55FAA">
              <w:rPr>
                <w:rFonts w:cs="Arial"/>
                <w:vertAlign w:val="superscript"/>
              </w:rPr>
              <w:t>#</w:t>
            </w:r>
            <w:r w:rsidRPr="00D55FAA">
              <w:rPr>
                <w:rFonts w:cs="Arial"/>
              </w:rPr>
              <w:t>Char. 34</w:t>
            </w:r>
          </w:p>
        </w:tc>
        <w:tc>
          <w:tcPr>
            <w:tcW w:w="8208" w:type="dxa"/>
            <w:shd w:val="clear" w:color="auto" w:fill="auto"/>
            <w:vAlign w:val="bottom"/>
          </w:tcPr>
          <w:p w:rsidR="00B46E4E" w:rsidRPr="00D55FAA" w:rsidRDefault="00B46E4E" w:rsidP="003E46EA">
            <w:pPr>
              <w:rPr>
                <w:rFonts w:cs="Arial"/>
              </w:rPr>
            </w:pPr>
            <w:r w:rsidRPr="00D55FAA">
              <w:rPr>
                <w:rFonts w:cs="Arial"/>
              </w:rPr>
              <w:t>- to read “Head: diameter”</w:t>
            </w:r>
          </w:p>
          <w:p w:rsidR="00B46E4E" w:rsidRDefault="00B46E4E" w:rsidP="003E46EA">
            <w:pPr>
              <w:rPr>
                <w:rFonts w:cs="Arial"/>
              </w:rPr>
            </w:pPr>
            <w:r w:rsidRPr="00D55FAA">
              <w:rPr>
                <w:rFonts w:cs="Arial"/>
              </w:rPr>
              <w:t>- to add in the explanation that for branching varieties the central head should be observed</w:t>
            </w:r>
          </w:p>
          <w:p w:rsidR="00DF56AF" w:rsidRPr="00D55FAA" w:rsidRDefault="00DF56AF" w:rsidP="003E46EA">
            <w:pPr>
              <w:rPr>
                <w:rFonts w:cs="Arial"/>
              </w:rPr>
            </w:pPr>
            <w:r w:rsidRPr="00B46E4E">
              <w:rPr>
                <w:rFonts w:cs="Arial"/>
                <w:i/>
              </w:rPr>
              <w:t xml:space="preserve">Leading Expert:  </w:t>
            </w:r>
            <w:r>
              <w:rPr>
                <w:rFonts w:cs="Arial"/>
                <w:i/>
              </w:rPr>
              <w:t>agreed</w:t>
            </w:r>
          </w:p>
        </w:tc>
      </w:tr>
      <w:tr w:rsidR="00B46E4E" w:rsidRPr="00D55FAA" w:rsidTr="00B46E4E">
        <w:trPr>
          <w:cantSplit/>
          <w:trHeight w:val="274"/>
        </w:trPr>
        <w:tc>
          <w:tcPr>
            <w:tcW w:w="1573" w:type="dxa"/>
            <w:shd w:val="clear" w:color="auto" w:fill="auto"/>
          </w:tcPr>
          <w:p w:rsidR="00B46E4E" w:rsidRPr="00D55FAA" w:rsidRDefault="00B46E4E" w:rsidP="00B46E4E">
            <w:pPr>
              <w:jc w:val="left"/>
              <w:rPr>
                <w:rFonts w:cs="Arial"/>
              </w:rPr>
            </w:pPr>
            <w:r w:rsidRPr="00D55FAA">
              <w:rPr>
                <w:rFonts w:cs="Arial"/>
              </w:rPr>
              <w:t>Char. 42</w:t>
            </w:r>
          </w:p>
        </w:tc>
        <w:tc>
          <w:tcPr>
            <w:tcW w:w="8208" w:type="dxa"/>
            <w:shd w:val="clear" w:color="auto" w:fill="auto"/>
          </w:tcPr>
          <w:p w:rsidR="00B46E4E" w:rsidRPr="00D55FAA" w:rsidRDefault="00B46E4E" w:rsidP="003E46EA">
            <w:pPr>
              <w:jc w:val="left"/>
              <w:rPr>
                <w:rFonts w:cs="Arial"/>
              </w:rPr>
            </w:pPr>
            <w:r w:rsidRPr="00D55FAA">
              <w:rPr>
                <w:rFonts w:cs="Arial"/>
              </w:rPr>
              <w:t>to check whether to have order of colors according to document TGP/14 (brown before grey)</w:t>
            </w:r>
          </w:p>
        </w:tc>
      </w:tr>
      <w:tr w:rsidR="00B46E4E" w:rsidRPr="00D55FAA" w:rsidTr="00B46E4E">
        <w:trPr>
          <w:cantSplit/>
          <w:trHeight w:val="274"/>
        </w:trPr>
        <w:tc>
          <w:tcPr>
            <w:tcW w:w="1573" w:type="dxa"/>
            <w:shd w:val="clear" w:color="auto" w:fill="auto"/>
          </w:tcPr>
          <w:p w:rsidR="00B46E4E" w:rsidRPr="00D55FAA" w:rsidRDefault="00B46E4E" w:rsidP="00B46E4E">
            <w:pPr>
              <w:jc w:val="left"/>
              <w:rPr>
                <w:rFonts w:cs="Arial"/>
              </w:rPr>
            </w:pPr>
            <w:r w:rsidRPr="00D55FAA">
              <w:rPr>
                <w:rFonts w:cs="Arial"/>
              </w:rPr>
              <w:t>Char. 40</w:t>
            </w:r>
          </w:p>
        </w:tc>
        <w:tc>
          <w:tcPr>
            <w:tcW w:w="8208" w:type="dxa"/>
            <w:shd w:val="clear" w:color="auto" w:fill="auto"/>
          </w:tcPr>
          <w:p w:rsidR="00B46E4E" w:rsidRPr="00D55FAA" w:rsidRDefault="00B46E4E" w:rsidP="003E46EA">
            <w:pPr>
              <w:rPr>
                <w:rFonts w:cs="Arial"/>
              </w:rPr>
            </w:pPr>
            <w:r w:rsidRPr="00D55FAA">
              <w:rPr>
                <w:rFonts w:cs="Arial"/>
              </w:rPr>
              <w:t xml:space="preserve">- to read “Seed: stripes on margins” </w:t>
            </w:r>
          </w:p>
          <w:p w:rsidR="00B46E4E" w:rsidRPr="00D55FAA" w:rsidRDefault="00B46E4E" w:rsidP="003E46EA">
            <w:pPr>
              <w:rPr>
                <w:rFonts w:cs="Arial"/>
              </w:rPr>
            </w:pPr>
            <w:r w:rsidRPr="00D55FAA">
              <w:rPr>
                <w:rFonts w:cs="Arial"/>
              </w:rPr>
              <w:t>- to have states (1) none or very weak, (2) weak, (3) strong</w:t>
            </w:r>
          </w:p>
        </w:tc>
      </w:tr>
      <w:tr w:rsidR="00B46E4E" w:rsidRPr="00D55FAA" w:rsidTr="00B46E4E">
        <w:trPr>
          <w:cantSplit/>
          <w:trHeight w:val="274"/>
        </w:trPr>
        <w:tc>
          <w:tcPr>
            <w:tcW w:w="1573" w:type="dxa"/>
            <w:shd w:val="clear" w:color="auto" w:fill="auto"/>
          </w:tcPr>
          <w:p w:rsidR="00B46E4E" w:rsidRPr="00D55FAA" w:rsidRDefault="00B46E4E" w:rsidP="00B46E4E">
            <w:pPr>
              <w:jc w:val="left"/>
              <w:rPr>
                <w:rFonts w:cs="Arial"/>
              </w:rPr>
            </w:pPr>
            <w:r w:rsidRPr="00D55FAA">
              <w:rPr>
                <w:rFonts w:cs="Arial"/>
              </w:rPr>
              <w:t>Char. 41</w:t>
            </w:r>
          </w:p>
        </w:tc>
        <w:tc>
          <w:tcPr>
            <w:tcW w:w="8208" w:type="dxa"/>
            <w:shd w:val="clear" w:color="auto" w:fill="auto"/>
          </w:tcPr>
          <w:p w:rsidR="00B46E4E" w:rsidRPr="00D55FAA" w:rsidRDefault="00B46E4E" w:rsidP="003E46EA">
            <w:pPr>
              <w:rPr>
                <w:rFonts w:cs="Arial"/>
              </w:rPr>
            </w:pPr>
            <w:r w:rsidRPr="00D55FAA">
              <w:rPr>
                <w:rFonts w:cs="Arial"/>
              </w:rPr>
              <w:t>to have states (1) none or very weak, (2) weak, (3) strong</w:t>
            </w:r>
          </w:p>
        </w:tc>
      </w:tr>
    </w:tbl>
    <w:p w:rsidR="009B5F53" w:rsidRDefault="009B5F53"/>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B46E4E" w:rsidRPr="00D55FAA" w:rsidTr="00B46E4E">
        <w:trPr>
          <w:cantSplit/>
          <w:trHeight w:val="274"/>
        </w:trPr>
        <w:tc>
          <w:tcPr>
            <w:tcW w:w="1573" w:type="dxa"/>
            <w:shd w:val="clear" w:color="auto" w:fill="auto"/>
          </w:tcPr>
          <w:p w:rsidR="00B46E4E" w:rsidRPr="0070289C" w:rsidRDefault="00B46E4E" w:rsidP="009B5F53">
            <w:pPr>
              <w:keepNext/>
              <w:jc w:val="left"/>
            </w:pPr>
            <w:bookmarkStart w:id="2" w:name="_GoBack" w:colFirst="1" w:colLast="1"/>
            <w:r w:rsidRPr="0070289C">
              <w:rPr>
                <w:vertAlign w:val="superscript"/>
              </w:rPr>
              <w:lastRenderedPageBreak/>
              <w:t>#</w:t>
            </w:r>
            <w:r w:rsidRPr="0070289C">
              <w:t>Ad. 6</w:t>
            </w:r>
          </w:p>
        </w:tc>
        <w:tc>
          <w:tcPr>
            <w:tcW w:w="8208" w:type="dxa"/>
            <w:shd w:val="clear" w:color="auto" w:fill="auto"/>
            <w:vAlign w:val="bottom"/>
          </w:tcPr>
          <w:p w:rsidR="009B5F53" w:rsidRPr="0070289C" w:rsidRDefault="009B5F53" w:rsidP="009B5F53">
            <w:pPr>
              <w:keepNext/>
              <w:rPr>
                <w:rFonts w:cs="Arial"/>
              </w:rPr>
            </w:pPr>
            <w:r w:rsidRPr="0070289C">
              <w:rPr>
                <w:rFonts w:cs="Arial"/>
              </w:rPr>
              <w:t xml:space="preserve">- </w:t>
            </w:r>
            <w:proofErr w:type="gramStart"/>
            <w:r w:rsidRPr="0070289C">
              <w:rPr>
                <w:rFonts w:cs="Arial"/>
              </w:rPr>
              <w:t>to</w:t>
            </w:r>
            <w:proofErr w:type="gramEnd"/>
            <w:r w:rsidRPr="0070289C">
              <w:rPr>
                <w:rFonts w:cs="Arial"/>
              </w:rPr>
              <w:t xml:space="preserve"> read “Observations should be made on the upper two-thirds of the leaf.”</w:t>
            </w:r>
          </w:p>
          <w:p w:rsidR="009B5F53" w:rsidRPr="0070289C" w:rsidRDefault="009B5F53" w:rsidP="009B5F53">
            <w:pPr>
              <w:keepNext/>
              <w:rPr>
                <w:rFonts w:cs="Arial"/>
              </w:rPr>
            </w:pPr>
            <w:r w:rsidRPr="0070289C">
              <w:rPr>
                <w:rFonts w:cs="Arial"/>
                <w:i/>
              </w:rPr>
              <w:t xml:space="preserve">Leading Expert:  </w:t>
            </w:r>
            <w:r w:rsidR="00471D05" w:rsidRPr="0070289C">
              <w:rPr>
                <w:rFonts w:cs="Arial"/>
                <w:i/>
              </w:rPr>
              <w:t>to delete sentence or to read “Observation should be made on the distal part of the leaf”</w:t>
            </w:r>
          </w:p>
          <w:p w:rsidR="00B46E4E" w:rsidRPr="0070289C" w:rsidRDefault="00B46E4E" w:rsidP="009B5F53">
            <w:pPr>
              <w:keepNext/>
              <w:rPr>
                <w:rFonts w:cs="Arial"/>
              </w:rPr>
            </w:pPr>
            <w:r w:rsidRPr="0070289C">
              <w:rPr>
                <w:rFonts w:cs="Arial"/>
              </w:rPr>
              <w:t>- to add drawings illustrating the shapes</w:t>
            </w:r>
          </w:p>
          <w:p w:rsidR="00DF56AF" w:rsidRPr="0070289C" w:rsidRDefault="009B5F53" w:rsidP="0070289C">
            <w:pPr>
              <w:keepNext/>
              <w:rPr>
                <w:rFonts w:cs="Arial"/>
              </w:rPr>
            </w:pPr>
            <w:r w:rsidRPr="0070289C">
              <w:rPr>
                <w:rFonts w:cs="Arial"/>
                <w:i/>
              </w:rPr>
              <w:t xml:space="preserve">Leading Expert: </w:t>
            </w:r>
            <w:r w:rsidR="0070289C" w:rsidRPr="0070289C">
              <w:rPr>
                <w:rFonts w:cs="Arial"/>
                <w:i/>
              </w:rPr>
              <w:t>provided illustrations</w:t>
            </w:r>
          </w:p>
        </w:tc>
      </w:tr>
      <w:bookmarkEnd w:id="2"/>
    </w:tbl>
    <w:p w:rsidR="009B5F53" w:rsidRDefault="009B5F53"/>
    <w:tbl>
      <w:tblPr>
        <w:tblOverlap w:val="never"/>
        <w:tblW w:w="7436" w:type="dxa"/>
        <w:tblLayout w:type="fixed"/>
        <w:tblLook w:val="01E0" w:firstRow="1" w:lastRow="1" w:firstColumn="1" w:lastColumn="1" w:noHBand="0" w:noVBand="0"/>
      </w:tblPr>
      <w:tblGrid>
        <w:gridCol w:w="1859"/>
        <w:gridCol w:w="1859"/>
        <w:gridCol w:w="1859"/>
        <w:gridCol w:w="1859"/>
      </w:tblGrid>
      <w:tr w:rsidR="00B069AF" w:rsidTr="00B069AF">
        <w:tc>
          <w:tcPr>
            <w:tcW w:w="1859" w:type="dxa"/>
            <w:tcMar>
              <w:top w:w="0" w:type="dxa"/>
              <w:left w:w="0" w:type="dxa"/>
              <w:bottom w:w="0" w:type="dxa"/>
              <w:right w:w="0" w:type="dxa"/>
            </w:tcMar>
          </w:tcPr>
          <w:p w:rsidR="00B069AF" w:rsidRDefault="000E0B0C" w:rsidP="003E46EA">
            <w:pPr>
              <w:jc w:val="center"/>
            </w:pPr>
            <w:r>
              <w:rPr>
                <w:noProof/>
              </w:rPr>
              <w:drawing>
                <wp:inline distT="0" distB="0" distL="0" distR="0">
                  <wp:extent cx="952549" cy="136532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G81_Char6_State1.png"/>
                          <pic:cNvPicPr/>
                        </pic:nvPicPr>
                        <pic:blipFill>
                          <a:blip r:embed="rId8">
                            <a:extLst>
                              <a:ext uri="{28A0092B-C50C-407E-A947-70E740481C1C}">
                                <a14:useLocalDpi xmlns:a14="http://schemas.microsoft.com/office/drawing/2010/main" val="0"/>
                              </a:ext>
                            </a:extLst>
                          </a:blip>
                          <a:stretch>
                            <a:fillRect/>
                          </a:stretch>
                        </pic:blipFill>
                        <pic:spPr>
                          <a:xfrm>
                            <a:off x="0" y="0"/>
                            <a:ext cx="952549" cy="1365320"/>
                          </a:xfrm>
                          <a:prstGeom prst="rect">
                            <a:avLst/>
                          </a:prstGeom>
                        </pic:spPr>
                      </pic:pic>
                    </a:graphicData>
                  </a:graphic>
                </wp:inline>
              </w:drawing>
            </w:r>
          </w:p>
        </w:tc>
        <w:tc>
          <w:tcPr>
            <w:tcW w:w="1859" w:type="dxa"/>
            <w:tcMar>
              <w:top w:w="0" w:type="dxa"/>
              <w:left w:w="0" w:type="dxa"/>
              <w:bottom w:w="0" w:type="dxa"/>
              <w:right w:w="0" w:type="dxa"/>
            </w:tcMar>
          </w:tcPr>
          <w:p w:rsidR="00B069AF" w:rsidRDefault="000E0B0C" w:rsidP="003E46EA">
            <w:pPr>
              <w:jc w:val="center"/>
            </w:pPr>
            <w:r>
              <w:rPr>
                <w:noProof/>
              </w:rPr>
              <w:drawing>
                <wp:inline distT="0" distB="0" distL="0" distR="0">
                  <wp:extent cx="698536" cy="136532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G81_Char6_State2.png"/>
                          <pic:cNvPicPr/>
                        </pic:nvPicPr>
                        <pic:blipFill>
                          <a:blip r:embed="rId9">
                            <a:extLst>
                              <a:ext uri="{28A0092B-C50C-407E-A947-70E740481C1C}">
                                <a14:useLocalDpi xmlns:a14="http://schemas.microsoft.com/office/drawing/2010/main" val="0"/>
                              </a:ext>
                            </a:extLst>
                          </a:blip>
                          <a:stretch>
                            <a:fillRect/>
                          </a:stretch>
                        </pic:blipFill>
                        <pic:spPr>
                          <a:xfrm>
                            <a:off x="0" y="0"/>
                            <a:ext cx="698536" cy="1365320"/>
                          </a:xfrm>
                          <a:prstGeom prst="rect">
                            <a:avLst/>
                          </a:prstGeom>
                        </pic:spPr>
                      </pic:pic>
                    </a:graphicData>
                  </a:graphic>
                </wp:inline>
              </w:drawing>
            </w:r>
          </w:p>
        </w:tc>
        <w:tc>
          <w:tcPr>
            <w:tcW w:w="1859" w:type="dxa"/>
            <w:tcMar>
              <w:top w:w="0" w:type="dxa"/>
              <w:left w:w="0" w:type="dxa"/>
              <w:bottom w:w="0" w:type="dxa"/>
              <w:right w:w="0" w:type="dxa"/>
            </w:tcMar>
          </w:tcPr>
          <w:p w:rsidR="00B069AF" w:rsidRDefault="000E0B0C" w:rsidP="003E46EA">
            <w:pPr>
              <w:jc w:val="center"/>
            </w:pPr>
            <w:r>
              <w:rPr>
                <w:noProof/>
              </w:rPr>
              <w:drawing>
                <wp:inline distT="0" distB="0" distL="0" distR="0">
                  <wp:extent cx="1028753" cy="136532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G81_Char6_State3.png"/>
                          <pic:cNvPicPr/>
                        </pic:nvPicPr>
                        <pic:blipFill>
                          <a:blip r:embed="rId10">
                            <a:extLst>
                              <a:ext uri="{28A0092B-C50C-407E-A947-70E740481C1C}">
                                <a14:useLocalDpi xmlns:a14="http://schemas.microsoft.com/office/drawing/2010/main" val="0"/>
                              </a:ext>
                            </a:extLst>
                          </a:blip>
                          <a:stretch>
                            <a:fillRect/>
                          </a:stretch>
                        </pic:blipFill>
                        <pic:spPr>
                          <a:xfrm>
                            <a:off x="0" y="0"/>
                            <a:ext cx="1028753" cy="1365320"/>
                          </a:xfrm>
                          <a:prstGeom prst="rect">
                            <a:avLst/>
                          </a:prstGeom>
                        </pic:spPr>
                      </pic:pic>
                    </a:graphicData>
                  </a:graphic>
                </wp:inline>
              </w:drawing>
            </w:r>
          </w:p>
        </w:tc>
        <w:tc>
          <w:tcPr>
            <w:tcW w:w="1859" w:type="dxa"/>
          </w:tcPr>
          <w:p w:rsidR="00B069AF" w:rsidRDefault="000E0B0C" w:rsidP="003E46EA">
            <w:pPr>
              <w:jc w:val="center"/>
            </w:pPr>
            <w:r>
              <w:rPr>
                <w:noProof/>
              </w:rPr>
              <w:drawing>
                <wp:inline distT="0" distB="0" distL="0" distR="0">
                  <wp:extent cx="1043305" cy="1282065"/>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G81_Char6_State4.png"/>
                          <pic:cNvPicPr/>
                        </pic:nvPicPr>
                        <pic:blipFill>
                          <a:blip r:embed="rId11">
                            <a:extLst>
                              <a:ext uri="{28A0092B-C50C-407E-A947-70E740481C1C}">
                                <a14:useLocalDpi xmlns:a14="http://schemas.microsoft.com/office/drawing/2010/main" val="0"/>
                              </a:ext>
                            </a:extLst>
                          </a:blip>
                          <a:stretch>
                            <a:fillRect/>
                          </a:stretch>
                        </pic:blipFill>
                        <pic:spPr>
                          <a:xfrm>
                            <a:off x="0" y="0"/>
                            <a:ext cx="1043305" cy="1282065"/>
                          </a:xfrm>
                          <a:prstGeom prst="rect">
                            <a:avLst/>
                          </a:prstGeom>
                        </pic:spPr>
                      </pic:pic>
                    </a:graphicData>
                  </a:graphic>
                </wp:inline>
              </w:drawing>
            </w:r>
          </w:p>
        </w:tc>
      </w:tr>
      <w:tr w:rsidR="00B069AF" w:rsidTr="00B069AF">
        <w:tc>
          <w:tcPr>
            <w:tcW w:w="1859" w:type="dxa"/>
            <w:tcMar>
              <w:top w:w="0" w:type="dxa"/>
              <w:left w:w="0" w:type="dxa"/>
              <w:bottom w:w="0" w:type="dxa"/>
              <w:right w:w="0" w:type="dxa"/>
            </w:tcMar>
          </w:tcPr>
          <w:p w:rsidR="00B069AF" w:rsidRDefault="00B069AF" w:rsidP="003E46EA">
            <w:pPr>
              <w:jc w:val="center"/>
            </w:pPr>
            <w:r>
              <w:rPr>
                <w:rFonts w:eastAsia="Arial" w:cs="Arial"/>
                <w:color w:val="000000"/>
              </w:rPr>
              <w:t>1</w:t>
            </w:r>
          </w:p>
        </w:tc>
        <w:tc>
          <w:tcPr>
            <w:tcW w:w="1859" w:type="dxa"/>
            <w:tcMar>
              <w:top w:w="0" w:type="dxa"/>
              <w:left w:w="0" w:type="dxa"/>
              <w:bottom w:w="0" w:type="dxa"/>
              <w:right w:w="0" w:type="dxa"/>
            </w:tcMar>
          </w:tcPr>
          <w:p w:rsidR="00B069AF" w:rsidRDefault="00B069AF" w:rsidP="003E46EA">
            <w:pPr>
              <w:jc w:val="center"/>
            </w:pPr>
            <w:r>
              <w:rPr>
                <w:rFonts w:eastAsia="Arial" w:cs="Arial"/>
                <w:color w:val="000000"/>
              </w:rPr>
              <w:t>2</w:t>
            </w:r>
          </w:p>
        </w:tc>
        <w:tc>
          <w:tcPr>
            <w:tcW w:w="1859" w:type="dxa"/>
            <w:tcMar>
              <w:top w:w="0" w:type="dxa"/>
              <w:left w:w="0" w:type="dxa"/>
              <w:bottom w:w="0" w:type="dxa"/>
              <w:right w:w="0" w:type="dxa"/>
            </w:tcMar>
          </w:tcPr>
          <w:p w:rsidR="00B069AF" w:rsidRDefault="00B069AF" w:rsidP="003E46EA">
            <w:pPr>
              <w:jc w:val="center"/>
            </w:pPr>
            <w:r>
              <w:rPr>
                <w:rFonts w:eastAsia="Arial" w:cs="Arial"/>
                <w:color w:val="000000"/>
              </w:rPr>
              <w:t>3</w:t>
            </w:r>
          </w:p>
        </w:tc>
        <w:tc>
          <w:tcPr>
            <w:tcW w:w="1859" w:type="dxa"/>
          </w:tcPr>
          <w:p w:rsidR="00B069AF" w:rsidRDefault="00B069AF" w:rsidP="003E46EA">
            <w:pPr>
              <w:jc w:val="center"/>
              <w:rPr>
                <w:rFonts w:eastAsia="Arial" w:cs="Arial"/>
                <w:color w:val="000000"/>
              </w:rPr>
            </w:pPr>
            <w:r>
              <w:rPr>
                <w:rFonts w:eastAsia="Arial" w:cs="Arial"/>
                <w:color w:val="000000"/>
              </w:rPr>
              <w:t>4</w:t>
            </w:r>
          </w:p>
        </w:tc>
      </w:tr>
      <w:tr w:rsidR="00AD1969" w:rsidTr="00B069AF">
        <w:tc>
          <w:tcPr>
            <w:tcW w:w="1859" w:type="dxa"/>
            <w:tcMar>
              <w:top w:w="0" w:type="dxa"/>
              <w:left w:w="0" w:type="dxa"/>
              <w:bottom w:w="0" w:type="dxa"/>
              <w:right w:w="0" w:type="dxa"/>
            </w:tcMar>
          </w:tcPr>
          <w:p w:rsidR="00AD1969" w:rsidRDefault="00AD1969" w:rsidP="00AD1969">
            <w:pPr>
              <w:jc w:val="center"/>
            </w:pPr>
            <w:r>
              <w:rPr>
                <w:rFonts w:eastAsia="Arial" w:cs="Arial"/>
                <w:color w:val="000000"/>
              </w:rPr>
              <w:t>lanceolate</w:t>
            </w:r>
          </w:p>
        </w:tc>
        <w:tc>
          <w:tcPr>
            <w:tcW w:w="1859" w:type="dxa"/>
            <w:tcMar>
              <w:top w:w="0" w:type="dxa"/>
              <w:left w:w="0" w:type="dxa"/>
              <w:bottom w:w="0" w:type="dxa"/>
              <w:right w:w="0" w:type="dxa"/>
            </w:tcMar>
          </w:tcPr>
          <w:p w:rsidR="00AD1969" w:rsidRDefault="00AD1969" w:rsidP="00AD1969">
            <w:pPr>
              <w:jc w:val="center"/>
            </w:pPr>
            <w:r>
              <w:t xml:space="preserve">lanceolate to </w:t>
            </w:r>
            <w:r w:rsidR="00260806">
              <w:br/>
            </w:r>
            <w:r>
              <w:t>narrow triangular</w:t>
            </w:r>
          </w:p>
        </w:tc>
        <w:tc>
          <w:tcPr>
            <w:tcW w:w="1859" w:type="dxa"/>
            <w:tcMar>
              <w:top w:w="0" w:type="dxa"/>
              <w:left w:w="0" w:type="dxa"/>
              <w:bottom w:w="0" w:type="dxa"/>
              <w:right w:w="0" w:type="dxa"/>
            </w:tcMar>
          </w:tcPr>
          <w:p w:rsidR="00AD1969" w:rsidRDefault="00AD1969" w:rsidP="00AD1969">
            <w:pPr>
              <w:jc w:val="center"/>
            </w:pPr>
            <w:r>
              <w:rPr>
                <w:rFonts w:eastAsia="Arial" w:cs="Arial"/>
                <w:color w:val="000000"/>
              </w:rPr>
              <w:t>narrow triangular</w:t>
            </w:r>
          </w:p>
        </w:tc>
        <w:tc>
          <w:tcPr>
            <w:tcW w:w="1859" w:type="dxa"/>
          </w:tcPr>
          <w:p w:rsidR="00AD1969" w:rsidRDefault="00260806" w:rsidP="00AD1969">
            <w:pPr>
              <w:jc w:val="center"/>
              <w:rPr>
                <w:rFonts w:eastAsia="Arial" w:cs="Arial"/>
                <w:color w:val="000000"/>
              </w:rPr>
            </w:pPr>
            <w:r>
              <w:rPr>
                <w:rFonts w:eastAsia="Arial" w:cs="Arial"/>
                <w:color w:val="000000"/>
              </w:rPr>
              <w:t>medium triangular</w:t>
            </w:r>
          </w:p>
        </w:tc>
      </w:tr>
    </w:tbl>
    <w:p w:rsidR="009B5F53" w:rsidRDefault="009B5F53"/>
    <w:tbl>
      <w:tblPr>
        <w:tblOverlap w:val="never"/>
        <w:tblW w:w="5577" w:type="dxa"/>
        <w:tblLayout w:type="fixed"/>
        <w:tblLook w:val="01E0" w:firstRow="1" w:lastRow="1" w:firstColumn="1" w:lastColumn="1" w:noHBand="0" w:noVBand="0"/>
      </w:tblPr>
      <w:tblGrid>
        <w:gridCol w:w="1859"/>
        <w:gridCol w:w="1859"/>
        <w:gridCol w:w="1859"/>
      </w:tblGrid>
      <w:tr w:rsidR="00B069AF" w:rsidTr="00254697">
        <w:tc>
          <w:tcPr>
            <w:tcW w:w="1859" w:type="dxa"/>
            <w:tcMar>
              <w:top w:w="0" w:type="dxa"/>
              <w:left w:w="0" w:type="dxa"/>
              <w:bottom w:w="0" w:type="dxa"/>
              <w:right w:w="0" w:type="dxa"/>
            </w:tcMar>
          </w:tcPr>
          <w:p w:rsidR="00B069AF" w:rsidRDefault="000E0B0C" w:rsidP="00254697">
            <w:pPr>
              <w:jc w:val="center"/>
            </w:pPr>
            <w:r>
              <w:rPr>
                <w:noProof/>
              </w:rPr>
              <w:drawing>
                <wp:inline distT="0" distB="0" distL="0" distR="0">
                  <wp:extent cx="1149409" cy="136532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G81_Char6_State5.png"/>
                          <pic:cNvPicPr/>
                        </pic:nvPicPr>
                        <pic:blipFill>
                          <a:blip r:embed="rId12">
                            <a:extLst>
                              <a:ext uri="{28A0092B-C50C-407E-A947-70E740481C1C}">
                                <a14:useLocalDpi xmlns:a14="http://schemas.microsoft.com/office/drawing/2010/main" val="0"/>
                              </a:ext>
                            </a:extLst>
                          </a:blip>
                          <a:stretch>
                            <a:fillRect/>
                          </a:stretch>
                        </pic:blipFill>
                        <pic:spPr>
                          <a:xfrm>
                            <a:off x="0" y="0"/>
                            <a:ext cx="1149409" cy="1365320"/>
                          </a:xfrm>
                          <a:prstGeom prst="rect">
                            <a:avLst/>
                          </a:prstGeom>
                        </pic:spPr>
                      </pic:pic>
                    </a:graphicData>
                  </a:graphic>
                </wp:inline>
              </w:drawing>
            </w:r>
          </w:p>
        </w:tc>
        <w:tc>
          <w:tcPr>
            <w:tcW w:w="1859" w:type="dxa"/>
            <w:tcMar>
              <w:top w:w="0" w:type="dxa"/>
              <w:left w:w="0" w:type="dxa"/>
              <w:bottom w:w="0" w:type="dxa"/>
              <w:right w:w="0" w:type="dxa"/>
            </w:tcMar>
          </w:tcPr>
          <w:p w:rsidR="00B069AF" w:rsidRDefault="000E0B0C" w:rsidP="00254697">
            <w:pPr>
              <w:jc w:val="center"/>
            </w:pPr>
            <w:r>
              <w:rPr>
                <w:noProof/>
              </w:rPr>
              <w:drawing>
                <wp:inline distT="0" distB="0" distL="0" distR="0">
                  <wp:extent cx="1009702" cy="136532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G81_Char6_State6.png"/>
                          <pic:cNvPicPr/>
                        </pic:nvPicPr>
                        <pic:blipFill>
                          <a:blip r:embed="rId13">
                            <a:extLst>
                              <a:ext uri="{28A0092B-C50C-407E-A947-70E740481C1C}">
                                <a14:useLocalDpi xmlns:a14="http://schemas.microsoft.com/office/drawing/2010/main" val="0"/>
                              </a:ext>
                            </a:extLst>
                          </a:blip>
                          <a:stretch>
                            <a:fillRect/>
                          </a:stretch>
                        </pic:blipFill>
                        <pic:spPr>
                          <a:xfrm>
                            <a:off x="0" y="0"/>
                            <a:ext cx="1009702" cy="1365320"/>
                          </a:xfrm>
                          <a:prstGeom prst="rect">
                            <a:avLst/>
                          </a:prstGeom>
                        </pic:spPr>
                      </pic:pic>
                    </a:graphicData>
                  </a:graphic>
                </wp:inline>
              </w:drawing>
            </w:r>
          </w:p>
        </w:tc>
        <w:tc>
          <w:tcPr>
            <w:tcW w:w="1859" w:type="dxa"/>
            <w:tcMar>
              <w:top w:w="0" w:type="dxa"/>
              <w:left w:w="0" w:type="dxa"/>
              <w:bottom w:w="0" w:type="dxa"/>
              <w:right w:w="0" w:type="dxa"/>
            </w:tcMar>
          </w:tcPr>
          <w:p w:rsidR="000E0B0C" w:rsidRDefault="000E0B0C" w:rsidP="00254697">
            <w:pPr>
              <w:jc w:val="center"/>
            </w:pPr>
          </w:p>
          <w:p w:rsidR="00B069AF" w:rsidRDefault="000E0B0C" w:rsidP="00254697">
            <w:pPr>
              <w:jc w:val="center"/>
            </w:pPr>
            <w:r>
              <w:rPr>
                <w:noProof/>
              </w:rPr>
              <w:drawing>
                <wp:inline distT="0" distB="0" distL="0" distR="0">
                  <wp:extent cx="1180465" cy="1180465"/>
                  <wp:effectExtent l="0" t="0" r="635"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G81_Char6_State7.png"/>
                          <pic:cNvPicPr/>
                        </pic:nvPicPr>
                        <pic:blipFill>
                          <a:blip r:embed="rId14">
                            <a:extLst>
                              <a:ext uri="{28A0092B-C50C-407E-A947-70E740481C1C}">
                                <a14:useLocalDpi xmlns:a14="http://schemas.microsoft.com/office/drawing/2010/main" val="0"/>
                              </a:ext>
                            </a:extLst>
                          </a:blip>
                          <a:stretch>
                            <a:fillRect/>
                          </a:stretch>
                        </pic:blipFill>
                        <pic:spPr>
                          <a:xfrm>
                            <a:off x="0" y="0"/>
                            <a:ext cx="1180465" cy="1180465"/>
                          </a:xfrm>
                          <a:prstGeom prst="rect">
                            <a:avLst/>
                          </a:prstGeom>
                        </pic:spPr>
                      </pic:pic>
                    </a:graphicData>
                  </a:graphic>
                </wp:inline>
              </w:drawing>
            </w:r>
          </w:p>
        </w:tc>
      </w:tr>
      <w:tr w:rsidR="00B069AF" w:rsidTr="00254697">
        <w:tc>
          <w:tcPr>
            <w:tcW w:w="1859" w:type="dxa"/>
            <w:tcMar>
              <w:top w:w="0" w:type="dxa"/>
              <w:left w:w="0" w:type="dxa"/>
              <w:bottom w:w="0" w:type="dxa"/>
              <w:right w:w="0" w:type="dxa"/>
            </w:tcMar>
          </w:tcPr>
          <w:p w:rsidR="00B069AF" w:rsidRDefault="00B069AF" w:rsidP="00254697">
            <w:pPr>
              <w:jc w:val="center"/>
            </w:pPr>
            <w:r>
              <w:rPr>
                <w:rFonts w:eastAsia="Arial" w:cs="Arial"/>
                <w:color w:val="000000"/>
              </w:rPr>
              <w:t>5</w:t>
            </w:r>
          </w:p>
        </w:tc>
        <w:tc>
          <w:tcPr>
            <w:tcW w:w="1859" w:type="dxa"/>
            <w:tcMar>
              <w:top w:w="0" w:type="dxa"/>
              <w:left w:w="0" w:type="dxa"/>
              <w:bottom w:w="0" w:type="dxa"/>
              <w:right w:w="0" w:type="dxa"/>
            </w:tcMar>
          </w:tcPr>
          <w:p w:rsidR="00B069AF" w:rsidRDefault="00B069AF" w:rsidP="00254697">
            <w:pPr>
              <w:jc w:val="center"/>
            </w:pPr>
            <w:r>
              <w:rPr>
                <w:rFonts w:eastAsia="Arial" w:cs="Arial"/>
                <w:color w:val="000000"/>
              </w:rPr>
              <w:t>6</w:t>
            </w:r>
          </w:p>
        </w:tc>
        <w:tc>
          <w:tcPr>
            <w:tcW w:w="1859" w:type="dxa"/>
            <w:tcMar>
              <w:top w:w="0" w:type="dxa"/>
              <w:left w:w="0" w:type="dxa"/>
              <w:bottom w:w="0" w:type="dxa"/>
              <w:right w:w="0" w:type="dxa"/>
            </w:tcMar>
          </w:tcPr>
          <w:p w:rsidR="00B069AF" w:rsidRDefault="00B069AF" w:rsidP="00254697">
            <w:pPr>
              <w:jc w:val="center"/>
            </w:pPr>
            <w:r>
              <w:rPr>
                <w:rFonts w:eastAsia="Arial" w:cs="Arial"/>
                <w:color w:val="000000"/>
              </w:rPr>
              <w:t>7</w:t>
            </w:r>
          </w:p>
        </w:tc>
      </w:tr>
      <w:tr w:rsidR="00B069AF" w:rsidTr="00254697">
        <w:tc>
          <w:tcPr>
            <w:tcW w:w="1859" w:type="dxa"/>
            <w:tcMar>
              <w:top w:w="0" w:type="dxa"/>
              <w:left w:w="0" w:type="dxa"/>
              <w:bottom w:w="0" w:type="dxa"/>
              <w:right w:w="0" w:type="dxa"/>
            </w:tcMar>
          </w:tcPr>
          <w:p w:rsidR="00B069AF" w:rsidRDefault="00AD1969" w:rsidP="00254697">
            <w:pPr>
              <w:jc w:val="center"/>
            </w:pPr>
            <w:r>
              <w:rPr>
                <w:rFonts w:eastAsia="Arial" w:cs="Arial"/>
                <w:color w:val="000000"/>
              </w:rPr>
              <w:t>broad triangular</w:t>
            </w:r>
          </w:p>
        </w:tc>
        <w:tc>
          <w:tcPr>
            <w:tcW w:w="1859" w:type="dxa"/>
            <w:tcMar>
              <w:top w:w="0" w:type="dxa"/>
              <w:left w:w="0" w:type="dxa"/>
              <w:bottom w:w="0" w:type="dxa"/>
              <w:right w:w="0" w:type="dxa"/>
            </w:tcMar>
          </w:tcPr>
          <w:p w:rsidR="00B069AF" w:rsidRDefault="00260806" w:rsidP="00254697">
            <w:pPr>
              <w:jc w:val="center"/>
            </w:pPr>
            <w:r>
              <w:t>broad triangular to rounded</w:t>
            </w:r>
          </w:p>
        </w:tc>
        <w:tc>
          <w:tcPr>
            <w:tcW w:w="1859" w:type="dxa"/>
            <w:tcMar>
              <w:top w:w="0" w:type="dxa"/>
              <w:left w:w="0" w:type="dxa"/>
              <w:bottom w:w="0" w:type="dxa"/>
              <w:right w:w="0" w:type="dxa"/>
            </w:tcMar>
          </w:tcPr>
          <w:p w:rsidR="00B069AF" w:rsidRDefault="00260806" w:rsidP="00254697">
            <w:pPr>
              <w:jc w:val="center"/>
            </w:pPr>
            <w:r>
              <w:rPr>
                <w:rFonts w:eastAsia="Arial" w:cs="Arial"/>
                <w:color w:val="000000"/>
              </w:rPr>
              <w:t>rounded</w:t>
            </w:r>
          </w:p>
        </w:tc>
      </w:tr>
    </w:tbl>
    <w:p w:rsidR="00B069AF" w:rsidRDefault="00B069AF"/>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B46E4E" w:rsidRPr="00D55FAA" w:rsidTr="00B46E4E">
        <w:trPr>
          <w:cantSplit/>
          <w:trHeight w:val="274"/>
        </w:trPr>
        <w:tc>
          <w:tcPr>
            <w:tcW w:w="1573" w:type="dxa"/>
            <w:shd w:val="clear" w:color="auto" w:fill="auto"/>
          </w:tcPr>
          <w:p w:rsidR="00B46E4E" w:rsidRPr="00D55FAA" w:rsidRDefault="00B46E4E" w:rsidP="00B46E4E">
            <w:pPr>
              <w:jc w:val="left"/>
              <w:rPr>
                <w:rFonts w:cs="Arial"/>
              </w:rPr>
            </w:pPr>
            <w:r w:rsidRPr="00D55FAA">
              <w:rPr>
                <w:rFonts w:cs="Arial"/>
              </w:rPr>
              <w:t>Ad. 17</w:t>
            </w:r>
          </w:p>
        </w:tc>
        <w:tc>
          <w:tcPr>
            <w:tcW w:w="8208" w:type="dxa"/>
            <w:shd w:val="clear" w:color="auto" w:fill="auto"/>
          </w:tcPr>
          <w:p w:rsidR="00B46E4E" w:rsidRPr="00D55FAA" w:rsidRDefault="00B46E4E" w:rsidP="003E46EA">
            <w:pPr>
              <w:rPr>
                <w:rFonts w:cs="Arial"/>
              </w:rPr>
            </w:pPr>
            <w:proofErr w:type="gramStart"/>
            <w:r w:rsidRPr="00D55FAA">
              <w:rPr>
                <w:rFonts w:cs="Arial"/>
              </w:rPr>
              <w:t>to</w:t>
            </w:r>
            <w:proofErr w:type="gramEnd"/>
            <w:r w:rsidRPr="00D55FAA">
              <w:rPr>
                <w:rFonts w:cs="Arial"/>
              </w:rPr>
              <w:t xml:space="preserve"> check whether to read “The ray floret color is the color with the largest surface area. In cases where the areas of the color are too similar to reliably decide which color has the largest area, the darker color is to be observed.”</w:t>
            </w:r>
          </w:p>
        </w:tc>
      </w:tr>
      <w:tr w:rsidR="00B46E4E" w:rsidRPr="00D55FAA" w:rsidTr="00B46E4E">
        <w:trPr>
          <w:cantSplit/>
          <w:trHeight w:val="274"/>
        </w:trPr>
        <w:tc>
          <w:tcPr>
            <w:tcW w:w="1573" w:type="dxa"/>
            <w:shd w:val="clear" w:color="auto" w:fill="auto"/>
          </w:tcPr>
          <w:p w:rsidR="00B46E4E" w:rsidRPr="00D55FAA" w:rsidRDefault="00B46E4E" w:rsidP="00B46E4E">
            <w:pPr>
              <w:jc w:val="left"/>
              <w:rPr>
                <w:rFonts w:cs="Arial"/>
              </w:rPr>
            </w:pPr>
            <w:r w:rsidRPr="00D55FAA">
              <w:rPr>
                <w:rFonts w:cs="Arial"/>
              </w:rPr>
              <w:t>Ad. 18</w:t>
            </w:r>
          </w:p>
        </w:tc>
        <w:tc>
          <w:tcPr>
            <w:tcW w:w="8208" w:type="dxa"/>
            <w:shd w:val="clear" w:color="auto" w:fill="auto"/>
          </w:tcPr>
          <w:p w:rsidR="00B46E4E" w:rsidRPr="00D55FAA" w:rsidRDefault="00B46E4E" w:rsidP="003E46EA">
            <w:pPr>
              <w:rPr>
                <w:rFonts w:cs="Arial"/>
              </w:rPr>
            </w:pPr>
            <w:proofErr w:type="gramStart"/>
            <w:r w:rsidRPr="00D55FAA">
              <w:rPr>
                <w:rFonts w:cs="Arial"/>
              </w:rPr>
              <w:t>to</w:t>
            </w:r>
            <w:proofErr w:type="gramEnd"/>
            <w:r w:rsidRPr="00D55FAA">
              <w:rPr>
                <w:rFonts w:cs="Arial"/>
              </w:rPr>
              <w:t xml:space="preserve"> read “…inner third of the disc.”</w:t>
            </w:r>
          </w:p>
        </w:tc>
      </w:tr>
      <w:tr w:rsidR="00B46E4E" w:rsidRPr="00D55FAA" w:rsidTr="00B46E4E">
        <w:trPr>
          <w:cantSplit/>
          <w:trHeight w:val="274"/>
        </w:trPr>
        <w:tc>
          <w:tcPr>
            <w:tcW w:w="1573" w:type="dxa"/>
            <w:shd w:val="clear" w:color="auto" w:fill="auto"/>
          </w:tcPr>
          <w:p w:rsidR="00B46E4E" w:rsidRPr="00D55FAA" w:rsidRDefault="00B46E4E" w:rsidP="00B46E4E">
            <w:pPr>
              <w:jc w:val="left"/>
              <w:rPr>
                <w:rFonts w:cs="Arial"/>
              </w:rPr>
            </w:pPr>
            <w:r w:rsidRPr="00D55FAA">
              <w:rPr>
                <w:rFonts w:cs="Arial"/>
              </w:rPr>
              <w:t>Ad. 23</w:t>
            </w:r>
          </w:p>
        </w:tc>
        <w:tc>
          <w:tcPr>
            <w:tcW w:w="8208" w:type="dxa"/>
            <w:shd w:val="clear" w:color="auto" w:fill="auto"/>
          </w:tcPr>
          <w:p w:rsidR="00B46E4E" w:rsidRPr="00D55FAA" w:rsidRDefault="00B46E4E" w:rsidP="003E46EA">
            <w:pPr>
              <w:rPr>
                <w:rFonts w:cs="Arial"/>
              </w:rPr>
            </w:pPr>
            <w:proofErr w:type="gramStart"/>
            <w:r w:rsidRPr="00D55FAA">
              <w:rPr>
                <w:rFonts w:cs="Arial"/>
              </w:rPr>
              <w:t>to</w:t>
            </w:r>
            <w:proofErr w:type="gramEnd"/>
            <w:r w:rsidRPr="00D55FAA">
              <w:rPr>
                <w:rFonts w:cs="Arial"/>
              </w:rPr>
              <w:t xml:space="preserve"> read “To be observed excluding the differentiated tip.”</w:t>
            </w:r>
          </w:p>
        </w:tc>
      </w:tr>
      <w:tr w:rsidR="00B46E4E" w:rsidRPr="00D55FAA" w:rsidTr="00B46E4E">
        <w:trPr>
          <w:cantSplit/>
          <w:trHeight w:val="274"/>
        </w:trPr>
        <w:tc>
          <w:tcPr>
            <w:tcW w:w="1573" w:type="dxa"/>
            <w:shd w:val="clear" w:color="auto" w:fill="auto"/>
          </w:tcPr>
          <w:p w:rsidR="00B46E4E" w:rsidRPr="00D55FAA" w:rsidRDefault="00B46E4E" w:rsidP="00B46E4E">
            <w:pPr>
              <w:jc w:val="left"/>
              <w:rPr>
                <w:rFonts w:cs="Arial"/>
              </w:rPr>
            </w:pPr>
            <w:r w:rsidRPr="00D55FAA">
              <w:rPr>
                <w:rFonts w:cs="Arial"/>
              </w:rPr>
              <w:t>Ad. 24</w:t>
            </w:r>
          </w:p>
        </w:tc>
        <w:tc>
          <w:tcPr>
            <w:tcW w:w="8208" w:type="dxa"/>
            <w:shd w:val="clear" w:color="auto" w:fill="auto"/>
          </w:tcPr>
          <w:p w:rsidR="00B46E4E" w:rsidRPr="00D55FAA" w:rsidRDefault="00B46E4E" w:rsidP="003E46EA">
            <w:pPr>
              <w:rPr>
                <w:rFonts w:cs="Arial"/>
              </w:rPr>
            </w:pPr>
            <w:r w:rsidRPr="00D55FAA">
              <w:rPr>
                <w:rFonts w:cs="Arial"/>
              </w:rPr>
              <w:t>to delete arrow</w:t>
            </w:r>
          </w:p>
        </w:tc>
      </w:tr>
      <w:tr w:rsidR="00B46E4E" w:rsidRPr="00D55FAA" w:rsidTr="00B46E4E">
        <w:trPr>
          <w:cantSplit/>
          <w:trHeight w:val="274"/>
        </w:trPr>
        <w:tc>
          <w:tcPr>
            <w:tcW w:w="1573" w:type="dxa"/>
            <w:shd w:val="clear" w:color="auto" w:fill="auto"/>
          </w:tcPr>
          <w:p w:rsidR="00B46E4E" w:rsidRPr="00D55FAA" w:rsidRDefault="00B46E4E" w:rsidP="00B46E4E">
            <w:pPr>
              <w:jc w:val="left"/>
              <w:rPr>
                <w:rFonts w:cs="Arial"/>
              </w:rPr>
            </w:pPr>
            <w:r w:rsidRPr="00D55FAA">
              <w:rPr>
                <w:rFonts w:cs="Arial"/>
              </w:rPr>
              <w:t>Ad. 30</w:t>
            </w:r>
          </w:p>
        </w:tc>
        <w:tc>
          <w:tcPr>
            <w:tcW w:w="8208" w:type="dxa"/>
            <w:shd w:val="clear" w:color="auto" w:fill="auto"/>
          </w:tcPr>
          <w:p w:rsidR="00B46E4E" w:rsidRPr="00D55FAA" w:rsidRDefault="00B46E4E" w:rsidP="003E46EA">
            <w:pPr>
              <w:rPr>
                <w:rFonts w:cs="Arial"/>
              </w:rPr>
            </w:pPr>
            <w:r w:rsidRPr="00D55FAA">
              <w:rPr>
                <w:rFonts w:cs="Arial"/>
              </w:rPr>
              <w:t>state 3 to read “throughout”</w:t>
            </w:r>
          </w:p>
        </w:tc>
      </w:tr>
      <w:tr w:rsidR="00B46E4E" w:rsidRPr="00D55FAA" w:rsidTr="00B46E4E">
        <w:trPr>
          <w:cantSplit/>
          <w:trHeight w:val="274"/>
        </w:trPr>
        <w:tc>
          <w:tcPr>
            <w:tcW w:w="1573" w:type="dxa"/>
            <w:shd w:val="clear" w:color="auto" w:fill="auto"/>
          </w:tcPr>
          <w:p w:rsidR="00B46E4E" w:rsidRPr="00D55FAA" w:rsidRDefault="00B46E4E" w:rsidP="00B46E4E">
            <w:pPr>
              <w:jc w:val="left"/>
              <w:rPr>
                <w:rFonts w:cs="Arial"/>
              </w:rPr>
            </w:pPr>
            <w:r w:rsidRPr="00D55FAA">
              <w:rPr>
                <w:rFonts w:cs="Arial"/>
              </w:rPr>
              <w:t>9.</w:t>
            </w:r>
          </w:p>
        </w:tc>
        <w:tc>
          <w:tcPr>
            <w:tcW w:w="8208" w:type="dxa"/>
            <w:shd w:val="clear" w:color="auto" w:fill="auto"/>
            <w:vAlign w:val="center"/>
          </w:tcPr>
          <w:p w:rsidR="00B46E4E" w:rsidRPr="00D55FAA" w:rsidRDefault="00B46E4E" w:rsidP="003E46EA">
            <w:pPr>
              <w:rPr>
                <w:rFonts w:cs="Arial"/>
              </w:rPr>
            </w:pPr>
            <w:r w:rsidRPr="00D55FAA">
              <w:rPr>
                <w:rFonts w:cs="Arial"/>
              </w:rPr>
              <w:t>to adjust format of literature references (see TGP/7, GN 30)</w:t>
            </w:r>
          </w:p>
        </w:tc>
      </w:tr>
      <w:tr w:rsidR="00B46E4E" w:rsidRPr="00D55FAA" w:rsidTr="00B46E4E">
        <w:trPr>
          <w:cantSplit/>
          <w:trHeight w:val="274"/>
        </w:trPr>
        <w:tc>
          <w:tcPr>
            <w:tcW w:w="1573" w:type="dxa"/>
            <w:shd w:val="clear" w:color="auto" w:fill="auto"/>
          </w:tcPr>
          <w:p w:rsidR="00B46E4E" w:rsidRPr="00D55FAA" w:rsidRDefault="00B46E4E" w:rsidP="00B46E4E">
            <w:pPr>
              <w:jc w:val="left"/>
              <w:rPr>
                <w:rFonts w:cs="Arial"/>
              </w:rPr>
            </w:pPr>
            <w:r w:rsidRPr="00D55FAA">
              <w:rPr>
                <w:rFonts w:cs="Arial"/>
              </w:rPr>
              <w:t>TQ 5.6, 5.7</w:t>
            </w:r>
          </w:p>
        </w:tc>
        <w:tc>
          <w:tcPr>
            <w:tcW w:w="8208" w:type="dxa"/>
            <w:shd w:val="clear" w:color="auto" w:fill="auto"/>
          </w:tcPr>
          <w:p w:rsidR="00B46E4E" w:rsidRPr="00D55FAA" w:rsidRDefault="00B46E4E" w:rsidP="003E46EA">
            <w:pPr>
              <w:jc w:val="left"/>
              <w:rPr>
                <w:rFonts w:cs="Arial"/>
              </w:rPr>
            </w:pPr>
            <w:r w:rsidRPr="00D55FAA">
              <w:rPr>
                <w:rFonts w:cs="Arial"/>
              </w:rPr>
              <w:t xml:space="preserve">to delete “the variety is not …” </w:t>
            </w:r>
          </w:p>
        </w:tc>
      </w:tr>
      <w:tr w:rsidR="00B46E4E" w:rsidRPr="00D55FAA" w:rsidTr="00B46E4E">
        <w:trPr>
          <w:cantSplit/>
          <w:trHeight w:val="274"/>
        </w:trPr>
        <w:tc>
          <w:tcPr>
            <w:tcW w:w="1573" w:type="dxa"/>
            <w:shd w:val="clear" w:color="auto" w:fill="auto"/>
          </w:tcPr>
          <w:p w:rsidR="00B46E4E" w:rsidRPr="00D55FAA" w:rsidRDefault="00B46E4E" w:rsidP="00B46E4E">
            <w:pPr>
              <w:jc w:val="left"/>
              <w:rPr>
                <w:rFonts w:cs="Arial"/>
              </w:rPr>
            </w:pPr>
            <w:r w:rsidRPr="00D55FAA">
              <w:rPr>
                <w:rFonts w:cs="Arial"/>
              </w:rPr>
              <w:t>TQ 7.3 (2)</w:t>
            </w:r>
          </w:p>
        </w:tc>
        <w:tc>
          <w:tcPr>
            <w:tcW w:w="8208" w:type="dxa"/>
            <w:shd w:val="clear" w:color="auto" w:fill="auto"/>
          </w:tcPr>
          <w:p w:rsidR="00B46E4E" w:rsidRPr="00D55FAA" w:rsidRDefault="00B46E4E" w:rsidP="003E46EA">
            <w:pPr>
              <w:rPr>
                <w:rFonts w:cs="Arial"/>
              </w:rPr>
            </w:pPr>
            <w:r w:rsidRPr="00D55FAA">
              <w:rPr>
                <w:rFonts w:cs="Arial"/>
              </w:rPr>
              <w:t>to replace “precise” with “specify” in (a) and (b)</w:t>
            </w:r>
          </w:p>
        </w:tc>
      </w:tr>
      <w:tr w:rsidR="00B46E4E" w:rsidRPr="007B6F6C" w:rsidTr="00B46E4E">
        <w:trPr>
          <w:cantSplit/>
          <w:trHeight w:val="274"/>
        </w:trPr>
        <w:tc>
          <w:tcPr>
            <w:tcW w:w="1573" w:type="dxa"/>
            <w:shd w:val="clear" w:color="auto" w:fill="auto"/>
          </w:tcPr>
          <w:p w:rsidR="00B46E4E" w:rsidRPr="00D55FAA" w:rsidRDefault="00B46E4E" w:rsidP="00B46E4E">
            <w:pPr>
              <w:jc w:val="left"/>
              <w:rPr>
                <w:rFonts w:cs="Arial"/>
              </w:rPr>
            </w:pPr>
            <w:r w:rsidRPr="00D55FAA">
              <w:rPr>
                <w:rFonts w:cs="Arial"/>
              </w:rPr>
              <w:t>ANNEX, Part III, Procedure, 5.4</w:t>
            </w:r>
          </w:p>
        </w:tc>
        <w:tc>
          <w:tcPr>
            <w:tcW w:w="8208" w:type="dxa"/>
            <w:shd w:val="clear" w:color="auto" w:fill="auto"/>
          </w:tcPr>
          <w:p w:rsidR="00B46E4E" w:rsidRPr="00D55FAA" w:rsidRDefault="00B46E4E" w:rsidP="003E46EA">
            <w:pPr>
              <w:jc w:val="left"/>
              <w:rPr>
                <w:rFonts w:cs="Arial"/>
              </w:rPr>
            </w:pPr>
            <w:r w:rsidRPr="00D55FAA">
              <w:rPr>
                <w:rFonts w:cs="Arial"/>
              </w:rPr>
              <w:t>- to remove additional space between “de-</w:t>
            </w:r>
            <w:proofErr w:type="spellStart"/>
            <w:r w:rsidRPr="00D55FAA">
              <w:rPr>
                <w:rFonts w:cs="Arial"/>
              </w:rPr>
              <w:t>ionised</w:t>
            </w:r>
            <w:proofErr w:type="spellEnd"/>
            <w:r w:rsidRPr="00D55FAA">
              <w:rPr>
                <w:rFonts w:cs="Arial"/>
              </w:rPr>
              <w:t xml:space="preserve"> water”</w:t>
            </w:r>
          </w:p>
          <w:p w:rsidR="00B46E4E" w:rsidRPr="007B6F6C" w:rsidRDefault="00B46E4E" w:rsidP="003E46EA">
            <w:pPr>
              <w:jc w:val="left"/>
              <w:rPr>
                <w:rFonts w:cs="Arial"/>
              </w:rPr>
            </w:pPr>
            <w:r w:rsidRPr="00D55FAA">
              <w:rPr>
                <w:rFonts w:cs="Arial"/>
              </w:rPr>
              <w:t>- to remove additional space before “fixed in 40% ethanol solution”</w:t>
            </w:r>
          </w:p>
        </w:tc>
      </w:tr>
    </w:tbl>
    <w:p w:rsidR="00B46E4E" w:rsidRDefault="00B46E4E" w:rsidP="00BD7A5C"/>
    <w:p w:rsidR="001C7A1E" w:rsidRDefault="001C7A1E" w:rsidP="001C7A1E">
      <w:pPr>
        <w:autoSpaceDE w:val="0"/>
        <w:autoSpaceDN w:val="0"/>
        <w:adjustRightInd w:val="0"/>
      </w:pPr>
      <w:r w:rsidRPr="00F85165">
        <w:fldChar w:fldCharType="begin"/>
      </w:r>
      <w:r w:rsidRPr="00F85165">
        <w:instrText xml:space="preserve"> AUTONUM  </w:instrText>
      </w:r>
      <w:r w:rsidRPr="00F85165">
        <w:fldChar w:fldCharType="end"/>
      </w:r>
      <w:r w:rsidRPr="00F85165">
        <w:tab/>
        <w:t xml:space="preserve">The </w:t>
      </w:r>
      <w:r w:rsidRPr="00F85165">
        <w:rPr>
          <w:rFonts w:cs="Arial"/>
        </w:rPr>
        <w:t xml:space="preserve">TC-EDC </w:t>
      </w:r>
      <w:r w:rsidRPr="00F85165">
        <w:t xml:space="preserve">will consider the above information on the draft Test Guidelines for </w:t>
      </w:r>
      <w:r w:rsidR="00B46E4E">
        <w:t>Sunflower</w:t>
      </w:r>
      <w:r w:rsidRPr="00F85165">
        <w:t xml:space="preserve"> at its meeting to </w:t>
      </w:r>
      <w:proofErr w:type="gramStart"/>
      <w:r w:rsidRPr="00F85165">
        <w:t>be held</w:t>
      </w:r>
      <w:proofErr w:type="gramEnd"/>
      <w:r w:rsidRPr="00F85165">
        <w:t xml:space="preserve"> in Ma</w:t>
      </w:r>
      <w:r w:rsidRPr="001170C9">
        <w:t>rch 202</w:t>
      </w:r>
      <w:r>
        <w:t>3</w:t>
      </w:r>
      <w:r w:rsidRPr="001170C9">
        <w:t xml:space="preserve"> and the Test Guidelines be submitted to the TC for adoption by correspondence.</w:t>
      </w:r>
    </w:p>
    <w:p w:rsidR="001C7A1E" w:rsidRDefault="001C7A1E" w:rsidP="00BD7A5C"/>
    <w:p w:rsidR="00BD7A5C" w:rsidRDefault="00BD7A5C" w:rsidP="00BD7A5C"/>
    <w:p w:rsidR="006D25C4" w:rsidRPr="00C40CC2" w:rsidRDefault="006D25C4" w:rsidP="00BD7A5C"/>
    <w:p w:rsidR="000F19C3" w:rsidRPr="000C2C4F" w:rsidRDefault="00916216" w:rsidP="006D25C4">
      <w:pPr>
        <w:jc w:val="right"/>
      </w:pPr>
      <w:r w:rsidRPr="00C40CC2">
        <w:t>[End of document]</w:t>
      </w:r>
      <w:r w:rsidR="00A9274B" w:rsidRPr="000C2C4F">
        <w:t xml:space="preserve"> </w:t>
      </w:r>
    </w:p>
    <w:sectPr w:rsidR="000F19C3" w:rsidRPr="000C2C4F" w:rsidSect="00906DDC">
      <w:headerReference w:type="default" r:id="rId15"/>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A1E" w:rsidRDefault="001C7A1E" w:rsidP="006655D3">
      <w:r>
        <w:separator/>
      </w:r>
    </w:p>
    <w:p w:rsidR="001C7A1E" w:rsidRDefault="001C7A1E" w:rsidP="006655D3"/>
    <w:p w:rsidR="001C7A1E" w:rsidRDefault="001C7A1E" w:rsidP="006655D3"/>
  </w:endnote>
  <w:endnote w:type="continuationSeparator" w:id="0">
    <w:p w:rsidR="001C7A1E" w:rsidRDefault="001C7A1E" w:rsidP="006655D3">
      <w:r>
        <w:separator/>
      </w:r>
    </w:p>
    <w:p w:rsidR="001C7A1E" w:rsidRPr="00294751" w:rsidRDefault="001C7A1E">
      <w:pPr>
        <w:pStyle w:val="Footer"/>
        <w:spacing w:after="60"/>
        <w:rPr>
          <w:sz w:val="18"/>
          <w:lang w:val="fr-FR"/>
        </w:rPr>
      </w:pPr>
      <w:r w:rsidRPr="00294751">
        <w:rPr>
          <w:sz w:val="18"/>
          <w:lang w:val="fr-FR"/>
        </w:rPr>
        <w:t>[Suite de la note de la page précédente]</w:t>
      </w:r>
    </w:p>
    <w:p w:rsidR="001C7A1E" w:rsidRPr="00294751" w:rsidRDefault="001C7A1E" w:rsidP="006655D3">
      <w:pPr>
        <w:rPr>
          <w:lang w:val="fr-FR"/>
        </w:rPr>
      </w:pPr>
    </w:p>
    <w:p w:rsidR="001C7A1E" w:rsidRPr="00294751" w:rsidRDefault="001C7A1E" w:rsidP="006655D3">
      <w:pPr>
        <w:rPr>
          <w:lang w:val="fr-FR"/>
        </w:rPr>
      </w:pPr>
    </w:p>
  </w:endnote>
  <w:endnote w:type="continuationNotice" w:id="1">
    <w:p w:rsidR="001C7A1E" w:rsidRPr="00294751" w:rsidRDefault="001C7A1E" w:rsidP="006655D3">
      <w:pPr>
        <w:rPr>
          <w:lang w:val="fr-FR"/>
        </w:rPr>
      </w:pPr>
      <w:r w:rsidRPr="00294751">
        <w:rPr>
          <w:lang w:val="fr-FR"/>
        </w:rPr>
        <w:t>[Suite de la note page suivante]</w:t>
      </w:r>
    </w:p>
    <w:p w:rsidR="001C7A1E" w:rsidRPr="00294751" w:rsidRDefault="001C7A1E" w:rsidP="006655D3">
      <w:pPr>
        <w:rPr>
          <w:lang w:val="fr-FR"/>
        </w:rPr>
      </w:pPr>
    </w:p>
    <w:p w:rsidR="001C7A1E" w:rsidRPr="00294751" w:rsidRDefault="001C7A1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A1E" w:rsidRDefault="001C7A1E" w:rsidP="006655D3">
      <w:r>
        <w:separator/>
      </w:r>
    </w:p>
  </w:footnote>
  <w:footnote w:type="continuationSeparator" w:id="0">
    <w:p w:rsidR="001C7A1E" w:rsidRDefault="001C7A1E" w:rsidP="006655D3">
      <w:r>
        <w:separator/>
      </w:r>
    </w:p>
  </w:footnote>
  <w:footnote w:type="continuationNotice" w:id="1">
    <w:p w:rsidR="001C7A1E" w:rsidRPr="00AB530F" w:rsidRDefault="001C7A1E"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4A6FDA" w:rsidRDefault="006567E7" w:rsidP="00EB048E">
    <w:pPr>
      <w:pStyle w:val="Header"/>
      <w:rPr>
        <w:rStyle w:val="PageNumber"/>
        <w:lang w:val="pt-BR"/>
      </w:rPr>
    </w:pPr>
    <w:r w:rsidRPr="004A6FDA">
      <w:rPr>
        <w:rStyle w:val="PageNumber"/>
        <w:lang w:val="pt-BR"/>
      </w:rPr>
      <w:t>TC-EDC/</w:t>
    </w:r>
    <w:r w:rsidR="00826260">
      <w:rPr>
        <w:rStyle w:val="PageNumber"/>
        <w:lang w:val="pt-BR"/>
      </w:rPr>
      <w:t>Mar</w:t>
    </w:r>
    <w:r w:rsidR="00975D8B">
      <w:rPr>
        <w:rStyle w:val="PageNumber"/>
        <w:lang w:val="pt-BR"/>
      </w:rPr>
      <w:t>2</w:t>
    </w:r>
    <w:r w:rsidR="00286E49">
      <w:rPr>
        <w:rStyle w:val="PageNumber"/>
        <w:lang w:val="pt-BR"/>
      </w:rPr>
      <w:t>3</w:t>
    </w:r>
    <w:r w:rsidRPr="004A6FDA">
      <w:rPr>
        <w:rStyle w:val="PageNumber"/>
        <w:lang w:val="pt-BR"/>
      </w:rPr>
      <w:t>/</w:t>
    </w:r>
    <w:r w:rsidR="00B46E4E">
      <w:rPr>
        <w:rStyle w:val="PageNumber"/>
        <w:lang w:val="pt-BR"/>
      </w:rPr>
      <w:t>4</w:t>
    </w:r>
  </w:p>
  <w:p w:rsidR="00182B99" w:rsidRPr="004A6FDA" w:rsidRDefault="00182B99" w:rsidP="00EB048E">
    <w:pPr>
      <w:pStyle w:val="Header"/>
      <w:rPr>
        <w:lang w:val="pt-BR"/>
      </w:rPr>
    </w:pPr>
    <w:r w:rsidRPr="004A6FDA">
      <w:rPr>
        <w:lang w:val="pt-BR"/>
      </w:rPr>
      <w:t xml:space="preserve">page </w:t>
    </w:r>
    <w:r w:rsidRPr="00C5280D">
      <w:rPr>
        <w:rStyle w:val="PageNumber"/>
        <w:lang w:val="en-US"/>
      </w:rPr>
      <w:fldChar w:fldCharType="begin"/>
    </w:r>
    <w:r w:rsidRPr="004A6FDA">
      <w:rPr>
        <w:rStyle w:val="PageNumber"/>
        <w:lang w:val="pt-BR"/>
      </w:rPr>
      <w:instrText xml:space="preserve"> PAGE </w:instrText>
    </w:r>
    <w:r w:rsidRPr="00C5280D">
      <w:rPr>
        <w:rStyle w:val="PageNumber"/>
        <w:lang w:val="en-US"/>
      </w:rPr>
      <w:fldChar w:fldCharType="separate"/>
    </w:r>
    <w:r w:rsidR="00286E49">
      <w:rPr>
        <w:rStyle w:val="PageNumber"/>
        <w:noProof/>
        <w:lang w:val="pt-BR"/>
      </w:rPr>
      <w:t>2</w:t>
    </w:r>
    <w:r w:rsidRPr="00C5280D">
      <w:rPr>
        <w:rStyle w:val="PageNumber"/>
        <w:lang w:val="en-US"/>
      </w:rPr>
      <w:fldChar w:fldCharType="end"/>
    </w:r>
  </w:p>
  <w:p w:rsidR="00182B99" w:rsidRPr="004A6FDA" w:rsidRDefault="00182B99" w:rsidP="006655D3">
    <w:pPr>
      <w:rPr>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A1E"/>
    <w:rsid w:val="0001024B"/>
    <w:rsid w:val="00010CF3"/>
    <w:rsid w:val="00011E27"/>
    <w:rsid w:val="000148BC"/>
    <w:rsid w:val="00024AB8"/>
    <w:rsid w:val="00030854"/>
    <w:rsid w:val="00036028"/>
    <w:rsid w:val="00044642"/>
    <w:rsid w:val="000446B9"/>
    <w:rsid w:val="00047E21"/>
    <w:rsid w:val="00050E16"/>
    <w:rsid w:val="0006378B"/>
    <w:rsid w:val="00085505"/>
    <w:rsid w:val="000B33B3"/>
    <w:rsid w:val="000C2C4F"/>
    <w:rsid w:val="000C4E25"/>
    <w:rsid w:val="000C7021"/>
    <w:rsid w:val="000C7DB4"/>
    <w:rsid w:val="000D6BBC"/>
    <w:rsid w:val="000D7780"/>
    <w:rsid w:val="000E0B0C"/>
    <w:rsid w:val="000E6267"/>
    <w:rsid w:val="000E636A"/>
    <w:rsid w:val="000F19C3"/>
    <w:rsid w:val="000F2F11"/>
    <w:rsid w:val="00105929"/>
    <w:rsid w:val="00110C36"/>
    <w:rsid w:val="001131D5"/>
    <w:rsid w:val="00141DB8"/>
    <w:rsid w:val="00151CE1"/>
    <w:rsid w:val="00172084"/>
    <w:rsid w:val="0017474A"/>
    <w:rsid w:val="001758C6"/>
    <w:rsid w:val="0018173F"/>
    <w:rsid w:val="00182B99"/>
    <w:rsid w:val="001A6625"/>
    <w:rsid w:val="001C1525"/>
    <w:rsid w:val="001C3C25"/>
    <w:rsid w:val="001C7A1E"/>
    <w:rsid w:val="0021332C"/>
    <w:rsid w:val="00213982"/>
    <w:rsid w:val="00214C72"/>
    <w:rsid w:val="002178C7"/>
    <w:rsid w:val="00235D47"/>
    <w:rsid w:val="0024416D"/>
    <w:rsid w:val="00260806"/>
    <w:rsid w:val="002628C3"/>
    <w:rsid w:val="00271911"/>
    <w:rsid w:val="002800A0"/>
    <w:rsid w:val="002801B3"/>
    <w:rsid w:val="00281060"/>
    <w:rsid w:val="00286E49"/>
    <w:rsid w:val="002940E8"/>
    <w:rsid w:val="00294751"/>
    <w:rsid w:val="002A6E50"/>
    <w:rsid w:val="002B4298"/>
    <w:rsid w:val="002C1551"/>
    <w:rsid w:val="002C256A"/>
    <w:rsid w:val="002C2792"/>
    <w:rsid w:val="002F0BE6"/>
    <w:rsid w:val="002F3BCB"/>
    <w:rsid w:val="00304497"/>
    <w:rsid w:val="00305A7F"/>
    <w:rsid w:val="003152FE"/>
    <w:rsid w:val="00325ABC"/>
    <w:rsid w:val="00327436"/>
    <w:rsid w:val="00344BD6"/>
    <w:rsid w:val="0035528D"/>
    <w:rsid w:val="00361821"/>
    <w:rsid w:val="00361E9E"/>
    <w:rsid w:val="00365D27"/>
    <w:rsid w:val="00391BEE"/>
    <w:rsid w:val="0039633A"/>
    <w:rsid w:val="003C7FBE"/>
    <w:rsid w:val="003D227C"/>
    <w:rsid w:val="003D2B4D"/>
    <w:rsid w:val="003F3D01"/>
    <w:rsid w:val="003F5F2B"/>
    <w:rsid w:val="00424C0F"/>
    <w:rsid w:val="00435B7C"/>
    <w:rsid w:val="00444A88"/>
    <w:rsid w:val="00453C2F"/>
    <w:rsid w:val="00471D05"/>
    <w:rsid w:val="00474DA4"/>
    <w:rsid w:val="00476B4D"/>
    <w:rsid w:val="004805FA"/>
    <w:rsid w:val="00481A2C"/>
    <w:rsid w:val="0048657A"/>
    <w:rsid w:val="00486BBA"/>
    <w:rsid w:val="004935D2"/>
    <w:rsid w:val="004A6FDA"/>
    <w:rsid w:val="004B1215"/>
    <w:rsid w:val="004C45ED"/>
    <w:rsid w:val="004C6837"/>
    <w:rsid w:val="004D047D"/>
    <w:rsid w:val="004E02FA"/>
    <w:rsid w:val="004F1E9E"/>
    <w:rsid w:val="004F305A"/>
    <w:rsid w:val="00512164"/>
    <w:rsid w:val="00520297"/>
    <w:rsid w:val="0053339A"/>
    <w:rsid w:val="005338F9"/>
    <w:rsid w:val="0054281C"/>
    <w:rsid w:val="00544581"/>
    <w:rsid w:val="005504AC"/>
    <w:rsid w:val="0055268D"/>
    <w:rsid w:val="00576BE4"/>
    <w:rsid w:val="005A400A"/>
    <w:rsid w:val="005F7B92"/>
    <w:rsid w:val="0060287A"/>
    <w:rsid w:val="00605886"/>
    <w:rsid w:val="00612379"/>
    <w:rsid w:val="006153B6"/>
    <w:rsid w:val="0061555F"/>
    <w:rsid w:val="00636CA6"/>
    <w:rsid w:val="00641200"/>
    <w:rsid w:val="00645CA8"/>
    <w:rsid w:val="006567E7"/>
    <w:rsid w:val="00663578"/>
    <w:rsid w:val="006655D3"/>
    <w:rsid w:val="00666B06"/>
    <w:rsid w:val="00667404"/>
    <w:rsid w:val="00687EB4"/>
    <w:rsid w:val="00695C56"/>
    <w:rsid w:val="006A5CDE"/>
    <w:rsid w:val="006A644A"/>
    <w:rsid w:val="006B0724"/>
    <w:rsid w:val="006B17D2"/>
    <w:rsid w:val="006C224E"/>
    <w:rsid w:val="006C70ED"/>
    <w:rsid w:val="006D013D"/>
    <w:rsid w:val="006D25C4"/>
    <w:rsid w:val="006D780A"/>
    <w:rsid w:val="0070289C"/>
    <w:rsid w:val="00706FF7"/>
    <w:rsid w:val="00711062"/>
    <w:rsid w:val="0071271E"/>
    <w:rsid w:val="00732DEC"/>
    <w:rsid w:val="00735BD5"/>
    <w:rsid w:val="007451EC"/>
    <w:rsid w:val="00751613"/>
    <w:rsid w:val="007556F6"/>
    <w:rsid w:val="007578BB"/>
    <w:rsid w:val="00760EEF"/>
    <w:rsid w:val="007660C7"/>
    <w:rsid w:val="00777EE5"/>
    <w:rsid w:val="00784836"/>
    <w:rsid w:val="0079023E"/>
    <w:rsid w:val="00797273"/>
    <w:rsid w:val="007A2854"/>
    <w:rsid w:val="007C1D92"/>
    <w:rsid w:val="007C4CB9"/>
    <w:rsid w:val="007D0B9D"/>
    <w:rsid w:val="007D19B0"/>
    <w:rsid w:val="007D4635"/>
    <w:rsid w:val="007E1C9C"/>
    <w:rsid w:val="007F498F"/>
    <w:rsid w:val="0080679D"/>
    <w:rsid w:val="008108B0"/>
    <w:rsid w:val="00811B20"/>
    <w:rsid w:val="008211B5"/>
    <w:rsid w:val="0082296E"/>
    <w:rsid w:val="00824099"/>
    <w:rsid w:val="00826260"/>
    <w:rsid w:val="00846D7C"/>
    <w:rsid w:val="0084783D"/>
    <w:rsid w:val="0086146F"/>
    <w:rsid w:val="00867AC1"/>
    <w:rsid w:val="008730FF"/>
    <w:rsid w:val="00890DF8"/>
    <w:rsid w:val="008A743F"/>
    <w:rsid w:val="008C0970"/>
    <w:rsid w:val="008D0BC5"/>
    <w:rsid w:val="008D2CF7"/>
    <w:rsid w:val="00900C26"/>
    <w:rsid w:val="0090197F"/>
    <w:rsid w:val="00903264"/>
    <w:rsid w:val="00906DDC"/>
    <w:rsid w:val="00916216"/>
    <w:rsid w:val="00933453"/>
    <w:rsid w:val="00934E09"/>
    <w:rsid w:val="00936253"/>
    <w:rsid w:val="00940D46"/>
    <w:rsid w:val="00952DD4"/>
    <w:rsid w:val="00965AE7"/>
    <w:rsid w:val="00970FED"/>
    <w:rsid w:val="00975D8B"/>
    <w:rsid w:val="00980C88"/>
    <w:rsid w:val="00992D82"/>
    <w:rsid w:val="00997029"/>
    <w:rsid w:val="009A7339"/>
    <w:rsid w:val="009B1272"/>
    <w:rsid w:val="009B440E"/>
    <w:rsid w:val="009B5F53"/>
    <w:rsid w:val="009D690D"/>
    <w:rsid w:val="009E65B6"/>
    <w:rsid w:val="009F0764"/>
    <w:rsid w:val="009F77CF"/>
    <w:rsid w:val="00A24C10"/>
    <w:rsid w:val="00A3365A"/>
    <w:rsid w:val="00A42AC3"/>
    <w:rsid w:val="00A430CF"/>
    <w:rsid w:val="00A54309"/>
    <w:rsid w:val="00A640DA"/>
    <w:rsid w:val="00A64B15"/>
    <w:rsid w:val="00A9274B"/>
    <w:rsid w:val="00AB2B93"/>
    <w:rsid w:val="00AB530F"/>
    <w:rsid w:val="00AB7E5B"/>
    <w:rsid w:val="00AC2883"/>
    <w:rsid w:val="00AD1969"/>
    <w:rsid w:val="00AE0EF1"/>
    <w:rsid w:val="00AE2937"/>
    <w:rsid w:val="00B036C2"/>
    <w:rsid w:val="00B069AF"/>
    <w:rsid w:val="00B07301"/>
    <w:rsid w:val="00B07D7F"/>
    <w:rsid w:val="00B11F3E"/>
    <w:rsid w:val="00B167E2"/>
    <w:rsid w:val="00B224DE"/>
    <w:rsid w:val="00B228C9"/>
    <w:rsid w:val="00B324D4"/>
    <w:rsid w:val="00B46575"/>
    <w:rsid w:val="00B46E4E"/>
    <w:rsid w:val="00B53139"/>
    <w:rsid w:val="00B549CF"/>
    <w:rsid w:val="00B61777"/>
    <w:rsid w:val="00B84BBD"/>
    <w:rsid w:val="00BA43FB"/>
    <w:rsid w:val="00BC127D"/>
    <w:rsid w:val="00BC1FE6"/>
    <w:rsid w:val="00BD51EF"/>
    <w:rsid w:val="00BD7A5C"/>
    <w:rsid w:val="00BF0463"/>
    <w:rsid w:val="00C0282F"/>
    <w:rsid w:val="00C061B6"/>
    <w:rsid w:val="00C2446C"/>
    <w:rsid w:val="00C3628E"/>
    <w:rsid w:val="00C36AE5"/>
    <w:rsid w:val="00C40CC2"/>
    <w:rsid w:val="00C41F17"/>
    <w:rsid w:val="00C527FA"/>
    <w:rsid w:val="00C5280D"/>
    <w:rsid w:val="00C53EB3"/>
    <w:rsid w:val="00C5791C"/>
    <w:rsid w:val="00C66290"/>
    <w:rsid w:val="00C72B7A"/>
    <w:rsid w:val="00C744F0"/>
    <w:rsid w:val="00C757E0"/>
    <w:rsid w:val="00C81AFE"/>
    <w:rsid w:val="00C973F2"/>
    <w:rsid w:val="00CA304C"/>
    <w:rsid w:val="00CA774A"/>
    <w:rsid w:val="00CC11B0"/>
    <w:rsid w:val="00CC151A"/>
    <w:rsid w:val="00CC2841"/>
    <w:rsid w:val="00CF1330"/>
    <w:rsid w:val="00CF7E36"/>
    <w:rsid w:val="00D3192B"/>
    <w:rsid w:val="00D3708D"/>
    <w:rsid w:val="00D40426"/>
    <w:rsid w:val="00D57C96"/>
    <w:rsid w:val="00D57D18"/>
    <w:rsid w:val="00D65BC3"/>
    <w:rsid w:val="00D91203"/>
    <w:rsid w:val="00D95174"/>
    <w:rsid w:val="00D9615B"/>
    <w:rsid w:val="00D96F3B"/>
    <w:rsid w:val="00DA4476"/>
    <w:rsid w:val="00DA4973"/>
    <w:rsid w:val="00DA6F36"/>
    <w:rsid w:val="00DB596E"/>
    <w:rsid w:val="00DB7773"/>
    <w:rsid w:val="00DC00EA"/>
    <w:rsid w:val="00DC26C8"/>
    <w:rsid w:val="00DC3802"/>
    <w:rsid w:val="00DC769D"/>
    <w:rsid w:val="00DF56AF"/>
    <w:rsid w:val="00E07D87"/>
    <w:rsid w:val="00E32F7E"/>
    <w:rsid w:val="00E5267B"/>
    <w:rsid w:val="00E63C0E"/>
    <w:rsid w:val="00E66A1E"/>
    <w:rsid w:val="00E72D49"/>
    <w:rsid w:val="00E7593C"/>
    <w:rsid w:val="00E7678A"/>
    <w:rsid w:val="00E935F1"/>
    <w:rsid w:val="00E94A81"/>
    <w:rsid w:val="00EA1FFB"/>
    <w:rsid w:val="00EB048E"/>
    <w:rsid w:val="00EB1383"/>
    <w:rsid w:val="00EB4E9C"/>
    <w:rsid w:val="00EB67DB"/>
    <w:rsid w:val="00EC67E8"/>
    <w:rsid w:val="00ED0950"/>
    <w:rsid w:val="00EE34DF"/>
    <w:rsid w:val="00EF2F89"/>
    <w:rsid w:val="00F03E98"/>
    <w:rsid w:val="00F1237A"/>
    <w:rsid w:val="00F22CBD"/>
    <w:rsid w:val="00F272F1"/>
    <w:rsid w:val="00F45372"/>
    <w:rsid w:val="00F560F7"/>
    <w:rsid w:val="00F61C66"/>
    <w:rsid w:val="00F61F94"/>
    <w:rsid w:val="00F6265C"/>
    <w:rsid w:val="00F6334D"/>
    <w:rsid w:val="00F63599"/>
    <w:rsid w:val="00F64649"/>
    <w:rsid w:val="00F70D2D"/>
    <w:rsid w:val="00F854D8"/>
    <w:rsid w:val="00FA23E7"/>
    <w:rsid w:val="00FA49AB"/>
    <w:rsid w:val="00FA4D48"/>
    <w:rsid w:val="00FD5DC5"/>
    <w:rsid w:val="00FD7208"/>
    <w:rsid w:val="00FD7A5E"/>
    <w:rsid w:val="00FD7FC5"/>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E9F80A5"/>
  <w15:docId w15:val="{45D77D18-6292-4BE9-AEB5-84D7BCE43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4Char">
    <w:name w:val="Heading 4 Char"/>
    <w:basedOn w:val="DefaultParagraphFont"/>
    <w:link w:val="Heading4"/>
    <w:rsid w:val="00916216"/>
    <w:rPr>
      <w:rFonts w:ascii="Arial" w:hAnsi="Arial"/>
      <w:u w:val="single"/>
      <w:lang w:val="fr-FR"/>
    </w:rPr>
  </w:style>
  <w:style w:type="character" w:customStyle="1" w:styleId="BodyTextChar">
    <w:name w:val="Body Text Char"/>
    <w:link w:val="BodyText"/>
    <w:locked/>
    <w:rsid w:val="00B167E2"/>
    <w:rPr>
      <w:rFonts w:ascii="Arial" w:hAnsi="Arial"/>
    </w:rPr>
  </w:style>
  <w:style w:type="table" w:styleId="TableGrid">
    <w:name w:val="Table Grid"/>
    <w:basedOn w:val="TableNormal"/>
    <w:uiPriority w:val="39"/>
    <w:rsid w:val="00C0282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4783D"/>
    <w:rPr>
      <w:i/>
      <w:iCs/>
    </w:rPr>
  </w:style>
  <w:style w:type="character" w:customStyle="1" w:styleId="FootnoteTextChar">
    <w:name w:val="Footnote Text Char"/>
    <w:basedOn w:val="DefaultParagraphFont"/>
    <w:link w:val="FootnoteText"/>
    <w:rsid w:val="00BD7A5C"/>
    <w:rPr>
      <w:rFonts w:ascii="Arial" w:hAnsi="Arial"/>
      <w:sz w:val="16"/>
    </w:rPr>
  </w:style>
  <w:style w:type="paragraph" w:styleId="CommentText">
    <w:name w:val="annotation text"/>
    <w:basedOn w:val="Normal"/>
    <w:link w:val="CommentTextChar"/>
    <w:semiHidden/>
    <w:rsid w:val="00DF56AF"/>
    <w:rPr>
      <w:sz w:val="22"/>
      <w:lang w:val="es-ES_tradnl"/>
    </w:rPr>
  </w:style>
  <w:style w:type="character" w:customStyle="1" w:styleId="CommentTextChar">
    <w:name w:val="Comment Text Char"/>
    <w:basedOn w:val="DefaultParagraphFont"/>
    <w:link w:val="CommentText"/>
    <w:semiHidden/>
    <w:rsid w:val="00DF56AF"/>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95515">
      <w:bodyDiv w:val="1"/>
      <w:marLeft w:val="0"/>
      <w:marRight w:val="0"/>
      <w:marTop w:val="0"/>
      <w:marBottom w:val="0"/>
      <w:divBdr>
        <w:top w:val="none" w:sz="0" w:space="0" w:color="auto"/>
        <w:left w:val="none" w:sz="0" w:space="0" w:color="auto"/>
        <w:bottom w:val="none" w:sz="0" w:space="0" w:color="auto"/>
        <w:right w:val="none" w:sz="0" w:space="0" w:color="auto"/>
      </w:divBdr>
    </w:div>
    <w:div w:id="109790673">
      <w:bodyDiv w:val="1"/>
      <w:marLeft w:val="0"/>
      <w:marRight w:val="0"/>
      <w:marTop w:val="0"/>
      <w:marBottom w:val="0"/>
      <w:divBdr>
        <w:top w:val="none" w:sz="0" w:space="0" w:color="auto"/>
        <w:left w:val="none" w:sz="0" w:space="0" w:color="auto"/>
        <w:bottom w:val="none" w:sz="0" w:space="0" w:color="auto"/>
        <w:right w:val="none" w:sz="0" w:space="0" w:color="auto"/>
      </w:divBdr>
    </w:div>
    <w:div w:id="228998109">
      <w:bodyDiv w:val="1"/>
      <w:marLeft w:val="0"/>
      <w:marRight w:val="0"/>
      <w:marTop w:val="0"/>
      <w:marBottom w:val="0"/>
      <w:divBdr>
        <w:top w:val="none" w:sz="0" w:space="0" w:color="auto"/>
        <w:left w:val="none" w:sz="0" w:space="0" w:color="auto"/>
        <w:bottom w:val="none" w:sz="0" w:space="0" w:color="auto"/>
        <w:right w:val="none" w:sz="0" w:space="0" w:color="auto"/>
      </w:divBdr>
    </w:div>
    <w:div w:id="303238752">
      <w:bodyDiv w:val="1"/>
      <w:marLeft w:val="0"/>
      <w:marRight w:val="0"/>
      <w:marTop w:val="0"/>
      <w:marBottom w:val="0"/>
      <w:divBdr>
        <w:top w:val="none" w:sz="0" w:space="0" w:color="auto"/>
        <w:left w:val="none" w:sz="0" w:space="0" w:color="auto"/>
        <w:bottom w:val="none" w:sz="0" w:space="0" w:color="auto"/>
        <w:right w:val="none" w:sz="0" w:space="0" w:color="auto"/>
      </w:divBdr>
    </w:div>
    <w:div w:id="537624175">
      <w:bodyDiv w:val="1"/>
      <w:marLeft w:val="0"/>
      <w:marRight w:val="0"/>
      <w:marTop w:val="0"/>
      <w:marBottom w:val="0"/>
      <w:divBdr>
        <w:top w:val="none" w:sz="0" w:space="0" w:color="auto"/>
        <w:left w:val="none" w:sz="0" w:space="0" w:color="auto"/>
        <w:bottom w:val="none" w:sz="0" w:space="0" w:color="auto"/>
        <w:right w:val="none" w:sz="0" w:space="0" w:color="auto"/>
      </w:divBdr>
    </w:div>
    <w:div w:id="554777146">
      <w:bodyDiv w:val="1"/>
      <w:marLeft w:val="0"/>
      <w:marRight w:val="0"/>
      <w:marTop w:val="0"/>
      <w:marBottom w:val="0"/>
      <w:divBdr>
        <w:top w:val="none" w:sz="0" w:space="0" w:color="auto"/>
        <w:left w:val="none" w:sz="0" w:space="0" w:color="auto"/>
        <w:bottom w:val="none" w:sz="0" w:space="0" w:color="auto"/>
        <w:right w:val="none" w:sz="0" w:space="0" w:color="auto"/>
      </w:divBdr>
    </w:div>
    <w:div w:id="1312562237">
      <w:bodyDiv w:val="1"/>
      <w:marLeft w:val="0"/>
      <w:marRight w:val="0"/>
      <w:marTop w:val="0"/>
      <w:marBottom w:val="0"/>
      <w:divBdr>
        <w:top w:val="none" w:sz="0" w:space="0" w:color="auto"/>
        <w:left w:val="none" w:sz="0" w:space="0" w:color="auto"/>
        <w:bottom w:val="none" w:sz="0" w:space="0" w:color="auto"/>
        <w:right w:val="none" w:sz="0" w:space="0" w:color="auto"/>
      </w:divBdr>
    </w:div>
    <w:div w:id="1421873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hyperlink" Target="https://www.upov.int/meetings/en/doc_details.jsp?meeting_id=67786&amp;doc_id=588412" TargetMode="Externa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EDC\TC_EDC_23_Mar_Mtg\template\tc_edc_mar_2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tc_edc_mar_23.dotm</Template>
  <TotalTime>234</TotalTime>
  <Pages>2</Pages>
  <Words>672</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TC-EDC/Mar23/4</vt:lpstr>
    </vt:vector>
  </TitlesOfParts>
  <Company>UPOV</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TC-EDC/Mar23/4</dc:title>
  <dc:creator>OERTEL Romy</dc:creator>
  <cp:keywords>TC-EDC/Mar23/4</cp:keywords>
  <cp:lastModifiedBy>OERTEL Romy</cp:lastModifiedBy>
  <cp:revision>13</cp:revision>
  <cp:lastPrinted>2023-03-01T10:14:00Z</cp:lastPrinted>
  <dcterms:created xsi:type="dcterms:W3CDTF">2023-01-12T10:26:00Z</dcterms:created>
  <dcterms:modified xsi:type="dcterms:W3CDTF">2023-03-01T10:28:00Z</dcterms:modified>
</cp:coreProperties>
</file>