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C40CC2" w:rsidTr="00EB4E9C">
        <w:tc>
          <w:tcPr>
            <w:tcW w:w="6522" w:type="dxa"/>
          </w:tcPr>
          <w:p w:rsidR="00DC3802" w:rsidRPr="00C40CC2" w:rsidRDefault="00DC3802" w:rsidP="00AC2883">
            <w:bookmarkStart w:id="0" w:name="_GoBack"/>
            <w:bookmarkEnd w:id="0"/>
            <w:r w:rsidRPr="00C40CC2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C40CC2" w:rsidRDefault="00DC3802" w:rsidP="00AC2883">
            <w:pPr>
              <w:pStyle w:val="Lettrine"/>
            </w:pPr>
            <w:r w:rsidRPr="00C40CC2">
              <w:t>E</w:t>
            </w:r>
          </w:p>
        </w:tc>
      </w:tr>
      <w:tr w:rsidR="00DC3802" w:rsidRPr="00C40CC2" w:rsidTr="00645CA8">
        <w:trPr>
          <w:trHeight w:val="219"/>
        </w:trPr>
        <w:tc>
          <w:tcPr>
            <w:tcW w:w="6522" w:type="dxa"/>
          </w:tcPr>
          <w:p w:rsidR="00DC3802" w:rsidRPr="00C40CC2" w:rsidRDefault="00DC3802" w:rsidP="00AC2883">
            <w:pPr>
              <w:pStyle w:val="upove"/>
            </w:pPr>
            <w:r w:rsidRPr="00C40CC2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C40CC2" w:rsidRDefault="00DC3802" w:rsidP="00DA4973"/>
        </w:tc>
      </w:tr>
    </w:tbl>
    <w:p w:rsidR="00DC3802" w:rsidRPr="00C40CC2" w:rsidRDefault="00DC3802" w:rsidP="00DC3802"/>
    <w:p w:rsidR="00DA4973" w:rsidRPr="00C40CC2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3F3D01" w:rsidTr="00EB4E9C">
        <w:tc>
          <w:tcPr>
            <w:tcW w:w="6512" w:type="dxa"/>
          </w:tcPr>
          <w:p w:rsidR="00EB4E9C" w:rsidRPr="003F3D01" w:rsidRDefault="000E6267" w:rsidP="00AC2883">
            <w:pPr>
              <w:pStyle w:val="Sessiontc"/>
              <w:spacing w:line="240" w:lineRule="auto"/>
            </w:pPr>
            <w:r w:rsidRPr="003F3D01">
              <w:t>Enlarged Editorial Committee</w:t>
            </w:r>
          </w:p>
          <w:p w:rsidR="000E6267" w:rsidRPr="003F3D01" w:rsidRDefault="000E6267" w:rsidP="007D4635">
            <w:pPr>
              <w:pStyle w:val="Sessiontcplacedate"/>
            </w:pPr>
          </w:p>
          <w:p w:rsidR="00EB4E9C" w:rsidRPr="003F3D01" w:rsidRDefault="00EB4E9C" w:rsidP="00826260">
            <w:pPr>
              <w:pStyle w:val="Sessiontcplacedate"/>
              <w:rPr>
                <w:sz w:val="22"/>
              </w:rPr>
            </w:pPr>
            <w:r w:rsidRPr="003F3D01">
              <w:t xml:space="preserve">Geneva, </w:t>
            </w:r>
            <w:r w:rsidR="00826260">
              <w:t>March</w:t>
            </w:r>
            <w:r w:rsidR="00DC769D" w:rsidRPr="003F3D01">
              <w:t xml:space="preserve"> </w:t>
            </w:r>
            <w:r w:rsidR="00826260">
              <w:t>2</w:t>
            </w:r>
            <w:r w:rsidR="0086146F" w:rsidRPr="003F3D01">
              <w:t>2</w:t>
            </w:r>
            <w:r w:rsidR="00DC769D" w:rsidRPr="003F3D01">
              <w:t xml:space="preserve"> and </w:t>
            </w:r>
            <w:r w:rsidR="00826260">
              <w:t>2</w:t>
            </w:r>
            <w:r w:rsidR="0086146F" w:rsidRPr="003F3D01">
              <w:t>3</w:t>
            </w:r>
            <w:r w:rsidRPr="003F3D01">
              <w:t>, 20</w:t>
            </w:r>
            <w:r w:rsidR="007E1C9C" w:rsidRPr="003F3D01">
              <w:t>2</w:t>
            </w:r>
            <w:r w:rsidR="00826260">
              <w:t>2</w:t>
            </w:r>
          </w:p>
        </w:tc>
        <w:tc>
          <w:tcPr>
            <w:tcW w:w="3127" w:type="dxa"/>
          </w:tcPr>
          <w:p w:rsidR="00EB4E9C" w:rsidRPr="003F3D01" w:rsidRDefault="000E6267" w:rsidP="003C7FBE">
            <w:pPr>
              <w:pStyle w:val="Doccode"/>
            </w:pPr>
            <w:r w:rsidRPr="003F3D01">
              <w:t>TC-EDC</w:t>
            </w:r>
            <w:r w:rsidR="00A3365A" w:rsidRPr="003F3D01">
              <w:t>/</w:t>
            </w:r>
            <w:r w:rsidR="00826260">
              <w:t>Mar22</w:t>
            </w:r>
            <w:r w:rsidR="00EB4E9C" w:rsidRPr="003F3D01">
              <w:t>/</w:t>
            </w:r>
            <w:r w:rsidR="00D22A59">
              <w:t>5</w:t>
            </w:r>
          </w:p>
          <w:p w:rsidR="00EB4E9C" w:rsidRPr="003F3D01" w:rsidRDefault="00EB4E9C" w:rsidP="003C7FBE">
            <w:pPr>
              <w:pStyle w:val="Docoriginal"/>
            </w:pPr>
            <w:r w:rsidRPr="003F3D01">
              <w:t>Original:</w:t>
            </w:r>
            <w:r w:rsidRPr="003F3D01">
              <w:rPr>
                <w:b w:val="0"/>
                <w:spacing w:val="0"/>
              </w:rPr>
              <w:t xml:space="preserve">  English</w:t>
            </w:r>
          </w:p>
          <w:p w:rsidR="00EB4E9C" w:rsidRPr="003F3D01" w:rsidRDefault="00EB4E9C" w:rsidP="00DB09A5">
            <w:pPr>
              <w:pStyle w:val="Docoriginal"/>
            </w:pPr>
            <w:r w:rsidRPr="003F3D01">
              <w:t>Date:</w:t>
            </w:r>
            <w:r w:rsidRPr="003F3D01">
              <w:rPr>
                <w:b w:val="0"/>
                <w:spacing w:val="0"/>
              </w:rPr>
              <w:t xml:space="preserve">  </w:t>
            </w:r>
            <w:r w:rsidR="00D05012" w:rsidRPr="00DB09A5">
              <w:rPr>
                <w:b w:val="0"/>
                <w:spacing w:val="0"/>
              </w:rPr>
              <w:t xml:space="preserve">February </w:t>
            </w:r>
            <w:r w:rsidR="00DB09A5" w:rsidRPr="00DB09A5">
              <w:rPr>
                <w:b w:val="0"/>
                <w:spacing w:val="0"/>
              </w:rPr>
              <w:t>10</w:t>
            </w:r>
            <w:r w:rsidR="00481A2C" w:rsidRPr="00DB09A5">
              <w:rPr>
                <w:b w:val="0"/>
                <w:spacing w:val="0"/>
              </w:rPr>
              <w:t>, 2022</w:t>
            </w:r>
          </w:p>
        </w:tc>
      </w:tr>
    </w:tbl>
    <w:p w:rsidR="000D7780" w:rsidRPr="003F3D01" w:rsidRDefault="00C039AF" w:rsidP="006A644A">
      <w:pPr>
        <w:pStyle w:val="Titleofdoc0"/>
      </w:pPr>
      <w:bookmarkStart w:id="1" w:name="TitleOfDoc"/>
      <w:bookmarkEnd w:id="1"/>
      <w:r w:rsidRPr="00C039AF">
        <w:t>Matters to be resolved concerning Test Guidelines put forward for adoption by the Technical Committee</w:t>
      </w:r>
      <w:r>
        <w:t xml:space="preserve">:  </w:t>
      </w:r>
      <w:r w:rsidR="00D22A59">
        <w:t>Berberis</w:t>
      </w:r>
    </w:p>
    <w:p w:rsidR="006A644A" w:rsidRPr="003F3D01" w:rsidRDefault="0061555F" w:rsidP="006A644A">
      <w:pPr>
        <w:pStyle w:val="preparedby1"/>
        <w:jc w:val="left"/>
      </w:pPr>
      <w:bookmarkStart w:id="2" w:name="Prepared"/>
      <w:bookmarkEnd w:id="2"/>
      <w:r w:rsidRPr="003F3D01">
        <w:t>prepared by the Office of the Union</w:t>
      </w:r>
    </w:p>
    <w:p w:rsidR="00050E16" w:rsidRPr="00C40CC2" w:rsidRDefault="00050E16" w:rsidP="006A644A">
      <w:pPr>
        <w:pStyle w:val="Disclaimer"/>
      </w:pPr>
      <w:r w:rsidRPr="003F3D01">
        <w:t>Disclaimer:  this document does not represent UPOV policies or guidance</w:t>
      </w:r>
    </w:p>
    <w:p w:rsidR="00C039AF" w:rsidRDefault="00C039AF" w:rsidP="00C039AF">
      <w:pPr>
        <w:autoSpaceDE w:val="0"/>
        <w:autoSpaceDN w:val="0"/>
        <w:adjustRightInd w:val="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The Enlarged Editorial Committee (TC-EDC) </w:t>
      </w:r>
      <w:r w:rsidRPr="00003DA0">
        <w:t>at its meeting</w:t>
      </w:r>
      <w:r>
        <w:t>,</w:t>
      </w:r>
      <w:r w:rsidRPr="00003DA0">
        <w:t xml:space="preserve"> </w:t>
      </w:r>
      <w:r w:rsidRPr="008D0013">
        <w:rPr>
          <w:rFonts w:cs="Arial"/>
        </w:rPr>
        <w:t xml:space="preserve">organized by electronic means, </w:t>
      </w:r>
      <w:r>
        <w:t>on October 12</w:t>
      </w:r>
      <w:r w:rsidRPr="008D0013">
        <w:t xml:space="preserve"> </w:t>
      </w:r>
      <w:r>
        <w:t>and 13</w:t>
      </w:r>
      <w:r w:rsidRPr="008D0013">
        <w:t>, 202</w:t>
      </w:r>
      <w:r>
        <w:t xml:space="preserve">1, considered the </w:t>
      </w:r>
      <w:r w:rsidRPr="002B6F72">
        <w:rPr>
          <w:rFonts w:cs="Arial"/>
        </w:rPr>
        <w:t xml:space="preserve">draft Test Guidelines for </w:t>
      </w:r>
      <w:r w:rsidR="00D05012">
        <w:rPr>
          <w:rFonts w:cs="Arial"/>
        </w:rPr>
        <w:t>Berberis</w:t>
      </w:r>
      <w:r>
        <w:rPr>
          <w:rFonts w:cs="Arial"/>
        </w:rPr>
        <w:t xml:space="preserve"> (</w:t>
      </w:r>
      <w:r>
        <w:t xml:space="preserve">document </w:t>
      </w:r>
      <w:hyperlink r:id="rId8" w:history="1">
        <w:r w:rsidR="00D22A59" w:rsidRPr="00D22A59">
          <w:rPr>
            <w:rStyle w:val="Hyperlink"/>
            <w:rFonts w:cs="Arial"/>
            <w:color w:val="0066CC"/>
            <w:shd w:val="clear" w:color="auto" w:fill="FFFFFF"/>
          </w:rPr>
          <w:t>TG/68/4(proj.5)</w:t>
        </w:r>
      </w:hyperlink>
      <w:r>
        <w:t xml:space="preserve">) and </w:t>
      </w:r>
      <w:r w:rsidRPr="002B6F72">
        <w:rPr>
          <w:rFonts w:cs="Arial"/>
        </w:rPr>
        <w:t xml:space="preserve">agreed that </w:t>
      </w:r>
      <w:r>
        <w:rPr>
          <w:rFonts w:cs="Arial"/>
        </w:rPr>
        <w:t>it</w:t>
      </w:r>
      <w:r w:rsidRPr="002B6F72">
        <w:rPr>
          <w:rFonts w:cs="Arial"/>
        </w:rPr>
        <w:t xml:space="preserve"> required editorial clarifications to be provided by the Leading Expert.  The TC-EDC </w:t>
      </w:r>
      <w:r w:rsidRPr="002B6F72">
        <w:t>agreed to reconsider the draft Test</w:t>
      </w:r>
      <w:r>
        <w:t> </w:t>
      </w:r>
      <w:r w:rsidRPr="002B6F72">
        <w:t xml:space="preserve">Guidelines at its meeting to be held in </w:t>
      </w:r>
      <w:r>
        <w:t>March 2022</w:t>
      </w:r>
      <w:r w:rsidRPr="002B6F72">
        <w:t>.</w:t>
      </w:r>
      <w:r w:rsidRPr="00003DA0">
        <w:t xml:space="preserve">  </w:t>
      </w:r>
    </w:p>
    <w:p w:rsidR="00C039AF" w:rsidRDefault="00C039AF" w:rsidP="00C039AF">
      <w:pPr>
        <w:autoSpaceDE w:val="0"/>
        <w:autoSpaceDN w:val="0"/>
        <w:adjustRightInd w:val="0"/>
      </w:pPr>
    </w:p>
    <w:p w:rsidR="00C039AF" w:rsidRDefault="00C039AF" w:rsidP="00C039AF">
      <w:pPr>
        <w:autoSpaceDE w:val="0"/>
        <w:autoSpaceDN w:val="0"/>
        <w:adjustRightInd w:val="0"/>
      </w:pPr>
      <w:r>
        <w:rPr>
          <w:rFonts w:cs="Arial"/>
          <w:bCs/>
          <w:snapToGrid w:val="0"/>
          <w:color w:val="000000"/>
        </w:rPr>
        <w:fldChar w:fldCharType="begin"/>
      </w:r>
      <w:r>
        <w:rPr>
          <w:rFonts w:cs="Arial"/>
          <w:bCs/>
          <w:snapToGrid w:val="0"/>
          <w:color w:val="000000"/>
        </w:rPr>
        <w:instrText xml:space="preserve"> AUTONUM  </w:instrText>
      </w:r>
      <w:r>
        <w:rPr>
          <w:rFonts w:cs="Arial"/>
          <w:bCs/>
          <w:snapToGrid w:val="0"/>
          <w:color w:val="000000"/>
        </w:rPr>
        <w:fldChar w:fldCharType="end"/>
      </w:r>
      <w:r>
        <w:rPr>
          <w:rFonts w:cs="Arial"/>
          <w:bCs/>
          <w:snapToGrid w:val="0"/>
          <w:color w:val="000000"/>
        </w:rPr>
        <w:tab/>
        <w:t>Recommendations from the TC-EDC on the draft Test Guidelines for Turnip</w:t>
      </w:r>
      <w:r w:rsidRPr="00172FB4">
        <w:t xml:space="preserve"> </w:t>
      </w:r>
      <w:r>
        <w:t>are presented in the table below</w:t>
      </w:r>
      <w:r>
        <w:rPr>
          <w:rFonts w:cs="Arial"/>
          <w:bCs/>
          <w:snapToGrid w:val="0"/>
          <w:color w:val="000000"/>
        </w:rPr>
        <w:t xml:space="preserve">, including the </w:t>
      </w:r>
      <w:r w:rsidRPr="002B6F72">
        <w:rPr>
          <w:rFonts w:cs="Arial"/>
        </w:rPr>
        <w:t xml:space="preserve">required editorial clarifications (indicated </w:t>
      </w:r>
      <w:r>
        <w:rPr>
          <w:rFonts w:cs="Arial"/>
        </w:rPr>
        <w:t xml:space="preserve">with </w:t>
      </w:r>
      <w:r w:rsidRPr="002B6F72">
        <w:rPr>
          <w:rFonts w:cs="Arial"/>
        </w:rPr>
        <w:t>“</w:t>
      </w:r>
      <w:r w:rsidRPr="002B6F72">
        <w:rPr>
          <w:rFonts w:cs="Arial"/>
          <w:vertAlign w:val="superscript"/>
        </w:rPr>
        <w:t>#</w:t>
      </w:r>
      <w:r w:rsidRPr="002B6F72">
        <w:rPr>
          <w:rFonts w:cs="Arial"/>
        </w:rPr>
        <w:t>”)</w:t>
      </w:r>
      <w:r>
        <w:rPr>
          <w:rFonts w:cs="Arial"/>
        </w:rPr>
        <w:t xml:space="preserve"> and </w:t>
      </w:r>
      <w:r>
        <w:t>responses from the Leading Expert, M</w:t>
      </w:r>
      <w:r w:rsidR="00D22A59">
        <w:t>s</w:t>
      </w:r>
      <w:r>
        <w:t xml:space="preserve">. </w:t>
      </w:r>
      <w:r w:rsidR="00D22A59">
        <w:t>Stéphanie Christien</w:t>
      </w:r>
      <w:r>
        <w:t xml:space="preserve"> (</w:t>
      </w:r>
      <w:r w:rsidR="000010E2">
        <w:t>France</w:t>
      </w:r>
      <w:r>
        <w:t>):</w:t>
      </w:r>
    </w:p>
    <w:p w:rsidR="00C039AF" w:rsidRDefault="00C039AF" w:rsidP="00C039AF">
      <w:pPr>
        <w:autoSpaceDE w:val="0"/>
        <w:autoSpaceDN w:val="0"/>
        <w:adjustRightInd w:val="0"/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3"/>
        <w:gridCol w:w="8208"/>
      </w:tblGrid>
      <w:tr w:rsidR="00D22A59" w:rsidRPr="00304E53" w:rsidTr="008440F2">
        <w:trPr>
          <w:cantSplit/>
        </w:trPr>
        <w:tc>
          <w:tcPr>
            <w:tcW w:w="1573" w:type="dxa"/>
          </w:tcPr>
          <w:p w:rsidR="00D22A59" w:rsidRPr="00304E53" w:rsidRDefault="00D22A59" w:rsidP="008440F2">
            <w:pPr>
              <w:rPr>
                <w:lang w:val="en-CA"/>
              </w:rPr>
            </w:pPr>
            <w:r w:rsidRPr="00304E53">
              <w:rPr>
                <w:lang w:val="en-CA"/>
              </w:rPr>
              <w:t>Cover page</w:t>
            </w:r>
          </w:p>
        </w:tc>
        <w:tc>
          <w:tcPr>
            <w:tcW w:w="8208" w:type="dxa"/>
          </w:tcPr>
          <w:p w:rsidR="00D22A59" w:rsidRDefault="00D22A59" w:rsidP="008440F2">
            <w:pPr>
              <w:rPr>
                <w:rFonts w:cs="Arial"/>
              </w:rPr>
            </w:pPr>
            <w:r w:rsidRPr="00304E53">
              <w:rPr>
                <w:lang w:val="en-CA"/>
              </w:rPr>
              <w:t xml:space="preserve">to </w:t>
            </w:r>
            <w:r w:rsidRPr="00304E53">
              <w:rPr>
                <w:rFonts w:cs="Arial"/>
              </w:rPr>
              <w:t>add “excluding…” (</w:t>
            </w:r>
            <w:r>
              <w:rPr>
                <w:rFonts w:cs="Arial"/>
              </w:rPr>
              <w:t>as in</w:t>
            </w:r>
            <w:r w:rsidRPr="00304E53">
              <w:rPr>
                <w:rFonts w:cs="Arial"/>
              </w:rPr>
              <w:t xml:space="preserve"> Chapter 1.) to name box</w:t>
            </w:r>
          </w:p>
          <w:p w:rsidR="00463A2E" w:rsidRPr="00463A2E" w:rsidRDefault="00463A2E" w:rsidP="008440F2">
            <w:pPr>
              <w:rPr>
                <w:i/>
                <w:lang w:val="en-CA"/>
              </w:rPr>
            </w:pPr>
            <w:r w:rsidRPr="00463A2E">
              <w:rPr>
                <w:rFonts w:cs="Arial"/>
                <w:i/>
              </w:rPr>
              <w:t>Leading Expert: agreed</w:t>
            </w:r>
          </w:p>
        </w:tc>
      </w:tr>
      <w:tr w:rsidR="00D22A59" w:rsidRPr="002135BE" w:rsidDel="0013323E" w:rsidTr="008440F2">
        <w:trPr>
          <w:cantSplit/>
        </w:trPr>
        <w:tc>
          <w:tcPr>
            <w:tcW w:w="1573" w:type="dxa"/>
          </w:tcPr>
          <w:p w:rsidR="00D22A59" w:rsidRPr="00463A2E" w:rsidRDefault="00D22A59" w:rsidP="008440F2">
            <w:pPr>
              <w:rPr>
                <w:highlight w:val="yellow"/>
                <w:lang w:val="en-CA"/>
              </w:rPr>
            </w:pPr>
            <w:r w:rsidRPr="00E827F3">
              <w:rPr>
                <w:vertAlign w:val="superscript"/>
                <w:lang w:val="en-CA"/>
              </w:rPr>
              <w:t>#</w:t>
            </w:r>
            <w:r w:rsidRPr="00E827F3">
              <w:rPr>
                <w:lang w:val="en-CA"/>
              </w:rPr>
              <w:t>Char. 2</w:t>
            </w:r>
          </w:p>
        </w:tc>
        <w:tc>
          <w:tcPr>
            <w:tcW w:w="8208" w:type="dxa"/>
          </w:tcPr>
          <w:p w:rsidR="00D22A59" w:rsidRPr="00E827F3" w:rsidRDefault="00D22A59" w:rsidP="008440F2">
            <w:pPr>
              <w:rPr>
                <w:lang w:val="en-CA"/>
              </w:rPr>
            </w:pPr>
            <w:r w:rsidRPr="00E827F3">
              <w:rPr>
                <w:lang w:val="en-CA"/>
              </w:rPr>
              <w:t>to check whether state 1 to read “upright” (see e.g. TG Lavender)</w:t>
            </w:r>
          </w:p>
          <w:p w:rsidR="00463A2E" w:rsidRPr="004E7113" w:rsidDel="0013323E" w:rsidRDefault="00463A2E" w:rsidP="004E7113">
            <w:pPr>
              <w:spacing w:line="252" w:lineRule="auto"/>
              <w:rPr>
                <w:rFonts w:ascii="Calibri" w:hAnsi="Calibri"/>
                <w:i/>
                <w:lang w:val="en-CA"/>
              </w:rPr>
            </w:pPr>
            <w:r w:rsidRPr="001170C9">
              <w:rPr>
                <w:i/>
                <w:lang w:val="en-CA"/>
              </w:rPr>
              <w:t>L</w:t>
            </w:r>
            <w:r w:rsidR="001170C9" w:rsidRPr="001170C9">
              <w:rPr>
                <w:i/>
                <w:lang w:val="en-CA"/>
              </w:rPr>
              <w:t xml:space="preserve">eading </w:t>
            </w:r>
            <w:r w:rsidRPr="001170C9">
              <w:rPr>
                <w:i/>
                <w:lang w:val="en-CA"/>
              </w:rPr>
              <w:t>E</w:t>
            </w:r>
            <w:r w:rsidR="001170C9" w:rsidRPr="001170C9">
              <w:rPr>
                <w:i/>
                <w:lang w:val="en-CA"/>
              </w:rPr>
              <w:t>xpert</w:t>
            </w:r>
            <w:r w:rsidRPr="001170C9">
              <w:rPr>
                <w:i/>
                <w:lang w:val="en-CA"/>
              </w:rPr>
              <w:t xml:space="preserve">: </w:t>
            </w:r>
            <w:r w:rsidR="004E7113">
              <w:rPr>
                <w:i/>
                <w:lang w:val="en-CA"/>
              </w:rPr>
              <w:t xml:space="preserve">agreed, </w:t>
            </w:r>
            <w:r w:rsidR="004E7113" w:rsidRPr="004E7113">
              <w:rPr>
                <w:i/>
                <w:lang w:val="en-CA"/>
              </w:rPr>
              <w:t>state 1 to read “upright”</w:t>
            </w:r>
          </w:p>
        </w:tc>
      </w:tr>
      <w:tr w:rsidR="00D22A59" w:rsidRPr="002135BE" w:rsidTr="008440F2">
        <w:trPr>
          <w:cantSplit/>
        </w:trPr>
        <w:tc>
          <w:tcPr>
            <w:tcW w:w="1573" w:type="dxa"/>
          </w:tcPr>
          <w:p w:rsidR="00D22A59" w:rsidRPr="00304E53" w:rsidRDefault="00D22A59" w:rsidP="008440F2">
            <w:pPr>
              <w:rPr>
                <w:lang w:val="en-CA"/>
              </w:rPr>
            </w:pPr>
            <w:r w:rsidRPr="00304E53">
              <w:rPr>
                <w:lang w:val="en-CA"/>
              </w:rPr>
              <w:t>Char</w:t>
            </w:r>
            <w:r>
              <w:rPr>
                <w:lang w:val="en-CA"/>
              </w:rPr>
              <w:t>s</w:t>
            </w:r>
            <w:r w:rsidRPr="00304E53">
              <w:rPr>
                <w:lang w:val="en-CA"/>
              </w:rPr>
              <w:t>. 6</w:t>
            </w:r>
            <w:r>
              <w:rPr>
                <w:lang w:val="en-CA"/>
              </w:rPr>
              <w:t xml:space="preserve">, </w:t>
            </w:r>
            <w:r w:rsidRPr="00304E53">
              <w:rPr>
                <w:lang w:val="en-CA"/>
              </w:rPr>
              <w:t>7</w:t>
            </w:r>
          </w:p>
        </w:tc>
        <w:tc>
          <w:tcPr>
            <w:tcW w:w="8208" w:type="dxa"/>
          </w:tcPr>
          <w:p w:rsidR="00D22A59" w:rsidRDefault="00D22A59" w:rsidP="008440F2">
            <w:r w:rsidRPr="002135BE">
              <w:t>to add (a)</w:t>
            </w:r>
          </w:p>
          <w:p w:rsidR="00463A2E" w:rsidRPr="002135BE" w:rsidRDefault="00463A2E" w:rsidP="008440F2">
            <w:r w:rsidRPr="00463A2E">
              <w:rPr>
                <w:rFonts w:cs="Arial"/>
                <w:i/>
              </w:rPr>
              <w:t>Leading Expert: agreed</w:t>
            </w:r>
          </w:p>
        </w:tc>
      </w:tr>
      <w:tr w:rsidR="00D22A59" w:rsidRPr="001A2345" w:rsidTr="008440F2">
        <w:trPr>
          <w:cantSplit/>
        </w:trPr>
        <w:tc>
          <w:tcPr>
            <w:tcW w:w="1573" w:type="dxa"/>
          </w:tcPr>
          <w:p w:rsidR="00D22A59" w:rsidRPr="001A2345" w:rsidRDefault="00D22A59" w:rsidP="008440F2">
            <w:pPr>
              <w:jc w:val="left"/>
              <w:rPr>
                <w:rFonts w:cs="Arial"/>
              </w:rPr>
            </w:pPr>
            <w:r w:rsidRPr="001A2345">
              <w:rPr>
                <w:rFonts w:cs="Arial"/>
              </w:rPr>
              <w:t>Char. 6</w:t>
            </w:r>
          </w:p>
        </w:tc>
        <w:tc>
          <w:tcPr>
            <w:tcW w:w="8208" w:type="dxa"/>
          </w:tcPr>
          <w:p w:rsidR="00D22A59" w:rsidRDefault="00D22A59" w:rsidP="008440F2">
            <w:pPr>
              <w:keepNext/>
              <w:rPr>
                <w:rFonts w:cs="Arial"/>
              </w:rPr>
            </w:pPr>
            <w:r w:rsidRPr="001A2345">
              <w:rPr>
                <w:rFonts w:cs="Arial"/>
              </w:rPr>
              <w:t>to be indicated as PQ and VG (as in proj.4; correction)</w:t>
            </w:r>
          </w:p>
          <w:p w:rsidR="00463A2E" w:rsidRPr="001A2345" w:rsidRDefault="00463A2E" w:rsidP="008440F2">
            <w:pPr>
              <w:keepNext/>
              <w:rPr>
                <w:rFonts w:cs="Arial"/>
              </w:rPr>
            </w:pPr>
            <w:r w:rsidRPr="00463A2E">
              <w:rPr>
                <w:rFonts w:cs="Arial"/>
                <w:i/>
              </w:rPr>
              <w:t>Leading Expert: agreed</w:t>
            </w:r>
          </w:p>
        </w:tc>
      </w:tr>
      <w:tr w:rsidR="00D22A59" w:rsidRPr="00304E53" w:rsidTr="008440F2">
        <w:trPr>
          <w:cantSplit/>
        </w:trPr>
        <w:tc>
          <w:tcPr>
            <w:tcW w:w="1573" w:type="dxa"/>
          </w:tcPr>
          <w:p w:rsidR="00D22A59" w:rsidRPr="00304E53" w:rsidRDefault="00D22A59" w:rsidP="008440F2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Char. 8</w:t>
            </w:r>
          </w:p>
        </w:tc>
        <w:tc>
          <w:tcPr>
            <w:tcW w:w="8208" w:type="dxa"/>
          </w:tcPr>
          <w:p w:rsidR="00D22A59" w:rsidRDefault="00D22A59" w:rsidP="008440F2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to read “</w:t>
            </w:r>
            <w:r w:rsidRPr="002135BE">
              <w:rPr>
                <w:rFonts w:cs="Arial"/>
              </w:rPr>
              <w:t>Stem: type of spines</w:t>
            </w:r>
            <w:r>
              <w:rPr>
                <w:rFonts w:cs="Arial"/>
              </w:rPr>
              <w:t>”</w:t>
            </w:r>
          </w:p>
          <w:p w:rsidR="00463A2E" w:rsidRPr="00304E53" w:rsidRDefault="00463A2E" w:rsidP="008440F2">
            <w:pPr>
              <w:keepNext/>
              <w:rPr>
                <w:rFonts w:cs="Arial"/>
              </w:rPr>
            </w:pPr>
            <w:r w:rsidRPr="00463A2E">
              <w:rPr>
                <w:rFonts w:cs="Arial"/>
                <w:i/>
              </w:rPr>
              <w:t>Leading Expert: agreed</w:t>
            </w:r>
          </w:p>
        </w:tc>
      </w:tr>
      <w:tr w:rsidR="00D22A59" w:rsidRPr="00304E53" w:rsidTr="008440F2">
        <w:trPr>
          <w:cantSplit/>
        </w:trPr>
        <w:tc>
          <w:tcPr>
            <w:tcW w:w="1573" w:type="dxa"/>
          </w:tcPr>
          <w:p w:rsidR="00D22A59" w:rsidRPr="00304E53" w:rsidRDefault="00D22A59" w:rsidP="008440F2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Char. 9</w:t>
            </w:r>
          </w:p>
        </w:tc>
        <w:tc>
          <w:tcPr>
            <w:tcW w:w="8208" w:type="dxa"/>
          </w:tcPr>
          <w:p w:rsidR="00D22A59" w:rsidRDefault="00D22A59" w:rsidP="008440F2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to read “</w:t>
            </w:r>
            <w:r w:rsidRPr="002135BE">
              <w:rPr>
                <w:rFonts w:cs="Arial"/>
              </w:rPr>
              <w:t>Stem: length of spines</w:t>
            </w:r>
            <w:r>
              <w:rPr>
                <w:rFonts w:cs="Arial"/>
              </w:rPr>
              <w:t>”</w:t>
            </w:r>
          </w:p>
          <w:p w:rsidR="00463A2E" w:rsidRPr="00304E53" w:rsidRDefault="00463A2E" w:rsidP="008440F2">
            <w:pPr>
              <w:keepNext/>
              <w:rPr>
                <w:rFonts w:cs="Arial"/>
              </w:rPr>
            </w:pPr>
            <w:r w:rsidRPr="00463A2E">
              <w:rPr>
                <w:rFonts w:cs="Arial"/>
                <w:i/>
              </w:rPr>
              <w:t>Leading Expert: agreed</w:t>
            </w:r>
          </w:p>
        </w:tc>
      </w:tr>
      <w:tr w:rsidR="00D22A59" w:rsidRPr="00304E53" w:rsidTr="008440F2">
        <w:trPr>
          <w:cantSplit/>
        </w:trPr>
        <w:tc>
          <w:tcPr>
            <w:tcW w:w="1573" w:type="dxa"/>
          </w:tcPr>
          <w:p w:rsidR="00D22A59" w:rsidRPr="00E827F3" w:rsidRDefault="00D22A59" w:rsidP="008440F2">
            <w:pPr>
              <w:jc w:val="left"/>
              <w:rPr>
                <w:rFonts w:cs="Arial"/>
              </w:rPr>
            </w:pPr>
            <w:r w:rsidRPr="00E827F3">
              <w:rPr>
                <w:rFonts w:cs="Arial"/>
              </w:rPr>
              <w:t>Char. 10</w:t>
            </w:r>
          </w:p>
        </w:tc>
        <w:tc>
          <w:tcPr>
            <w:tcW w:w="8208" w:type="dxa"/>
          </w:tcPr>
          <w:p w:rsidR="00D22A59" w:rsidRPr="00E827F3" w:rsidRDefault="00D22A59" w:rsidP="008440F2">
            <w:pPr>
              <w:keepNext/>
              <w:rPr>
                <w:rFonts w:eastAsia="Arial" w:cs="Arial"/>
                <w:color w:val="000000"/>
              </w:rPr>
            </w:pPr>
            <w:r w:rsidRPr="00E827F3">
              <w:rPr>
                <w:rFonts w:eastAsia="Arial" w:cs="Arial"/>
                <w:color w:val="000000"/>
              </w:rPr>
              <w:t>to delete (d) and add explanation “</w:t>
            </w:r>
            <w:r w:rsidRPr="00E827F3">
              <w:t>Observations should be made on fully expanded leaves from the middle third of the stem.</w:t>
            </w:r>
            <w:r w:rsidRPr="00E827F3">
              <w:rPr>
                <w:rFonts w:eastAsia="Arial" w:cs="Arial"/>
                <w:color w:val="000000"/>
              </w:rPr>
              <w:t xml:space="preserve">” </w:t>
            </w:r>
          </w:p>
          <w:p w:rsidR="00463A2E" w:rsidRPr="00463A2E" w:rsidRDefault="00D05012" w:rsidP="001170C9">
            <w:pPr>
              <w:keepNext/>
              <w:rPr>
                <w:rFonts w:cs="Arial"/>
                <w:highlight w:val="yellow"/>
              </w:rPr>
            </w:pPr>
            <w:r w:rsidRPr="00463A2E">
              <w:rPr>
                <w:rFonts w:cs="Arial"/>
                <w:i/>
              </w:rPr>
              <w:t>Leading Expert: agreed</w:t>
            </w:r>
          </w:p>
        </w:tc>
      </w:tr>
      <w:tr w:rsidR="00D22A59" w:rsidRPr="00304E53" w:rsidTr="008440F2">
        <w:trPr>
          <w:cantSplit/>
        </w:trPr>
        <w:tc>
          <w:tcPr>
            <w:tcW w:w="1573" w:type="dxa"/>
          </w:tcPr>
          <w:p w:rsidR="00D22A59" w:rsidRPr="00E827F3" w:rsidRDefault="00D22A59" w:rsidP="008440F2">
            <w:pPr>
              <w:jc w:val="left"/>
              <w:rPr>
                <w:rFonts w:cs="Arial"/>
              </w:rPr>
            </w:pPr>
            <w:r w:rsidRPr="00E827F3">
              <w:rPr>
                <w:rFonts w:cs="Arial"/>
              </w:rPr>
              <w:t>Char. 14</w:t>
            </w:r>
          </w:p>
        </w:tc>
        <w:tc>
          <w:tcPr>
            <w:tcW w:w="8208" w:type="dxa"/>
          </w:tcPr>
          <w:p w:rsidR="00D22A59" w:rsidRDefault="00D22A59" w:rsidP="008440F2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to read “</w:t>
            </w:r>
            <w:r w:rsidRPr="002135BE">
              <w:rPr>
                <w:rFonts w:cs="Arial"/>
              </w:rPr>
              <w:t>Leaf: spines</w:t>
            </w:r>
            <w:r>
              <w:rPr>
                <w:rFonts w:cs="Arial"/>
              </w:rPr>
              <w:t>”</w:t>
            </w:r>
          </w:p>
          <w:p w:rsidR="00463A2E" w:rsidRPr="00304E53" w:rsidRDefault="00463A2E" w:rsidP="008440F2">
            <w:pPr>
              <w:keepNext/>
              <w:rPr>
                <w:rFonts w:cs="Arial"/>
              </w:rPr>
            </w:pPr>
            <w:r w:rsidRPr="00463A2E">
              <w:rPr>
                <w:rFonts w:cs="Arial"/>
                <w:i/>
              </w:rPr>
              <w:t>Leading Expert: agreed</w:t>
            </w:r>
          </w:p>
        </w:tc>
      </w:tr>
      <w:tr w:rsidR="00D22A59" w:rsidRPr="00304E53" w:rsidTr="008440F2">
        <w:trPr>
          <w:cantSplit/>
        </w:trPr>
        <w:tc>
          <w:tcPr>
            <w:tcW w:w="1573" w:type="dxa"/>
          </w:tcPr>
          <w:p w:rsidR="00D22A59" w:rsidRPr="00E827F3" w:rsidRDefault="00D22A59" w:rsidP="008440F2">
            <w:pPr>
              <w:jc w:val="left"/>
              <w:rPr>
                <w:rFonts w:cs="Arial"/>
              </w:rPr>
            </w:pPr>
            <w:r w:rsidRPr="00E827F3">
              <w:rPr>
                <w:rFonts w:cs="Arial"/>
              </w:rPr>
              <w:t xml:space="preserve">Char. 18 </w:t>
            </w:r>
          </w:p>
        </w:tc>
        <w:tc>
          <w:tcPr>
            <w:tcW w:w="8208" w:type="dxa"/>
          </w:tcPr>
          <w:p w:rsidR="00D22A59" w:rsidRDefault="00D22A59" w:rsidP="008440F2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to d</w:t>
            </w:r>
            <w:r w:rsidRPr="00304E53">
              <w:rPr>
                <w:rFonts w:cs="Arial"/>
              </w:rPr>
              <w:t>elete “the”</w:t>
            </w:r>
          </w:p>
          <w:p w:rsidR="00463A2E" w:rsidRPr="00304E53" w:rsidRDefault="00463A2E" w:rsidP="008440F2">
            <w:pPr>
              <w:keepNext/>
              <w:rPr>
                <w:rFonts w:cs="Arial"/>
              </w:rPr>
            </w:pPr>
            <w:r w:rsidRPr="00463A2E">
              <w:rPr>
                <w:rFonts w:cs="Arial"/>
                <w:i/>
              </w:rPr>
              <w:t>Leading Expert: agreed</w:t>
            </w:r>
          </w:p>
        </w:tc>
      </w:tr>
      <w:tr w:rsidR="00D22A59" w:rsidRPr="00304E53" w:rsidTr="008440F2">
        <w:trPr>
          <w:cantSplit/>
        </w:trPr>
        <w:tc>
          <w:tcPr>
            <w:tcW w:w="1573" w:type="dxa"/>
          </w:tcPr>
          <w:p w:rsidR="00D22A59" w:rsidRPr="00E827F3" w:rsidRDefault="00D22A59" w:rsidP="008440F2">
            <w:pPr>
              <w:rPr>
                <w:lang w:val="en-CA"/>
              </w:rPr>
            </w:pPr>
            <w:r w:rsidRPr="00E827F3">
              <w:rPr>
                <w:lang w:val="en-CA"/>
              </w:rPr>
              <w:t>Chars. 22, 23</w:t>
            </w:r>
          </w:p>
        </w:tc>
        <w:tc>
          <w:tcPr>
            <w:tcW w:w="8208" w:type="dxa"/>
          </w:tcPr>
          <w:p w:rsidR="00D22A59" w:rsidRPr="00E827F3" w:rsidRDefault="00D22A59" w:rsidP="008440F2">
            <w:pPr>
              <w:rPr>
                <w:lang w:val="en-CA"/>
              </w:rPr>
            </w:pPr>
            <w:r w:rsidRPr="00E827F3">
              <w:rPr>
                <w:lang w:val="en-CA"/>
              </w:rPr>
              <w:t xml:space="preserve">to delete (d) </w:t>
            </w:r>
          </w:p>
          <w:p w:rsidR="00463A2E" w:rsidRPr="00AD0314" w:rsidRDefault="00D05012" w:rsidP="00D05012">
            <w:pPr>
              <w:keepNext/>
              <w:rPr>
                <w:highlight w:val="yellow"/>
              </w:rPr>
            </w:pPr>
            <w:r w:rsidRPr="00463A2E">
              <w:rPr>
                <w:rFonts w:cs="Arial"/>
                <w:i/>
              </w:rPr>
              <w:t>Leading Expert: agreed</w:t>
            </w:r>
            <w:r w:rsidRPr="00D05012">
              <w:rPr>
                <w:rFonts w:cs="Arial"/>
                <w:i/>
              </w:rPr>
              <w:t xml:space="preserve"> </w:t>
            </w:r>
            <w:r w:rsidR="00AD0314" w:rsidRPr="00D05012">
              <w:rPr>
                <w:rFonts w:cs="Arial"/>
                <w:i/>
              </w:rPr>
              <w:t xml:space="preserve">to delete (d) but add explanation “Observations should be made on fully expanded leaves from the middle third of the stem.” </w:t>
            </w:r>
            <w:r>
              <w:rPr>
                <w:rFonts w:cs="Arial"/>
                <w:i/>
              </w:rPr>
              <w:t>(</w:t>
            </w:r>
            <w:r w:rsidR="00AD0314" w:rsidRPr="00D05012">
              <w:rPr>
                <w:rFonts w:cs="Arial"/>
                <w:i/>
              </w:rPr>
              <w:t>as for Char. 10</w:t>
            </w:r>
            <w:r>
              <w:rPr>
                <w:rFonts w:cs="Arial"/>
                <w:i/>
              </w:rPr>
              <w:t>)</w:t>
            </w:r>
          </w:p>
        </w:tc>
      </w:tr>
      <w:tr w:rsidR="00D22A59" w:rsidRPr="00304E53" w:rsidTr="008440F2">
        <w:trPr>
          <w:cantSplit/>
        </w:trPr>
        <w:tc>
          <w:tcPr>
            <w:tcW w:w="1573" w:type="dxa"/>
          </w:tcPr>
          <w:p w:rsidR="00D22A59" w:rsidRPr="00304E53" w:rsidRDefault="00D22A59" w:rsidP="008440F2">
            <w:pPr>
              <w:rPr>
                <w:lang w:val="en-CA"/>
              </w:rPr>
            </w:pPr>
            <w:r w:rsidRPr="00304E53">
              <w:rPr>
                <w:lang w:val="en-CA"/>
              </w:rPr>
              <w:t>Char. 23</w:t>
            </w:r>
          </w:p>
        </w:tc>
        <w:tc>
          <w:tcPr>
            <w:tcW w:w="8208" w:type="dxa"/>
          </w:tcPr>
          <w:p w:rsidR="00D22A59" w:rsidRDefault="00D22A59" w:rsidP="008440F2">
            <w:pPr>
              <w:rPr>
                <w:lang w:val="en-CA"/>
              </w:rPr>
            </w:pPr>
            <w:r>
              <w:rPr>
                <w:lang w:val="en-CA"/>
              </w:rPr>
              <w:t>to read</w:t>
            </w:r>
            <w:r w:rsidRPr="00304E53">
              <w:rPr>
                <w:lang w:val="en-CA"/>
              </w:rPr>
              <w:t xml:space="preserve"> </w:t>
            </w:r>
            <w:r>
              <w:rPr>
                <w:lang w:val="en-CA"/>
              </w:rPr>
              <w:t>“</w:t>
            </w:r>
            <w:r w:rsidRPr="00304E53">
              <w:rPr>
                <w:lang w:val="en-CA"/>
              </w:rPr>
              <w:t xml:space="preserve">Leaf: undulation </w:t>
            </w:r>
            <w:r w:rsidRPr="005E1B05">
              <w:rPr>
                <w:lang w:val="en-CA"/>
              </w:rPr>
              <w:t>of</w:t>
            </w:r>
            <w:r w:rsidRPr="00304E53">
              <w:rPr>
                <w:lang w:val="en-CA"/>
              </w:rPr>
              <w:t xml:space="preserve"> margin</w:t>
            </w:r>
            <w:r>
              <w:rPr>
                <w:lang w:val="en-CA"/>
              </w:rPr>
              <w:t>”</w:t>
            </w:r>
          </w:p>
          <w:p w:rsidR="00463A2E" w:rsidRPr="00304E53" w:rsidRDefault="00463A2E" w:rsidP="008440F2">
            <w:pPr>
              <w:rPr>
                <w:lang w:val="en-CA"/>
              </w:rPr>
            </w:pPr>
            <w:r w:rsidRPr="00463A2E">
              <w:rPr>
                <w:rFonts w:cs="Arial"/>
                <w:i/>
              </w:rPr>
              <w:t>Leading Expert: agreed</w:t>
            </w:r>
          </w:p>
        </w:tc>
      </w:tr>
      <w:tr w:rsidR="00D22A59" w:rsidRPr="00AD0314" w:rsidTr="008440F2">
        <w:trPr>
          <w:cantSplit/>
        </w:trPr>
        <w:tc>
          <w:tcPr>
            <w:tcW w:w="1573" w:type="dxa"/>
          </w:tcPr>
          <w:p w:rsidR="00D22A59" w:rsidRPr="00AD0314" w:rsidRDefault="00D22A59" w:rsidP="008440F2">
            <w:pPr>
              <w:rPr>
                <w:lang w:val="en-CA"/>
              </w:rPr>
            </w:pPr>
            <w:r w:rsidRPr="00AD0314">
              <w:rPr>
                <w:vertAlign w:val="superscript"/>
                <w:lang w:val="en-CA"/>
              </w:rPr>
              <w:t>#</w:t>
            </w:r>
            <w:r w:rsidRPr="00AD0314">
              <w:rPr>
                <w:lang w:val="en-CA"/>
              </w:rPr>
              <w:t xml:space="preserve">Char. 24 </w:t>
            </w:r>
          </w:p>
        </w:tc>
        <w:tc>
          <w:tcPr>
            <w:tcW w:w="8208" w:type="dxa"/>
          </w:tcPr>
          <w:p w:rsidR="00463A2E" w:rsidRPr="00AD0314" w:rsidRDefault="00D22A59" w:rsidP="008440F2">
            <w:pPr>
              <w:rPr>
                <w:lang w:val="en-CA"/>
              </w:rPr>
            </w:pPr>
            <w:r w:rsidRPr="00AD0314">
              <w:rPr>
                <w:lang w:val="en-CA"/>
              </w:rPr>
              <w:t>to check whether to read “Inflorescence: type”</w:t>
            </w:r>
          </w:p>
          <w:p w:rsidR="00E827F3" w:rsidRPr="00AD0314" w:rsidRDefault="00AD0314" w:rsidP="00D05012">
            <w:r w:rsidRPr="00AD0314">
              <w:rPr>
                <w:i/>
                <w:lang w:val="en-CA"/>
              </w:rPr>
              <w:t xml:space="preserve">Leading </w:t>
            </w:r>
            <w:r w:rsidRPr="00311C2B">
              <w:rPr>
                <w:i/>
                <w:lang w:val="en-CA"/>
              </w:rPr>
              <w:t xml:space="preserve">Expert: </w:t>
            </w:r>
            <w:r w:rsidR="00E827F3" w:rsidRPr="00311C2B">
              <w:rPr>
                <w:i/>
                <w:lang w:val="en-CA"/>
              </w:rPr>
              <w:t xml:space="preserve"> </w:t>
            </w:r>
            <w:r w:rsidRPr="00311C2B">
              <w:rPr>
                <w:i/>
                <w:lang w:val="en-CA"/>
              </w:rPr>
              <w:t>T</w:t>
            </w:r>
            <w:r w:rsidR="00463A2E" w:rsidRPr="00311C2B">
              <w:rPr>
                <w:i/>
                <w:lang w:val="en-CA"/>
              </w:rPr>
              <w:t xml:space="preserve">his point was discussed </w:t>
            </w:r>
            <w:r w:rsidRPr="00311C2B">
              <w:rPr>
                <w:i/>
                <w:lang w:val="en-CA"/>
              </w:rPr>
              <w:t>d</w:t>
            </w:r>
            <w:r w:rsidR="00463A2E" w:rsidRPr="00311C2B">
              <w:rPr>
                <w:i/>
                <w:lang w:val="en-CA"/>
              </w:rPr>
              <w:t xml:space="preserve">uring the TWO. </w:t>
            </w:r>
            <w:r w:rsidRPr="00311C2B">
              <w:rPr>
                <w:i/>
                <w:lang w:val="en-CA"/>
              </w:rPr>
              <w:t>A</w:t>
            </w:r>
            <w:r w:rsidR="00463A2E" w:rsidRPr="00311C2B">
              <w:rPr>
                <w:i/>
                <w:lang w:val="en-CA"/>
              </w:rPr>
              <w:t>nd</w:t>
            </w:r>
            <w:r w:rsidRPr="00311C2B">
              <w:rPr>
                <w:i/>
                <w:lang w:val="en-CA"/>
              </w:rPr>
              <w:t xml:space="preserve"> the</w:t>
            </w:r>
            <w:r w:rsidRPr="00AD0314">
              <w:rPr>
                <w:i/>
                <w:lang w:val="en-CA"/>
              </w:rPr>
              <w:t xml:space="preserve"> question was could we spea</w:t>
            </w:r>
            <w:r w:rsidR="00463A2E" w:rsidRPr="00AD0314">
              <w:rPr>
                <w:i/>
                <w:lang w:val="en-CA"/>
              </w:rPr>
              <w:t>k about inflorescence when one level of expression is “solitary” therefore we came to the proposal “Floral type”</w:t>
            </w:r>
            <w:r w:rsidR="00D05012">
              <w:rPr>
                <w:i/>
                <w:lang w:val="en-CA"/>
              </w:rPr>
              <w:t xml:space="preserve"> and would like to keep it as “Floral type”</w:t>
            </w:r>
            <w:r>
              <w:rPr>
                <w:i/>
                <w:lang w:val="en-CA"/>
              </w:rPr>
              <w:t>.</w:t>
            </w:r>
          </w:p>
        </w:tc>
      </w:tr>
      <w:tr w:rsidR="00D22A59" w:rsidRPr="00DB080D" w:rsidTr="008440F2">
        <w:trPr>
          <w:cantSplit/>
        </w:trPr>
        <w:tc>
          <w:tcPr>
            <w:tcW w:w="1573" w:type="dxa"/>
          </w:tcPr>
          <w:p w:rsidR="00D22A59" w:rsidRPr="00304E53" w:rsidRDefault="00D22A59" w:rsidP="008440F2">
            <w:pPr>
              <w:jc w:val="left"/>
            </w:pPr>
            <w:r w:rsidRPr="00304E53">
              <w:t>Char. 28</w:t>
            </w:r>
          </w:p>
        </w:tc>
        <w:tc>
          <w:tcPr>
            <w:tcW w:w="8208" w:type="dxa"/>
          </w:tcPr>
          <w:p w:rsidR="00D22A59" w:rsidRDefault="00D22A59" w:rsidP="008440F2">
            <w:r w:rsidRPr="00304E53">
              <w:t>example variety “Electra” in state 1 to read “Erecta”</w:t>
            </w:r>
          </w:p>
          <w:p w:rsidR="00463A2E" w:rsidRPr="00DB080D" w:rsidRDefault="00463A2E" w:rsidP="008440F2">
            <w:r w:rsidRPr="00463A2E">
              <w:rPr>
                <w:rFonts w:cs="Arial"/>
                <w:i/>
              </w:rPr>
              <w:t>Leading Expert: agreed</w:t>
            </w:r>
          </w:p>
        </w:tc>
      </w:tr>
      <w:tr w:rsidR="00D22A59" w:rsidTr="008440F2">
        <w:trPr>
          <w:cantSplit/>
        </w:trPr>
        <w:tc>
          <w:tcPr>
            <w:tcW w:w="1573" w:type="dxa"/>
          </w:tcPr>
          <w:p w:rsidR="00D22A59" w:rsidRPr="00463A2E" w:rsidRDefault="00D22A59" w:rsidP="008440F2">
            <w:pPr>
              <w:rPr>
                <w:highlight w:val="yellow"/>
                <w:lang w:val="en-CA"/>
              </w:rPr>
            </w:pPr>
            <w:r w:rsidRPr="00E827F3">
              <w:rPr>
                <w:rFonts w:cs="Arial"/>
                <w:vertAlign w:val="superscript"/>
              </w:rPr>
              <w:t>#</w:t>
            </w:r>
            <w:r w:rsidRPr="00E827F3">
              <w:rPr>
                <w:lang w:val="en-CA"/>
              </w:rPr>
              <w:t>Ad. 5</w:t>
            </w:r>
          </w:p>
        </w:tc>
        <w:tc>
          <w:tcPr>
            <w:tcW w:w="8208" w:type="dxa"/>
          </w:tcPr>
          <w:p w:rsidR="00D22A59" w:rsidRPr="00E827F3" w:rsidRDefault="00D22A59" w:rsidP="008440F2">
            <w:pPr>
              <w:rPr>
                <w:rFonts w:cs="Arial"/>
              </w:rPr>
            </w:pPr>
            <w:r w:rsidRPr="00E827F3">
              <w:rPr>
                <w:rFonts w:cs="Arial"/>
              </w:rPr>
              <w:t>to be improved (current pictures show trees, which is not appropriate for Berberis and to present more clearly the difference from Char. 2)</w:t>
            </w:r>
          </w:p>
          <w:p w:rsidR="00463A2E" w:rsidRPr="00E827F3" w:rsidRDefault="00E827F3" w:rsidP="00E827F3">
            <w:pPr>
              <w:rPr>
                <w:i/>
                <w:lang w:val="en-CA"/>
              </w:rPr>
            </w:pPr>
            <w:r w:rsidRPr="00E827F3">
              <w:rPr>
                <w:i/>
                <w:lang w:val="en-CA"/>
              </w:rPr>
              <w:t xml:space="preserve">Leading Expert:  </w:t>
            </w:r>
            <w:r w:rsidR="00463A2E" w:rsidRPr="00E827F3">
              <w:rPr>
                <w:i/>
                <w:lang w:val="en-CA"/>
              </w:rPr>
              <w:t>Char.</w:t>
            </w:r>
            <w:r w:rsidRPr="00E827F3">
              <w:rPr>
                <w:i/>
                <w:lang w:val="en-CA"/>
              </w:rPr>
              <w:t xml:space="preserve"> </w:t>
            </w:r>
            <w:r w:rsidR="00463A2E" w:rsidRPr="00E827F3">
              <w:rPr>
                <w:i/>
                <w:lang w:val="en-CA"/>
              </w:rPr>
              <w:t>2 refers to the general aspect of the plant.</w:t>
            </w:r>
            <w:r w:rsidRPr="00E827F3">
              <w:rPr>
                <w:i/>
                <w:lang w:val="en-CA"/>
              </w:rPr>
              <w:t xml:space="preserve">  </w:t>
            </w:r>
            <w:r w:rsidR="00463A2E" w:rsidRPr="00E827F3">
              <w:rPr>
                <w:i/>
                <w:lang w:val="en-CA"/>
              </w:rPr>
              <w:t xml:space="preserve">For </w:t>
            </w:r>
            <w:r w:rsidRPr="00E827F3">
              <w:rPr>
                <w:i/>
                <w:lang w:val="en-CA"/>
              </w:rPr>
              <w:t>C</w:t>
            </w:r>
            <w:r w:rsidR="00463A2E" w:rsidRPr="00E827F3">
              <w:rPr>
                <w:i/>
                <w:lang w:val="en-CA"/>
              </w:rPr>
              <w:t>har.</w:t>
            </w:r>
            <w:r w:rsidRPr="00E827F3">
              <w:rPr>
                <w:i/>
                <w:lang w:val="en-CA"/>
              </w:rPr>
              <w:t xml:space="preserve"> </w:t>
            </w:r>
            <w:r w:rsidR="00463A2E" w:rsidRPr="00E827F3">
              <w:rPr>
                <w:i/>
                <w:lang w:val="en-CA"/>
              </w:rPr>
              <w:t>5, we look at the branches and how they grow.</w:t>
            </w:r>
          </w:p>
          <w:p w:rsidR="00463A2E" w:rsidRPr="00E827F3" w:rsidRDefault="00463A2E" w:rsidP="00463A2E">
            <w:pPr>
              <w:rPr>
                <w:i/>
                <w:lang w:val="en-CA"/>
              </w:rPr>
            </w:pPr>
            <w:r w:rsidRPr="00E827F3">
              <w:rPr>
                <w:i/>
                <w:lang w:val="en-CA"/>
              </w:rPr>
              <w:t>For 75-80% of the cases we have a bushy type plant (char.</w:t>
            </w:r>
            <w:r w:rsidR="00026ACD">
              <w:rPr>
                <w:i/>
                <w:lang w:val="en-CA"/>
              </w:rPr>
              <w:t xml:space="preserve"> </w:t>
            </w:r>
            <w:r w:rsidRPr="00E827F3">
              <w:rPr>
                <w:i/>
                <w:lang w:val="en-CA"/>
              </w:rPr>
              <w:t>2-note 2-irregularly rounded) for which branches can be semi-erect (char.5- note 2), horizontal (char.5- note 3) or drooping (char.</w:t>
            </w:r>
            <w:r w:rsidR="00E827F3" w:rsidRPr="00E827F3">
              <w:rPr>
                <w:i/>
                <w:lang w:val="en-CA"/>
              </w:rPr>
              <w:t xml:space="preserve"> </w:t>
            </w:r>
            <w:r w:rsidRPr="00E827F3">
              <w:rPr>
                <w:i/>
                <w:lang w:val="en-CA"/>
              </w:rPr>
              <w:t>5- note 4). We can also have rounded plant,</w:t>
            </w:r>
            <w:r w:rsidR="00026ACD">
              <w:rPr>
                <w:i/>
                <w:lang w:val="en-CA"/>
              </w:rPr>
              <w:t xml:space="preserve"> </w:t>
            </w:r>
            <w:r w:rsidRPr="00E827F3">
              <w:rPr>
                <w:i/>
                <w:lang w:val="en-CA"/>
              </w:rPr>
              <w:t>10-15%, (char.</w:t>
            </w:r>
            <w:r w:rsidR="00E827F3" w:rsidRPr="00E827F3">
              <w:rPr>
                <w:i/>
                <w:lang w:val="en-CA"/>
              </w:rPr>
              <w:t xml:space="preserve"> </w:t>
            </w:r>
            <w:r w:rsidR="0042414D">
              <w:rPr>
                <w:i/>
                <w:lang w:val="en-CA"/>
              </w:rPr>
              <w:t>2</w:t>
            </w:r>
            <w:r w:rsidRPr="00E827F3">
              <w:rPr>
                <w:i/>
                <w:lang w:val="en-CA"/>
              </w:rPr>
              <w:t>-note 3-compact rounded)  with semi erect (char.5- note 2) or erect branches (char.</w:t>
            </w:r>
            <w:r w:rsidR="00E827F3" w:rsidRPr="00E827F3">
              <w:rPr>
                <w:i/>
                <w:lang w:val="en-CA"/>
              </w:rPr>
              <w:t xml:space="preserve"> </w:t>
            </w:r>
            <w:r w:rsidRPr="00E827F3">
              <w:rPr>
                <w:i/>
                <w:lang w:val="en-CA"/>
              </w:rPr>
              <w:t>5- note 1); or spreading plant (char.</w:t>
            </w:r>
            <w:r w:rsidR="00E827F3" w:rsidRPr="00E827F3">
              <w:rPr>
                <w:i/>
                <w:lang w:val="en-CA"/>
              </w:rPr>
              <w:t xml:space="preserve"> </w:t>
            </w:r>
            <w:r w:rsidRPr="00E827F3">
              <w:rPr>
                <w:i/>
                <w:lang w:val="en-CA"/>
              </w:rPr>
              <w:t>2-note 4-speading)  with horizontal branches (char.</w:t>
            </w:r>
            <w:r w:rsidR="00E827F3" w:rsidRPr="00E827F3">
              <w:rPr>
                <w:i/>
                <w:lang w:val="en-CA"/>
              </w:rPr>
              <w:t xml:space="preserve"> </w:t>
            </w:r>
            <w:r w:rsidRPr="00E827F3">
              <w:rPr>
                <w:i/>
                <w:lang w:val="en-CA"/>
              </w:rPr>
              <w:t>5- note 3).</w:t>
            </w:r>
          </w:p>
          <w:p w:rsidR="00463A2E" w:rsidRPr="00463A2E" w:rsidRDefault="00E827F3" w:rsidP="00463A2E">
            <w:pPr>
              <w:rPr>
                <w:rFonts w:cs="Arial"/>
                <w:highlight w:val="yellow"/>
              </w:rPr>
            </w:pPr>
            <w:r>
              <w:object w:dxaOrig="3250" w:dyaOrig="1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248.25pt;height:129.5pt" o:ole="">
                  <v:imagedata r:id="rId9" o:title=""/>
                </v:shape>
                <o:OLEObject Type="Embed" ProgID="PBrush" ShapeID="_x0000_i1033" DrawAspect="Content" ObjectID="_1706512712" r:id="rId10"/>
              </w:object>
            </w:r>
          </w:p>
        </w:tc>
      </w:tr>
      <w:tr w:rsidR="00D22A59" w:rsidTr="008440F2">
        <w:trPr>
          <w:cantSplit/>
        </w:trPr>
        <w:tc>
          <w:tcPr>
            <w:tcW w:w="1573" w:type="dxa"/>
          </w:tcPr>
          <w:p w:rsidR="00D22A59" w:rsidRDefault="00D22A59" w:rsidP="008440F2">
            <w:pPr>
              <w:rPr>
                <w:lang w:val="en-CA"/>
              </w:rPr>
            </w:pPr>
            <w:r>
              <w:rPr>
                <w:lang w:val="en-CA"/>
              </w:rPr>
              <w:t>Ad. 29</w:t>
            </w:r>
          </w:p>
        </w:tc>
        <w:tc>
          <w:tcPr>
            <w:tcW w:w="8208" w:type="dxa"/>
          </w:tcPr>
          <w:p w:rsidR="00D22A59" w:rsidRDefault="00D22A59" w:rsidP="008440F2">
            <w:pPr>
              <w:rPr>
                <w:rFonts w:cs="Arial"/>
              </w:rPr>
            </w:pPr>
            <w:r>
              <w:rPr>
                <w:rFonts w:cs="Arial"/>
              </w:rPr>
              <w:t>to adjust legend of the grid according to TGP/14 (“relative width”, “narrow”, “broad”)</w:t>
            </w:r>
          </w:p>
          <w:p w:rsidR="00463A2E" w:rsidRDefault="00463A2E" w:rsidP="008440F2">
            <w:pPr>
              <w:rPr>
                <w:rFonts w:cs="Arial"/>
              </w:rPr>
            </w:pPr>
            <w:r w:rsidRPr="00463A2E">
              <w:rPr>
                <w:rFonts w:cs="Arial"/>
                <w:i/>
              </w:rPr>
              <w:t>Leading Expert: agreed</w:t>
            </w:r>
          </w:p>
        </w:tc>
      </w:tr>
      <w:tr w:rsidR="00D22A59" w:rsidRPr="00DB09A5" w:rsidTr="008440F2">
        <w:trPr>
          <w:cantSplit/>
        </w:trPr>
        <w:tc>
          <w:tcPr>
            <w:tcW w:w="1573" w:type="dxa"/>
          </w:tcPr>
          <w:p w:rsidR="00D22A59" w:rsidRPr="001170C9" w:rsidRDefault="00D22A59" w:rsidP="008440F2">
            <w:pPr>
              <w:jc w:val="left"/>
              <w:rPr>
                <w:rFonts w:cs="Arial"/>
              </w:rPr>
            </w:pPr>
            <w:r w:rsidRPr="001170C9">
              <w:rPr>
                <w:rFonts w:cs="Arial"/>
                <w:vertAlign w:val="superscript"/>
              </w:rPr>
              <w:t>#</w:t>
            </w:r>
            <w:r w:rsidRPr="001170C9">
              <w:rPr>
                <w:rFonts w:cs="Arial"/>
              </w:rPr>
              <w:t>9.</w:t>
            </w:r>
          </w:p>
        </w:tc>
        <w:tc>
          <w:tcPr>
            <w:tcW w:w="8208" w:type="dxa"/>
          </w:tcPr>
          <w:p w:rsidR="00D22A59" w:rsidRPr="001170C9" w:rsidRDefault="00D22A59" w:rsidP="008440F2">
            <w:pPr>
              <w:keepNext/>
            </w:pPr>
            <w:r w:rsidRPr="001170C9">
              <w:rPr>
                <w:rFonts w:cs="Arial"/>
              </w:rPr>
              <w:t xml:space="preserve">- to correct typo in date of second reference: </w:t>
            </w:r>
            <w:r w:rsidRPr="001170C9">
              <w:t>“Caduc Alain, 2017: …”</w:t>
            </w:r>
          </w:p>
          <w:p w:rsidR="00D22A59" w:rsidRPr="001170C9" w:rsidRDefault="00D22A59" w:rsidP="008440F2">
            <w:pPr>
              <w:keepNext/>
              <w:rPr>
                <w:rFonts w:cs="Arial"/>
              </w:rPr>
            </w:pPr>
            <w:r w:rsidRPr="001170C9">
              <w:rPr>
                <w:rFonts w:cs="Arial"/>
              </w:rPr>
              <w:t>- to add city and country to both references</w:t>
            </w:r>
          </w:p>
          <w:p w:rsidR="00463A2E" w:rsidRPr="001170C9" w:rsidRDefault="00463A2E" w:rsidP="008440F2">
            <w:pPr>
              <w:keepNext/>
              <w:rPr>
                <w:rFonts w:cs="Arial"/>
                <w:i/>
                <w:lang w:val="fr-CH"/>
              </w:rPr>
            </w:pPr>
            <w:r w:rsidRPr="001170C9">
              <w:rPr>
                <w:rFonts w:cs="Arial"/>
                <w:i/>
                <w:lang w:val="fr-CH"/>
              </w:rPr>
              <w:t>Leading Expert: Société Nationale d’Horticulture de France (SNHF), Paris-France</w:t>
            </w:r>
          </w:p>
        </w:tc>
      </w:tr>
      <w:tr w:rsidR="00D22A59" w:rsidRPr="007660CE" w:rsidTr="008440F2">
        <w:trPr>
          <w:cantSplit/>
        </w:trPr>
        <w:tc>
          <w:tcPr>
            <w:tcW w:w="1573" w:type="dxa"/>
          </w:tcPr>
          <w:p w:rsidR="00D22A59" w:rsidRPr="007660CE" w:rsidRDefault="00D22A59" w:rsidP="008440F2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TQ 6.</w:t>
            </w:r>
          </w:p>
        </w:tc>
        <w:tc>
          <w:tcPr>
            <w:tcW w:w="8208" w:type="dxa"/>
          </w:tcPr>
          <w:p w:rsidR="00D22A59" w:rsidRDefault="00D22A59" w:rsidP="008440F2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 xml:space="preserve">characteristic name to read “Fruit: shape </w:t>
            </w:r>
            <w:r w:rsidRPr="00853A6F">
              <w:rPr>
                <w:rFonts w:cs="Arial"/>
              </w:rPr>
              <w:t>in lateral view</w:t>
            </w:r>
            <w:r>
              <w:rPr>
                <w:rFonts w:cs="Arial"/>
              </w:rPr>
              <w:t>”</w:t>
            </w:r>
          </w:p>
          <w:p w:rsidR="00463A2E" w:rsidRPr="007660CE" w:rsidRDefault="00463A2E" w:rsidP="008440F2">
            <w:pPr>
              <w:keepNext/>
              <w:rPr>
                <w:rFonts w:cs="Arial"/>
              </w:rPr>
            </w:pPr>
            <w:r w:rsidRPr="00463A2E">
              <w:rPr>
                <w:rFonts w:cs="Arial"/>
                <w:i/>
              </w:rPr>
              <w:t>Leading Expert: agreed</w:t>
            </w:r>
          </w:p>
        </w:tc>
      </w:tr>
    </w:tbl>
    <w:p w:rsidR="000010E2" w:rsidRDefault="000010E2" w:rsidP="000010E2">
      <w:pPr>
        <w:keepNext/>
      </w:pPr>
    </w:p>
    <w:p w:rsidR="00C039AF" w:rsidRDefault="00C039AF" w:rsidP="00C039AF">
      <w:pPr>
        <w:autoSpaceDE w:val="0"/>
        <w:autoSpaceDN w:val="0"/>
        <w:adjustRightInd w:val="0"/>
      </w:pPr>
      <w:r w:rsidRPr="001170C9">
        <w:fldChar w:fldCharType="begin"/>
      </w:r>
      <w:r w:rsidRPr="001170C9">
        <w:instrText xml:space="preserve"> AUTONUM  </w:instrText>
      </w:r>
      <w:r w:rsidRPr="001170C9">
        <w:fldChar w:fldCharType="end"/>
      </w:r>
      <w:r w:rsidRPr="001170C9">
        <w:tab/>
        <w:t xml:space="preserve">The </w:t>
      </w:r>
      <w:r w:rsidRPr="001170C9">
        <w:rPr>
          <w:rFonts w:cs="Arial"/>
        </w:rPr>
        <w:t xml:space="preserve">TC-EDC </w:t>
      </w:r>
      <w:r w:rsidRPr="001170C9">
        <w:t xml:space="preserve">will consider the above information on the draft Test Guidelines for </w:t>
      </w:r>
      <w:r w:rsidR="001170C9" w:rsidRPr="001170C9">
        <w:t>Berberis</w:t>
      </w:r>
      <w:r w:rsidR="000010E2" w:rsidRPr="001170C9">
        <w:t xml:space="preserve"> </w:t>
      </w:r>
      <w:r w:rsidRPr="001170C9">
        <w:t xml:space="preserve">at its meeting to be held in </w:t>
      </w:r>
      <w:r w:rsidR="000010E2" w:rsidRPr="001170C9">
        <w:t>March 2022</w:t>
      </w:r>
      <w:r w:rsidRPr="001170C9">
        <w:t xml:space="preserve"> and the Test Guidelines be submitted</w:t>
      </w:r>
      <w:r w:rsidR="001170C9" w:rsidRPr="001170C9">
        <w:t xml:space="preserve"> to the TC </w:t>
      </w:r>
      <w:r w:rsidRPr="001170C9">
        <w:t xml:space="preserve">for adoption by </w:t>
      </w:r>
      <w:r w:rsidR="001170C9" w:rsidRPr="001170C9">
        <w:t>correspondence</w:t>
      </w:r>
      <w:r w:rsidRPr="001170C9">
        <w:t>.</w:t>
      </w:r>
    </w:p>
    <w:p w:rsidR="00FD5DC5" w:rsidRDefault="00FD5DC5">
      <w:pPr>
        <w:jc w:val="left"/>
      </w:pPr>
    </w:p>
    <w:p w:rsidR="00FD5DC5" w:rsidRDefault="00FD5DC5">
      <w:pPr>
        <w:jc w:val="left"/>
      </w:pPr>
    </w:p>
    <w:p w:rsidR="006D25C4" w:rsidRPr="00C40CC2" w:rsidRDefault="006D25C4">
      <w:pPr>
        <w:jc w:val="left"/>
      </w:pPr>
    </w:p>
    <w:p w:rsidR="000F19C3" w:rsidRPr="000C2C4F" w:rsidRDefault="00916216" w:rsidP="006D25C4">
      <w:pPr>
        <w:jc w:val="right"/>
      </w:pPr>
      <w:r w:rsidRPr="00C40CC2">
        <w:t>[End of document]</w:t>
      </w:r>
      <w:r w:rsidR="00A9274B" w:rsidRPr="000C2C4F">
        <w:t xml:space="preserve"> </w:t>
      </w:r>
    </w:p>
    <w:sectPr w:rsidR="000F19C3" w:rsidRPr="000C2C4F" w:rsidSect="00906DDC">
      <w:headerReference w:type="default" r:id="rId11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AFE" w:rsidRDefault="00C81AFE" w:rsidP="006655D3">
      <w:r>
        <w:separator/>
      </w:r>
    </w:p>
    <w:p w:rsidR="00C81AFE" w:rsidRDefault="00C81AFE" w:rsidP="006655D3"/>
    <w:p w:rsidR="00C81AFE" w:rsidRDefault="00C81AFE" w:rsidP="006655D3"/>
  </w:endnote>
  <w:endnote w:type="continuationSeparator" w:id="0">
    <w:p w:rsidR="00C81AFE" w:rsidRDefault="00C81AFE" w:rsidP="006655D3">
      <w:r>
        <w:separator/>
      </w:r>
    </w:p>
    <w:p w:rsidR="00C81AFE" w:rsidRPr="00294751" w:rsidRDefault="00C81AFE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C81AFE" w:rsidRPr="00294751" w:rsidRDefault="00C81AFE" w:rsidP="006655D3">
      <w:pPr>
        <w:rPr>
          <w:lang w:val="fr-FR"/>
        </w:rPr>
      </w:pPr>
    </w:p>
    <w:p w:rsidR="00C81AFE" w:rsidRPr="00294751" w:rsidRDefault="00C81AFE" w:rsidP="006655D3">
      <w:pPr>
        <w:rPr>
          <w:lang w:val="fr-FR"/>
        </w:rPr>
      </w:pPr>
    </w:p>
  </w:endnote>
  <w:endnote w:type="continuationNotice" w:id="1">
    <w:p w:rsidR="00C81AFE" w:rsidRPr="00294751" w:rsidRDefault="00C81AFE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C81AFE" w:rsidRPr="00294751" w:rsidRDefault="00C81AFE" w:rsidP="006655D3">
      <w:pPr>
        <w:rPr>
          <w:lang w:val="fr-FR"/>
        </w:rPr>
      </w:pPr>
    </w:p>
    <w:p w:rsidR="00C81AFE" w:rsidRPr="00294751" w:rsidRDefault="00C81AFE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AFE" w:rsidRDefault="00C81AFE" w:rsidP="006655D3">
      <w:r>
        <w:separator/>
      </w:r>
    </w:p>
  </w:footnote>
  <w:footnote w:type="continuationSeparator" w:id="0">
    <w:p w:rsidR="00C81AFE" w:rsidRDefault="00C81AFE" w:rsidP="006655D3">
      <w:r>
        <w:separator/>
      </w:r>
    </w:p>
  </w:footnote>
  <w:footnote w:type="continuationNotice" w:id="1">
    <w:p w:rsidR="00C81AFE" w:rsidRPr="00AB530F" w:rsidRDefault="00C81AFE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4A6FDA" w:rsidRDefault="006567E7" w:rsidP="00EB048E">
    <w:pPr>
      <w:pStyle w:val="Header"/>
      <w:rPr>
        <w:rStyle w:val="PageNumber"/>
        <w:lang w:val="pt-BR"/>
      </w:rPr>
    </w:pPr>
    <w:r w:rsidRPr="004A6FDA">
      <w:rPr>
        <w:rStyle w:val="PageNumber"/>
        <w:lang w:val="pt-BR"/>
      </w:rPr>
      <w:t>TC-EDC/</w:t>
    </w:r>
    <w:r w:rsidR="00826260">
      <w:rPr>
        <w:rStyle w:val="PageNumber"/>
        <w:lang w:val="pt-BR"/>
      </w:rPr>
      <w:t>Mar</w:t>
    </w:r>
    <w:r w:rsidR="00975D8B">
      <w:rPr>
        <w:rStyle w:val="PageNumber"/>
        <w:lang w:val="pt-BR"/>
      </w:rPr>
      <w:t>2</w:t>
    </w:r>
    <w:r w:rsidR="00826260">
      <w:rPr>
        <w:rStyle w:val="PageNumber"/>
        <w:lang w:val="pt-BR"/>
      </w:rPr>
      <w:t>2</w:t>
    </w:r>
    <w:r w:rsidRPr="004A6FDA">
      <w:rPr>
        <w:rStyle w:val="PageNumber"/>
        <w:lang w:val="pt-BR"/>
      </w:rPr>
      <w:t>/</w:t>
    </w:r>
    <w:r w:rsidR="00D22A59">
      <w:rPr>
        <w:rStyle w:val="PageNumber"/>
        <w:lang w:val="pt-BR"/>
      </w:rPr>
      <w:t>5</w:t>
    </w:r>
  </w:p>
  <w:p w:rsidR="00182B99" w:rsidRPr="004A6FDA" w:rsidRDefault="00182B99" w:rsidP="00EB048E">
    <w:pPr>
      <w:pStyle w:val="Header"/>
      <w:rPr>
        <w:lang w:val="pt-BR"/>
      </w:rPr>
    </w:pPr>
    <w:r w:rsidRPr="004A6FDA">
      <w:rPr>
        <w:lang w:val="pt-BR"/>
      </w:rPr>
      <w:t xml:space="preserve">page </w:t>
    </w:r>
    <w:r w:rsidRPr="00C5280D">
      <w:rPr>
        <w:rStyle w:val="PageNumber"/>
        <w:lang w:val="en-US"/>
      </w:rPr>
      <w:fldChar w:fldCharType="begin"/>
    </w:r>
    <w:r w:rsidRPr="004A6FDA">
      <w:rPr>
        <w:rStyle w:val="PageNumber"/>
        <w:lang w:val="pt-BR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DB09A5">
      <w:rPr>
        <w:rStyle w:val="PageNumber"/>
        <w:noProof/>
        <w:lang w:val="pt-BR"/>
      </w:rPr>
      <w:t>2</w:t>
    </w:r>
    <w:r w:rsidRPr="00C5280D">
      <w:rPr>
        <w:rStyle w:val="PageNumber"/>
        <w:lang w:val="en-US"/>
      </w:rPr>
      <w:fldChar w:fldCharType="end"/>
    </w:r>
  </w:p>
  <w:p w:rsidR="00182B99" w:rsidRPr="004A6FDA" w:rsidRDefault="00182B99" w:rsidP="006655D3">
    <w:pPr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fr-CH" w:vendorID="64" w:dllVersion="131078" w:nlCheck="1" w:checkStyle="0"/>
  <w:activeWritingStyle w:appName="MSWord" w:lang="es-ES_tradnl" w:vendorID="64" w:dllVersion="131078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05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AFE"/>
    <w:rsid w:val="000010E2"/>
    <w:rsid w:val="0001024B"/>
    <w:rsid w:val="00010CF3"/>
    <w:rsid w:val="00011E27"/>
    <w:rsid w:val="000148BC"/>
    <w:rsid w:val="00024AB8"/>
    <w:rsid w:val="00026ACD"/>
    <w:rsid w:val="00030854"/>
    <w:rsid w:val="00033D95"/>
    <w:rsid w:val="00036028"/>
    <w:rsid w:val="00044642"/>
    <w:rsid w:val="000446B9"/>
    <w:rsid w:val="00047E21"/>
    <w:rsid w:val="00050E16"/>
    <w:rsid w:val="0006378B"/>
    <w:rsid w:val="00085505"/>
    <w:rsid w:val="000B33B3"/>
    <w:rsid w:val="000C2C4F"/>
    <w:rsid w:val="000C4E25"/>
    <w:rsid w:val="000C7021"/>
    <w:rsid w:val="000C7DB4"/>
    <w:rsid w:val="000D6BBC"/>
    <w:rsid w:val="000D7780"/>
    <w:rsid w:val="000E6267"/>
    <w:rsid w:val="000E636A"/>
    <w:rsid w:val="000E7E20"/>
    <w:rsid w:val="000F19C3"/>
    <w:rsid w:val="000F2F11"/>
    <w:rsid w:val="00105929"/>
    <w:rsid w:val="00110C36"/>
    <w:rsid w:val="001131D5"/>
    <w:rsid w:val="001170C9"/>
    <w:rsid w:val="00141DB8"/>
    <w:rsid w:val="00151CE1"/>
    <w:rsid w:val="00172084"/>
    <w:rsid w:val="0017474A"/>
    <w:rsid w:val="001758C6"/>
    <w:rsid w:val="0018173F"/>
    <w:rsid w:val="00182B99"/>
    <w:rsid w:val="001A6625"/>
    <w:rsid w:val="001C1525"/>
    <w:rsid w:val="001C3C25"/>
    <w:rsid w:val="0021332C"/>
    <w:rsid w:val="00213982"/>
    <w:rsid w:val="00214C72"/>
    <w:rsid w:val="002178C7"/>
    <w:rsid w:val="00235D47"/>
    <w:rsid w:val="0024416D"/>
    <w:rsid w:val="002628C3"/>
    <w:rsid w:val="00271911"/>
    <w:rsid w:val="002800A0"/>
    <w:rsid w:val="002801B3"/>
    <w:rsid w:val="00281060"/>
    <w:rsid w:val="002940E8"/>
    <w:rsid w:val="00294751"/>
    <w:rsid w:val="002A6E50"/>
    <w:rsid w:val="002B4298"/>
    <w:rsid w:val="002C1551"/>
    <w:rsid w:val="002C256A"/>
    <w:rsid w:val="002C2792"/>
    <w:rsid w:val="002F0BE6"/>
    <w:rsid w:val="002F3BCB"/>
    <w:rsid w:val="002F61B7"/>
    <w:rsid w:val="00304497"/>
    <w:rsid w:val="00305A7F"/>
    <w:rsid w:val="00311C2B"/>
    <w:rsid w:val="003152FE"/>
    <w:rsid w:val="00325ABC"/>
    <w:rsid w:val="00327436"/>
    <w:rsid w:val="00344BD6"/>
    <w:rsid w:val="0035528D"/>
    <w:rsid w:val="00361821"/>
    <w:rsid w:val="00361E9E"/>
    <w:rsid w:val="00391BEE"/>
    <w:rsid w:val="0039633A"/>
    <w:rsid w:val="003C7FBE"/>
    <w:rsid w:val="003D227C"/>
    <w:rsid w:val="003D2B4D"/>
    <w:rsid w:val="003F3D01"/>
    <w:rsid w:val="003F5F2B"/>
    <w:rsid w:val="0042414D"/>
    <w:rsid w:val="00424C0F"/>
    <w:rsid w:val="00435B7C"/>
    <w:rsid w:val="00444A88"/>
    <w:rsid w:val="00453C2F"/>
    <w:rsid w:val="00463A2E"/>
    <w:rsid w:val="00474DA4"/>
    <w:rsid w:val="00476B4D"/>
    <w:rsid w:val="00476EE7"/>
    <w:rsid w:val="004805FA"/>
    <w:rsid w:val="00481A2C"/>
    <w:rsid w:val="0048657A"/>
    <w:rsid w:val="00486BBA"/>
    <w:rsid w:val="004879D7"/>
    <w:rsid w:val="004935D2"/>
    <w:rsid w:val="004A6FDA"/>
    <w:rsid w:val="004B1215"/>
    <w:rsid w:val="004C45ED"/>
    <w:rsid w:val="004C6837"/>
    <w:rsid w:val="004D047D"/>
    <w:rsid w:val="004E7113"/>
    <w:rsid w:val="004F1E9E"/>
    <w:rsid w:val="004F305A"/>
    <w:rsid w:val="00512164"/>
    <w:rsid w:val="00520297"/>
    <w:rsid w:val="00532EB3"/>
    <w:rsid w:val="0053339A"/>
    <w:rsid w:val="005338F9"/>
    <w:rsid w:val="0054281C"/>
    <w:rsid w:val="00544581"/>
    <w:rsid w:val="005504AC"/>
    <w:rsid w:val="005523EA"/>
    <w:rsid w:val="0055268D"/>
    <w:rsid w:val="00576BE4"/>
    <w:rsid w:val="005A400A"/>
    <w:rsid w:val="005F7B92"/>
    <w:rsid w:val="0060287A"/>
    <w:rsid w:val="00605886"/>
    <w:rsid w:val="00612379"/>
    <w:rsid w:val="006153B6"/>
    <w:rsid w:val="0061555F"/>
    <w:rsid w:val="00636CA6"/>
    <w:rsid w:val="00641200"/>
    <w:rsid w:val="00645CA8"/>
    <w:rsid w:val="006567E7"/>
    <w:rsid w:val="00663578"/>
    <w:rsid w:val="006655D3"/>
    <w:rsid w:val="00666B06"/>
    <w:rsid w:val="00667404"/>
    <w:rsid w:val="00687EB4"/>
    <w:rsid w:val="00695C56"/>
    <w:rsid w:val="006A5CDE"/>
    <w:rsid w:val="006A644A"/>
    <w:rsid w:val="006B0724"/>
    <w:rsid w:val="006B17D2"/>
    <w:rsid w:val="006C224E"/>
    <w:rsid w:val="006C70ED"/>
    <w:rsid w:val="006D013D"/>
    <w:rsid w:val="006D25C4"/>
    <w:rsid w:val="006D780A"/>
    <w:rsid w:val="00706FF7"/>
    <w:rsid w:val="00711062"/>
    <w:rsid w:val="0071271E"/>
    <w:rsid w:val="00732DEC"/>
    <w:rsid w:val="00735BD5"/>
    <w:rsid w:val="007451EC"/>
    <w:rsid w:val="00751613"/>
    <w:rsid w:val="00753754"/>
    <w:rsid w:val="007556F6"/>
    <w:rsid w:val="007578BB"/>
    <w:rsid w:val="00760EEF"/>
    <w:rsid w:val="007660C7"/>
    <w:rsid w:val="007726FA"/>
    <w:rsid w:val="00777EE5"/>
    <w:rsid w:val="00784836"/>
    <w:rsid w:val="0079023E"/>
    <w:rsid w:val="00797273"/>
    <w:rsid w:val="007A2854"/>
    <w:rsid w:val="007C1D92"/>
    <w:rsid w:val="007C4CB9"/>
    <w:rsid w:val="007D0B9D"/>
    <w:rsid w:val="007D19B0"/>
    <w:rsid w:val="007D4635"/>
    <w:rsid w:val="007E1C9C"/>
    <w:rsid w:val="007E57EF"/>
    <w:rsid w:val="007F498F"/>
    <w:rsid w:val="0080679D"/>
    <w:rsid w:val="008108B0"/>
    <w:rsid w:val="00811B20"/>
    <w:rsid w:val="008211B5"/>
    <w:rsid w:val="0082296E"/>
    <w:rsid w:val="00824099"/>
    <w:rsid w:val="00826260"/>
    <w:rsid w:val="00846D7C"/>
    <w:rsid w:val="0084783D"/>
    <w:rsid w:val="00852F8D"/>
    <w:rsid w:val="0086146F"/>
    <w:rsid w:val="00867AC1"/>
    <w:rsid w:val="008730FF"/>
    <w:rsid w:val="00890DF8"/>
    <w:rsid w:val="008A743F"/>
    <w:rsid w:val="008C0970"/>
    <w:rsid w:val="008D0BC5"/>
    <w:rsid w:val="008D2CF7"/>
    <w:rsid w:val="00900C26"/>
    <w:rsid w:val="0090197F"/>
    <w:rsid w:val="00903264"/>
    <w:rsid w:val="00906DDC"/>
    <w:rsid w:val="00916216"/>
    <w:rsid w:val="00933453"/>
    <w:rsid w:val="00934E09"/>
    <w:rsid w:val="00936253"/>
    <w:rsid w:val="00940D46"/>
    <w:rsid w:val="00952DD4"/>
    <w:rsid w:val="00965AE7"/>
    <w:rsid w:val="00970FED"/>
    <w:rsid w:val="00975D8B"/>
    <w:rsid w:val="00980C88"/>
    <w:rsid w:val="00992D82"/>
    <w:rsid w:val="00997029"/>
    <w:rsid w:val="009A2C17"/>
    <w:rsid w:val="009A7339"/>
    <w:rsid w:val="009B1272"/>
    <w:rsid w:val="009B440E"/>
    <w:rsid w:val="009D690D"/>
    <w:rsid w:val="009E65B6"/>
    <w:rsid w:val="009F0764"/>
    <w:rsid w:val="009F77CF"/>
    <w:rsid w:val="00A24C10"/>
    <w:rsid w:val="00A3365A"/>
    <w:rsid w:val="00A42AC3"/>
    <w:rsid w:val="00A430CF"/>
    <w:rsid w:val="00A54309"/>
    <w:rsid w:val="00A640DA"/>
    <w:rsid w:val="00A64B15"/>
    <w:rsid w:val="00A9274B"/>
    <w:rsid w:val="00AB2B93"/>
    <w:rsid w:val="00AB530F"/>
    <w:rsid w:val="00AB7E5B"/>
    <w:rsid w:val="00AC2883"/>
    <w:rsid w:val="00AD0314"/>
    <w:rsid w:val="00AE0EF1"/>
    <w:rsid w:val="00AE2937"/>
    <w:rsid w:val="00B036C2"/>
    <w:rsid w:val="00B07301"/>
    <w:rsid w:val="00B07D7F"/>
    <w:rsid w:val="00B11F3E"/>
    <w:rsid w:val="00B167E2"/>
    <w:rsid w:val="00B224DE"/>
    <w:rsid w:val="00B228C9"/>
    <w:rsid w:val="00B324D4"/>
    <w:rsid w:val="00B46575"/>
    <w:rsid w:val="00B53139"/>
    <w:rsid w:val="00B549CF"/>
    <w:rsid w:val="00B61777"/>
    <w:rsid w:val="00B84BBD"/>
    <w:rsid w:val="00BA43FB"/>
    <w:rsid w:val="00BC127D"/>
    <w:rsid w:val="00BC1FE6"/>
    <w:rsid w:val="00BD51EF"/>
    <w:rsid w:val="00BF0463"/>
    <w:rsid w:val="00C0282F"/>
    <w:rsid w:val="00C039AF"/>
    <w:rsid w:val="00C061B6"/>
    <w:rsid w:val="00C2446C"/>
    <w:rsid w:val="00C3628E"/>
    <w:rsid w:val="00C36AE5"/>
    <w:rsid w:val="00C40CC2"/>
    <w:rsid w:val="00C41F17"/>
    <w:rsid w:val="00C527FA"/>
    <w:rsid w:val="00C5280D"/>
    <w:rsid w:val="00C53EB3"/>
    <w:rsid w:val="00C5791C"/>
    <w:rsid w:val="00C66290"/>
    <w:rsid w:val="00C72B7A"/>
    <w:rsid w:val="00C757E0"/>
    <w:rsid w:val="00C81AFE"/>
    <w:rsid w:val="00C973F2"/>
    <w:rsid w:val="00CA304C"/>
    <w:rsid w:val="00CA774A"/>
    <w:rsid w:val="00CC11B0"/>
    <w:rsid w:val="00CC151A"/>
    <w:rsid w:val="00CC2841"/>
    <w:rsid w:val="00CF1330"/>
    <w:rsid w:val="00CF7E36"/>
    <w:rsid w:val="00D05012"/>
    <w:rsid w:val="00D22A59"/>
    <w:rsid w:val="00D2626E"/>
    <w:rsid w:val="00D3192B"/>
    <w:rsid w:val="00D3708D"/>
    <w:rsid w:val="00D40426"/>
    <w:rsid w:val="00D57C96"/>
    <w:rsid w:val="00D57D18"/>
    <w:rsid w:val="00D65BC3"/>
    <w:rsid w:val="00D91203"/>
    <w:rsid w:val="00D95174"/>
    <w:rsid w:val="00D9615B"/>
    <w:rsid w:val="00D96F3B"/>
    <w:rsid w:val="00DA4476"/>
    <w:rsid w:val="00DA4973"/>
    <w:rsid w:val="00DA6F36"/>
    <w:rsid w:val="00DB09A5"/>
    <w:rsid w:val="00DB596E"/>
    <w:rsid w:val="00DB7773"/>
    <w:rsid w:val="00DC00EA"/>
    <w:rsid w:val="00DC26C8"/>
    <w:rsid w:val="00DC3802"/>
    <w:rsid w:val="00DC769D"/>
    <w:rsid w:val="00E04F0C"/>
    <w:rsid w:val="00E07D87"/>
    <w:rsid w:val="00E32F7E"/>
    <w:rsid w:val="00E5267B"/>
    <w:rsid w:val="00E63C0E"/>
    <w:rsid w:val="00E66A1E"/>
    <w:rsid w:val="00E72D49"/>
    <w:rsid w:val="00E7593C"/>
    <w:rsid w:val="00E7678A"/>
    <w:rsid w:val="00E827F3"/>
    <w:rsid w:val="00E935F1"/>
    <w:rsid w:val="00E94A81"/>
    <w:rsid w:val="00EA1FFB"/>
    <w:rsid w:val="00EB048E"/>
    <w:rsid w:val="00EB1383"/>
    <w:rsid w:val="00EB4E9C"/>
    <w:rsid w:val="00EB67DB"/>
    <w:rsid w:val="00EC67E8"/>
    <w:rsid w:val="00EC6B20"/>
    <w:rsid w:val="00ED0950"/>
    <w:rsid w:val="00EE34DF"/>
    <w:rsid w:val="00EF2F89"/>
    <w:rsid w:val="00F03E98"/>
    <w:rsid w:val="00F1237A"/>
    <w:rsid w:val="00F22CBD"/>
    <w:rsid w:val="00F272F1"/>
    <w:rsid w:val="00F45372"/>
    <w:rsid w:val="00F560F7"/>
    <w:rsid w:val="00F61C66"/>
    <w:rsid w:val="00F61F94"/>
    <w:rsid w:val="00F6265C"/>
    <w:rsid w:val="00F6334D"/>
    <w:rsid w:val="00F63599"/>
    <w:rsid w:val="00F64649"/>
    <w:rsid w:val="00F854D8"/>
    <w:rsid w:val="00FA23E7"/>
    <w:rsid w:val="00FA49AB"/>
    <w:rsid w:val="00FA4D48"/>
    <w:rsid w:val="00FD5DC5"/>
    <w:rsid w:val="00FD7208"/>
    <w:rsid w:val="00FD7A5E"/>
    <w:rsid w:val="00FD7FC5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."/>
  <w:listSeparator w:val=","/>
  <w14:docId w14:val="2BC6C475"/>
  <w15:docId w15:val="{806ACC2E-45A8-46F5-817E-E8D9EF5F7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link w:val="TitleofdocChar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4Char">
    <w:name w:val="Heading 4 Char"/>
    <w:basedOn w:val="DefaultParagraphFont"/>
    <w:link w:val="Heading4"/>
    <w:rsid w:val="00916216"/>
    <w:rPr>
      <w:rFonts w:ascii="Arial" w:hAnsi="Arial"/>
      <w:u w:val="single"/>
      <w:lang w:val="fr-FR"/>
    </w:rPr>
  </w:style>
  <w:style w:type="character" w:customStyle="1" w:styleId="BodyTextChar">
    <w:name w:val="Body Text Char"/>
    <w:link w:val="BodyText"/>
    <w:locked/>
    <w:rsid w:val="00B167E2"/>
    <w:rPr>
      <w:rFonts w:ascii="Arial" w:hAnsi="Arial"/>
    </w:rPr>
  </w:style>
  <w:style w:type="table" w:styleId="TableGrid">
    <w:name w:val="Table Grid"/>
    <w:basedOn w:val="TableNormal"/>
    <w:uiPriority w:val="39"/>
    <w:rsid w:val="00C0282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84783D"/>
    <w:rPr>
      <w:i/>
      <w:iCs/>
    </w:rPr>
  </w:style>
  <w:style w:type="character" w:styleId="FollowedHyperlink">
    <w:name w:val="FollowedHyperlink"/>
    <w:basedOn w:val="DefaultParagraphFont"/>
    <w:semiHidden/>
    <w:unhideWhenUsed/>
    <w:rsid w:val="00463A2E"/>
    <w:rPr>
      <w:color w:val="800080" w:themeColor="followedHyperlink"/>
      <w:u w:val="single"/>
    </w:rPr>
  </w:style>
  <w:style w:type="character" w:customStyle="1" w:styleId="TitleofdocChar">
    <w:name w:val="Title_of_doc Char"/>
    <w:link w:val="Titleofdoc0"/>
    <w:rsid w:val="005523EA"/>
    <w:rPr>
      <w:rFonts w:ascii="Arial" w:hAnsi="Arial"/>
      <w:b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pov.int/meetings/en/doc_details.jsp?meeting_id=60596&amp;doc_id=55047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617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TC-EDC/Mar22/5</vt:lpstr>
    </vt:vector>
  </TitlesOfParts>
  <Company>UPOV</Company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TC-EDC/Mar22/5</dc:title>
  <dc:creator>OERTEL Romy</dc:creator>
  <cp:keywords>TC-EDC/Mar22/5</cp:keywords>
  <cp:lastModifiedBy>OERTEL Romy</cp:lastModifiedBy>
  <cp:revision>17</cp:revision>
  <cp:lastPrinted>2022-02-16T09:32:00Z</cp:lastPrinted>
  <dcterms:created xsi:type="dcterms:W3CDTF">2022-01-27T10:06:00Z</dcterms:created>
  <dcterms:modified xsi:type="dcterms:W3CDTF">2022-02-16T09:32:00Z</dcterms:modified>
</cp:coreProperties>
</file>